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116840</wp:posOffset>
            </wp:positionV>
            <wp:extent cx="380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1729105</wp:posOffset>
            </wp:positionH>
            <wp:positionV relativeFrom="paragraph">
              <wp:posOffset>186690</wp:posOffset>
            </wp:positionV>
            <wp:extent cx="3807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80" w:type="dxa"/>
            <w:vAlign w:val="bottom"/>
            <w:gridSpan w:val="2"/>
          </w:tcPr>
          <w:p>
            <w:pPr>
              <w:ind w:left="1220"/>
              <w:spacing w:after="0"/>
              <w:rPr>
                <w:sz w:val="20"/>
                <w:szCs w:val="20"/>
                <w:color w:val="auto"/>
              </w:rPr>
            </w:pPr>
            <w:r>
              <w:rPr>
                <w:rFonts w:ascii="Arial" w:cs="Arial" w:eastAsia="Arial" w:hAnsi="Arial"/>
                <w:sz w:val="18"/>
                <w:szCs w:val="18"/>
                <w:b w:val="1"/>
                <w:bCs w:val="1"/>
                <w:color w:val="auto"/>
              </w:rPr>
              <w:t>For the transition period from</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80" w:type="dxa"/>
            <w:vAlign w:val="bottom"/>
            <w:gridSpan w:val="2"/>
          </w:tcPr>
          <w:p>
            <w:pPr>
              <w:jc w:val="center"/>
              <w:ind w:left="1813"/>
              <w:spacing w:after="0"/>
              <w:rPr>
                <w:sz w:val="20"/>
                <w:szCs w:val="20"/>
                <w:color w:val="auto"/>
              </w:rPr>
            </w:pPr>
            <w:r>
              <w:rPr>
                <w:rFonts w:ascii="Arial" w:cs="Arial" w:eastAsia="Arial" w:hAnsi="Arial"/>
                <w:sz w:val="14"/>
                <w:szCs w:val="14"/>
                <w:b w:val="1"/>
                <w:bCs w:val="1"/>
                <w:color w:val="auto"/>
                <w:w w:val="93"/>
              </w:rPr>
              <w:t>Commission file number 001-37983</w:t>
            </w: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700" w:type="dxa"/>
            <w:vAlign w:val="bottom"/>
            <w:tcBorders>
              <w:bottom w:val="single" w:sz="8" w:color="auto"/>
            </w:tcBorders>
            <w:gridSpan w:val="3"/>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7"/>
        </w:trPr>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80" w:type="dxa"/>
            <w:vAlign w:val="bottom"/>
            <w:gridSpan w:val="4"/>
          </w:tcPr>
          <w:p>
            <w:pPr>
              <w:jc w:val="center"/>
              <w:ind w:left="13"/>
              <w:spacing w:after="0"/>
              <w:rPr>
                <w:sz w:val="20"/>
                <w:szCs w:val="20"/>
                <w:color w:val="auto"/>
              </w:rPr>
            </w:pPr>
            <w:r>
              <w:rPr>
                <w:rFonts w:ascii="Arial" w:cs="Arial" w:eastAsia="Arial" w:hAnsi="Arial"/>
                <w:sz w:val="32"/>
                <w:szCs w:val="32"/>
                <w:b w:val="1"/>
                <w:bCs w:val="1"/>
                <w:color w:val="auto"/>
                <w:w w:val="94"/>
              </w:rPr>
              <w:t>TechnipFMC plc</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80" w:type="dxa"/>
            <w:vAlign w:val="bottom"/>
            <w:gridSpan w:val="4"/>
          </w:tcPr>
          <w:p>
            <w:pPr>
              <w:jc w:val="center"/>
              <w:ind w:left="13"/>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80" w:type="dxa"/>
            <w:vAlign w:val="bottom"/>
          </w:tcPr>
          <w:p>
            <w:pPr>
              <w:spacing w:after="0"/>
              <w:rPr>
                <w:sz w:val="24"/>
                <w:szCs w:val="24"/>
                <w:color w:val="auto"/>
              </w:rPr>
            </w:pPr>
          </w:p>
        </w:tc>
        <w:tc>
          <w:tcPr>
            <w:tcW w:w="4620" w:type="dxa"/>
            <w:vAlign w:val="bottom"/>
            <w:gridSpan w:val="2"/>
          </w:tcPr>
          <w:p>
            <w:pPr>
              <w:jc w:val="center"/>
              <w:ind w:right="1053"/>
              <w:spacing w:after="0"/>
              <w:rPr>
                <w:sz w:val="20"/>
                <w:szCs w:val="20"/>
                <w:color w:val="auto"/>
              </w:rPr>
            </w:pPr>
            <w:r>
              <w:rPr>
                <w:rFonts w:ascii="Arial" w:cs="Arial" w:eastAsia="Arial" w:hAnsi="Arial"/>
                <w:sz w:val="18"/>
                <w:szCs w:val="18"/>
                <w:b w:val="1"/>
                <w:bCs w:val="1"/>
                <w:color w:val="auto"/>
                <w:w w:val="89"/>
              </w:rPr>
              <w:t>England and Wales</w:t>
            </w:r>
          </w:p>
        </w:tc>
        <w:tc>
          <w:tcPr>
            <w:tcW w:w="1060" w:type="dxa"/>
            <w:vAlign w:val="bottom"/>
          </w:tcPr>
          <w:p>
            <w:pPr>
              <w:spacing w:after="0"/>
              <w:rPr>
                <w:sz w:val="24"/>
                <w:szCs w:val="24"/>
                <w:color w:val="auto"/>
              </w:rPr>
            </w:pPr>
          </w:p>
        </w:tc>
        <w:tc>
          <w:tcPr>
            <w:tcW w:w="2880" w:type="dxa"/>
            <w:vAlign w:val="bottom"/>
            <w:gridSpan w:val="4"/>
          </w:tcPr>
          <w:p>
            <w:pPr>
              <w:jc w:val="right"/>
              <w:ind w:right="599"/>
              <w:spacing w:after="0"/>
              <w:rPr>
                <w:sz w:val="20"/>
                <w:szCs w:val="20"/>
                <w:color w:val="auto"/>
              </w:rPr>
            </w:pPr>
            <w:r>
              <w:rPr>
                <w:rFonts w:ascii="Arial" w:cs="Arial" w:eastAsia="Arial" w:hAnsi="Arial"/>
                <w:sz w:val="18"/>
                <w:szCs w:val="18"/>
                <w:color w:val="auto"/>
              </w:rPr>
              <w:t>98-1283037</w:t>
            </w:r>
          </w:p>
        </w:tc>
        <w:tc>
          <w:tcPr>
            <w:tcW w:w="0" w:type="dxa"/>
            <w:vAlign w:val="bottom"/>
          </w:tcPr>
          <w:p>
            <w:pPr>
              <w:spacing w:after="0"/>
              <w:rPr>
                <w:sz w:val="1"/>
                <w:szCs w:val="1"/>
                <w:color w:val="auto"/>
              </w:rPr>
            </w:pPr>
          </w:p>
        </w:tc>
      </w:tr>
      <w:tr>
        <w:trPr>
          <w:trHeight w:val="218"/>
        </w:trPr>
        <w:tc>
          <w:tcPr>
            <w:tcW w:w="5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1060" w:type="dxa"/>
            <w:vAlign w:val="bottom"/>
          </w:tcPr>
          <w:p>
            <w:pPr>
              <w:spacing w:after="0"/>
              <w:rPr>
                <w:sz w:val="18"/>
                <w:szCs w:val="18"/>
                <w:color w:val="auto"/>
              </w:rPr>
            </w:pPr>
          </w:p>
        </w:tc>
        <w:tc>
          <w:tcPr>
            <w:tcW w:w="288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4620" w:type="dxa"/>
            <w:vAlign w:val="bottom"/>
            <w:gridSpan w:val="2"/>
          </w:tcPr>
          <w:p>
            <w:pPr>
              <w:jc w:val="center"/>
              <w:ind w:right="1053"/>
              <w:spacing w:after="0"/>
              <w:rPr>
                <w:sz w:val="20"/>
                <w:szCs w:val="20"/>
                <w:color w:val="auto"/>
              </w:rPr>
            </w:pPr>
            <w:r>
              <w:rPr>
                <w:rFonts w:ascii="Arial" w:cs="Arial" w:eastAsia="Arial" w:hAnsi="Arial"/>
                <w:sz w:val="18"/>
                <w:szCs w:val="18"/>
                <w:b w:val="1"/>
                <w:bCs w:val="1"/>
                <w:color w:val="auto"/>
                <w:w w:val="91"/>
              </w:rPr>
              <w:t>One St. Paul’s Churchyard</w:t>
            </w: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4620" w:type="dxa"/>
            <w:vAlign w:val="bottom"/>
            <w:gridSpan w:val="2"/>
          </w:tcPr>
          <w:p>
            <w:pPr>
              <w:jc w:val="center"/>
              <w:ind w:right="1033"/>
              <w:spacing w:after="0"/>
              <w:rPr>
                <w:sz w:val="20"/>
                <w:szCs w:val="20"/>
                <w:color w:val="auto"/>
              </w:rPr>
            </w:pPr>
            <w:r>
              <w:rPr>
                <w:rFonts w:ascii="Arial" w:cs="Arial" w:eastAsia="Arial" w:hAnsi="Arial"/>
                <w:sz w:val="18"/>
                <w:szCs w:val="18"/>
                <w:b w:val="1"/>
                <w:bCs w:val="1"/>
                <w:color w:val="auto"/>
                <w:w w:val="92"/>
              </w:rPr>
              <w:t>London, United Kingdom</w:t>
            </w:r>
          </w:p>
        </w:tc>
        <w:tc>
          <w:tcPr>
            <w:tcW w:w="1060" w:type="dxa"/>
            <w:vAlign w:val="bottom"/>
          </w:tcPr>
          <w:p>
            <w:pPr>
              <w:spacing w:after="0"/>
              <w:rPr>
                <w:sz w:val="20"/>
                <w:szCs w:val="20"/>
                <w:color w:val="auto"/>
              </w:rPr>
            </w:pPr>
          </w:p>
        </w:tc>
        <w:tc>
          <w:tcPr>
            <w:tcW w:w="2880" w:type="dxa"/>
            <w:vAlign w:val="bottom"/>
            <w:gridSpan w:val="4"/>
          </w:tcPr>
          <w:p>
            <w:pPr>
              <w:jc w:val="center"/>
              <w:ind w:left="577"/>
              <w:spacing w:after="0"/>
              <w:rPr>
                <w:sz w:val="20"/>
                <w:szCs w:val="20"/>
                <w:color w:val="auto"/>
              </w:rPr>
            </w:pPr>
            <w:r>
              <w:rPr>
                <w:rFonts w:ascii="Arial" w:cs="Arial" w:eastAsia="Arial" w:hAnsi="Arial"/>
                <w:sz w:val="18"/>
                <w:szCs w:val="18"/>
                <w:b w:val="1"/>
                <w:bCs w:val="1"/>
                <w:color w:val="auto"/>
                <w:w w:val="99"/>
              </w:rPr>
              <w:t>EC4M 8AP</w:t>
            </w: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4620" w:type="dxa"/>
            <w:vAlign w:val="bottom"/>
            <w:gridSpan w:val="2"/>
          </w:tcPr>
          <w:p>
            <w:pPr>
              <w:jc w:val="center"/>
              <w:ind w:right="103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spacing w:after="0"/>
              <w:rPr>
                <w:sz w:val="18"/>
                <w:szCs w:val="18"/>
                <w:color w:val="auto"/>
              </w:rPr>
            </w:pPr>
          </w:p>
        </w:tc>
        <w:tc>
          <w:tcPr>
            <w:tcW w:w="2880" w:type="dxa"/>
            <w:vAlign w:val="bottom"/>
            <w:gridSpan w:val="4"/>
          </w:tcPr>
          <w:p>
            <w:pPr>
              <w:jc w:val="center"/>
              <w:ind w:left="577"/>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80" w:type="dxa"/>
            <w:vAlign w:val="bottom"/>
            <w:gridSpan w:val="4"/>
          </w:tcPr>
          <w:p>
            <w:pPr>
              <w:jc w:val="center"/>
              <w:ind w:left="33"/>
              <w:spacing w:after="0"/>
              <w:rPr>
                <w:sz w:val="20"/>
                <w:szCs w:val="20"/>
                <w:color w:val="auto"/>
              </w:rPr>
            </w:pPr>
            <w:r>
              <w:rPr>
                <w:rFonts w:ascii="Arial" w:cs="Arial" w:eastAsia="Arial" w:hAnsi="Arial"/>
                <w:sz w:val="14"/>
                <w:szCs w:val="14"/>
                <w:b w:val="1"/>
                <w:bCs w:val="1"/>
                <w:color w:val="auto"/>
                <w:w w:val="92"/>
              </w:rPr>
              <w:t>Registrant’s telephone number, including area code: +44 203-429-3950</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80" w:type="dxa"/>
            <w:vAlign w:val="bottom"/>
            <w:gridSpan w:val="4"/>
          </w:tcPr>
          <w:p>
            <w:pPr>
              <w:jc w:val="center"/>
              <w:ind w:left="3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Arial" w:cs="Arial" w:eastAsia="Arial" w:hAnsi="Arial"/>
                <w:sz w:val="14"/>
                <w:szCs w:val="14"/>
                <w:b w:val="1"/>
                <w:bCs w:val="1"/>
                <w:color w:val="auto"/>
                <w:w w:val="87"/>
              </w:rPr>
              <w:t>Title of each class</w:t>
            </w:r>
          </w:p>
        </w:tc>
        <w:tc>
          <w:tcPr>
            <w:tcW w:w="4620" w:type="dxa"/>
            <w:vAlign w:val="bottom"/>
            <w:gridSpan w:val="2"/>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4"/>
                <w:szCs w:val="14"/>
                <w:b w:val="1"/>
                <w:bCs w:val="1"/>
                <w:color w:val="auto"/>
                <w:w w:val="96"/>
              </w:rPr>
              <w:t>Name of each exchange on which registered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gridSpan w:val="3"/>
          </w:tcPr>
          <w:p>
            <w:pPr>
              <w:spacing w:after="0"/>
              <w:rPr>
                <w:sz w:val="20"/>
                <w:szCs w:val="20"/>
                <w:color w:val="auto"/>
              </w:rPr>
            </w:pPr>
            <w:r>
              <w:rPr>
                <w:rFonts w:ascii="Arial" w:cs="Arial" w:eastAsia="Arial" w:hAnsi="Arial"/>
                <w:sz w:val="14"/>
                <w:szCs w:val="14"/>
                <w:color w:val="auto"/>
              </w:rPr>
              <w:t>Ordinary shares, $1.00 par value per share</w:t>
            </w:r>
          </w:p>
        </w:tc>
        <w:tc>
          <w:tcPr>
            <w:tcW w:w="2860" w:type="dxa"/>
            <w:vAlign w:val="bottom"/>
            <w:gridSpan w:val="3"/>
          </w:tcPr>
          <w:p>
            <w:pPr>
              <w:spacing w:after="0"/>
              <w:rPr>
                <w:sz w:val="20"/>
                <w:szCs w:val="20"/>
                <w:color w:val="auto"/>
              </w:rPr>
            </w:pPr>
            <w:r>
              <w:rPr>
                <w:rFonts w:ascii="Arial" w:cs="Arial" w:eastAsia="Arial" w:hAnsi="Arial"/>
                <w:sz w:val="14"/>
                <w:szCs w:val="14"/>
                <w:color w:val="auto"/>
              </w:rPr>
              <w:t>New York Stock Exchange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80" w:type="dxa"/>
            <w:vAlign w:val="bottom"/>
            <w:gridSpan w:val="4"/>
          </w:tcPr>
          <w:p>
            <w:pPr>
              <w:jc w:val="center"/>
              <w:ind w:left="13"/>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70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vMerge w:val="restart"/>
          </w:tcPr>
          <w:p>
            <w:pPr>
              <w:jc w:val="center"/>
              <w:ind w:right="33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97"/>
        </w:trPr>
        <w:tc>
          <w:tcPr>
            <w:tcW w:w="8560" w:type="dxa"/>
            <w:vAlign w:val="bottom"/>
            <w:gridSpan w:val="6"/>
          </w:tcPr>
          <w:p>
            <w:pPr>
              <w:jc w:val="center"/>
              <w:ind w:left="304"/>
              <w:spacing w:after="0" w:line="184" w:lineRule="exact"/>
              <w:rPr>
                <w:sz w:val="20"/>
                <w:szCs w:val="20"/>
                <w:color w:val="auto"/>
              </w:rPr>
            </w:pPr>
            <w:r>
              <w:rPr>
                <w:rFonts w:ascii="Arial" w:cs="Arial" w:eastAsia="Arial" w:hAnsi="Arial"/>
                <w:sz w:val="16"/>
                <w:szCs w:val="16"/>
                <w:color w:val="auto"/>
                <w:w w:val="92"/>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2"/>
              </w:rPr>
              <w:t>☐</w:t>
            </w: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560" w:type="dxa"/>
            <w:vAlign w:val="bottom"/>
            <w:gridSpan w:val="6"/>
          </w:tcPr>
          <w:p>
            <w:pPr>
              <w:jc w:val="center"/>
              <w:ind w:left="264"/>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 YES</w:t>
            </w:r>
          </w:p>
        </w:tc>
        <w:tc>
          <w:tcPr>
            <w:tcW w:w="1080" w:type="dxa"/>
            <w:vAlign w:val="bottom"/>
            <w:gridSpan w:val="2"/>
          </w:tcPr>
          <w:p>
            <w:pPr>
              <w:jc w:val="center"/>
              <w:ind w:right="179"/>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340" w:firstLine="432"/>
        <w:spacing w:after="0" w:line="2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13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 w:lineRule="exact"/>
        <w:rPr>
          <w:sz w:val="24"/>
          <w:szCs w:val="24"/>
          <w:color w:val="auto"/>
        </w:rPr>
      </w:pPr>
    </w:p>
    <w:p>
      <w:pPr>
        <w:ind w:right="320" w:firstLine="432"/>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firstLine="432"/>
        <w:spacing w:after="0" w:line="19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ind w:right="100" w:firstLine="432"/>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60" w:type="dxa"/>
        <w:tblCellMar>
          <w:top w:w="0" w:type="dxa"/>
          <w:left w:w="0" w:type="dxa"/>
          <w:bottom w:w="0" w:type="dxa"/>
          <w:right w:w="0" w:type="dxa"/>
        </w:tblCellMar>
      </w:tblPr>
      <w:tr>
        <w:trPr>
          <w:trHeight w:val="206"/>
        </w:trPr>
        <w:tc>
          <w:tcPr>
            <w:tcW w:w="4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780" w:type="dxa"/>
            <w:vAlign w:val="bottom"/>
          </w:tcPr>
          <w:p>
            <w:pPr>
              <w:ind w:left="480"/>
              <w:spacing w:after="0"/>
              <w:rPr>
                <w:sz w:val="20"/>
                <w:szCs w:val="20"/>
                <w:color w:val="auto"/>
              </w:rPr>
            </w:pPr>
            <w:r>
              <w:rPr>
                <w:rFonts w:ascii="Arial" w:cs="Arial" w:eastAsia="Arial" w:hAnsi="Arial"/>
                <w:sz w:val="16"/>
                <w:szCs w:val="16"/>
                <w:color w:val="auto"/>
              </w:rPr>
              <w:t>o</w:t>
            </w:r>
          </w:p>
        </w:tc>
        <w:tc>
          <w:tcPr>
            <w:tcW w:w="35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760" w:type="dxa"/>
            <w:vAlign w:val="bottom"/>
          </w:tcPr>
          <w:p>
            <w:pPr>
              <w:ind w:left="168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75"/>
        </w:trPr>
        <w:tc>
          <w:tcPr>
            <w:tcW w:w="4880" w:type="dxa"/>
            <w:vAlign w:val="bottom"/>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78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760" w:type="dxa"/>
            <w:vAlign w:val="bottom"/>
            <w:vMerge w:val="restart"/>
          </w:tcPr>
          <w:p>
            <w:pPr>
              <w:ind w:left="168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5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760" w:type="dxa"/>
            <w:vAlign w:val="bottom"/>
          </w:tcPr>
          <w:p>
            <w:pPr>
              <w:ind w:left="168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right="4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left="440"/>
        <w:spacing w:after="0" w:line="184" w:lineRule="exact"/>
        <w:tabs>
          <w:tab w:leader="none" w:pos="78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20" w:firstLine="432"/>
        <w:spacing w:after="0" w:line="275" w:lineRule="auto"/>
        <w:rPr>
          <w:sz w:val="20"/>
          <w:szCs w:val="20"/>
          <w:color w:val="auto"/>
        </w:rPr>
      </w:pPr>
      <w:r>
        <w:rPr>
          <w:rFonts w:ascii="Arial" w:cs="Arial" w:eastAsia="Arial" w:hAnsi="Arial"/>
          <w:sz w:val="16"/>
          <w:szCs w:val="16"/>
          <w:color w:val="auto"/>
        </w:rPr>
        <w:t>The aggregate market value of the registrant’s ordinary shares held by non-affiliates of the registrant, determined by multiplying the outstanding shares on June 30, 2017, by the closing price on such day of $27.20 as reported on the New York Stock Exchange, was $10,268,441,348.</w:t>
      </w:r>
    </w:p>
    <w:p>
      <w:pPr>
        <w:spacing w:after="0" w:line="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of the registrant’s ordinary shares outstanding as of March 27, 2018 was 462,497,601.</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340"/>
          </w:cols>
          <w:pgMar w:left="240" w:top="1021" w:right="319" w:bottom="695" w:gutter="0" w:footer="0" w:header="0"/>
        </w:sectPr>
      </w:pPr>
    </w:p>
    <w:p>
      <w:pPr>
        <w:spacing w:after="0" w:line="25" w:lineRule="exact"/>
        <w:rPr>
          <w:sz w:val="24"/>
          <w:szCs w:val="24"/>
          <w:color w:val="auto"/>
        </w:rPr>
      </w:pPr>
    </w:p>
    <w:p>
      <w:pPr>
        <w:jc w:val="both"/>
        <w:ind w:right="120" w:firstLine="648"/>
        <w:spacing w:after="0" w:line="253" w:lineRule="auto"/>
        <w:rPr>
          <w:sz w:val="20"/>
          <w:szCs w:val="20"/>
          <w:color w:val="auto"/>
        </w:rPr>
      </w:pPr>
      <w:r>
        <w:rPr>
          <w:rFonts w:ascii="Arial" w:cs="Arial" w:eastAsia="Arial" w:hAnsi="Arial"/>
          <w:sz w:val="16"/>
          <w:szCs w:val="16"/>
          <w:color w:val="auto"/>
        </w:rPr>
        <w:t>Portions of the registrant’s definitive proxy statement relating to its 2018 annual meeting of stockholders are incorporated by reference into Part III of this Annual Report on Form 10-K where indicated. The 2018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021" w:right="319" w:bottom="69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40" w:type="dxa"/>
            <w:vAlign w:val="bottom"/>
            <w:gridSpan w:val="7"/>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820" w:type="dxa"/>
            <w:vAlign w:val="bottom"/>
            <w:gridSpan w:val="21"/>
          </w:tcPr>
          <w:p>
            <w:pPr>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12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Item 1. Business</w:t>
              </w:r>
            </w:hyperlink>
          </w:p>
        </w:tc>
        <w:tc>
          <w:tcPr>
            <w:tcW w:w="9620" w:type="dxa"/>
            <w:vAlign w:val="bottom"/>
            <w:gridSpan w:val="19"/>
          </w:tcPr>
          <w:p>
            <w:pPr>
              <w:spacing w:after="0"/>
              <w:rPr>
                <w:sz w:val="24"/>
                <w:szCs w:val="24"/>
                <w:color w:val="auto"/>
              </w:rPr>
            </w:pPr>
          </w:p>
        </w:tc>
        <w:tc>
          <w:tcPr>
            <w:tcW w:w="44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250"/>
        </w:trPr>
        <w:tc>
          <w:tcPr>
            <w:tcW w:w="10820" w:type="dxa"/>
            <w:vAlign w:val="bottom"/>
            <w:gridSpan w:val="21"/>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Item 1A. Risk Factors</w:t>
              </w:r>
            </w:hyperlink>
          </w:p>
        </w:tc>
        <w:tc>
          <w:tcPr>
            <w:tcW w:w="560" w:type="dxa"/>
            <w:vAlign w:val="bottom"/>
            <w:gridSpan w:val="6"/>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gridSpan w:val="11"/>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1B. Unresolved Staff Comments</w:t>
              </w:r>
            </w:hyperlink>
          </w:p>
        </w:tc>
        <w:tc>
          <w:tcPr>
            <w:tcW w:w="8100" w:type="dxa"/>
            <w:vAlign w:val="bottom"/>
            <w:gridSpan w:val="10"/>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3"/>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Item 2. Properties</w:t>
              </w:r>
            </w:hyperlink>
          </w:p>
        </w:tc>
        <w:tc>
          <w:tcPr>
            <w:tcW w:w="1440" w:type="dxa"/>
            <w:vAlign w:val="bottom"/>
            <w:gridSpan w:val="8"/>
          </w:tcPr>
          <w:p>
            <w:pPr>
              <w:spacing w:after="0"/>
              <w:rPr>
                <w:sz w:val="21"/>
                <w:szCs w:val="21"/>
                <w:color w:val="auto"/>
              </w:rPr>
            </w:pPr>
          </w:p>
        </w:tc>
        <w:tc>
          <w:tcPr>
            <w:tcW w:w="8100" w:type="dxa"/>
            <w:vAlign w:val="bottom"/>
            <w:gridSpan w:val="10"/>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2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 Legal Proceedings</w:t>
              </w:r>
            </w:hyperlink>
          </w:p>
        </w:tc>
        <w:tc>
          <w:tcPr>
            <w:tcW w:w="560" w:type="dxa"/>
            <w:vAlign w:val="bottom"/>
            <w:gridSpan w:val="6"/>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320" w:type="dxa"/>
            <w:vAlign w:val="bottom"/>
            <w:gridSpan w:val="9"/>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 Mine Safety Disclosures</w:t>
              </w:r>
            </w:hyperlink>
          </w:p>
        </w:tc>
        <w:tc>
          <w:tcPr>
            <w:tcW w:w="8500" w:type="dxa"/>
            <w:vAlign w:val="bottom"/>
            <w:gridSpan w:val="12"/>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480"/>
        </w:trPr>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PART II</w:t>
            </w:r>
          </w:p>
        </w:tc>
        <w:tc>
          <w:tcPr>
            <w:tcW w:w="8500" w:type="dxa"/>
            <w:vAlign w:val="bottom"/>
            <w:gridSpan w:val="12"/>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10820" w:type="dxa"/>
            <w:vAlign w:val="bottom"/>
            <w:gridSpan w:val="2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 Market for Registrant’s Common Equity, Related Stockholder Matters and Issuer Purchases of Equity Securities</w:t>
              </w:r>
            </w:hyperlink>
          </w:p>
        </w:tc>
        <w:tc>
          <w:tcPr>
            <w:tcW w:w="560" w:type="dxa"/>
            <w:vAlign w:val="bottom"/>
            <w:gridSpan w:val="6"/>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60" w:type="dxa"/>
            <w:vAlign w:val="bottom"/>
            <w:gridSpan w:val="8"/>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Item 6. Selected Financial Data</w:t>
              </w:r>
            </w:hyperlink>
          </w:p>
        </w:tc>
        <w:tc>
          <w:tcPr>
            <w:tcW w:w="6360" w:type="dxa"/>
            <w:vAlign w:val="bottom"/>
            <w:gridSpan w:val="12"/>
          </w:tcPr>
          <w:p>
            <w:pPr>
              <w:spacing w:after="0"/>
              <w:rPr>
                <w:sz w:val="21"/>
                <w:szCs w:val="21"/>
                <w:color w:val="auto"/>
              </w:rPr>
            </w:pPr>
          </w:p>
        </w:tc>
        <w:tc>
          <w:tcPr>
            <w:tcW w:w="2200" w:type="dxa"/>
            <w:vAlign w:val="bottom"/>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20" w:type="dxa"/>
            <w:vAlign w:val="bottom"/>
            <w:gridSpan w:val="21"/>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7. Management’s Discussion and Analysis of Financial Condition and Results of Operations</w:t>
              </w:r>
            </w:hyperlink>
          </w:p>
        </w:tc>
        <w:tc>
          <w:tcPr>
            <w:tcW w:w="560" w:type="dxa"/>
            <w:vAlign w:val="bottom"/>
            <w:gridSpan w:val="6"/>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gridSpan w:val="15"/>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Item 7A. Quantitative and Qualitative Disclosures About Market Risk</w:t>
              </w:r>
            </w:hyperlink>
          </w:p>
        </w:tc>
        <w:tc>
          <w:tcPr>
            <w:tcW w:w="1960" w:type="dxa"/>
            <w:vAlign w:val="bottom"/>
            <w:gridSpan w:val="2"/>
          </w:tcPr>
          <w:p>
            <w:pPr>
              <w:spacing w:after="0"/>
              <w:rPr>
                <w:sz w:val="21"/>
                <w:szCs w:val="21"/>
                <w:color w:val="auto"/>
              </w:rPr>
            </w:pPr>
          </w:p>
        </w:tc>
        <w:tc>
          <w:tcPr>
            <w:tcW w:w="3820" w:type="dxa"/>
            <w:vAlign w:val="bottom"/>
            <w:gridSpan w:val="4"/>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80" w:type="dxa"/>
            <w:vAlign w:val="bottom"/>
            <w:gridSpan w:val="13"/>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Item 8. Financial Statements and Supplementary Data</w:t>
              </w:r>
            </w:hyperlink>
          </w:p>
        </w:tc>
        <w:tc>
          <w:tcPr>
            <w:tcW w:w="1160" w:type="dxa"/>
            <w:vAlign w:val="bottom"/>
            <w:gridSpan w:val="2"/>
          </w:tcPr>
          <w:p>
            <w:pPr>
              <w:spacing w:after="0"/>
              <w:rPr>
                <w:sz w:val="21"/>
                <w:szCs w:val="21"/>
                <w:color w:val="auto"/>
              </w:rPr>
            </w:pPr>
          </w:p>
        </w:tc>
        <w:tc>
          <w:tcPr>
            <w:tcW w:w="5780" w:type="dxa"/>
            <w:vAlign w:val="bottom"/>
            <w:gridSpan w:val="6"/>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53</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20" w:type="dxa"/>
            <w:vAlign w:val="bottom"/>
            <w:gridSpan w:val="21"/>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9. Changes in and Disagreements with Accountants on Accounting and Financial Disclosure</w:t>
              </w:r>
            </w:hyperlink>
          </w:p>
        </w:tc>
        <w:tc>
          <w:tcPr>
            <w:tcW w:w="560" w:type="dxa"/>
            <w:vAlign w:val="bottom"/>
            <w:gridSpan w:val="6"/>
          </w:tcPr>
          <w:p>
            <w:pPr>
              <w:jc w:val="right"/>
              <w:ind w:right="20"/>
              <w:spacing w:after="0"/>
              <w:rPr>
                <w:rFonts w:ascii="Arial" w:cs="Arial" w:eastAsia="Arial" w:hAnsi="Arial"/>
                <w:sz w:val="18"/>
                <w:szCs w:val="18"/>
                <w:color w:val="0000FF"/>
              </w:rPr>
            </w:pPr>
            <w:hyperlink w:anchor="page106">
              <w:r>
                <w:rPr>
                  <w:rFonts w:ascii="Arial" w:cs="Arial" w:eastAsia="Arial" w:hAnsi="Arial"/>
                  <w:sz w:val="18"/>
                  <w:szCs w:val="18"/>
                  <w:color w:val="0000FF"/>
                </w:rPr>
                <w:t>106</w:t>
              </w:r>
            </w:hyperlink>
          </w:p>
        </w:tc>
      </w:tr>
      <w:tr>
        <w:trPr>
          <w:trHeight w:val="250"/>
        </w:trPr>
        <w:tc>
          <w:tcPr>
            <w:tcW w:w="7020" w:type="dxa"/>
            <w:vAlign w:val="bottom"/>
            <w:tcBorders>
              <w:top w:val="single" w:sz="8" w:color="0000FF"/>
            </w:tcBorders>
            <w:gridSpan w:val="18"/>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9A. Controls and Procedures</w:t>
              </w:r>
            </w:hyperlink>
          </w:p>
        </w:tc>
        <w:tc>
          <w:tcPr>
            <w:tcW w:w="380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FF"/>
            </w:tcBorders>
            <w:gridSpan w:val="4"/>
          </w:tcPr>
          <w:p>
            <w:pPr>
              <w:jc w:val="right"/>
              <w:spacing w:after="0"/>
              <w:rPr>
                <w:rFonts w:ascii="Arial" w:cs="Arial" w:eastAsia="Arial" w:hAnsi="Arial"/>
                <w:sz w:val="18"/>
                <w:szCs w:val="18"/>
                <w:color w:val="0000FF"/>
                <w:w w:val="86"/>
              </w:rPr>
            </w:pPr>
            <w:hyperlink w:anchor="page106">
              <w:r>
                <w:rPr>
                  <w:rFonts w:ascii="Arial" w:cs="Arial" w:eastAsia="Arial" w:hAnsi="Arial"/>
                  <w:sz w:val="18"/>
                  <w:szCs w:val="18"/>
                  <w:color w:val="0000FF"/>
                  <w:w w:val="86"/>
                </w:rPr>
                <w:t>106</w:t>
              </w:r>
            </w:hyperlink>
          </w:p>
        </w:tc>
        <w:tc>
          <w:tcPr>
            <w:tcW w:w="20" w:type="dxa"/>
            <w:vAlign w:val="bottom"/>
          </w:tcPr>
          <w:p>
            <w:pPr>
              <w:spacing w:after="0"/>
              <w:rPr>
                <w:sz w:val="21"/>
                <w:szCs w:val="21"/>
                <w:color w:val="auto"/>
              </w:rPr>
            </w:pPr>
          </w:p>
        </w:tc>
      </w:tr>
      <w:tr>
        <w:trPr>
          <w:trHeight w:val="250"/>
        </w:trPr>
        <w:tc>
          <w:tcPr>
            <w:tcW w:w="2440" w:type="dxa"/>
            <w:vAlign w:val="bottom"/>
            <w:tcBorders>
              <w:top w:val="single" w:sz="8" w:color="0000FF"/>
            </w:tcBorders>
            <w:gridSpan w:val="10"/>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Item 9B. Other Information</w:t>
              </w:r>
            </w:hyperlink>
          </w:p>
        </w:tc>
        <w:tc>
          <w:tcPr>
            <w:tcW w:w="8380" w:type="dxa"/>
            <w:vAlign w:val="bottom"/>
            <w:gridSpan w:val="11"/>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FF"/>
            </w:tcBorders>
            <w:gridSpan w:val="4"/>
          </w:tcPr>
          <w:p>
            <w:pPr>
              <w:jc w:val="right"/>
              <w:spacing w:after="0"/>
              <w:rPr>
                <w:rFonts w:ascii="Arial" w:cs="Arial" w:eastAsia="Arial" w:hAnsi="Arial"/>
                <w:sz w:val="18"/>
                <w:szCs w:val="18"/>
                <w:color w:val="0000FF"/>
                <w:w w:val="86"/>
              </w:rPr>
            </w:pPr>
            <w:hyperlink w:anchor="page108">
              <w:r>
                <w:rPr>
                  <w:rFonts w:ascii="Arial" w:cs="Arial" w:eastAsia="Arial" w:hAnsi="Arial"/>
                  <w:sz w:val="18"/>
                  <w:szCs w:val="18"/>
                  <w:color w:val="0000FF"/>
                  <w:w w:val="86"/>
                </w:rPr>
                <w:t>108</w:t>
              </w:r>
            </w:hyperlink>
          </w:p>
        </w:tc>
        <w:tc>
          <w:tcPr>
            <w:tcW w:w="20" w:type="dxa"/>
            <w:vAlign w:val="bottom"/>
          </w:tcPr>
          <w:p>
            <w:pPr>
              <w:spacing w:after="0"/>
              <w:rPr>
                <w:sz w:val="21"/>
                <w:szCs w:val="21"/>
                <w:color w:val="auto"/>
              </w:rPr>
            </w:pPr>
          </w:p>
        </w:tc>
      </w:tr>
      <w:tr>
        <w:trPr>
          <w:trHeight w:val="480"/>
        </w:trPr>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PART III</w:t>
            </w:r>
          </w:p>
        </w:tc>
        <w:tc>
          <w:tcPr>
            <w:tcW w:w="8840" w:type="dxa"/>
            <w:vAlign w:val="bottom"/>
            <w:gridSpan w:val="14"/>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39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Item 10. Corporate Governance and Board of Directors</w:t>
              </w:r>
            </w:hyperlink>
          </w:p>
        </w:tc>
        <w:tc>
          <w:tcPr>
            <w:tcW w:w="684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109</w:t>
              </w:r>
            </w:hyperlink>
          </w:p>
        </w:tc>
        <w:tc>
          <w:tcPr>
            <w:tcW w:w="20" w:type="dxa"/>
            <w:vAlign w:val="bottom"/>
          </w:tcPr>
          <w:p>
            <w:pPr>
              <w:spacing w:after="0"/>
              <w:rPr>
                <w:sz w:val="24"/>
                <w:szCs w:val="24"/>
                <w:color w:val="auto"/>
              </w:rPr>
            </w:pPr>
          </w:p>
        </w:tc>
      </w:tr>
      <w:tr>
        <w:trPr>
          <w:trHeight w:val="250"/>
        </w:trPr>
        <w:tc>
          <w:tcPr>
            <w:tcW w:w="244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Item 11. Executive Compensation</w:t>
              </w:r>
            </w:hyperlink>
          </w:p>
        </w:tc>
        <w:tc>
          <w:tcPr>
            <w:tcW w:w="8380" w:type="dxa"/>
            <w:vAlign w:val="bottom"/>
            <w:gridSpan w:val="11"/>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109</w:t>
              </w:r>
            </w:hyperlink>
          </w:p>
        </w:tc>
        <w:tc>
          <w:tcPr>
            <w:tcW w:w="20" w:type="dxa"/>
            <w:vAlign w:val="bottom"/>
          </w:tcPr>
          <w:p>
            <w:pPr>
              <w:spacing w:after="0"/>
              <w:rPr>
                <w:sz w:val="21"/>
                <w:szCs w:val="21"/>
                <w:color w:val="auto"/>
              </w:rPr>
            </w:pPr>
          </w:p>
        </w:tc>
      </w:tr>
      <w:tr>
        <w:trPr>
          <w:trHeight w:val="250"/>
        </w:trPr>
        <w:tc>
          <w:tcPr>
            <w:tcW w:w="794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109">
              <w:r>
                <w:rPr>
                  <w:rFonts w:ascii="Arial" w:cs="Arial" w:eastAsia="Arial" w:hAnsi="Arial"/>
                  <w:sz w:val="18"/>
                  <w:szCs w:val="18"/>
                  <w:color w:val="0000FF"/>
                  <w:w w:val="90"/>
                </w:rPr>
                <w:t>Item 12. Security Ownership of Certain Beneficial Owners and Management and Related Stockholder Matters</w:t>
              </w:r>
            </w:hyperlink>
          </w:p>
        </w:tc>
        <w:tc>
          <w:tcPr>
            <w:tcW w:w="28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109</w:t>
              </w:r>
            </w:hyperlink>
          </w:p>
        </w:tc>
        <w:tc>
          <w:tcPr>
            <w:tcW w:w="20" w:type="dxa"/>
            <w:vAlign w:val="bottom"/>
          </w:tcPr>
          <w:p>
            <w:pPr>
              <w:spacing w:after="0"/>
              <w:rPr>
                <w:sz w:val="21"/>
                <w:szCs w:val="21"/>
                <w:color w:val="auto"/>
              </w:rPr>
            </w:pPr>
          </w:p>
        </w:tc>
      </w:tr>
      <w:tr>
        <w:trPr>
          <w:trHeight w:val="250"/>
        </w:trPr>
        <w:tc>
          <w:tcPr>
            <w:tcW w:w="61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Item 13. Certain Relationships and Related Transactions, and Director Independence</w:t>
              </w:r>
            </w:hyperlink>
          </w:p>
        </w:tc>
        <w:tc>
          <w:tcPr>
            <w:tcW w:w="472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109</w:t>
              </w:r>
            </w:hyperlink>
          </w:p>
        </w:tc>
        <w:tc>
          <w:tcPr>
            <w:tcW w:w="20" w:type="dxa"/>
            <w:vAlign w:val="bottom"/>
          </w:tcPr>
          <w:p>
            <w:pPr>
              <w:spacing w:after="0"/>
              <w:rPr>
                <w:sz w:val="21"/>
                <w:szCs w:val="21"/>
                <w:color w:val="auto"/>
              </w:rPr>
            </w:pPr>
          </w:p>
        </w:tc>
      </w:tr>
      <w:tr>
        <w:trPr>
          <w:trHeight w:val="250"/>
        </w:trPr>
        <w:tc>
          <w:tcPr>
            <w:tcW w:w="10820" w:type="dxa"/>
            <w:vAlign w:val="bottom"/>
            <w:gridSpan w:val="21"/>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Item 14. Principal Accounting Fees and Services</w:t>
              </w:r>
            </w:hyperlink>
          </w:p>
        </w:tc>
        <w:tc>
          <w:tcPr>
            <w:tcW w:w="560" w:type="dxa"/>
            <w:vAlign w:val="bottom"/>
            <w:gridSpan w:val="6"/>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109</w:t>
              </w:r>
            </w:hyperlink>
          </w:p>
        </w:tc>
      </w:tr>
      <w:tr>
        <w:trPr>
          <w:trHeight w:val="480"/>
        </w:trPr>
        <w:tc>
          <w:tcPr>
            <w:tcW w:w="3540" w:type="dxa"/>
            <w:vAlign w:val="bottom"/>
            <w:tcBorders>
              <w:top w:val="single" w:sz="8" w:color="0000FF"/>
            </w:tcBorders>
            <w:gridSpan w:val="12"/>
          </w:tcPr>
          <w:p>
            <w:pPr>
              <w:spacing w:after="0"/>
              <w:rPr>
                <w:sz w:val="20"/>
                <w:szCs w:val="20"/>
                <w:color w:val="auto"/>
              </w:rPr>
            </w:pPr>
            <w:r>
              <w:rPr>
                <w:rFonts w:ascii="Arial" w:cs="Arial" w:eastAsia="Arial" w:hAnsi="Arial"/>
                <w:sz w:val="18"/>
                <w:szCs w:val="18"/>
                <w:b w:val="1"/>
                <w:bCs w:val="1"/>
                <w:color w:val="auto"/>
              </w:rPr>
              <w:t>PART IV</w:t>
            </w:r>
          </w:p>
        </w:tc>
        <w:tc>
          <w:tcPr>
            <w:tcW w:w="728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3540" w:type="dxa"/>
            <w:vAlign w:val="bottom"/>
            <w:gridSpan w:val="12"/>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Item 15. Exhibits, Financial Statement Schedules</w:t>
              </w:r>
            </w:hyperlink>
          </w:p>
        </w:tc>
        <w:tc>
          <w:tcPr>
            <w:tcW w:w="7280" w:type="dxa"/>
            <w:vAlign w:val="bottom"/>
            <w:gridSpan w:val="9"/>
          </w:tcPr>
          <w:p>
            <w:pPr>
              <w:spacing w:after="0"/>
              <w:rPr>
                <w:sz w:val="24"/>
                <w:szCs w:val="24"/>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gridSpan w:val="4"/>
          </w:tcPr>
          <w:p>
            <w:pPr>
              <w:spacing w:after="0"/>
              <w:rPr>
                <w:sz w:val="20"/>
                <w:szCs w:val="20"/>
                <w:color w:val="auto"/>
              </w:rPr>
            </w:pPr>
            <w:r>
              <w:rPr>
                <w:rFonts w:ascii="Arial" w:cs="Arial" w:eastAsia="Arial" w:hAnsi="Arial"/>
                <w:sz w:val="18"/>
                <w:szCs w:val="18"/>
                <w:color w:val="0000FF"/>
                <w:w w:val="89"/>
              </w:rPr>
              <w:t>Item 16. Summary</w:t>
            </w:r>
          </w:p>
        </w:tc>
        <w:tc>
          <w:tcPr>
            <w:tcW w:w="2200" w:type="dxa"/>
            <w:vAlign w:val="bottom"/>
            <w:gridSpan w:val="8"/>
          </w:tcPr>
          <w:p>
            <w:pPr>
              <w:spacing w:after="0"/>
              <w:rPr>
                <w:sz w:val="21"/>
                <w:szCs w:val="21"/>
                <w:color w:val="auto"/>
              </w:rPr>
            </w:pPr>
          </w:p>
        </w:tc>
        <w:tc>
          <w:tcPr>
            <w:tcW w:w="7280" w:type="dxa"/>
            <w:vAlign w:val="bottom"/>
            <w:gridSpan w:val="9"/>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110">
              <w:r>
                <w:rPr>
                  <w:rFonts w:ascii="Arial" w:cs="Arial" w:eastAsia="Arial" w:hAnsi="Arial"/>
                  <w:sz w:val="18"/>
                  <w:szCs w:val="18"/>
                  <w:color w:val="0000FF"/>
                </w:rPr>
                <w:t>110</w:t>
              </w:r>
            </w:hyperlink>
          </w:p>
        </w:tc>
      </w:tr>
      <w:tr>
        <w:trPr>
          <w:trHeight w:val="20"/>
        </w:trPr>
        <w:tc>
          <w:tcPr>
            <w:tcW w:w="7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FF"/>
                <w:w w:val="85"/>
              </w:rPr>
            </w:pPr>
            <w:hyperlink w:anchor="page115">
              <w:r>
                <w:rPr>
                  <w:rFonts w:ascii="Arial" w:cs="Arial" w:eastAsia="Arial" w:hAnsi="Arial"/>
                  <w:sz w:val="18"/>
                  <w:szCs w:val="18"/>
                  <w:color w:val="0000FF"/>
                  <w:w w:val="85"/>
                </w:rPr>
                <w:t>Signatures</w:t>
              </w:r>
            </w:hyperlink>
          </w:p>
        </w:tc>
        <w:tc>
          <w:tcPr>
            <w:tcW w:w="580" w:type="dxa"/>
            <w:vAlign w:val="bottom"/>
            <w:gridSpan w:val="3"/>
          </w:tcPr>
          <w:p>
            <w:pPr>
              <w:spacing w:after="0"/>
              <w:rPr>
                <w:sz w:val="21"/>
                <w:szCs w:val="21"/>
                <w:color w:val="auto"/>
              </w:rPr>
            </w:pPr>
          </w:p>
        </w:tc>
        <w:tc>
          <w:tcPr>
            <w:tcW w:w="9480" w:type="dxa"/>
            <w:vAlign w:val="bottom"/>
            <w:gridSpan w:val="17"/>
          </w:tcPr>
          <w:p>
            <w:pPr>
              <w:spacing w:after="0"/>
              <w:rPr>
                <w:sz w:val="21"/>
                <w:szCs w:val="21"/>
                <w:color w:val="auto"/>
              </w:rPr>
            </w:pPr>
          </w:p>
        </w:tc>
        <w:tc>
          <w:tcPr>
            <w:tcW w:w="560" w:type="dxa"/>
            <w:vAlign w:val="bottom"/>
            <w:gridSpan w:val="6"/>
          </w:tcPr>
          <w:p>
            <w:pPr>
              <w:jc w:val="right"/>
              <w:ind w:right="20"/>
              <w:spacing w:after="0"/>
              <w:rPr>
                <w:rFonts w:ascii="Arial" w:cs="Arial" w:eastAsia="Arial" w:hAnsi="Arial"/>
                <w:sz w:val="18"/>
                <w:szCs w:val="18"/>
                <w:color w:val="0000FF"/>
              </w:rPr>
            </w:pPr>
            <w:hyperlink w:anchor="page115">
              <w:r>
                <w:rPr>
                  <w:rFonts w:ascii="Arial" w:cs="Arial" w:eastAsia="Arial" w:hAnsi="Arial"/>
                  <w:sz w:val="18"/>
                  <w:szCs w:val="18"/>
                  <w:color w:val="0000FF"/>
                </w:rPr>
                <w:t>114</w:t>
              </w:r>
            </w:hyperlink>
          </w:p>
        </w:tc>
      </w:tr>
      <w:tr>
        <w:trPr>
          <w:trHeight w:val="507"/>
        </w:trPr>
        <w:tc>
          <w:tcPr>
            <w:tcW w:w="760" w:type="dxa"/>
            <w:vAlign w:val="bottom"/>
            <w:tcBorders>
              <w:top w:val="single" w:sz="8" w:color="0000FF"/>
            </w:tcBorders>
          </w:tcPr>
          <w:p>
            <w:pPr>
              <w:spacing w:after="0"/>
              <w:rPr>
                <w:sz w:val="24"/>
                <w:szCs w:val="24"/>
                <w:color w:val="auto"/>
              </w:rPr>
            </w:pPr>
          </w:p>
        </w:tc>
        <w:tc>
          <w:tcPr>
            <w:tcW w:w="5340" w:type="dxa"/>
            <w:vAlign w:val="bottom"/>
            <w:gridSpan w:val="15"/>
          </w:tcPr>
          <w:p>
            <w:pPr>
              <w:jc w:val="right"/>
              <w:ind w:right="380"/>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Annual Report on Form 10-K contains “forward-looking statements” as defined in Section 27A of the United States Securities Act of 1933, as amended, and Section 21E of the United States Securities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 Item 1A, “Risk Factors” and elsewhere of this Annual Report on Form 10-K. 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TechnipFMC plc, a public limited company incorporated and organized under the laws of England and Wales, with registered number 09909709, and with registered office at One St. Paul’s Churchyard, London EC4M 8AP, United Kingdom (“TechnipFMC”, the “Company,” “we” or “our”) is a global leader in the subsea, onshore/offshore, and surface industries, with market-leading positions in oil and gas projects, technologies, systems, and services. We offer a portfolio of solutions for the production and transformation of oil and gas. These solutions range from discreet products and services to fully integrated solutions, with a clear focus to deliver greater efficiency across project lifecycles from concept to project delivery and beyond.</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operate across three business segments: Subsea, Onshore/Offshore, and Surface Technologies. We have further operational headquarters in Paris, France and Houston, Texas, United States.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 unique and comprehensive set of capabilities to serve the oil and gas industry. With our proprietary technologies and production systems, integration expertise, and comprehensive solutions, we are transforming our clients’ project economics. We have also used these capabilities to develop a new subsea commercial model that is transforming the way the Company interacts with its customers and creates value with them.</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Adaptation drives TechnipFMC’s solutions and environmental awareness allows us to be proactive. Enhancement of the Company’s performance and competitiveness is a key component of this strategy that is achieved through technology and innovation differentiation, seamless execution, and reliance on simplification to drive costs down. We are targeting profitable and sustainable growth, seizing growing market opportunities from renewables to shale, expanding the range of our services, managing our assets efficiently, and ultimately being well-prepared to drive and benefit from the burgeoning recovery in our industry.</w:t>
      </w:r>
    </w:p>
    <w:p>
      <w:pPr>
        <w:spacing w:after="0" w:line="13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Each of our more than 37,000 employees is driven by a steadfast commitment to clients and a culture of purposeful innovation, challenging industry conventions, and finding new and better ways of working to unlock possibilities. This leads to fresh thinking, streamlined decisions, and smarter results, enabling us to achieve our vision of enhancing the performance of the world’s energy industry.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March 2015, FMC Technologies, Inc., a U.S. Delaware corporation (“FMC Technologies”), and Technip S.A., a French société anonyme (“Technip”), signed an agreement to form an exclusive alliance and to launch Forsys Subsea, a 50/50 joint venture, that would unite the skills and capabilities of two subsea industry leaders. This alliance, which became operational on June 1, 2015 was established to identify new and innovative approaches to the design, delivery, and maintenance of subsea fields.</w:t>
      </w:r>
    </w:p>
    <w:p>
      <w:pPr>
        <w:spacing w:after="0" w:line="13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Forsys Subsea brought the industry's most talented subsea professionals together early in operators’ project concept phase with the technical capabilities to design integrate products, systems and installation to significantly reduce the cost of subsea field development and enhance overall project economics.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Based on the success of the Forsys joint venture and its innovative approach to integrate solutions, Technip and FMC Technologies announced in May 2016 that the companies would combine through a merger of equals to create a global leader, TechnipFMC, that would drive change by redefining the production and transformation of oil and gas. The business combination was completed on January 16, 2017 (the “Merger”), and on January 17, 2017, TechnipFMC began operating as a unified, combined company trading on the New York Stock Exchange (“NYSE”) and on the Euronext Paris Stock Exchange (“Euronext Paris”) under the symbol “FTI.”</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2017, our first year as a merged company, TechnipFMC secured several project awards as many operators moved forward with final investment decisions for major onshore projects and subsea developments. Several of the subsea awards incorporated the use of our an integrated approach to project delivery, validating our unique business model aimed at lowering project costs and accelerating the delivery of initial hydrocarbon production. This approach was made possible by bringing together the complimentary work scopes of the merged companies. With the industry’s most comprehensive and only truly integrated market offering, we have continued to expand the deepwater opportunity set for our customers. TechnipFMC’s expertise does not end with the production of hydrocarbons. Because of its best in class project design and execution capabilities, enabled by a portfolio of proprietary technologies, TechnipFMC continues to secure and deliver projects that further enable our clients to monetize resources - from liquefaction of gas onshore or on floating vessels, through refining and product facilities.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0" w:right="279" w:bottom="1440" w:gutter="0" w:footer="0" w:header="0"/>
        </w:sectPr>
      </w:pPr>
    </w:p>
    <w:bookmarkStart w:id="4" w:name="page5"/>
    <w:bookmarkEnd w:id="4"/>
    <w:p>
      <w:pPr>
        <w:ind w:right="600"/>
        <w:spacing w:after="0" w:line="277" w:lineRule="auto"/>
        <w:rPr>
          <w:sz w:val="20"/>
          <w:szCs w:val="20"/>
          <w:color w:val="auto"/>
        </w:rPr>
      </w:pPr>
      <w:r>
        <w:rPr>
          <w:rFonts w:ascii="Arial" w:cs="Arial" w:eastAsia="Arial" w:hAnsi="Arial"/>
          <w:sz w:val="18"/>
          <w:szCs w:val="18"/>
          <w:color w:val="auto"/>
        </w:rPr>
        <w:t>The Company continued to innovate and introduce new technologies across our portfolio of products and services. TechnipFMC also delivered strong financial performance in 2017, driven by a relentless focus on operational execution and cost reduction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Subsea</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Subsea segment provides integrated design, engineering, procurement, manufacturing, fabrication and installation and life of field services for subsea systems, subsea field infrastructure and subsea pipe systems used in oil and gas production and transportation.</w:t>
      </w:r>
    </w:p>
    <w:p>
      <w:pPr>
        <w:spacing w:after="0" w:line="11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have manufacturing facilities located near the world’s principal offshore oil and gas producing basins. We operate flexible pipe manufacturing plants, umbilical production units, reeled rigid pipe shore-based facilities, plus a fleet of specialized vessels for pipeline installation, subsea construction, diving support and heavy lift.</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created an industry leader in front end engineering and design (“FEED”), subsea production systems (“SPS”), flexible pipe, and subsea umbilicals, risers, and flowlines (“SURF”). Our strong commercial focus has enabled the successful market introduction of an integrated Subsea business model, which spans a project’s early phase design through the life-of-field. Our integrated business model is unlocking incremental opportunities and materially expanding the deepwater opportunity set.</w:t>
      </w:r>
    </w:p>
    <w:p>
      <w:pPr>
        <w:spacing w:after="0" w:line="133"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Through integrated FEED studies, iFEED</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(“iFEED”), we are uniquely positioned to influence project concept and design. Using innovative solutions for field architecture, including standardized equipment, new technologies, and simplified installation, we can significantly reduce subsea development costs and accelerate time to first production.</w:t>
      </w:r>
    </w:p>
    <w:p>
      <w:pPr>
        <w:spacing w:after="0" w:line="15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Further, we are driving even greater value through our ability to integrate the SPS and SURF scopes and more efficiently execute the installation campaign, known as integrated engineering, procurement, construction, and installation, iEPCI™ (“iEPCI”). Our first-mover advantage and ability to convert iFEED studies into iEPCI contracts, often as a direct award, also creates a unique proprietary set of opportunities for the Company that are not available to our peers. This allows us to deliver a fully integrated - and technologically differentiated - subsea system, and to better manage the complete work scope through a single contracting mechanism and single interface, where we can provide the greatest benefit to project economics.</w:t>
      </w:r>
    </w:p>
    <w:p>
      <w:pPr>
        <w:spacing w:after="0" w:line="1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Subsea business depends on our ability to maintain a cost-effective and efficient production system, achieve planned equipment production targets, successfully develop new products, and meet or exceed stringent performance and reliability standards.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Engineering, Manufacturing and Supply Chain (“EMS”) is a new organization we formed in November 2017 to help achieve productivity improvements by reducing the cost of engineering and manufacturing our products, including working with our suppliers to reduce supplier costs, and optimizing our processes and how we manage workflow. Through EMS, we are focused on implementing world-class manufacturing practices, including lean flow and automation, to improve delivery and reliability, while reducing total product cost and lead time to delivery.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7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u w:val="single" w:color="auto"/>
          <w:color w:val="auto"/>
        </w:rPr>
        <w:t>Subsea Systems</w:t>
      </w:r>
      <w:r>
        <w:rPr>
          <w:rFonts w:ascii="Arial" w:cs="Arial" w:eastAsia="Arial" w:hAnsi="Arial"/>
          <w:sz w:val="18"/>
          <w:szCs w:val="18"/>
          <w:color w:val="auto"/>
        </w:rPr>
        <w:t>. Our systems are used in the offshore production of crude oil and natural gas. Subsea systems are placed on the seafloor and are used to control the flow of crude oil and natural gas from the reservoir to a host processing facility, such as a floating production facility, a fixed platform or an onshore facility.</w:t>
      </w:r>
    </w:p>
    <w:p>
      <w:pPr>
        <w:spacing w:after="0" w:line="1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subsea production systems and products include drilling systems, subsea trees, chokes and flow modules, manifold pipeline systems, control and data management systems, well access systems, multiphase and wetgas meters, and additional technologies.The design and manufacture of our subsea systems requires a high degree of technical expertise and innovation. Some of our systems are designed to withstand exposure to the extreme hydrostatic pressure of deepwater environments, as well as internal pressures of up to 20,000 pounds per square inch (“psi”) and temperatures up to 400º F. The development of our integrated subsea production systems includes initial engineering design studies and field development planning to consider all relevant aspects and project requirements, including optimization of drilling programs and subsea architecture.</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subsea processing systems, which include subsea boosting, subsea gas compression and subsea separation, are designed to accelerate production, increase recovery, extend field life, and/or lower operators’ production costs. To provide these products, systems and services, we utilize engineering, project management, procurement, manufacturing, assembly and testing capabilities.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5" w:name="page6"/>
    <w:bookmarkEnd w:id="5"/>
    <w:p>
      <w:pPr>
        <w:jc w:val="both"/>
        <w:ind w:right="420"/>
        <w:spacing w:after="0" w:line="264" w:lineRule="auto"/>
        <w:rPr>
          <w:sz w:val="20"/>
          <w:szCs w:val="20"/>
          <w:color w:val="auto"/>
        </w:rPr>
      </w:pPr>
      <w:r>
        <w:rPr>
          <w:rFonts w:ascii="Arial" w:cs="Arial" w:eastAsia="Arial" w:hAnsi="Arial"/>
          <w:sz w:val="18"/>
          <w:szCs w:val="18"/>
          <w:u w:val="single" w:color="auto"/>
          <w:color w:val="auto"/>
        </w:rPr>
        <w:t>Flexible Pipe and Umbilical Supply</w:t>
      </w:r>
      <w:r>
        <w:rPr>
          <w:rFonts w:ascii="Arial" w:cs="Arial" w:eastAsia="Arial" w:hAnsi="Arial"/>
          <w:sz w:val="18"/>
          <w:szCs w:val="18"/>
          <w:color w:val="auto"/>
        </w:rPr>
        <w:t>. We perform the engineering and manufacturing of flexible pipes, relying on our engineering centers across various regions and our manufacturing units. In Brazil, the flexible pipes are delivered alongside the dock of the manufacturing unit and are loaded onto a vessel operated by the client. In other markets, TechnipFMC vessels typically install the flexible pipes.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 engineering and technical expertise to respond to tenders from a variety of clients including oil companies, engineering, procurement, construction and installation services (“EPCI”) contractors and other subsea production system manufacturers, often as part of a broader scope. The Company relies upon engineering centers, and the thermoplastic, steel tube, hybrid (a combination of steel tube, thermoplastic hose and electrical cables) and power cable umbilical manufacturing units across various regions.</w:t>
      </w:r>
    </w:p>
    <w:p>
      <w:pPr>
        <w:spacing w:after="0" w:line="13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u w:val="single" w:color="auto"/>
          <w:color w:val="auto"/>
        </w:rPr>
        <w:t>Vessels</w:t>
      </w:r>
      <w:r>
        <w:rPr>
          <w:rFonts w:ascii="Arial" w:cs="Arial" w:eastAsia="Arial" w:hAnsi="Arial"/>
          <w:sz w:val="17"/>
          <w:szCs w:val="17"/>
          <w:color w:val="auto"/>
        </w:rPr>
        <w:t>. We operate a fleet consisting of 18 vessels, with two additional vessels under construction. Of the 18 vessels currently in operation, we have sole ownership of nine vessels, ownership of six vessels within joint ventures, and operate three vessels under long-term charter. The fleet has been reduced significantly since 2013, when it consisted of 36 vessels, including nine under construction at the time.</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wholly own five pipelay support vessels and jointly owns eight subsea construction vessels, including two under construction. All of the jointly owned vessels have a 50/50 ownership structure and operate exclusively in the Brazilian market. These vessels are contracted to Petróleo Brasileiro S.A. - Petrobras (“Petrobras”), principally to install umbilical and flexible flowlines and risers to connect subsea wells to floating production units across a range of water depths. We also own one subsea construction and pipelay vessel mostly dedicated to the Asia Pacific market and have long-term charter agreements for three further construction vessels. The Company also owns three dive support vessels.</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u w:val="single" w:color="auto"/>
          <w:color w:val="auto"/>
        </w:rPr>
        <w:t>Subsea Services</w:t>
      </w:r>
      <w:r>
        <w:rPr>
          <w:rFonts w:ascii="Arial" w:cs="Arial" w:eastAsia="Arial" w:hAnsi="Arial"/>
          <w:sz w:val="17"/>
          <w:szCs w:val="17"/>
          <w:color w:val="auto"/>
        </w:rPr>
        <w:t>. We provide an array of subsea services to improve uptime, lower lifecycle costs and increase recovery over the life of the field for our clients’ subsea production systems. These services include (i) provision of exploration and production well head systems, (ii) installation and completion, (iii) asset management services for test, maintenance, refurbishment and upgrades of subsea equipment and tooling, (iv) field performance services based on product data and field data to optimize the performance of the subsea production systems, (v) inspection, maintenance and repair (“IMR”) of subsea infrastructure. (vi) well access and intervention services, both rig-based and vessel-based (riserless light well intervention or “RLWI”), to enhance well production, (vii) Remotely Operated Vehicles (“ROV”) services, and (viii) well plug and abandonment and decommissioning.</w:t>
      </w:r>
    </w:p>
    <w:p>
      <w:pPr>
        <w:spacing w:after="0" w:line="1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Key drivers of subsea services market activity are the inspection and maintenance of subsea infrastructure, driven in large part by aging infrastructure on mature fields. The need for well intervention services also continues to grow, with more than 6,000 wells operated globally, of which 33% are older than 10 years and 65% are older than five years.</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our extensive experience in subsea equipment, our large installed base of subsea production infrastructure, our broad range of services, and our historical technical leadership, we are in a unique position to offer integrated solutions through “life of field” services combining asset light solutions (e.g., RLWI), digital services (e.g., Condition Performance Monitoring / Flow Manager suite of applications), and leading edge automated systems (e.g., Schilling ROVs, IRIS) to enhance the economics of producing fields through maximization of asset uptime, higher production volumes and lower operating expense.</w:t>
      </w:r>
    </w:p>
    <w:p>
      <w:pPr>
        <w:spacing w:after="0" w:line="1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Robotics, Controls and Automation</w:t>
      </w:r>
      <w:r>
        <w:rPr>
          <w:rFonts w:ascii="Arial" w:cs="Arial" w:eastAsia="Arial" w:hAnsi="Arial"/>
          <w:sz w:val="18"/>
          <w:szCs w:val="18"/>
          <w:color w:val="auto"/>
        </w:rPr>
        <w:t>. We design and manufacture ROVs and manipulator arms that are used in subsea drilling, construction, IMR, and life of field services. Our product offering includes electric and hydraulic work-class ROVs, tether-management systems, launch and recovery systems, remote manipulator arms and modular control systems . We also provide support and services such as product training, pilot simulator training, spare parts, and technical assistance.</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provide electro-hydraulic and electric production and intervention control systems, allowing accurate control and monitoring of subsea installations to ensure the highest production availability while providing safe and environmentally friendly field operations. These include the sensors, multi-phase flow meters, digital infrastructure, integrity monitoring, control functionality and automation features needed for subsea systems. Robotics capabilities are now being applied in the space of controlling manifold valves during production. This is a convergence of our technologies in order to provide a better systems for our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the systems and products we supply for subsea applications are highly engineered to meet the unique demands of our customers’ field properties and are typically ordered one to two years prior to installation. We often receive advance payments and progress billings from our customers to fund initial development and working capital requirements. However, Our working capital balances can vary significantly depending on the payment terms and execution timing on key contracts.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Dependence on Key Customers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Generally, our customers in this segment are major integrated oil companies, national oil companies and independent exploration and production companies.</w:t>
      </w:r>
    </w:p>
    <w:p>
      <w:pPr>
        <w:spacing w:after="0" w:line="1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actively pursue alliances with companies that are engaged in the subsea development of oil and natural gas to promote our integrated systems for subsea production. These alliances are typically related to the procurement of subsea production equipment, although some alliances are related to EPCI services. Development of subsea fields, particularly in deepwater environments, involves substantial capital investments. Operators have also sought the security of alliances with us to ensure timely and cost-effective delivery of subsea and other energy-related systems that provide integrated solutions to meet their needs.</w:t>
      </w:r>
    </w:p>
    <w:p>
      <w:pPr>
        <w:spacing w:after="0" w:line="1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alliances establish important ongoing relationships with our customers. While these alliances do not contractually commit our customers to purchase our systems and services, they have historically led to, and we expect that they would continue to result in, such purchases.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 single Subsea customer accounted for more than 10% or more of our 2017 consolidated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Subsea segment competes across: subsea products, subsea projects and subsea services. For subsea products, we typically compete with companies that supply subsea systems, pipes, umbilicals, and smaller companies that are focused on a specific application, technology or geographical niche in which TechnipFMC operates. Competitors include OneSubsea (a Schlumberger company) (“OneSubsea”), Baker Hughes, a GE Company (“Baker Hughes”), Aker Solutions ASA, Dril-Quip, Inc., National Oilwell Varco and Oceaneering International, Inc. For Subsea EPCI, competitors include Subsea 7 S.A., Saipem S.p.A. (“Saipem”) and McDermott International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North Sea, winter weather generally subdues drilling activity, reducing vessel utilization and demand for subsea services as certain activities cannot be performed. As a result, the level of offshore activity in our Subsea segment is negatively impacted in the first quarter of each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low crude oil price environment over the last three years led many of our customers to reduce their capital spending plans or defer new deepwater projects. The reduction and deferral of projects has resulted in delayed subsea projects inbound for the industry. Operators continue to take needed actions to improve their subsea project economics and suppliers in turn continue to take the necessary steps to further reduce project break-even levels by offering cost-effective approaches for project developments. The risk of project sanctioning delays continues to be high in the current environment; however, innovative approaches to subsea projects, like our iEPCI solution, have improved project economics and many offshore discoveries can be developed economically at today’s crude oil prices. In the long term, deepwater development is expected to remain a significant part of operators’ portfolios.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includes the following priorities:</w:t>
      </w:r>
    </w:p>
    <w:p>
      <w:pPr>
        <w:spacing w:after="0" w:line="171" w:lineRule="exact"/>
        <w:rPr>
          <w:sz w:val="20"/>
          <w:szCs w:val="20"/>
          <w:color w:val="auto"/>
        </w:rPr>
      </w:pPr>
    </w:p>
    <w:p>
      <w:pPr>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early involvement in the conceptual design and integrated front-end engineering, or iFEED of subsea development projects to create value through technology and integration of scopes (integrated engineering, procurement, construction, and installation, or iEPCI ) by simplifying field architecture accelerating delivery schedules, and time to first production;</w:t>
      </w:r>
    </w:p>
    <w:p>
      <w:pPr>
        <w:spacing w:after="0" w:line="12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innovative research and development (“R&amp;D”), often in collaboration with clients and partners, to develop leading products and technologies that deliver greater efficiency to the client, lower development costs, and enable frontier developments;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superior project execution capabilities allowing the Company to mobilize the right teams, assets and facilities to capture and profitably execute complex subsea projects and services;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capitalization on combined competencies coming from alliances and partnerships with both clients and suppliers;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46" w:right="259" w:bottom="1440" w:gutter="0" w:footer="0" w:header="0"/>
        </w:sectPr>
      </w:pPr>
    </w:p>
    <w:bookmarkStart w:id="7" w:name="page8"/>
    <w:bookmarkEnd w:id="7"/>
    <w:p>
      <w:pPr>
        <w:ind w:left="660" w:right="6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of supplier relationships to capitalize on supply chain market dynamics and implement greater simplification and standardization in products and processes.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With many of our customers reducing their capital spending plans or deferring new deepwater projects in response to a low crude oil price environment, we have adjusted our workforce and manufacturing capacity to align our operations with the anticipated decreases in activity due to delayed project inbound. These restructuring actions have resulted in a leaner cost structure. The operational improvements and cost reductions made in 2016, combined with additional actions taken in 2017 will help mitigate the anticipated decline in operating margins in 2018.</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2017, we announced the launch of a completely new suite of products called Subsea 2.0. Relative to traditional subsea equipment, the Subsea 2.0 technology portfolio significantly reduces the size, weight, and part count of the equipment installed on the seabed. Subsea 2.0 technologies can enhance project economics both as a stand-alone offering and as part of an integrated solution, further unlocking oil and gas reserves that otherwise would not be developed.</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2016 marked the inflection in subsea order activity as demonstrated by operators making final investment decisions on several major developments. The Company’s full year Subsea orders of $5.1 billion in 2017 increased 16 percent from the prior year. In the fourth quarter, we received a major iEPCI award for the VNG Norge Fenja project in Norway. Our integrated business model is positively impacting project economics and expanding the deepwater opportunity set.</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2018, we expect to see another increase in subsea market activity, driven by major projects, as well as a blend of small-to-mid size projects and service opportunities. In addition, we identify the following longer-term trends in the subsea market:</w:t>
      </w:r>
    </w:p>
    <w:p>
      <w:pPr>
        <w:spacing w:after="0" w:line="116" w:lineRule="exact"/>
        <w:rPr>
          <w:sz w:val="20"/>
          <w:szCs w:val="20"/>
          <w:color w:val="auto"/>
        </w:rPr>
      </w:pPr>
    </w:p>
    <w:p>
      <w:pPr>
        <w:ind w:left="660" w:right="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Smaller projects and direct awards represent a growing portion of our order mix. In 2017, these awards represented just over half of total inbound orders; the remainder being publicly announced projects as well as subsea service activities. Subsea tiebacks are often part of this mix; these shorter cycle brownfield expansions provide operators with faster paybacks and higher returns.</w:t>
      </w:r>
    </w:p>
    <w:p>
      <w:pPr>
        <w:spacing w:after="0" w:line="12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a growing trend towards independent operators and new entrants undertaking subsea developments; we are a natural partner for this customer group because of the ability to offer fully integrated solutions.</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gas developments are growing in prominence. We believe that more than half of offshore capital expenditures could be directed at natural gas developments by early next decade.</w:t>
      </w:r>
    </w:p>
    <w:p>
      <w:pPr>
        <w:spacing w:after="0" w:line="1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continue to work closely with our customers and believe that, in the context of weaker oil prices, with our unique business model we can further reduce their project break-even levels by offering cost-effective approaches to their project developments. This includes growing customer acceptance of integrated business models to help achieve the cost-reduction goals and accelerate time to first oil and gas.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continue to expand our Subsea technologies portfolio of solutions to deliver a complete production system for high pressure and high temperature applications. In 2014, we entered into a joint development agreement with several major operators to develop common standards for subsea production equipment capable of operating at pressures as high as 20,000 psi and temperatures up to 350º F. This joint development agreement is delivering standardized design, materials, processes and interfaces to deliver improved reliability and operations over the life of the field.</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Technology development progressed on Subsea 2.0, the next generation of subsea equipment, utilizing designs that will be significantly smaller, lighter and simpler than current designs. These new products incorporate a modular product architecture and component level standardization to enable a flexible configure-to-order approach. The products are expected to deliver breakthrough in the way that subsea products are manufactured, assembled, installed and maintained over the life of the field. Several major elements of the portfolio were launched to the market during the year. We also completed the development of our second generation of electrically trace heated pipe in pipe (ETH-PiP), which delivers significant advancements in power output and length enabling hydrate prevention in longer distance tiebacks of 50 kilometers and beyond.</w:t>
      </w:r>
    </w:p>
    <w:p>
      <w:pPr>
        <w:spacing w:after="0" w:line="124"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addition to the investments made to develop lower cost production solutions, we also invest in the development of technology to expand our service portfolio. During the year, we qualified new technology to enable the inspection of flexible risers and flowlines. We are also advancing subsea robotic productivity through the development of more efficient ROV systems that are easier to operate and maintain.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746"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Onshore/Offshore</w:t>
      </w:r>
    </w:p>
    <w:p>
      <w:pPr>
        <w:spacing w:after="0" w:line="17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Onshore/Offshore segment offers a full range of services spanning the entire value chain to our customers, including technical consulting, concept selection and final acceptance test. We have been successful in meeting our clients’ needs given our proven skills in managing large engineering, procurement, and construction (“EPC”) projects.</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Onshore business combines the study, engineering, procurement, construction and project management of the entire range of onshore facilities related to the production, treatment, and transportation of oil and gas, as well as the transformation of petrochemicals such as ethylene, polymers and fertilizers, as well as other activities.</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conduct large-scale, complex and challenging projects that involve extreme climatic conditions and non-conventional resources and are subject to increasing environmental and regulatory performance standards. We rely on technological know-how for process design and engineering, either through the integration of technologies from leading alliance partners or through our own technologies. We seek to integrate and develop advanced technologies and reinforce our project execution capabilities in each of our Onshore activities.</w:t>
      </w:r>
    </w:p>
    <w:p>
      <w:pPr>
        <w:spacing w:after="0" w:line="13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Offshore business combines the study, engineering, procurement, construction and project management within the entire range of fixed and floating offshore oil and gas facilities, many of which were the first of their kind, including the development of a floating liquefied natural gas (“FLNG”) facilities.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u w:val="single" w:color="auto"/>
          <w:color w:val="auto"/>
        </w:rPr>
        <w:t>Development of Onshore Fields</w:t>
      </w:r>
      <w:r>
        <w:rPr>
          <w:rFonts w:ascii="Arial" w:cs="Arial" w:eastAsia="Arial" w:hAnsi="Arial"/>
          <w:sz w:val="18"/>
          <w:szCs w:val="18"/>
          <w:i w:val="1"/>
          <w:iCs w:val="1"/>
          <w:color w:val="auto"/>
        </w:rPr>
        <w:t>.</w:t>
      </w:r>
      <w:r>
        <w:rPr>
          <w:rFonts w:ascii="Arial" w:cs="Arial" w:eastAsia="Arial" w:hAnsi="Arial"/>
          <w:sz w:val="18"/>
          <w:szCs w:val="18"/>
          <w:color w:val="auto"/>
        </w:rPr>
        <w:t xml:space="preserve"> We design and build different types of facilities for the development of onshore oil and gas fields, processing facilities and product export systems. In addition, we also renovate existing facilities by modernizing production equipment and control systems, in accordance with applicable environmental standards.</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u w:val="single" w:color="auto"/>
          <w:color w:val="auto"/>
        </w:rPr>
        <w:t>Refining</w:t>
      </w:r>
      <w:r>
        <w:rPr>
          <w:rFonts w:ascii="Arial" w:cs="Arial" w:eastAsia="Arial" w:hAnsi="Arial"/>
          <w:sz w:val="16"/>
          <w:szCs w:val="16"/>
          <w:i w:val="1"/>
          <w:iCs w:val="1"/>
          <w:color w:val="auto"/>
        </w:rPr>
        <w:t>.</w:t>
      </w:r>
      <w:r>
        <w:rPr>
          <w:rFonts w:ascii="Arial" w:cs="Arial" w:eastAsia="Arial" w:hAnsi="Arial"/>
          <w:sz w:val="16"/>
          <w:szCs w:val="16"/>
          <w:color w:val="auto"/>
        </w:rPr>
        <w:t xml:space="preserve"> We are a leader in the design and construction of oil refineries. We manage many aspects of these projects, including the preparation of concept and feasibility studies, and the design, construction and start-up of complex refineries or single refinery units. We have been involved in the design and construction of 30 new refineries, and are one of the few contractors in the world to have built six new refineries since 2000. We have extensive experience with technologies relating to refining and have completed more than 850 individual process units, from 100 major expansion or refurbishment projects implemented in more than 75 countries. As a result of our cooperation with the most highly renowned technology licensors and catalyst suppliers and our strong technological expertise and refinery consulting services, we are able to provide an independent selection of appropriate technologies to meet specific project and client targets. These technologies result in direct benefits to the client, such as emission control and environmental protection, including hydrogen and carbon dioxide management, sulfur recovery units, water treatment and zero flaring. With a strong record of accomplishment in refinery optimization projects, we have experience and competence in relevant technological fields in the oil refining sector.</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Natural Gas Treatment and Liquefaction</w:t>
      </w:r>
      <w:r>
        <w:rPr>
          <w:rFonts w:ascii="Arial" w:cs="Arial" w:eastAsia="Arial" w:hAnsi="Arial"/>
          <w:sz w:val="17"/>
          <w:szCs w:val="17"/>
          <w:i w:val="1"/>
          <w:iCs w:val="1"/>
          <w:color w:val="auto"/>
        </w:rPr>
        <w:t>.</w:t>
      </w:r>
      <w:r>
        <w:rPr>
          <w:rFonts w:ascii="Arial" w:cs="Arial" w:eastAsia="Arial" w:hAnsi="Arial"/>
          <w:sz w:val="17"/>
          <w:szCs w:val="17"/>
          <w:color w:val="auto"/>
        </w:rPr>
        <w:t xml:space="preserve"> We offer a complete range of services to support our clients’ capital projects from concept to delivery, including from the wellhead to LNG producing plant, gas-to-liquids (“GTL”), natural gas liquids (“NGL”) recovery and gas treatment. In the field of LNG, we pioneered base-load LNG plant construction through the first-ever facility in Arzew, Algeria. We have delivered 75 million metric tons per annum (“Mtpa”) since 2000, and currently have 24 Mtpa under construction. TechnipFMC brings knowledge and conceptual design capabilities that are unique among engineering and construction companies involved in LNG. We have engineered and delivered a broad range of LNG plants, including mid-scale and very large scale plants, onshore and offshore plants, and plants in remote locations. We have experience in the complete range of services for LNG receiving terminals from conceptual design studies to EPC. Following the world’s six largest LNG trains in Qatar, Yemen LNG, and a series of mid-scale LNG plants in China, together with our JV partners, we are delivering the Yamal LNG plant (“Yamal”) in the Russian Arctic..</w:t>
      </w:r>
    </w:p>
    <w:p>
      <w:pPr>
        <w:spacing w:after="0" w:line="1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also well positioned in the GTL market and are one of the few contractors with experience in large GTL facilities. We have unique experience in delivering plants using Sasol’s “Slurry Phase Distillate” technology, and have provided front-end engineering design for the Fischer-Tropsch section of more than 60% of commercial coal-to-liquids and GTL capacity worldwide. Our clients also benefit from our development of environmental protection measures, including low nitrogen oxides and sulfur oxides emissions, waste-water treatment, and waste management.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extensive experience in the development and inclusion of cryogenic NGL recovery processes in large gas treatment plants. We have unique expertise in efficiently extracting ethane and propane hydrocarbons due to our Cryomax® technology, which reduces the investment cost per ton of produced ethane or propane as compared to conventional expander plants. When used with LNG, Cryomax® technology allows the efficient production of ethane and propane as components of mixed refrigerant processes, even when processing very lean gas.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42" w:right="25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t>We specialize in the design and construction of large-scale gas treatment complexes as well as existing facility upgrades. Gas treatment includes the removal of carbon dioxide and sulfur components from natural gas using chemical or physical solvents, sulfur recovery, and gas sweetening processes based on the use of an amine solvent. The Company ranks among the top contractors in the field in relation to sulfur recovery units installed in refineries or natural gas processing plants. Given our long-term experience in the field of sour gas processing, we can provide support to clients for the overall evaluation of the gas sweetening/sulfur recovery chain and the selection of optimum technologies.</w:t>
      </w:r>
    </w:p>
    <w:p>
      <w:pPr>
        <w:spacing w:after="0" w:line="134"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u w:val="single" w:color="auto"/>
          <w:color w:val="auto"/>
        </w:rPr>
        <w:t>Ethylene</w:t>
      </w:r>
      <w:r>
        <w:rPr>
          <w:rFonts w:ascii="Arial" w:cs="Arial" w:eastAsia="Arial" w:hAnsi="Arial"/>
          <w:sz w:val="17"/>
          <w:szCs w:val="17"/>
          <w:i w:val="1"/>
          <w:iCs w:val="1"/>
          <w:color w:val="auto"/>
        </w:rPr>
        <w:t>.</w:t>
      </w:r>
      <w:r>
        <w:rPr>
          <w:rFonts w:ascii="Arial" w:cs="Arial" w:eastAsia="Arial" w:hAnsi="Arial"/>
          <w:sz w:val="17"/>
          <w:szCs w:val="17"/>
          <w:color w:val="auto"/>
        </w:rPr>
        <w:t xml:space="preserve"> We hold proprietary technologies and are a leader in the design, construction and commissioning of ethylene production plants. We design steam crackers, from concept stage through construction and commissioning, for both new plants (including mega-crackers) and plant expansions. We have a portfolio of the latest generation of commercially proven technologies and are uniquely positioned to be both a licensor and an EPC contractor. Our technological developments have improved the energy efficiency in ethylene plants by improving thermal efficiency of the furnaces and reducing the compression power required per ton, reducing carbon dioxide emissions per ton of ethylene by 30%.</w:t>
      </w:r>
    </w:p>
    <w:p>
      <w:pPr>
        <w:spacing w:after="0" w:line="11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Petrochemicals and Fertilizers</w:t>
      </w:r>
      <w:r>
        <w:rPr>
          <w:rFonts w:ascii="Arial" w:cs="Arial" w:eastAsia="Arial" w:hAnsi="Arial"/>
          <w:sz w:val="18"/>
          <w:szCs w:val="18"/>
          <w:i w:val="1"/>
          <w:iCs w:val="1"/>
          <w:color w:val="auto"/>
        </w:rPr>
        <w:t>.</w:t>
      </w:r>
      <w:r>
        <w:rPr>
          <w:rFonts w:ascii="Arial" w:cs="Arial" w:eastAsia="Arial" w:hAnsi="Arial"/>
          <w:sz w:val="18"/>
          <w:szCs w:val="18"/>
          <w:color w:val="auto"/>
        </w:rPr>
        <w:t xml:space="preserve"> We are a world leader in the process design, licensing and realization of petrochemical units, including basic chemicals, intermediate and derivative plants. We provide a range of services that includes process technology licensing and development and full EPC complexes. We license a portfolio of chemical technologies through long-standing alliances and relationships with leading manufacturing companies and technology providers. We have research centers to develop and test technologies for polymer and petrochemical applications, where fully automated pilot plants gather design data to scale-up processes for commercialization.</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Hydrogen</w:t>
      </w:r>
      <w:r>
        <w:rPr>
          <w:rFonts w:ascii="Arial" w:cs="Arial" w:eastAsia="Arial" w:hAnsi="Arial"/>
          <w:sz w:val="18"/>
          <w:szCs w:val="18"/>
          <w:i w:val="1"/>
          <w:iCs w:val="1"/>
          <w:color w:val="auto"/>
        </w:rPr>
        <w:t>.</w:t>
      </w:r>
      <w:r>
        <w:rPr>
          <w:rFonts w:ascii="Arial" w:cs="Arial" w:eastAsia="Arial" w:hAnsi="Arial"/>
          <w:sz w:val="18"/>
          <w:szCs w:val="18"/>
          <w:color w:val="auto"/>
        </w:rPr>
        <w:t xml:space="preserve"> Hydrogen is the most widely used industrial gas in the refining, chemical and petrochemical industries, and is also widely used in the production of cleaner transport fuels. We offer a single point of responsibility for the design and construction of hydrogen and synthesis gas production units, with solutions ranging from Process Design Packages to full lumpsum turnkey projects. We also offer services for maintenance and performance optimization of running units. We have solutions in place for carbon capture readiness in future hydrogen plants, targeting more than a two-thirds reduction in carbon dioxide release from the hydrogen plant.</w:t>
      </w:r>
    </w:p>
    <w:p>
      <w:pPr>
        <w:spacing w:after="0" w:line="13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u w:val="single" w:color="auto"/>
          <w:color w:val="auto"/>
        </w:rPr>
        <w:t>Fixed Platforms.</w:t>
      </w:r>
      <w:r>
        <w:rPr>
          <w:rFonts w:ascii="Arial" w:cs="Arial" w:eastAsia="Arial" w:hAnsi="Arial"/>
          <w:sz w:val="18"/>
          <w:szCs w:val="18"/>
          <w:color w:val="auto"/>
        </w:rPr>
        <w:t xml:space="preserve"> We offer a broad range of fixed platform solutions in shallow water, including: large conventional platforms with pile steel jackets whose topsides are installed offshore either by heavy life vessel or floatover; small, conventional platforms installed by small crane vessel; steel gravity-based structure platforms, generally with floatover topsides; and small to large self-installing platforms.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Floating Production Units</w:t>
      </w:r>
      <w:r>
        <w:rPr>
          <w:rFonts w:ascii="Arial" w:cs="Arial" w:eastAsia="Arial" w:hAnsi="Arial"/>
          <w:sz w:val="18"/>
          <w:szCs w:val="18"/>
          <w:color w:val="auto"/>
        </w:rPr>
        <w:t>. We offer a broad range of floating platform solutions for moderate to ultra-deepwater applications, including:</w:t>
      </w:r>
    </w:p>
    <w:p>
      <w:pPr>
        <w:spacing w:after="0" w:line="171" w:lineRule="exact"/>
        <w:rPr>
          <w:sz w:val="20"/>
          <w:szCs w:val="20"/>
          <w:color w:val="auto"/>
        </w:rPr>
      </w:pPr>
    </w:p>
    <w:p>
      <w:pPr>
        <w:ind w:left="980" w:right="180" w:hanging="648"/>
        <w:spacing w:after="0" w:line="308" w:lineRule="auto"/>
        <w:tabs>
          <w:tab w:leader="none" w:pos="656" w:val="left"/>
        </w:tabs>
        <w:numPr>
          <w:ilvl w:val="0"/>
          <w:numId w:val="6"/>
        </w:numPr>
        <w:rPr>
          <w:rFonts w:ascii="Arial" w:cs="Arial" w:eastAsia="Arial" w:hAnsi="Arial"/>
          <w:sz w:val="17"/>
          <w:szCs w:val="17"/>
          <w:color w:val="auto"/>
        </w:rPr>
      </w:pPr>
      <w:r>
        <w:rPr>
          <w:rFonts w:ascii="Arial" w:cs="Arial" w:eastAsia="Arial" w:hAnsi="Arial"/>
          <w:sz w:val="17"/>
          <w:szCs w:val="17"/>
          <w:color w:val="auto"/>
        </w:rPr>
        <w:t>Spar platforms: capable of operating in a wide range of water depths, the Spar is a low motion floater that can support full drilling with dry trees or with tender assist and flexible or steel catenary risers. The Spar topside is installed offshore either by heavy lift or floatover;</w:t>
      </w:r>
    </w:p>
    <w:p>
      <w:pPr>
        <w:spacing w:after="0" w:line="92" w:lineRule="exact"/>
        <w:rPr>
          <w:rFonts w:ascii="Arial" w:cs="Arial" w:eastAsia="Arial" w:hAnsi="Arial"/>
          <w:sz w:val="17"/>
          <w:szCs w:val="17"/>
          <w:color w:val="auto"/>
        </w:rPr>
      </w:pPr>
    </w:p>
    <w:p>
      <w:pPr>
        <w:ind w:left="980" w:right="20" w:hanging="648"/>
        <w:spacing w:after="0" w:line="286" w:lineRule="auto"/>
        <w:tabs>
          <w:tab w:leader="none" w:pos="656" w:val="left"/>
        </w:tabs>
        <w:numPr>
          <w:ilvl w:val="0"/>
          <w:numId w:val="6"/>
        </w:numPr>
        <w:rPr>
          <w:rFonts w:ascii="Arial" w:cs="Arial" w:eastAsia="Arial" w:hAnsi="Arial"/>
          <w:sz w:val="17"/>
          <w:szCs w:val="17"/>
          <w:color w:val="auto"/>
        </w:rPr>
      </w:pPr>
      <w:r>
        <w:rPr>
          <w:rFonts w:ascii="Arial" w:cs="Arial" w:eastAsia="Arial" w:hAnsi="Arial"/>
          <w:sz w:val="17"/>
          <w:szCs w:val="17"/>
          <w:color w:val="auto"/>
        </w:rPr>
        <w:t>Semi-Submersible Platforms: these platforms are well suited to oil field developments where subsea wells drilled by the mobile offshore drilling unit are appropriate. Semi-Submersibles can operate in a wide range of water depths and have full drilling and large topside capability. We have our own unique design of low-motion Semi-Submersible platforms that can accommodate dry trees; and</w:t>
      </w:r>
    </w:p>
    <w:p>
      <w:pPr>
        <w:spacing w:after="0" w:line="111" w:lineRule="exact"/>
        <w:rPr>
          <w:rFonts w:ascii="Arial" w:cs="Arial" w:eastAsia="Arial" w:hAnsi="Arial"/>
          <w:sz w:val="17"/>
          <w:szCs w:val="17"/>
          <w:color w:val="auto"/>
        </w:rPr>
      </w:pPr>
    </w:p>
    <w:p>
      <w:pPr>
        <w:ind w:left="980" w:right="40" w:hanging="648"/>
        <w:spacing w:after="0" w:line="264"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Tension-Leg Platform (“TLP”): an appropriate platform for deepwater drilling and production in water depths up to approximately 1,500 meters, the TLP can be configured with full drilling or with tender assist and is generally a dry tree unit. The TLP and our topside can be integrated onto the substructure at a cost effective manner at quayside.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Floating Production Storage, and Offloading (“FPSO”)</w:t>
      </w:r>
      <w:r>
        <w:rPr>
          <w:rFonts w:ascii="Arial" w:cs="Arial" w:eastAsia="Arial" w:hAnsi="Arial"/>
          <w:sz w:val="18"/>
          <w:szCs w:val="18"/>
          <w:color w:val="auto"/>
        </w:rPr>
        <w:t>. Working with our construction partners, we have delivered some of the largest FPSOs in the world. FPSOs enable offshore production and storage of oil which is then transported by a tanker where pipeline export is uneconomic or technically challenged (for example, ultra-deepwater). FPSOs utilize onshore processes adapted to a floating marine environment. They can support large topsides and hence large production capacities.</w:t>
      </w:r>
    </w:p>
    <w:p>
      <w:pPr>
        <w:spacing w:after="0" w:line="13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Floating liquefied natural gas</w:t>
      </w:r>
      <w:r>
        <w:rPr>
          <w:rFonts w:ascii="Arial" w:cs="Arial" w:eastAsia="Arial" w:hAnsi="Arial"/>
          <w:sz w:val="18"/>
          <w:szCs w:val="18"/>
          <w:color w:val="auto"/>
        </w:rPr>
        <w:t>. We pioneered the FLNG industry and are working closely with our clients to engineer three of the industry’s first FLNG contracts: the Shell Prelude FLNG facility and the ENI Coral South FLNG project. We are the only contractor to integrate all the core activities required to deliver an FLNG project: LNG process, offshore facilities, loading systems, and subsea infrastructure.</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FLNG is an innovative alternative to traditional onshore LNG plants, and is suitable for remote and stranded gas fields that were deemed uneconomical previously. FLNG is a commercially attractive and environmentally friendly approach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ind w:right="380"/>
        <w:spacing w:after="0" w:line="277" w:lineRule="auto"/>
        <w:rPr>
          <w:sz w:val="20"/>
          <w:szCs w:val="20"/>
          <w:color w:val="auto"/>
        </w:rPr>
      </w:pPr>
      <w:r>
        <w:rPr>
          <w:rFonts w:ascii="Arial" w:cs="Arial" w:eastAsia="Arial" w:hAnsi="Arial"/>
          <w:sz w:val="18"/>
          <w:szCs w:val="18"/>
          <w:color w:val="auto"/>
        </w:rPr>
        <w:t>monetization of offshore gas fields. It avoids the potential environmental impact of building and operating long-distance pipelines and extensive onshore infrastructure.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Onshore/Offshore business is executing turnkey contracts, performing engineering, procurement, construction, and project management for an entire or part of a facility. We can execute EPC contracts alone or in consortium with other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Generally, our Onshore/Offshore customers are major integrated oil companies or national oil companies. We have developed privileged relationships with our main clients around our portfolio of technologies, expertise in project management, and execution. Our customers have sought the security of alliances with us to ensure timely and cost-effective delivery of their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One customer, JSC Yamal LNG, individually represented more than 10% of 2017 consolidated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Onshore market, we face a large number of competitors, including U.S. companies (Bechtel, CB&amp;I, Fluor, Jacobs and KBR), Japanese companies (Chiyoda Corporation, JGC Corporation and Toyo Engineering Corporation), European companies (Petrofac Ltd., Saipem, Tecnicas Reunidas, S.A., Maine Tecnimont Group and John Wood Group Plc) and Korean companies (GS Caltex Corporation, Hyundai Oilbank, Samsung Engineering Co., Ltd, SK Energy Co., Ltd., and Daelim Industrial Co., Ltd). In addition, we compete against smaller, specialized, and locally based engineering and construction companies in certain countries or for specific units such as petrochemicals.</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Competition in the Offshore market is relatively fragmented and includes various players with different core capabilities, including offshore construction contractors, shipyards, leasing contractors, and local yards in Asia Pacific, the Middle East and Africa. Competitors include Daewoo Shipbuilding &amp; Marine Engineering Co., Ltd., Hyundai Heavy Industries Co., Ltd., Samsung Heavy Industries Co., Ltd., Saipem S.p.A., KBR, Inc., McDermott International Inc., China Offshore Oil Engineering Co. Ltd and JGC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Onshore business is not sensitive to any seasonality. Our Offshore business could be impacted by seasonality in the North Sea region during the offshore installation campaign at the end of a project.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Onshore market is impacted by changes in oil and gas prices, but is typically more resilient than offshore markets. Indeed, some downstream markets have benefited from low commodity prices where market fundamentals are connected to other markets (for example, petrochemicals and fertilizers that are linked to world growth). This market is mostly present in developing countries with rapidly growing energy demand (in particular, in Asia) and countries with abundant oil and gas reserves that have decided to expand downstream (in particular, in the Middle East and Russia). The Onshore market remains relatively small in Western Europe, with a diversity of projects (including a second generation of bio ethanol plants). The North American Onshore market is experiencing a strong recovery in the wake of the oil and gas shale revolution.</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Offshore market is impacted by changes in oil prices. Offshore fields in the Gulf of Mexico, the Middle East and the North Sea in Europe were the traditional backbone for investments in the last decade. Recent discoveries of offshore fields with reserves in other regions such as Brazil, Australia and East Africa are expected to become drivers of investment from some of our clients. In the long-term, gas is expected to be a major element of the energy mix, requiring new investments in the upstream industry. FLNG opportunities exist in the medium term, particularly in Australia and East Africa.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based on the following:</w:t>
      </w:r>
    </w:p>
    <w:p>
      <w:pPr>
        <w:spacing w:after="0" w:line="171" w:lineRule="exact"/>
        <w:rPr>
          <w:sz w:val="20"/>
          <w:szCs w:val="20"/>
          <w:color w:val="auto"/>
        </w:rPr>
      </w:pPr>
    </w:p>
    <w:p>
      <w:pPr>
        <w:ind w:left="660" w:right="1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selectivity of clients, projects, and geographies, which serves to maintain early engagement, leading to influence over technological choices, design considerations, and project specifications that make projects economically viable;</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technology-driven differentiation with strong project management, which eliminates or significantly reduces technical and project risks, leading to both schedule and cost certainty without compromising safety;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46" w:right="259" w:bottom="1440" w:gutter="0" w:footer="0" w:header="0"/>
        </w:sectPr>
      </w:pPr>
    </w:p>
    <w:bookmarkStart w:id="11" w:name="page12"/>
    <w:bookmarkEnd w:id="11"/>
    <w:p>
      <w:pPr>
        <w:ind w:left="660" w:right="4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excellence in project execution, because of our global, multi-center project delivery model complemented by deep partnerships and alliances to ensure the best possible execution for complex projects.</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TechnipFMC’s Onshore/Offshore segment continually invests in innovation and technology The Company is at the forefront of digital solutions due in part to our investment in 3D models and interfaces.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response to industry challenges to improve project economics in the Offshore market, we are continuing our cost reduction efforts to align capacity and capabilities with market demands. Meanwhile, Onshore market activity continues to provide a tangible set of opportunities, including natural gas, refining and petrochemical projects.</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Activity in LNG is fueled by higher demand for natural gas as the fuel source continues to take a share of global energy demand. The trend is structural, driven by market preference for cleaner energy sources and the need to satisfy growing domestic demand in markets such as in the Middle East. To meet this demand, we believe that large gas projects will need to be sanctioned in the near to intermediate term.</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Onshore market activity levels remain stable, it provides our business with the opportunity to remain actively engaged in and pursue front-end engineering studies, which provide the platform for early engagement with clients and can significantly reduce the risk of project execution. Market opportunities for downstream front-end engineering studies and full EPC projects are most prevalent in the Middle East, African and Asian markets in both LNG and refining. We continue to track near-term prospects for petrochemical and fertilizer projects as well. We believe this opportunity set could generate additional inbound orders in the coming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positioned as a premier provider of project execution strategy and technology solutions which enable our customers to unlock resources at advantaged capital and operating economics. We invest Onshore/Offshore R&amp;D in these main areas: (i) the development of process technology and equipment for economy of scale, (ii) continuous improvement of our proprietary process technologies and other solutions to reduce operating and investment cost, and (iii) intensification and diversification of our proprietary technology offering.</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Offshore R&amp;D efforts are focused on improving the economics of FLNG through innovations in design and constructibility. We also launched a new program to develop solutions for smaller scale FLNG and LNG import projects. Additionally, to further reduce operating and investment costs we progressed the development of robotic solutions for offshore platforms and continued work on a standard and adaptable design for Normally Unmanned Installations (NUI).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January 2017, we officially opened our Modular Manufacturing Yard at Dahej, in Gujarat state, located in Western India. The approximately 150,000 square meter yard combines our strengths in process technology, modularized engineering, and manufacturing and construction.</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yard represents a culmination of our knowledge, skill and technology expertise covering a range of product lines, such as designed modular hydrogen plants; modular process plant and equipment using proprietary process technology and partnering with leading technology partners worldwide; fired heaters, reformers, ethylene furnaces: components and assemblies; and proprietary special application burners.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Surface Technologies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Surface Technologies segment designs and manufactures products and systems, and provides services used by oil and gas companies involved in land and offshore exploration and production of crude oil and natural gas. Surface Technologies designs, manufactures and supplies wellhead systems as well as technologically advanced high pressure valves, flowlines, and pumps used in stimulation activities for oilfield service companies. Surface Technologies also provides frac systems and services, and production, separation and flow processing systems systems for exploration and production companies in the oil and gas industry, as well as measurement systems and loading arms solutions for the energy customers. We manufacture most of our products in several facilities located worldwide.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Services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Integrated Surface Drilling, Completion, and Production Systems</w:t>
      </w:r>
      <w:r>
        <w:rPr>
          <w:rFonts w:ascii="Arial" w:cs="Arial" w:eastAsia="Arial" w:hAnsi="Arial"/>
          <w:sz w:val="18"/>
          <w:szCs w:val="18"/>
          <w:color w:val="auto"/>
        </w:rPr>
        <w:t>. We provide a full range of drilling, completion and production wellhead systems for both standard and custom-engineered applications. Surface wellhead production systems,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right="160"/>
        <w:spacing w:after="0" w:line="302" w:lineRule="auto"/>
        <w:rPr>
          <w:sz w:val="20"/>
          <w:szCs w:val="20"/>
          <w:color w:val="auto"/>
        </w:rPr>
      </w:pPr>
      <w:r>
        <w:rPr>
          <w:rFonts w:ascii="Arial" w:cs="Arial" w:eastAsia="Arial" w:hAnsi="Arial"/>
          <w:sz w:val="16"/>
          <w:szCs w:val="16"/>
          <w:color w:val="auto"/>
        </w:rPr>
        <w:t>trees, are used to control and regulate the flow of crude oil and natural gas from the well. Our surface wellhead products and systems are used worldwide on both onshore and offshore applications and can be used in difficult climates, including arctic cold or desert high temperatures. Our product technologies include conventional wellheads, unihead drill-thru wellheads designed for faster surface installations, drilling time optimization time saving conventional wellheads designed to reduce overall rig time, and other technologies, including sealing technology, thermal equipment, and valves and actuators.</w:t>
      </w:r>
    </w:p>
    <w:p>
      <w:pPr>
        <w:spacing w:after="0" w:line="10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support our customers through comprehensive surface wellhead system service packages that provide strategic solutions to ensure optimal equipment performance and reliability. These service packages include all phases of the asset’s life cycle, from the early planning stages, through testing and installation, commissioning and operations, replacement and upgrades, interventions, decommissioning/abandonment, and maintenance, storage and preservations.</w:t>
      </w:r>
    </w:p>
    <w:p>
      <w:pPr>
        <w:spacing w:after="0" w:line="9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part of our surface integrated services business, we provide an integrated shale offering, which includes manifolds, trees and flowback equipment for timely and cost-effective well completion. We also provide flowback services for the recovery of solids, fluids, and hydrocarbons from oil and natural gas wells after the stimulation of the well, and well optimization services for exploration companies in the oil and gas industry.</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Pressure Control</w:t>
      </w:r>
      <w:r>
        <w:rPr>
          <w:rFonts w:ascii="Arial" w:cs="Arial" w:eastAsia="Arial" w:hAnsi="Arial"/>
          <w:sz w:val="18"/>
          <w:szCs w:val="18"/>
          <w:color w:val="auto"/>
        </w:rPr>
        <w:t>. We design and manufacture flowline products, under the Weco®/Chiksan® trademarks, articulating frac arm manifold trailers, well service pumps, compact valves and reciprocating pumps used in well completion and stimulation activities by major oilfield service companies, such as Halliburton Company, Schlumberger, Baker Hughes, a GE Company and Weatherford International plc. Our flowline products are used in equipment that pumps fluid into a well during the well construction and stimulation processes. Our well service pump product line includes triplex and quintuplex pumps utilized in a variety of applications, including fracturing, acidizing and matrix stimulation, and are capable of delivering flow rates up to 35 barrels per minute at pressures up to 20,000 psi. The performance of this business typically rises and falls with variations in the active rig count throughout the world and pressure pumping activity and intensity in the Americas.</w:t>
      </w:r>
    </w:p>
    <w:p>
      <w:pPr>
        <w:spacing w:after="0" w:line="13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auto"/>
        </w:rPr>
        <w:t>Measurement Solutions</w:t>
      </w:r>
      <w:r>
        <w:rPr>
          <w:rFonts w:ascii="Arial" w:cs="Arial" w:eastAsia="Arial" w:hAnsi="Arial"/>
          <w:sz w:val="17"/>
          <w:szCs w:val="17"/>
          <w:color w:val="auto"/>
        </w:rPr>
        <w:t>. We design, manufacture and service measurement products for the worldwide oil and gas industry. Our flow computers and control systems manage and monitor liquid and gas measurement for applications such as custody transfer, fiscal measurement and batch loading and deliveries. Our FPSO metering systems provide the precision and reliability required for measuring large flow rates characteristic of marine loading operations. Our gas and liquid measurement systems provide many solutions in energy-related applications such as crude oil and natural gas production and transportation, refined product transportation, petroleum refining and petroleum marketing and distribution. We combine advanced measurement technology with state-of-the-art electronics and supervisory control systems to provide the measurement of both liquids and gases to ensure processes operate efficiently while reducing operating costs and minimizing the risk associated with custody transfer.</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Loading Systems</w:t>
      </w:r>
      <w:r>
        <w:rPr>
          <w:rFonts w:ascii="Arial" w:cs="Arial" w:eastAsia="Arial" w:hAnsi="Arial"/>
          <w:sz w:val="16"/>
          <w:szCs w:val="16"/>
          <w:color w:val="auto"/>
        </w:rPr>
        <w:t>. We provide land- and marine-based loading and transfer systems to the oil and gas, petrochemical and chemical industries. Our systems provide transfer loading solutions using Chiksan® loading arms and Chiksan® swivel joint technologies, which are capable of diverse applications. While our marine systems are typically constructed on a fixed jetty platform, we have developed advanced loading systems that can be mounted on a vessel or structure to facilitate ship-to-ship and tandem loading and offloading operations in open seas or exposed locations. Both our land- and marine-based loading and transfer systems are capable of handling a wide range of products including petroleum products, LNG and chemical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Intensity</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Surface Technologies manufactures most of its products, resulting in a reliance on manufacturing locations throughout the world. We also maintain a large amount of rental equipment related to pressure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Dependence on Key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single Surface Technologies customer accounted for 10% or more of our 2017 consolidated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Surface Technologies is a market leader for our primary products and services. Some of the factors that distinguish us from other companies in the same sector include our technological innovation, reliability and product quality. Surface Technologies competes with other companies that supply surface production equipment and pressure control products. Some of our major competitors in Surface Technologies include Cameron International Corporation (a Schlumberger company), Weir Oil &amp; Gas (a division of The Weir Group PLC), Baker Hughes, a GE Company, Forum Energy Technologies, Inc. and Gardner Denver,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Western Canada, the level of activity in the oilfield services industry is influenced by seasonal weather patterns. During the spring months, wet weather and the spring thaw make the ground unstable and less capable of supporting heavy equipment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machinery. As a result, municipalities and provincial transportation departments enforce road bans that restrict the movement of heavy equipment during the spring months, which reduces activity levels. There is greater demand for oilfield services, specifically completion services, provided by our Canadian surface integrated services business in the winter season when freezing permits the movement and operation of heavy equipment. Activities tend to increase in the fall and peak in the winter months of November through March.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Environment</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While the North American rig count and market activity have steadily improved over the last year, the recovery has been constrained to certain oil and gas producing basins that can generate acceptable returns. The market recovery began in late 2016 in North America and continued through 2017. This increased activity has resulted in stronger demand for the Company’s products and services, particularly pressure control equipment. Activity outside of North America remains generally stable but continues to experience competitive pricing pressure in certain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Strategy</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strategy is focused on being a leading provider of best-cost and high-performance integrated assets and services for its customers in the drilling, completion, production, midstream and transportation sectors. We intend to grow and expand by focusing on improving customer economics and providing superior service.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and Future Developments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continue to operate in a challenging environment because of lower global activity and competitive pricing. North America rig count and operating activity have been steadily improving through 2017. The market has also benefited from increased service intensity related to hydraulic fracturing activity. As a result of these market dynamics, we have experienced stronger demand for pressure control equipment. Combined with our cost rationalization initiatives, we are capturing the economic benefits of the higher activity levels. In North America, we believe that we will see further market improvements, primarily driven by increased unconventional activity.</w:t>
      </w:r>
    </w:p>
    <w:p>
      <w:pPr>
        <w:spacing w:after="0" w:line="13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Outside of North America, we expect global activity levels to improve in 2018. In our business, we believe that the Middle East, Asia Pacific, and Europe are best poised for growth.While our international surface business experienced competitive pricing pressure throughout 2017, pricing has stabilized, with limited improvement in a few select international markets. We expect this pricing environment to continue throughout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2017, we successfully launched the 2” 10,000 psi cage choke expanding the Company’s traditional product offering for onshore solutions and delivering our first order to a major Middle East customer. We also launched a fully automated and digitized Flow Testing Advanced Automated Package (AAP) leveraging the Company’s superior de-sanding technology and digital platform, which allows for remote monitoring and real-time data capture via the cloud.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October 2017, we announced an agreement to acquire Plexus Holding plc’s (“Plexus”) Wellhead exploration equipment and services business for jack up applications. In conjunction with our global footprint and market presence, this portfolio expansion in the mudline and high pressure, high temperature arena will enable us to be a leading provider of products and services to the global jack up exploration drilling market. This acquisition fits within our strategy to extend and strengthen our position in exploration-drilling products and services while leveraging our global field presence.</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business will be integrated into the our Surface Technologies segment and will include the transfer of key personnel from Plexus, with their specialized know-how, to ensure continuity and ongoing customer support. The business will continue to operate from the existing location in Dyce, Aberdeen, United Kingdom.</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2017, we opened a fully capable 18,000 square meter Surface international facility in Abu Dhabi’s Industrial City 2, as part of our continued investment in the United Arab Emirates to reinforce our leading position in delivering local solutions that extend asset life and improve returns for Abu Dhabi National Oil Company (“ADNOC”) and other customers. The launch of this facility positions us to respond to the expected increase in ADNOC activity in 2018 and beyond.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new plant is part of a program to strengthen our capabilities in the Surface international business, but also provides a solid platform for us to grow our integrated offerings into the Middle East, including multiple product lines and aftermarket services that are key to the strategy. The new facility will offer a broader range of capabilities in-country, supporting our full portfolio with our high technology equipment in the drilling, completion, production, and pressure control sectors. The facility includes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fully-developed training center, high-pressure hydraulic and gas testing capabilities, state of the art cladding, and machining technology and one-stop-shop for customer equipment storage, preservation, preparation, and make-up for mobilization to the field.</w:t>
      </w:r>
    </w:p>
    <w:p>
      <w:pPr>
        <w:spacing w:after="0" w:line="112" w:lineRule="exact"/>
        <w:rPr>
          <w:sz w:val="20"/>
          <w:szCs w:val="20"/>
          <w:color w:val="auto"/>
        </w:rPr>
      </w:pPr>
    </w:p>
    <w:p>
      <w:pPr>
        <w:ind w:right="4720"/>
        <w:spacing w:after="0" w:line="440" w:lineRule="auto"/>
        <w:rPr>
          <w:sz w:val="20"/>
          <w:szCs w:val="20"/>
          <w:color w:val="auto"/>
        </w:rPr>
      </w:pPr>
      <w:r>
        <w:rPr>
          <w:rFonts w:ascii="Arial" w:cs="Arial" w:eastAsia="Arial" w:hAnsi="Arial"/>
          <w:sz w:val="18"/>
          <w:szCs w:val="18"/>
          <w:b w:val="1"/>
          <w:bCs w:val="1"/>
          <w:color w:val="auto"/>
        </w:rPr>
        <w:t xml:space="preserve">OTHER BUSINESS INFORMATION RELEVANT TO OUR BUSINESS SEGMENTS </w:t>
      </w:r>
      <w:r>
        <w:rPr>
          <w:rFonts w:ascii="Arial" w:cs="Arial" w:eastAsia="Arial" w:hAnsi="Arial"/>
          <w:sz w:val="18"/>
          <w:szCs w:val="18"/>
          <w:u w:val="single" w:color="auto"/>
          <w:color w:val="auto"/>
        </w:rPr>
        <w:t>Sources and Availability of Raw Materials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segments purchases carbon steel, stainless steel, aluminum and steel castings and forgings from the global market place. We typically do not use single source suppliers for the majority of our raw material purchases; however, certain geographic areas of its businesses or a project or group of projects may heavily depend on certain suppliers for raw materials or supply of semi-finished goods. We believe the available supplies of raw materials are adequate to meet our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engaged in R&amp;D activities directed toward the improvement of existing products and services, the design of specialized products to meet customer needs and the development of new products, processes and services. A large part of our product development spending has focused on the improved design and standardization of our Subsea and Onshore/Offshore products to meet our customer needs.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Trademarks and Other Intellectual Property</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own a number of patents, trademarks and licenses that are cumulatively important to our businesses. As part of our ongoing R&amp;D focus, we seek patents when appropriate for new products and product improvements. We have over 6,000 issued patents and pending patent applications worldwide. Further, we license intellectual property rights to or from third parties. We also own numerous trademarks and trade names and have approximately 500 registrations and pending applications worldwide.</w:t>
      </w:r>
    </w:p>
    <w:p>
      <w:pPr>
        <w:spacing w:after="0" w:line="13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protect and promote our intellectual property portfolio and take actions we deem appropriate to enforce and defend our intellectual property rights. We do not believe, however, that the loss of any one patent, trademark or license, or group of related patents, trademarks or licenses, would have a material adverse effect on our overall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more than 37,000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and Geographic Financial Information</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majority of our consolidated revenue and segment operating profits are generated in markets outside of the United States. Each segment’s revenue is dependent upon worldwide oil and gas exploration, production and petrochemical activity. Financial information about our segments and geographic areas is incorporated herein by reference from Note 22 to our consolidated financial statements in Part II, Item 8 of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Order Backlog</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regarding order backlog is incorporated herein by reference from the section entitled “Inbound Orders and Order Backlog” in Part II, Item 7 of this Annual Report on Form 10-K.</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Website Access to Reports and Proxy Statement</w:t>
      </w:r>
      <w:r>
        <w:rPr>
          <w:rFonts w:ascii="Arial" w:cs="Arial" w:eastAsia="Arial" w:hAnsi="Arial"/>
          <w:sz w:val="18"/>
          <w:szCs w:val="18"/>
          <w:color w:val="auto"/>
        </w:rPr>
        <w:t>. Our Annual Reports on Form 10-K, Quarterly Reports on Form 10-Q, Current Reports on Form 8-K, Proxy Statements and Forms 3, 4 and 5 filed on behalf of directors and executive officers, and amendments to each of those reports and statements, are available free of charge through our website at www.technipfmc.com, under “Investors—Regulatory filings—SEC Filings” as soon as reasonably practicable after such material is electronically filed with, or furnished to, the U.S. Securities and Exchange Commission (the “SEC”). Alternatively, our reports may be accessed through the website maintained by the SEC at www.sec.gov. Unless expressly noted, the information on our website or any other website is not incorporated by reference in this Annual Report on Form 10-K and should not be considered part of this Annual Report on Form 10-K or any other filing we make with the SEC.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3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regarding our executive officers called for by Item 401(b) of Regulation S-K is hereby included in Part I, Item 1 “Business” of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of April 2, 2018, the executive officers of TechnipFMC, together with the offices held by them, their business experience and their ages, are as follows:</w:t>
      </w:r>
    </w:p>
    <w:p>
      <w:pPr>
        <w:sectPr>
          <w:pgSz w:w="11900" w:h="16838" w:orient="portrait"/>
          <w:cols w:equalWidth="0" w:num="1">
            <w:col w:w="11280"/>
          </w:cols>
          <w:pgMar w:left="240" w:top="742" w:right="379" w:bottom="1440"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4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0"/>
              </w:rPr>
              <w:t>Age</w:t>
            </w: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Thierry Pilenko</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60</w:t>
            </w:r>
          </w:p>
        </w:tc>
      </w:tr>
      <w:tr>
        <w:trPr>
          <w:trHeight w:val="51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Douglas J. Pferdehirt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54</w:t>
            </w:r>
          </w:p>
        </w:tc>
      </w:tr>
      <w:tr>
        <w:trPr>
          <w:trHeight w:val="945"/>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Maryann T. Mannen</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55</w:t>
            </w:r>
          </w:p>
        </w:tc>
      </w:tr>
      <w:tr>
        <w:trPr>
          <w:trHeight w:val="702"/>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Dianne B. Ralston</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51</w:t>
            </w:r>
          </w:p>
        </w:tc>
      </w:tr>
      <w:tr>
        <w:trPr>
          <w:trHeight w:val="945"/>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Bradley D. Beitler</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64</w:t>
            </w:r>
          </w:p>
        </w:tc>
      </w:tr>
      <w:tr>
        <w:trPr>
          <w:trHeight w:val="54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Samik Mukherjee</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48</w:t>
            </w:r>
          </w:p>
        </w:tc>
      </w:tr>
      <w:tr>
        <w:trPr>
          <w:trHeight w:val="936"/>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 xml:space="preserve">Arnaud </w:t>
            </w:r>
            <w:r>
              <w:rPr>
                <w:rFonts w:ascii="Arial" w:cs="Arial" w:eastAsia="Arial" w:hAnsi="Arial"/>
                <w:sz w:val="19"/>
                <w:szCs w:val="19"/>
                <w:color w:val="auto"/>
              </w:rPr>
              <w:t>Piéton</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44</w:t>
            </w:r>
          </w:p>
        </w:tc>
      </w:tr>
      <w:tr>
        <w:trPr>
          <w:trHeight w:val="928"/>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Richard G. Alabaster</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57</w:t>
            </w:r>
          </w:p>
        </w:tc>
      </w:tr>
      <w:tr>
        <w:trPr>
          <w:trHeight w:val="972"/>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Barry Glickman</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49</w:t>
            </w:r>
          </w:p>
        </w:tc>
      </w:tr>
      <w:tr>
        <w:trPr>
          <w:trHeight w:val="729"/>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Hallvard Hasselknippe</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58</w:t>
            </w:r>
          </w:p>
        </w:tc>
      </w:tr>
      <w:tr>
        <w:trPr>
          <w:trHeight w:val="702"/>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Nello Uccelletti</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Position and Business Experience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721233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3346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Technip (2007)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of FMC Technologies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 of FMC Technologies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Operating Officer of FMC Technologies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wp:posOffset>
            </wp:positionV>
            <wp:extent cx="721233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4577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 for FMC Technologies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 for FMC Technologies (2011)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Legal Officer and Secretary (2017)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Secretary of FMC Technologies, Inc.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and Secretary of Weatherford International plc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Deputy General Counsel—Corporate of Schlumberger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wp:posOffset>
            </wp:positionV>
            <wp:extent cx="7212330"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34290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President—Technology and R&amp;D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President—Technology of FMC Technologies (2009)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President—Corporate Development, Strategy, Digital and IT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President—Paris Operating Center of Technip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President—Subsea Strategy and Business Development of Technip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and Country Head—India of Technip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wp:posOffset>
            </wp:positionV>
            <wp:extent cx="721233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60007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President—People and Culture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President—Asia-Pacific Region of Technip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Subsea—Asia-Pacific Region of Technip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Subsea Projects—North America Region of Technip (2011)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President—Surface Technologies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President—Surface Technologies of FMC Technologies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Manager—Surface Integrated Services of FMC Technologies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Manager—Fluid Control of FMC Technologies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40005</wp:posOffset>
            </wp:positionV>
            <wp:extent cx="721233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6291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President—Engineering, Manufacturing and Supply Chain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President—Subsea Services of FMC Technologies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Manager—Subsea Systems Western Region of FMC Technologies (2012)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President—Subsea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Operating Officer—Subsea of Technip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Officer—Subsea Asia-Pacific Region of Technip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22860</wp:posOffset>
            </wp:positionV>
            <wp:extent cx="721233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8006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President—Onshore/Offshore (2017)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President—Onshore/Offshore of Technip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President—Onshore/Offshore of Technip (2008)</w:t>
      </w:r>
    </w:p>
    <w:p>
      <w:pPr>
        <w:spacing w:after="0" w:line="130" w:lineRule="exact"/>
        <w:rPr>
          <w:sz w:val="20"/>
          <w:szCs w:val="20"/>
          <w:color w:val="auto"/>
        </w:rPr>
      </w:pPr>
    </w:p>
    <w:p>
      <w:pPr>
        <w:sectPr>
          <w:pgSz w:w="11900" w:h="16838" w:orient="portrait"/>
          <w:cols w:equalWidth="0" w:num="2">
            <w:col w:w="2740" w:space="140"/>
            <w:col w:w="8400"/>
          </w:cols>
          <w:pgMar w:left="240" w:top="742" w:right="379" w:bottom="1440" w:gutter="0" w:footer="0" w:header="0"/>
          <w:type w:val="continuous"/>
        </w:sectPr>
      </w:pPr>
    </w:p>
    <w:p>
      <w:pPr>
        <w:spacing w:after="0" w:line="259" w:lineRule="auto"/>
        <w:rPr>
          <w:sz w:val="20"/>
          <w:szCs w:val="20"/>
          <w:color w:val="auto"/>
        </w:rPr>
      </w:pPr>
      <w:r>
        <w:rPr>
          <w:rFonts w:ascii="Arial" w:cs="Arial" w:eastAsia="Arial" w:hAnsi="Arial"/>
          <w:sz w:val="18"/>
          <w:szCs w:val="18"/>
          <w:color w:val="auto"/>
        </w:rPr>
        <w:t>No family relationships exist among any of the above-listed officers, and there are no arrangements or understandings between any of the above-listed officers and any other person pursuant to which they serve as an officer. During the past 10 years, none of the above-listed officers was involved in any legal proceedings as defined in Item 401(f) of Regulation S-K. All officers are appointed by the Board of Directors to hold office until their successors are appointed.</w:t>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742"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Important risk factors that could impact our ability to achieve our anticipated operating results and growth plan goals are presented below. The following risk factors should be read in conjunction with discussions of our business and the factors affecting our business located elsewhere in this Annual Report on Form 10-K and in our other filings with the SEC.</w:t>
      </w:r>
    </w:p>
    <w:p>
      <w:pPr>
        <w:spacing w:after="0" w:line="127" w:lineRule="exact"/>
        <w:rPr>
          <w:sz w:val="20"/>
          <w:szCs w:val="20"/>
          <w:color w:val="auto"/>
        </w:rPr>
      </w:pPr>
    </w:p>
    <w:p>
      <w:pPr>
        <w:ind w:right="280"/>
        <w:spacing w:after="0" w:line="327" w:lineRule="auto"/>
        <w:rPr>
          <w:sz w:val="20"/>
          <w:szCs w:val="20"/>
          <w:color w:val="auto"/>
        </w:rPr>
      </w:pPr>
      <w:r>
        <w:rPr>
          <w:rFonts w:ascii="Arial" w:cs="Arial" w:eastAsia="Arial" w:hAnsi="Arial"/>
          <w:sz w:val="15"/>
          <w:szCs w:val="15"/>
          <w:b w:val="1"/>
          <w:bCs w:val="1"/>
          <w:i w:val="1"/>
          <w:iCs w:val="1"/>
          <w:color w:val="auto"/>
        </w:rPr>
        <w:t>The Company has identified material weaknesses relating to internal control over financial reporting. If our remedial measures are insufficient to address the material weaknesses, or if one or more additional material weaknesses or significant deficiencies in our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w:t>
      </w:r>
    </w:p>
    <w:p>
      <w:pPr>
        <w:spacing w:after="0" w:line="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Management identified material weaknesses in the Company’s internal control over financial reporting as of March 31, 2017 and December 31, 2017 as described in Part II, Item 9A of this Annual Report on Form 10-K.</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16"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As a result of the material weaknesses, management has concluded that our internal control over financial reporting was not effective as of December 31, 2017. In addition, as a result of these material weaknesses, our chief executive officer and chief financial officer have concluded that, as of December 31, 2017, our disclosure controls and procedures were not effective. Until these material weaknesses are remediated, they could lead to errors in our financial results and could have a material adverse effect on our financial condition, results of operations and cash flows.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our remedial measures are insufficient to address the material weaknesses, or if one or more additional material weaknesses or significant deficiencies in our disclosure controls and procedures or internal control over financial reporting are discovered or occur in the future, our consolidated financial statements may contain material misstatements and we could be required to further restate our financial results, which could have a material adverse effect on our financial condition, results of operations and cash flows, restrict our ability to access the capital markets, require significant resources to correct the weaknesses or deficiencies, subject us to fines, penalties or judgments, harm our reputation or otherwise cause a decline in investor confidence and in the market price of our stock.</w:t>
      </w:r>
    </w:p>
    <w:p>
      <w:pPr>
        <w:spacing w:after="0" w:line="13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Additional material weaknesses or significant deficiencies in our internal control over financial reporting could be identified in the future. Any failure to maintain or 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U.S. Sarbanes-Oxley Act of 2002 and the rules promulgated under Section</w:t>
      </w:r>
    </w:p>
    <w:p>
      <w:pPr>
        <w:spacing w:after="0" w:line="2" w:lineRule="exact"/>
        <w:rPr>
          <w:sz w:val="20"/>
          <w:szCs w:val="20"/>
          <w:color w:val="auto"/>
        </w:rPr>
      </w:pPr>
    </w:p>
    <w:p>
      <w:pPr>
        <w:ind w:right="100" w:firstLine="8"/>
        <w:spacing w:after="0" w:line="323"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 give no assurances that the measures we have taken to date, or any future measures we may take, will remediate the material weaknesses identified or that any additional material weaknesses will not arise in the future due to our failure to implement and maintain adequate internal control over financial reporting. In addition, even if we are successful in strengthening in our controls and procedures, those controls and procedures may not be adequate to prevent or identify irregularities or ensure the fair and accurate presentation of our financial statements included in our periodic reports filed with the U.S. Securities and Exchange Commission.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Unanticipated changes relating to competitive factors in our industry, including ongoing industry consolidation, may impact our results of operations.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industry, including our customers and competitors, has experienced unanticipated changes in recent years. Moreover, the industry is undergoing vertical and horizontal consolidation to create economies of scale and control the value chain, which may affect demand for our products and services because of price concessions for our competitors or decreased customer capital spending. This consolidation activity could impact our ability to maintain market share, maintain or increase pricing for our products and services or negotiate favorable contract terms with our customers and suppliers, which could have a significant negative impact on our results of operations, financial condition or cash flows. We are unable to predict what effect consolidations and other competitive factors in the industry may have on prices, capital spending by our customers, our selling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strategies, our competitive position, our ability to retain customers or our ability to negotiate favorable agreements with our customers.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Demand for our products and services depends on oil and gas industry activity and expenditure levels, which are directly affected by trends in the demand for and price of crude oil and natural gas.</w:t>
      </w:r>
    </w:p>
    <w:p>
      <w:pPr>
        <w:spacing w:after="0" w:line="11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substantially dependent on conditions in the oil and gas industry, including (i) the level of exploration, development and production activity, (ii) capital spending, and (iii) the processing of oil and natural gas in refining units, petrochemical sites and natural gas liquefaction plants by energy companies that are our customers. Any substantial or extended decline in these expenditures may result in the reduced pace of discovery and development of new reserves of oil and gas and the reduced exploration of existing wells, which could adversely affect demand for our products and services and, in certain instances, result in the cancellation, modification, or re-scheduling of existing orders in our backlog. These factors could have an adverse effect on our revenue and profitability. The level of exploration, development and production activity is directly affected by trends in oil and natural gas prices, which historically have been volatile and are likely to continue to be volatile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the prices of oil and natural gas include, but are not limited to, the following:</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demand for hydrocarbons, which is affected by worldwide population growth, economic growth rates and general economic and business conditions;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exploring for, producing and delivering oil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policies and subsidies;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available excess production capacity within the Organization of Petroleum Exporting Countries (“OPEC”) and the level of oil production by non-OPEC countries;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refining capacity and shifts in end-customer preferences toward fuel efficiency and the use of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acceleration of the development of alternative fuels;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capital and credit markets, which may affect our customers’ activity levels and spending for our products and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oilfield services and downward pressure on the prices we charge. The current downturn in the oil and gas industry, which began in 2014, has resulted in a reduction in demand for oilfield services and could further adversely affect our financial condition,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implement new technologies and services.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success depends on the ongoing development and implementation of new product designs, including the processes used by us to produce or market our products, and on our ability to protect and maintain critical intellectual property assets related to these developments. If we are not able to obtain patent, trade secret or other protection of our intellectual property rights, if our patents are unenforceable or the claims allowed under our patents are not sufficient to protect our technology, or if we are not able to adequately protect or patents or trade secrets, we may not be able to continue to develop our services, products and related technologies. Additionally, our competitors may be able to develop technology independently that is similar to ours without infringing on our patents or gaining access to our trade secrets. If any of these events occurs, we may be unable to meet evolving industry requirements or to do so at prices acceptable to our customers, which could adversely affect our financial condition, results of operations and cash flows.</w:t>
      </w:r>
    </w:p>
    <w:p>
      <w:pPr>
        <w:spacing w:after="0" w:line="11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The industries in which we operate or have operated expose us to potential liabilities, including the installation or use of our products, which may not be covered by insurance or may be in excess of policy limits, or for which expected recoveries may not be realized.</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potential liabilities arising from equipment malfunctions, equipment misuse, personal injuries and natural disasters, the occurrence of which may result in uncontrollable flows of gas or well fluids, fires and explosions. Although we have obtained insurance against many of these risks, our insurance may not be adequate to cover our liabilities. Further, the insurance may not generally be available in the future or, if available, premiums may not be commercially justifiable. If we incur substantial liability and the damages are not covered by insurance or are in excess of policy limits, or if we were to incur liability at a time when we are not able to obtain liability insurance, such potential liabilities could have a material adverse effect on our business, results of operations, financial condition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money on fixed-price contracts.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46" w:right="25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As customary for the types of businesses that we operate, we often agree to provide products and services under fixed-price contracts. We are subject to material risks in connection with such fixed-price contracts. It is not possible to estimate with complete certainty the final cost or margin of a project at the time of bidding or during the early phases of its execution. Actual expenses incurred in executing these fixed-price contracts can vary substantially from those originally anticipated for several reasons including, but not limited to, the following:</w:t>
      </w:r>
    </w:p>
    <w:p>
      <w:pPr>
        <w:spacing w:after="0" w:line="13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additional costs related to the purchase of substantial equipment necessary for contract fulfillment;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mechanical failure of our production equipment and machinery;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caused by local weather conditions and/or natural disasters (including earthquakes and floods);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failure of suppliers or subcontractors to perform their contractual obligations.</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realization of any material risks and unforeseen circumstances could also lead to delays in the execution schedule of a project. We may be held liable to a customer should we fail to meet project milestones or deadlines or to comply with other contractual provisions. Additionally, delays in certain projects could lead to delays in subsequent projects for which production equipment and machinery currently being utilized on a project were intended.</w:t>
      </w:r>
    </w:p>
    <w:p>
      <w:pPr>
        <w:spacing w:after="0" w:line="1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the terms of fixed-price contracts, we are not always able to increase the price of the contract to reflect factors that were unforeseen at the time its bid was submitted. Depending on the size of a project, variations from estimated contract performance, or variations in multiple contracts, could have a significant impact on our financial condition, results of operations or cash flows.</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New capital asset construction projects for vessels and plants are subject to risks, including delays and cost overruns, which could have a material adverse effect on our financial condition or results of operations.</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seek to continuously upgrade and develop our asset base. Such projects are subject to risks of delay and cost overruns that are inherent to any large construction project and are the result of numerous factors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of key equipment, materials or skilled labor;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unscheduled delays in the delivery or ordered materials and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issues regarding the design and engineering;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shipyard delays and performance issues.</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Failure to complete construction in time, or the inability to complete construction in accordance with its design specifications, may result in loss of revenue. Additionally, capital expenditures for construction projects could materially exceed the initially planned investments or can result in delays in putting such assets into operation.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timely deliver our backlog could affect our future sales, profitability, and our relationships with our customers.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Many of the contracts we enter into with our customers require long manufacturing lead times due to complex technical and logistical requirements. These contracts may contain clauses related to liquidated damages or financial incentives regarding on-time delivery, and a failure by us to deliver in accordance with customer expectations could subject us to liquidated damages or loss of financial incentives, reduce our margins on these contracts or result in damage to existing customer relationships. The ability to meet customer delivery schedules for this backlog is dependent on a number of factors, including, but not limited to, access to the raw materials required for production, an adequately trained and capable workforce, subcontractor performance, project engineering expertise and execution, sufficient manufacturing plant capacity and appropriate planning and scheduling of manufacturing resources. Failure to deliver backlog in accordance with expectations could negatively impact our financial performance, particularly in light of the current industry environment where customers may seek to improve their returns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our reliance on subcontractors, suppliers, and our joint venture partners.</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generally rely on subcontractors, suppliers and our joint venture partners for the performance of our contracts. Although we are not dependent upon any single supplier, certain geographic areas of our business or a project or group of projects may heavily depend on certain suppliers for raw materials or semi-finished goods.</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Any difficulty faced by us in hiring suitable subcontractors or acquiring equipment and materials could compromise our ability to generate a significant margin on a project or to complete such project within the allocated timeframe. If subcontractors, suppliers or joint venture partners refuse to adhere to their contractual obligations with us or are unable to do so due to a deterioration of their financial condition, we may be unable to find a suitable replacement at a comparable price, or at all. Moreover, the failure of one of our joint venture partners to perform their obligations in a timely and satisfactory manner could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lead to additional obligations and costs being imposed on us as we would be potentially obligated to assume our defaulting partner’s obligations. Based on these potential issues, we could be required to compensate our customers.</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Any delay on the part of subcontractors, suppliers, or joint venture partners in the completion of work, any failure on the part of a subcontractor, supplier or joint venture partner to meet its obligations, or any other event attributable to a subcontractor, supplier or joint venture partner that is beyond our control or not foreseeable by us could lead to delays in the overall progress of the project and/or generate significant extra costs. Even if we were entitled to make a claim for these extra costs against the defaulting supplier, subcontractor or joint venture partner, we could be unable to recover the entirety of these costs and this could materially adversely affect our business, financial condition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businesses are dependent on the continuing services of certain of our key managers and employees.</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depend on key personnel. The loss of any key personnel could adversely impact our business if we are unable to implement key strategies or transactions in their absence. The loss of qualified employees or an inability to retain and motivate additional highly-skilled employees required for the operation and expansion of our business could hinder our ability to successfully conduct research activities and develop marketable products and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Pirates endanger our maritime employees and assets.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material piracy risks in the Gulf of Guinea, the Somali Basin and the Gulf of Aden, and, to a lesser extent, in Southeast Asia, Malacca and the Singapore Straits. Piracy represents a risk for both our projects and our vessels, which operate and transport through sensitive maritime areas. Such risks have the potential to significantly harm our crews and to negatively impact the execution schedule for our projects. If our maritime employees or assets are endangered, additional time may be required to find an alternative solution, which may delay project realization and negatively impact our business, financial condition, or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weather conditions could adversely affect demand for our services and operations.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 may be materially affected by variation from normal weather patterns, such as cooler or warmer summers and winters. Adverse weather conditions, such as hurricanes in the Gulf of Mexico or extreme winter conditions in Canada, Russia and the North Sea, may interrupt or curtail our operations, or our customers’ operations, cause supply disruptions or loss of productivity and may result in a loss of revenue or damage to our equipment and facilities, which may or may not be insured. Any of these events or outcomes could have a material adverse effect on our business, financial condition, cash flows and results of operations.</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Due to the types of contracts we enter into and the markets in which we operate, the cumulative loss of several major contracts, customers or alliances may have an adverse effect on our results of operations.</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often enter into large, long-term contracts that, collectively, represent a significant portion of our revenue. These agreements, if terminated or breached, may have a larger impact on our operating results or our financial condition than shorter-term contracts due to the value at risk. Moreover, the global market for the production, transportation and transformation of hydrocarbons and by-products, as well as the other industrial markets in which we operate, is dominated by a small number of companies. As a result, our business relies on a limited number of customers. If we were to lose several key contracts, customers, or alliances over a relatively short period of time, we could experience a significant adverse impact on our financial condition, results of operations or cash flows.</w:t>
      </w:r>
    </w:p>
    <w:p>
      <w:pPr>
        <w:spacing w:after="0" w:line="1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require us to comply with numerous regulations, violations of which could have a material adverse effect on our financial condition, results of operations or cash flows.</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operations and manufacturing activities are governed by international, regional transnational and national laws and regulations in every place where we operate relating to matters such as environmental, health and safety, labor and employment, import/export control, currency exchange, bribery and corruption and taxation. These laws and regulations are complex, frequently change and have tended to become more stringent over time. In the event the scope of these laws and regulations expand in the future, the incremental cost of compliance could adversely impact our financial condition, results of operations or cash flows.</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international operations are subject to anti-corruption laws and regulations, such as the U.S. Foreign Corrupt Practices Act (“FCPA”), the U.K. Bribery Act of 2010 (the “Bribery Act”), the Brazilian Anti-Bribery Act (also known as the Brazilian Clean Company Act) and economic and trade sanctions, including those administered by the United Nations, the European Union, the Office of Foreign Assets Control of the U.S. Department of the Treasury (“U.S. Treasury”) and the U.S. Department of State. The FCPA prohibits providing anything of value to foreign officials for the purposes of obtaining or retaining business or securing any improper business advantage. We may deal with both governments and state-owned business enterprises,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746" w:right="279" w:bottom="1440" w:gutter="0" w:footer="0" w:header="0"/>
        </w:sectPr>
      </w:pPr>
    </w:p>
    <w:bookmarkStart w:id="20" w:name="page21"/>
    <w:bookmarkEnd w:id="20"/>
    <w:p>
      <w:pPr>
        <w:jc w:val="both"/>
        <w:ind w:right="320"/>
        <w:spacing w:after="0" w:line="312" w:lineRule="auto"/>
        <w:rPr>
          <w:sz w:val="20"/>
          <w:szCs w:val="20"/>
          <w:color w:val="auto"/>
        </w:rPr>
      </w:pPr>
      <w:r>
        <w:rPr>
          <w:rFonts w:ascii="Arial" w:cs="Arial" w:eastAsia="Arial" w:hAnsi="Arial"/>
          <w:sz w:val="16"/>
          <w:szCs w:val="16"/>
          <w:color w:val="auto"/>
        </w:rPr>
        <w:t>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and trade sanctions restrict our transactions or dealings with certain sanctioned countries, territories and designated persons.</w:t>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result of doing business in foreign countries, including through partners and agents, we will be exposed to a risk of violating anti-corruption laws and sanctions regulations. Some of the international locations in which we will operate have developing legal systems and may have higher levels of corruption than more developed nations. Our continued expansion and worldwide operations, including in developing countries, our development of joint venture relationships worldwide and the employment of local agents in the countries in which we operate increases the risk of violations of anti-corruption laws and economic and trade sanctions. Violations of anti-corruption laws and economic and trade sanctions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we believe we have a strong compliance program, including procedures to minimize and detect fraud in a timely manner, and continue efforts to improve our systems of internal controls, we can provide no assurance that the policies and procedures will be followed at all times or will effectively detect and prevent violations of the applicable laws by one or more of our employees, consultants, agents or partners, and, as a result, we could be subject to penalties and material adverse consequences on our business, financial condition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environmental laws and regulations may adversely affect our business and results of operations.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Environmental laws and regulations in various countries affect the equipment, systems and services we design, market and sell, as well as the facilities where we manufacture our equipment and systems. We are required to invest financial and managerial resources to comply with environmental laws and regulations and believe that we will continue to be required to do so in the future. Failure to comply with these laws and regulations may result in the assessment of administrative, civil and criminal penalties, the imposition of remedial obligations, or the issuance of orders enjoining our operations. These laws and regulations, as well as the adoption of new legal requirements or other laws and regulations affecting exploration and development of drilling for crude oil and natural gas, could adversely affect our business and operating results by increasing our costs, limiting the demand for our products and services or restricting our operations.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Disruptions in the political, regulatory, economic and social conditions of the countries in which we conduct business could adversely affect our business or results of operations.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operate in various countries across the world. Instability and unforeseen changes in any of the markets in which we conduct business, including economically and politically volatile areas such as North Africa, West Africa, the Middle East, and the Commonwealth of Independent States, could have an adverse effect on the demand for our services and products, our financial condition or our results of operations. These factors include, but are not limited to, the following:</w:t>
      </w:r>
    </w:p>
    <w:p>
      <w:pPr>
        <w:spacing w:after="0" w:line="13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burdensome taxation;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inflationary and recessionary markets, including capital and equity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unrest, labor issues, political instability, terrorist attacks, cyber-terrorism, military activity and wars;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disruptions in key oil producing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OPEC to set and maintain production levels and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restrictions, trade protection measures or price controls;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sanctions, such as restrictions by the United States against countries deemed to sponsor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operations, trade practices, trade partners and investment decisions resulting from domestic and foreign laws and regulations;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regime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and the administration of, treaties,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repatriate income or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the availability of qualified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fluctuations or currency restrictions;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interest rate component of forward foreign currency rates.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DTC and Euroclear Paris may cease to act as depository and clearing agencies for our shares.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46" w:right="279" w:bottom="1440" w:gutter="0" w:footer="0" w:header="0"/>
        </w:sectPr>
      </w:pPr>
    </w:p>
    <w:bookmarkStart w:id="21" w:name="page22"/>
    <w:bookmarkEnd w:id="21"/>
    <w:p>
      <w:pPr>
        <w:jc w:val="both"/>
        <w:ind w:right="60"/>
        <w:spacing w:after="0" w:line="288" w:lineRule="auto"/>
        <w:rPr>
          <w:sz w:val="20"/>
          <w:szCs w:val="20"/>
          <w:color w:val="auto"/>
        </w:rPr>
      </w:pPr>
      <w:r>
        <w:rPr>
          <w:rFonts w:ascii="Arial" w:cs="Arial" w:eastAsia="Arial" w:hAnsi="Arial"/>
          <w:sz w:val="16"/>
          <w:szCs w:val="16"/>
          <w:color w:val="auto"/>
        </w:rPr>
        <w:t>Our shares were issued into the facilities of The Depository Trust Company (“DTC”) with respect to shares listed on the NYSE and Euroclear with respect to shares listed on Euronext Paris (DTC and Euroclear being referred to as the “Clearance Services”). The Clearance Services are widely used mechanisms that allow for rapid electronic transfers of securities between the participants in their respective systems, which include many large banks and brokerage firms.</w:t>
      </w:r>
    </w:p>
    <w:p>
      <w:pPr>
        <w:ind w:right="100"/>
        <w:spacing w:after="0" w:line="295" w:lineRule="auto"/>
        <w:rPr>
          <w:sz w:val="20"/>
          <w:szCs w:val="20"/>
          <w:color w:val="auto"/>
        </w:rPr>
      </w:pPr>
      <w:r>
        <w:rPr>
          <w:rFonts w:ascii="Arial" w:cs="Arial" w:eastAsia="Arial" w:hAnsi="Arial"/>
          <w:sz w:val="16"/>
          <w:szCs w:val="16"/>
          <w:color w:val="auto"/>
        </w:rPr>
        <w:t>The Clearance Services have general discretion to cease to act as a depository and clearing agencies for our shares. If either of the Clearance Services determine at any time that our shares are not eligible for continued deposit and clearance within its facilities, then we believe that our shares would not be eligible for continued listing on the NYSE or Euronext Paris, as applicable, and trading in our shares would be disrupted. While we would pursue alternative arrangements to preserve the listing and maintain trading, any such disruption could have a material adverse effect on the trading price of our shares.</w:t>
      </w:r>
    </w:p>
    <w:p>
      <w:pPr>
        <w:spacing w:after="0" w:line="10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have a negative effect on global economic conditions, financial markets and our business.</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based in the United Kingdom and have operational headquarters in Paris, France; Houston, Texas, USA; and in London, United Kingdom, with worldwide operations, including material business operations in Europe. In June 2016, a majority of voters in the United Kingdom elected to withdraw from the European Union in a national referendum (“Brexit”). The referendum was advisory, and the terms of any withdrawal are subject to a negotiation period that could last at least two years after the government of the United Kingdom formally initiated its withdrawal process in the first quarter of 2017. Nevertheless, Brexit has created significant uncertainty about the future relationship between the United Kingdom and the European Union and has given rise to calls for certain regions within the United Kingdom to preserve their place in the European Union by separating from the United Kingdom as well as for the governments of other E.U. member states to consider withdrawal.</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These developments, or the perception that any of them could occur, could have a material adverse effect on global economic conditions and the stability of the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Lack of clarity about applicable future laws, regulations or treaties as the United Kingdom negotiates the terms of a withdrawal, as well as the operation of any such rules pursuant to any withdrawal terms, including financial laws and regulations, tax and free trade agreements, intellectual property rights, supply chain logistics, environmental, health and safety laws and regulations, immigration laws, employment laws and other rules that would apply to us and our subsidiaries, could increase our costs, restrict our access to capital within the United Kingdom and the European Union, depress economic activity and decrease foreign direct investment in the United Kingdom. For example, withdrawal from the European Union could, depending on the negotiated terms of withdrawal, eliminate the benefit of certain tax-related E.U. directives currently applicable to U.K. companies such as us, including the Parent-Subsidiary Directive and the Interest and Royalties Directive, which could, subject to any relief under an available tax treaty, raise our tax costs.</w:t>
      </w:r>
    </w:p>
    <w:p>
      <w:pPr>
        <w:spacing w:after="0" w:line="11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If the United Kingdom and the European Union are unable to negotiate acceptable withdrawal terms or if other E.U. member states pursue withdrawal, barrier-free access between the United Kingdom and other E.U. member states or among the European Economic Area overall could be diminished or eliminated. Any of these factors could have a material adverse effect on our business, financial condition and results of operations.</w:t>
      </w:r>
    </w:p>
    <w:p>
      <w:pPr>
        <w:spacing w:after="0" w:line="9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As an English public limited company, we must meet certain additional financial requirements before we may declare dividends or repurchase shares and certain capital structure decisions may require stockholder approval which may limit our flexibility to manage our capital structure.</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English law, we will only be able to declare dividends, make distributions or repurchase shares (other than out of the proceeds of a new issuance of shares for that purpose) out of “distributable profits.” Distributable profits are a company’s accumulated, realized profits, to the extent that they have not been previously utilized by distribution or capitalization, less its accumulated, realized losses, to the extent that they have not been previously written off in a reduction or reorganization of capital duly made. In addition, as a public limited company incorporated in England and Wales, we may only make a distribution if the amount of our net assets is not less than the aggregate of our called-up share capital and non-distributable reserves and if, to the extent that, the distribution does not reduce the amount of those assets to less that that aggregate.</w:t>
      </w:r>
    </w:p>
    <w:p>
      <w:pPr>
        <w:spacing w:after="0" w:line="12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Following the Merger, we capitalized our reserves arising out of the Merger by the allotment and issuance by TechnipFMC of a bonus share, which was paid up using such reserves, such that the amount of such reserves so applied, less the nominal value of the bonus share, applied as share premium and accrued to our share premium account. We implemented a court-approved reduction of our capital by way of a cancellation of the bonus share and share premium account in the amount of $10,177,554,182, which completed on June 29, 2017, in order to create distributable profits to support the payment of possible future dividends or future share repurchases. Our articles of association permit us by ordinary resolution of the stockholders to declare dividends, provided that the directors have made a recommendation as to its amount. The dividend shall not exceed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46" w:right="259" w:bottom="1440" w:gutter="0" w:footer="0" w:header="0"/>
        </w:sectPr>
      </w:pPr>
    </w:p>
    <w:bookmarkStart w:id="22" w:name="page23"/>
    <w:bookmarkEnd w:id="22"/>
    <w:p>
      <w:pPr>
        <w:ind w:right="180"/>
        <w:spacing w:after="0" w:line="264" w:lineRule="auto"/>
        <w:rPr>
          <w:sz w:val="20"/>
          <w:szCs w:val="20"/>
          <w:color w:val="auto"/>
        </w:rPr>
      </w:pPr>
      <w:r>
        <w:rPr>
          <w:rFonts w:ascii="Arial" w:cs="Arial" w:eastAsia="Arial" w:hAnsi="Arial"/>
          <w:sz w:val="18"/>
          <w:szCs w:val="18"/>
          <w:color w:val="auto"/>
        </w:rPr>
        <w:t>amount recommended by the board of directors. The directors may also decide to pay interim dividends if it appears to them that the profits available for distribution justify the payment. When recommending or declaring payment of a dividend, the directors are required under English law to comply with their duties, including considering our future financial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dividends or repurchase shares of our ordinary shares in accordance with our announced intent or at all.</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Board of Directors’ determinations regarding dividends and share repurchases will depend on a variety of factors, including our net income, cash flow generated from operations or other sources, liquidity position and potential alternative uses of cash, such as acquisitions, as well as economic conditions and expected future financial results. Our ability to declare future dividends and make future share repurchases will depend on our future financial performance, which in turn depends on the successful implementation of our strategy and on financial, competitive, regulatory, technical and other factors, general economic conditions, demand and selling prices for our products and services and other factors specific to our industry or specific projects, many of which are beyond our control. Therefore, our ability to generate cash depends on the performance of our operations and could be limited by decreases in our profitability or increases in costs, regulatory changes, capital expenditures or debt servicing requirements.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failure to pay dividends or repurchase shares of our ordinary shares could negatively impact our reputation, harm investor confidence in us, and cause the market price of our ordinary shares to decline.</w:t>
      </w:r>
    </w:p>
    <w:p>
      <w:pPr>
        <w:spacing w:after="0" w:line="1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existing and future debt may limit cash flow available to invest in the ongoing needs of our business and could prevent us from fulfilling our obligations under our outstanding debt.</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substantial existing debt. As of December 31, 2017, after giving effect to the Merger, our total debt is $3.9 billion. We also have the capacity under our $2.5 billion credit facility and bilateral facilities to incur substantial additional debt. Our level of debt could have important consequences. For example, it could:</w:t>
      </w:r>
    </w:p>
    <w:p>
      <w:pPr>
        <w:spacing w:after="0" w:line="12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the payment of debt service, reducing the availability of our cash flow to fund working capital, capital expenditures, acquisitions, distributions and other general partnership purposes;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enable us to react to changes in our business;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businesses in our industry that have less debt.</w:t>
      </w:r>
    </w:p>
    <w:p>
      <w:pPr>
        <w:spacing w:after="0" w:line="1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Additionally, any failure to meet required payments on our debt, or failure to comply with any covenants in the instruments governing our debt, could result in an event of default under the terms of those instruments. In the event of such default, the holders of such debt could elect to declare all the amounts outstanding under such instruments to be due and payable.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debt rating could restrict our ability to access the capital markets.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our financing are, in part, dependent on the credit ratings assigned to our debt by independent credit rating agencies. We cannot provide assurance that any of our current credit ratings will remain in effect for any given period of time or that a rating will not be lowered or withdrawn entirely by a rating agency. Factors that may impact our credit ratings include debt levels, capital structure, planned asset purchases or sales, near- and long-term production growth opportunities, market position, liquidity, asset quality, cost structure, product mix, customer and geographic diversification and commodity price levels. A downgrade in our credit ratings, particularly to non-investment grade levels, could limit our ability to access the debt capital markets, refinance our existing debt or cause us to refinance or issue debt with less favorable terms and conditions. Moreover, our revolving credit agreement includes an increase in interest rates if the ratings for our debt are downgraded, which could have an adverse effect on our results of operations. An increase in the level of our indebtedness and related interest costs may increase our vulnerability to adverse general economic and industry conditions and may affect our ability to obtain additional financing.</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Uninsured claims and litigation against us, including intellectual property litigation, could adversely impact our financial condition, results of operations or cash flows.</w:t>
      </w:r>
    </w:p>
    <w:p>
      <w:pPr>
        <w:spacing w:after="0" w:line="11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could be impacted by the outcome of pending litigation, as well as unexpected litigation or proceedings. We have insurance coverage against operating hazards, including product liability claims and personal injury claims related to our products or operating environments in which our employees operate, to the extent deemed prudent by our management and to the extent insurance is available. However, our insurance policies are subject to exclusions, limitations and other conditions and may not apply in all cases, for example where willful wrongdoing on our part is alleged. Additionally, the nature and amount of that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ind w:right="220"/>
        <w:spacing w:after="0" w:line="312" w:lineRule="auto"/>
        <w:rPr>
          <w:sz w:val="20"/>
          <w:szCs w:val="20"/>
          <w:color w:val="auto"/>
        </w:rPr>
      </w:pPr>
      <w:r>
        <w:rPr>
          <w:rFonts w:ascii="Arial" w:cs="Arial" w:eastAsia="Arial" w:hAnsi="Arial"/>
          <w:sz w:val="16"/>
          <w:szCs w:val="16"/>
          <w:color w:val="auto"/>
        </w:rPr>
        <w:t>insurance may not be sufficient to fully indemnify us against liabilities arising out of pending and future claims and litigation. Additionally, in individual circumstances, certain proceedings or cases may also lead to our formal or informal exclusion from tenders or the revocation or loss of business licenses or permits. Our financial condition, results of operations or cash flows could be adversely affected by unexpected claims not covered by insurance.</w:t>
      </w:r>
    </w:p>
    <w:p>
      <w:pPr>
        <w:spacing w:after="0" w:line="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the tools, techniques, methodologies, programs, and components we use to provide our services may infringe upon the intellectual property rights of others. Infringement claims generally result in significant legal and other costs. The resolution of these claims could require us to enter into license agreements or develop alternative technologies. The development of these technologies or the payment of royalties under licenses from third parties, if available, would increase our costs. If a license were not available, or we are not able to develop alternative technologies, we might not be able to continue providing a particular service or product, which could adversely affect our financial condition,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could adversely affect our financial condition, results of operations or cash flows.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conduct operations around the world in many different currencies. Because a significant portion of our revenue is denominated in currencies other than our reporting currency, the U.S. dollar, changes in exchange rates will produce fluctuations in our revenue, costs and earnings and may also affect the book value of our assets and liabilities and related equity. Although we do not hedge translation impacts on earnings, we do hedge transaction impacts on margins and earnings where the transaction is not in the functional currency of the business unit. Our efforts to minimize our currency exposure through such hedging transactions may not be successful depending on market and business conditions. Moreover, certain currencies in which the Company trades, specifically currencies in countries such as Angola and Nigeria, do not actively trade in the global foreign exchange markets and may subject us to increased foreign currency exposures. As a result, fluctuations in foreign currency exchange rates may adversely affect our financial condition, results of operations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expected from the Merger.</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combination of two independent companies is a complex, costly and time-consuming process. As a result, we will be required to devote significant management attention and resources to integrating the business practices and operations of Technip and FMC Technologies. The integration process may disrupt our businesses and, if ineffectively implemented, could preclude realization of the full benefits expected from the Merger. Our failure to meet the challenges involved in successfully integrating the operations of Technip and FMC Technologies or otherwise to realize the anticipated benefits of the Merger could cause an interruption of our operations and could seriously harm our results of operations. In addition, the overall integration of Technip and FMC Technologies may result in material unanticipated problems, expenses, liabilities, competitive responses, loss of client relationships and diversion of management’s attention, and may cause our stock prices to decline. The difficulties of combining the operations of Technip and FMC Technologies include, but are not limited to, the following:</w:t>
      </w:r>
    </w:p>
    <w:p>
      <w:pPr>
        <w:spacing w:after="0" w:line="13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aligning and executing our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IT, communications and other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taking actions that may be required in connection with obtaining regulatory approvals.</w:t>
      </w:r>
    </w:p>
    <w:p>
      <w:pPr>
        <w:spacing w:after="0" w:line="15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Many of these factors will be outside our control and any one of them could result in increased costs, decreased revenue and diversion of management’s time and energy, which could materially impact our business, financial condition and results of operations. In addition, even if the operations of Technip and FMC Technologies are successfully integrated, we may not realize the full benefits of the Merger, including the synergies, cost savings or sales or growth opportunities that we expect. These benefits may not be achieved within the anticipated time frame, or at all. As a result, the combination of Technip and FMC Technologies may not result in the realization of the full benefits expected from the Merger.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Merger-related costs.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746" w:right="279" w:bottom="1440" w:gutter="0" w:footer="0" w:header="0"/>
        </w:sectPr>
      </w:pPr>
    </w:p>
    <w:bookmarkStart w:id="24" w:name="page25"/>
    <w:bookmarkEnd w:id="24"/>
    <w:p>
      <w:pPr>
        <w:ind w:right="40"/>
        <w:spacing w:after="0" w:line="271" w:lineRule="auto"/>
        <w:rPr>
          <w:sz w:val="20"/>
          <w:szCs w:val="20"/>
          <w:color w:val="auto"/>
        </w:rPr>
      </w:pPr>
      <w:r>
        <w:rPr>
          <w:rFonts w:ascii="Arial" w:cs="Arial" w:eastAsia="Arial" w:hAnsi="Arial"/>
          <w:sz w:val="17"/>
          <w:szCs w:val="17"/>
          <w:color w:val="auto"/>
        </w:rPr>
        <w:t>We have incurred and expect to incur many non-recurring direct and indirect costs associated with the Merger. In addition to the cost and expenses associated with the consummation of the Merger, there are also processes, policies, procedures, operations, technologies and systems that must be integrated in connection with the Merger and the integration of Technip and FMC Technologies. While both Technip and FMC Technologies have assumed that a certain level of expenses would be incurred relating to the Merger and continue to assess the magnitude of these costs, there are many factors beyond our control that could affect the total amount or the timing of the integration and implementation expenses. There may also be significant additional unanticipated costs relating to the Merger that we may not recoup. These costs and expenses could reduce the realization of efficiencies and strategic benefits we expect to achieve from the Merger. Although we expect that these benefits will offset the transaction expenses and implementation costs over time, this net benefit may not be achieved in the near term or at all.</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of our IT infrastructure, including as a result of cyber attacks, could adversely impact our business and results of operations.</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efficient operation of our business is dependent on our IT systems. Accordingly, we rely upon the capacity, reliability and security of our IT hardware and software infrastructure and our ability to expand and update this infrastructure in response to changing needs. Despite our implementation of security measures, our systems are vulnerable to damages from computer viruses, natural disasters, failures in hardware or software, power fluctuations, increasingly sophisticated cyber security threats such as unauthorized access to data and systems, loss or destruction of data (including confidential customer information), phishing, cyber attacks, human error and other similar disruptions. Additionally, we rely on third parties to support the operation of our IT hardware and software infrastructure, and in certain instances, utilize web-based applications.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Threats to our IT systems arise from numerous sources, not all of which are within our control, including fraud or malice on the part of third parties, accidental technological failure, electrical or telecommunication outages, failures of computer servers or other damage to our property or assets, or outbreaks of hostilities or terrorist acts. The failure of our IT systems or those of our vendors to perform as anticipated for any reason or any significant breach of security could disrupt our business and result in numerous adverse consequences, including reduced effectiveness and efficiency of operations, inappropriate disclosure of confidential and proprietary information, reputational harm, increased overhead costs and loss of important information, which could have a material adverse effect on our business and results of operations. In addition, we may be required to incur significant costs to protect against damage caused by these disruptions or security breaches in the future.</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IRS may not agree that we should be treated as a foreign corporation for U.S. federal tax purposes and may seek to impose an excise tax on gains recognized by certain individuals.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we are incorporated in the United Kingdom, the U.S. Internal Revenue Service (the “IRS”) may assert that we should be treated as a U.S. “domestic” corporation (and, therefore, a U.S. tax resident) for U.S. federal income tax purposes pursuant to Section 7874 of the U.S. Internal Revenue Code of 1986, as amended (the “Code”). For U.S. federal income tax purposes, a corporation is generally considered a U.S. “domestic” corporation (or U.S. tax resident) if it is organized in the United States, and a corporation is generally considered a “foreign” corporation (or non-U.S. tax resident) if it is not a U.S. domestic corporation. Because we are an entity incorporated in England and Wales, we would generally be classified as a foreign corporation (or non-U.S. tax resident) under these rules. Section 7874 of the Code (“Section 7874”) provides an exception under which a foreign incorporated entity may, in certain circumstances, be treated as a U.S. domestic corporation for U.S. federal income tax purposes.</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Unless we have satisfied the substantial business activities exception, as defined for purposes of Section 7874 and described in more detail below (the “Substantial Business Activities Exception”), we will be treated as a U.S. domestic corporation (that is, as a U.S. tax resident) for U.S. federal income tax purposes under Section 7874 if the percentage (by vote or value) of our shares considered to be held by former holders of shares of common stock of FMC Technologies (the “FMCTI Shares”) after the Merger by reason of holding FMCTI Shares for purposes of Section 7874 (the “Section 7874 Percentage”) is (i) 60% or more (if, as expected, the Third Country Rule (defined below) applies) or (ii) 80% or more (if the Third Country Rule does not apply). In order for us to satisfy the Substantial Business Exception, at least 25% of the employees (by headcount and compensation), real and tangible assets and gross income of our expanded affiliated group must be based, located and derived, respectively, in the United Kingdom. We do not expect to satisfy the Substantial Business Activities Exception. In addition, the IRS and the U.S.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Because we are a tax resident in the United Kingdom and not a tax resident in France as Technip was, we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5" w:name="page26"/>
    <w:bookmarkEnd w:id="25"/>
    <w:p>
      <w:pPr>
        <w:ind w:right="540"/>
        <w:spacing w:after="0" w:line="277" w:lineRule="auto"/>
        <w:rPr>
          <w:sz w:val="20"/>
          <w:szCs w:val="20"/>
          <w:color w:val="auto"/>
        </w:rPr>
      </w:pPr>
      <w:r>
        <w:rPr>
          <w:rFonts w:ascii="Arial" w:cs="Arial" w:eastAsia="Arial" w:hAnsi="Arial"/>
          <w:sz w:val="18"/>
          <w:szCs w:val="18"/>
          <w:color w:val="auto"/>
        </w:rPr>
        <w:t>expect that we would be treated as a U.S. domestic corporation for U.S. federal income tax purposes under the Third Country Rule if the Section 7874 Percentage were at least 60%.</w:t>
      </w:r>
    </w:p>
    <w:p>
      <w:pPr>
        <w:spacing w:after="0" w:line="1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if the Section 7874 Percentage is calculated to be at least 60%, Section 7874 and the rules related thereto may impose an excise tax under Section 4985 of the Code (the “Section 4985 Excise Tax”) on the gain recognized by certain “disqualified individuals” (including officers and directors of a U.S. company) on certain stock-based compensation held thereby at a rate equal to 15%, even if the Third Country Rule were to apply such that we were treated as a U.S. domestic corporation for U.S. federal income tax purposes. We may, if we determine that it is appropriate, provide disqualified individuals with a payment with respect to the excise tax, so that, on a net after-tax basis, they would be in the same position as if no such excise tax had been applied.</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that the Section 7874 Percentage was less than 60% such that the Third Country Rule is not expected to apply to us and the Section 4985 Excise Tax is not expected to apply to any such “disqualified individuals.” However, the calculation of the Section 7874 Percentage is complex and is subject to detailed U.S. Treasury regulations (the application of which is uncertain in various respects and would be impacted by changes in such U.S. Treasury regulations). In addition, there can be no assurance that there will not be a change in law, including with retroactive effect, which might cause us to be treated as a U.S. domestic corporation for U.S. federal income tax purposes. Accordingly, we cannot assure you that the IRS will agree with our position and/or would not successfully challenge our status as a foreign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tax laws and/or IRS guidance could affect our ability to engage in certain acquisition strategies and certain internal restructurings.</w:t>
      </w:r>
    </w:p>
    <w:p>
      <w:pPr>
        <w:spacing w:after="0" w:line="18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treated as a foreign corporation for U.S. federal income tax purposes, Section 7874 and U.S. Treasury regulations promulgated thereunder may adversely affect our ability to engage in certain future acquisitions of U.S. businesses in exchange for our equity or to otherwise restructure the non-U.S. members of our group, which may affect the tax efficiencies that otherwise might be achieved in such potential future transactions or restructurings.</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IRS and the U.S. Treasury have issued final and temporary regulations providing that, even if we are treated as a foreign corporation for U.S. federal income tax purposes, certain intercompany debt instruments issued on or after April 4, 2016 will be treated as equity for U.S. federal income tax purposes, therefore limiting U.S. tax benefits and resulting in possible U.S. withholding taxes. Although recent guidance from the U.S. Treasury states that these rules are the subject of continuing study and may be materially modified, the current regulations may adversely affect our future effective tax rate and could also impact our ability to engage in future restructurings if such transactions cause an existing intercompany debt instrument to be treated as reissued for U.S. federal income tax purposes.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tax laws of numerous jurisdictions, and challenges to the interpretations of, or future changes to, such laws could adversely affect us.</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France and numerous other jurisdictions in which we and our subsidiaries operate. These laws and regulations are inherently complex, and we are and will continue to be obligated to make judgments and interpretations about the application of these laws and regulations to our operations and businesses. The interpretation and application of these laws and regulations could be challenged by the relevant governmental authorities, which could result in administrative or judicial procedures, actions or sanctions, which could be material.</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beyond that of the Tax Cuts and Jobs Act (“TCJA”) is in the area of “base erosion and profit shifting” where payments are made between affiliates from a jurisdiction with high tax rates to a jurisdiction with lower tax rates. Thus, the tax laws in the United States, the United Kingdom and other countries in which we and our affiliates do business could change on a retroactive basis and any such changes could adversely affect us. Furthermore, the interpretation and application of domestic or international tax laws made by us and by our subsidiaries could differ from that of the relevant governmental authority, which could result in administrative or judicial procedures, actions or sanctions, which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operate in a manner such that we believe we are eligible for benefits under the tax treaties between the United Kingdom and other countries, notably the United States. However, our ability to qualify for such benefits will depend on whether we are treated as a U.K. tax resident and upon the requirements contained in each treaty and the applicable domestic laws, as the case may be, on the facts and circumstances surrounding our operations and management, and on the relevant interpretation of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46" w:right="279" w:bottom="1440" w:gutter="0" w:footer="0" w:header="0"/>
        </w:sectPr>
      </w:pPr>
    </w:p>
    <w:bookmarkStart w:id="26" w:name="page27"/>
    <w:bookmarkEnd w:id="26"/>
    <w:p>
      <w:pPr>
        <w:ind w:right="360"/>
        <w:spacing w:after="0" w:line="342" w:lineRule="auto"/>
        <w:rPr>
          <w:sz w:val="20"/>
          <w:szCs w:val="20"/>
          <w:color w:val="auto"/>
        </w:rPr>
      </w:pPr>
      <w:r>
        <w:rPr>
          <w:rFonts w:ascii="Arial" w:cs="Arial" w:eastAsia="Arial" w:hAnsi="Arial"/>
          <w:sz w:val="16"/>
          <w:szCs w:val="16"/>
          <w:color w:val="auto"/>
        </w:rPr>
        <w:t>tax authorities and courts. The failure by us or our subsidiaries to qualify for benefits under the tax treaties entered into between the United Kingdom and other countries could result in adverse tax consequences to us and could result in certain tax consequences of owning and disposing of our shares.</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intend to operate to be treated exclusively as a resident of the United Kingdom for tax purposes, but French or other tax authorities may seek to treat us as a tax resident of another jurisdiction.</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incorporated in England and Wales. English law currently provides that we will be regarded as being a U.K. resident for tax purposes from incorporation and shall remain so unless (i) we are concurrently a resident in another jurisdiction (applying the tax residence rules of that jurisdiction) that has a double tax treaty with the United Kingdom and (ii) there is a tiebreaker provision in that tax treaty which allocates exclusive residence to that other jurisdiction.</w:t>
      </w:r>
    </w:p>
    <w:p>
      <w:pPr>
        <w:spacing w:after="0" w:line="13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this regard, we have a permanent establishment in France to satisfy certain French tax requirements imposed by the French Tax Code with respect to the Merger. Although it is intended that we will be treated as having our exclusive place of tax residence in the United Kingdom, the French tax authorities may claim that we are a tax resident of France if we were to fail to maintain our “place of effective management” in the United Kingdom due to the French tax authorities having deemed that certain strategic decisions of TechnipFMC have been taken at the level of our French permanent establishment rather than in the United Kingdom. Any such claim would need to be settled between the French and the U.K. tax authorities pursuant to the mutual assistance procedure provided for by the tax treaty dated June 19, 2008 concluded between France and the United Kingdom, and there is no assurance that these authorities would reach an agreement that we will remain exclusively a U.K. tax resident, which could materially and adversely affect our business, financial condition, results of operations and future prospects. A failure to maintain exclusive tax residency in the United Kingdom could result in adverse tax consequences to us and our subsidiaries and could result in different tax consequences of owning and disposing of our shares.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corporate headquarters is in London, England. We also maintain corporate offices in Houston, Texas and Paris, France, where significant worldwide global support activity occurs. In addition, we own or lease numerous properties throughout the world.</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our properties and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principal properties by reporting segment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Borders>
              <w:bottom w:val="single" w:sz="8" w:color="auto"/>
            </w:tcBorders>
          </w:tcPr>
          <w:p>
            <w:pPr>
              <w:ind w:left="3560"/>
              <w:spacing w:after="0"/>
              <w:rPr>
                <w:sz w:val="20"/>
                <w:szCs w:val="20"/>
                <w:color w:val="auto"/>
              </w:rPr>
            </w:pPr>
            <w:r>
              <w:rPr>
                <w:rFonts w:ascii="Arial" w:cs="Arial" w:eastAsia="Arial" w:hAnsi="Arial"/>
                <w:sz w:val="14"/>
                <w:szCs w:val="14"/>
                <w:b w:val="1"/>
                <w:bCs w:val="1"/>
                <w:color w:val="auto"/>
              </w:rPr>
              <w:t>Location</w:t>
            </w:r>
          </w:p>
        </w:tc>
        <w:tc>
          <w:tcPr>
            <w:tcW w:w="2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Segment</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Africa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Accra, Ghana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Danda, Angola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Hassi-Messaoud, Algeria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Lagos, Nigeria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Lobito, Angola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Luanda, Angola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Malabo, Equatorial New Guinea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Port Harcourt, Nigeria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Takoradi, Ghana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Hyderadbad, India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Jakarta, Indonesia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 Onshore/Offshore, Surface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Kuala Lumpur, Malaysia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Onshore/Offshore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Labuan, Malaysia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New Delhi, India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Onshore/Offshore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Noida, India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Onshore/Offshore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Nusajaya, Malaysia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Singapore</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Surface</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b w:val="1"/>
                <w:bCs w:val="1"/>
                <w:color w:val="auto"/>
              </w:rPr>
              <w:t>Australia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Henderson, Australia</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Perth, Australia</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Onshore/Offshore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Europe</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Aberdeen (Scotland), United Kingdom</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Aktau, Kazakhstan</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 Surface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Atyrau, Kazakhstan</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Arnhem, The Netherlands</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Surface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Barcelona, Spain</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Onshore/Offshore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Bergen, Norway</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 Surface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Compiegne, France</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Courbevoie (Paris - La Défense), France</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 Onshore/Offshore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Dunfermline, Scotland</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Ellerbeck, Germany</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Surface</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Evanton (Scotland), United Kingdom</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Horten, Norway</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Kongsberg, Norway</w:t>
            </w: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Subsea, Surface</w:t>
            </w:r>
          </w:p>
        </w:tc>
      </w:tr>
      <w:tr>
        <w:trPr>
          <w:trHeight w:val="27"/>
        </w:trPr>
        <w:tc>
          <w:tcPr>
            <w:tcW w:w="48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 Trait, France</w:t>
            </w:r>
          </w:p>
        </w:tc>
        <w:tc>
          <w:tcPr>
            <w:tcW w:w="2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Subsea</w:t>
            </w:r>
          </w:p>
        </w:tc>
      </w:tr>
      <w:tr>
        <w:trPr>
          <w:trHeight w:val="459"/>
        </w:trPr>
        <w:tc>
          <w:tcPr>
            <w:tcW w:w="4860" w:type="dxa"/>
            <w:vAlign w:val="bottom"/>
          </w:tcPr>
          <w:p>
            <w:pPr>
              <w:spacing w:after="0"/>
              <w:rPr>
                <w:sz w:val="24"/>
                <w:szCs w:val="24"/>
                <w:color w:val="auto"/>
              </w:rPr>
            </w:pPr>
          </w:p>
        </w:tc>
        <w:tc>
          <w:tcPr>
            <w:tcW w:w="2800" w:type="dxa"/>
            <w:vAlign w:val="bottom"/>
          </w:tcPr>
          <w:p>
            <w:pPr>
              <w:jc w:val="right"/>
              <w:ind w:right="17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380"/>
              <w:spacing w:after="0"/>
              <w:rPr>
                <w:sz w:val="20"/>
                <w:szCs w:val="20"/>
                <w:color w:val="auto"/>
              </w:rPr>
            </w:pPr>
            <w:r>
              <w:rPr>
                <w:rFonts w:ascii="Arial" w:cs="Arial" w:eastAsia="Arial" w:hAnsi="Arial"/>
                <w:sz w:val="18"/>
                <w:szCs w:val="18"/>
                <w:color w:val="auto"/>
              </w:rPr>
              <w:t>London, United Kingdom</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 Onshore/Offshore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Lyon, France</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Newcastle, United Kingdom</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Orkanger, Norway</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Oslo, Norway</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Paris, France</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 Onshore/Offshore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Pori (Mäntyluoto), Finland</w:t>
            </w:r>
          </w:p>
        </w:tc>
        <w:tc>
          <w:tcPr>
            <w:tcW w:w="6880" w:type="dxa"/>
            <w:vAlign w:val="bottom"/>
          </w:tcPr>
          <w:p>
            <w:pPr>
              <w:ind w:left="3260"/>
              <w:spacing w:after="0"/>
              <w:rPr>
                <w:sz w:val="20"/>
                <w:szCs w:val="20"/>
                <w:color w:val="auto"/>
              </w:rPr>
            </w:pPr>
            <w:r>
              <w:rPr>
                <w:rFonts w:ascii="Arial" w:cs="Arial" w:eastAsia="Arial" w:hAnsi="Arial"/>
                <w:sz w:val="18"/>
                <w:szCs w:val="18"/>
                <w:color w:val="auto"/>
              </w:rPr>
              <w:t>Onshore/Offshore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Rome, Italy</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Onshore/Offshore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Schoonebeck, Netherlands</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Sens, France</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Stavanger, Norway</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 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Zoetermeer, Netherlands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Onshore/Offshore</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Middle East</w:t>
            </w:r>
          </w:p>
        </w:tc>
        <w:tc>
          <w:tcPr>
            <w:tcW w:w="68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Abu Dhabi, United Arab Emirates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Onshore/Offshore, 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Dammam, Saudi Arabia</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North America</w:t>
            </w:r>
          </w:p>
        </w:tc>
        <w:tc>
          <w:tcPr>
            <w:tcW w:w="68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Brighton (Colorado), United States</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Corpus Christi (Texas), United States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Davis (California), United States</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Houston (Texas), United States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 Onshore/Offshore, 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Edmonton (Alberta), Canada</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Erie (Pennsylvania), United States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Odessa (Texas), United States</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Oklahoma City (Oklahoma), United States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San Antonio (Texas), United States</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Stephenville (Texas), United States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St. John’s (Newfoundland), Canada</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Theodore (Alabama), United States</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South America</w:t>
            </w:r>
          </w:p>
        </w:tc>
        <w:tc>
          <w:tcPr>
            <w:tcW w:w="68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Bogota, Colombia</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Onshore/Offshore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Macaé, Brazil</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Maracaibo, Venezuela</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Neuquén, Argentina</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Rio de Janeiro, Brazil</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 Surface</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São João da Barra, Brazil</w:t>
            </w:r>
          </w:p>
        </w:tc>
        <w:tc>
          <w:tcPr>
            <w:tcW w:w="6880" w:type="dxa"/>
            <w:vAlign w:val="bottom"/>
          </w:tcPr>
          <w:p>
            <w:pPr>
              <w:ind w:left="3260"/>
              <w:spacing w:after="0"/>
              <w:rPr>
                <w:sz w:val="20"/>
                <w:szCs w:val="20"/>
                <w:color w:val="auto"/>
              </w:rPr>
            </w:pPr>
            <w:r>
              <w:rPr>
                <w:rFonts w:ascii="Arial" w:cs="Arial" w:eastAsia="Arial" w:hAnsi="Arial"/>
                <w:sz w:val="18"/>
                <w:szCs w:val="18"/>
                <w:color w:val="auto"/>
              </w:rPr>
              <w:t>Subsea</w:t>
            </w:r>
          </w:p>
        </w:tc>
      </w:tr>
      <w:tr>
        <w:trPr>
          <w:trHeight w:val="27"/>
        </w:trPr>
        <w:tc>
          <w:tcPr>
            <w:tcW w:w="4540" w:type="dxa"/>
            <w:vAlign w:val="bottom"/>
          </w:tcPr>
          <w:p>
            <w:pPr>
              <w:spacing w:after="0"/>
              <w:rPr>
                <w:sz w:val="2"/>
                <w:szCs w:val="2"/>
                <w:color w:val="auto"/>
              </w:rPr>
            </w:pPr>
          </w:p>
        </w:tc>
        <w:tc>
          <w:tcPr>
            <w:tcW w:w="6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Vitória, Brazil</w:t>
            </w:r>
          </w:p>
        </w:tc>
        <w:tc>
          <w:tcPr>
            <w:tcW w:w="6880" w:type="dxa"/>
            <w:vAlign w:val="bottom"/>
            <w:tcBorders>
              <w:bottom w:val="single" w:sz="8" w:color="CCEEFF"/>
            </w:tcBorders>
            <w:shd w:val="clear" w:color="auto" w:fill="CCEEFF"/>
          </w:tcPr>
          <w:p>
            <w:pPr>
              <w:ind w:left="3260"/>
              <w:spacing w:after="0"/>
              <w:rPr>
                <w:sz w:val="20"/>
                <w:szCs w:val="20"/>
                <w:color w:val="auto"/>
              </w:rPr>
            </w:pPr>
            <w:r>
              <w:rPr>
                <w:rFonts w:ascii="Arial" w:cs="Arial" w:eastAsia="Arial" w:hAnsi="Arial"/>
                <w:sz w:val="18"/>
                <w:szCs w:val="18"/>
                <w:color w:val="auto"/>
              </w:rPr>
              <w:t>Subsea</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Yogal, Colombia</w:t>
            </w:r>
          </w:p>
        </w:tc>
        <w:tc>
          <w:tcPr>
            <w:tcW w:w="6880" w:type="dxa"/>
            <w:vAlign w:val="bottom"/>
          </w:tcPr>
          <w:p>
            <w:pPr>
              <w:ind w:left="3260"/>
              <w:spacing w:after="0"/>
              <w:rPr>
                <w:sz w:val="20"/>
                <w:szCs w:val="20"/>
                <w:color w:val="auto"/>
              </w:rPr>
            </w:pPr>
            <w:r>
              <w:rPr>
                <w:rFonts w:ascii="Arial" w:cs="Arial" w:eastAsia="Arial" w:hAnsi="Arial"/>
                <w:sz w:val="18"/>
                <w:szCs w:val="18"/>
                <w:color w:val="auto"/>
              </w:rPr>
              <w:t>Surface</w:t>
            </w:r>
          </w:p>
        </w:tc>
      </w:tr>
      <w:tr>
        <w:trPr>
          <w:trHeight w:val="486"/>
        </w:trPr>
        <w:tc>
          <w:tcPr>
            <w:tcW w:w="4540" w:type="dxa"/>
            <w:vAlign w:val="bottom"/>
          </w:tcPr>
          <w:p>
            <w:pPr>
              <w:spacing w:after="0"/>
              <w:rPr>
                <w:sz w:val="24"/>
                <w:szCs w:val="24"/>
                <w:color w:val="auto"/>
              </w:rPr>
            </w:pPr>
          </w:p>
        </w:tc>
        <w:tc>
          <w:tcPr>
            <w:tcW w:w="6880" w:type="dxa"/>
            <w:vAlign w:val="bottom"/>
          </w:tcPr>
          <w:p>
            <w:pPr>
              <w:ind w:left="108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shows marine vessels in which we held an interestor operated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Vessel Name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Vessel Type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Special Equipment</w:t>
            </w: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Deep Blue</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Reeled pipelay/flexible pipelay/umbilical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Deep Energy</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Pr>
          <w:p>
            <w:pPr>
              <w:ind w:left="20"/>
              <w:spacing w:after="0"/>
              <w:rPr>
                <w:sz w:val="20"/>
                <w:szCs w:val="20"/>
                <w:color w:val="auto"/>
              </w:rPr>
            </w:pPr>
            <w:r>
              <w:rPr>
                <w:rFonts w:ascii="Arial" w:cs="Arial" w:eastAsia="Arial" w:hAnsi="Arial"/>
                <w:sz w:val="18"/>
                <w:szCs w:val="18"/>
                <w:color w:val="auto"/>
              </w:rPr>
              <w:t>Reeled pipelay/flexible pipelay/umbilical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Apache II</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Reeled pipelay/umbilical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Global 1200</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PLSV/HCV</w:t>
            </w:r>
          </w:p>
        </w:tc>
        <w:tc>
          <w:tcPr>
            <w:tcW w:w="5240" w:type="dxa"/>
            <w:vAlign w:val="bottom"/>
          </w:tcPr>
          <w:p>
            <w:pPr>
              <w:ind w:left="20"/>
              <w:spacing w:after="0"/>
              <w:rPr>
                <w:sz w:val="20"/>
                <w:szCs w:val="20"/>
                <w:color w:val="auto"/>
              </w:rPr>
            </w:pPr>
            <w:r>
              <w:rPr>
                <w:rFonts w:ascii="Arial" w:cs="Arial" w:eastAsia="Arial" w:hAnsi="Arial"/>
                <w:sz w:val="18"/>
                <w:szCs w:val="18"/>
                <w:color w:val="auto"/>
              </w:rPr>
              <w:t>Conventional pipelay/Heavy handling operations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Global 1201</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PLSV/HCV</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Conventional pipelay/Heavy handling operations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Deep Orient</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HCV</w:t>
            </w:r>
          </w:p>
        </w:tc>
        <w:tc>
          <w:tcPr>
            <w:tcW w:w="5240" w:type="dxa"/>
            <w:vAlign w:val="bottom"/>
          </w:tcPr>
          <w:p>
            <w:pPr>
              <w:ind w:left="20"/>
              <w:spacing w:after="0"/>
              <w:rPr>
                <w:sz w:val="20"/>
                <w:szCs w:val="20"/>
                <w:color w:val="auto"/>
              </w:rPr>
            </w:pPr>
            <w:r>
              <w:rPr>
                <w:rFonts w:ascii="Arial" w:cs="Arial" w:eastAsia="Arial" w:hAnsi="Arial"/>
                <w:sz w:val="18"/>
                <w:szCs w:val="18"/>
                <w:color w:val="auto"/>
              </w:rPr>
              <w:t>Construction/installation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North Sea Atlantic </w:t>
            </w:r>
            <w:r>
              <w:rPr>
                <w:rFonts w:ascii="Arial" w:cs="Arial" w:eastAsia="Arial" w:hAnsi="Arial"/>
                <w:sz w:val="25"/>
                <w:szCs w:val="25"/>
                <w:color w:val="auto"/>
                <w:vertAlign w:val="superscript"/>
              </w:rPr>
              <w:t>(1)</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HCV</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Construction/installation systems</w:t>
            </w:r>
          </w:p>
        </w:tc>
      </w:tr>
      <w:tr>
        <w:trPr>
          <w:trHeight w:val="270"/>
        </w:trPr>
        <w:tc>
          <w:tcPr>
            <w:tcW w:w="4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Skandi Africa </w:t>
            </w:r>
            <w:r>
              <w:rPr>
                <w:rFonts w:ascii="Arial" w:cs="Arial" w:eastAsia="Arial" w:hAnsi="Arial"/>
                <w:sz w:val="25"/>
                <w:szCs w:val="25"/>
                <w:color w:val="auto"/>
                <w:vertAlign w:val="superscript"/>
              </w:rPr>
              <w:t>(1)</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HCV</w:t>
            </w:r>
          </w:p>
        </w:tc>
        <w:tc>
          <w:tcPr>
            <w:tcW w:w="5240" w:type="dxa"/>
            <w:vAlign w:val="bottom"/>
          </w:tcPr>
          <w:p>
            <w:pPr>
              <w:ind w:left="20"/>
              <w:spacing w:after="0"/>
              <w:rPr>
                <w:sz w:val="20"/>
                <w:szCs w:val="20"/>
                <w:color w:val="auto"/>
              </w:rPr>
            </w:pPr>
            <w:r>
              <w:rPr>
                <w:rFonts w:ascii="Arial" w:cs="Arial" w:eastAsia="Arial" w:hAnsi="Arial"/>
                <w:sz w:val="18"/>
                <w:szCs w:val="18"/>
                <w:color w:val="auto"/>
              </w:rPr>
              <w:t>Construction/installation systems</w:t>
            </w: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North Sea Giant </w:t>
            </w:r>
            <w:r>
              <w:rPr>
                <w:rFonts w:ascii="Arial" w:cs="Arial" w:eastAsia="Arial" w:hAnsi="Arial"/>
                <w:sz w:val="25"/>
                <w:szCs w:val="25"/>
                <w:color w:val="auto"/>
                <w:vertAlign w:val="superscript"/>
              </w:rPr>
              <w:t>(1)</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HCV</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Construction/installation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Deep Arctic</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DSV/HCV</w:t>
            </w:r>
          </w:p>
        </w:tc>
        <w:tc>
          <w:tcPr>
            <w:tcW w:w="5240" w:type="dxa"/>
            <w:vAlign w:val="bottom"/>
          </w:tcPr>
          <w:p>
            <w:pPr>
              <w:ind w:left="20"/>
              <w:spacing w:after="0"/>
              <w:rPr>
                <w:sz w:val="20"/>
                <w:szCs w:val="20"/>
                <w:color w:val="auto"/>
              </w:rPr>
            </w:pPr>
            <w:r>
              <w:rPr>
                <w:rFonts w:ascii="Arial" w:cs="Arial" w:eastAsia="Arial" w:hAnsi="Arial"/>
                <w:sz w:val="18"/>
                <w:szCs w:val="18"/>
                <w:color w:val="auto"/>
              </w:rPr>
              <w:t>Diver support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Wellservicer </w:t>
            </w:r>
            <w:r>
              <w:rPr>
                <w:rFonts w:ascii="Arial" w:cs="Arial" w:eastAsia="Arial" w:hAnsi="Arial"/>
                <w:sz w:val="25"/>
                <w:szCs w:val="25"/>
                <w:color w:val="auto"/>
                <w:vertAlign w:val="superscript"/>
              </w:rPr>
              <w:t>(3)</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DSV/HCV</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Diver support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Deep Explorer</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DSV/HCV</w:t>
            </w:r>
          </w:p>
        </w:tc>
        <w:tc>
          <w:tcPr>
            <w:tcW w:w="5240" w:type="dxa"/>
            <w:vAlign w:val="bottom"/>
          </w:tcPr>
          <w:p>
            <w:pPr>
              <w:ind w:left="20"/>
              <w:spacing w:after="0"/>
              <w:rPr>
                <w:sz w:val="20"/>
                <w:szCs w:val="20"/>
                <w:color w:val="auto"/>
              </w:rPr>
            </w:pPr>
            <w:r>
              <w:rPr>
                <w:rFonts w:ascii="Arial" w:cs="Arial" w:eastAsia="Arial" w:hAnsi="Arial"/>
                <w:sz w:val="18"/>
                <w:szCs w:val="18"/>
                <w:color w:val="auto"/>
              </w:rPr>
              <w:t>Diver support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Skandi Vitória</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Skandi Niterói</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Coral do Atlantico</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Estrela do Mar</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Skandi Açu</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Skandi Búzios</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Skandi Olinda </w:t>
            </w:r>
            <w:r>
              <w:rPr>
                <w:rFonts w:ascii="Arial" w:cs="Arial" w:eastAsia="Arial" w:hAnsi="Arial"/>
                <w:sz w:val="25"/>
                <w:szCs w:val="25"/>
                <w:color w:val="auto"/>
                <w:vertAlign w:val="superscript"/>
              </w:rPr>
              <w:t>(2)</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PLSV</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8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 xml:space="preserve">Skandi Recife </w:t>
            </w:r>
            <w:r>
              <w:rPr>
                <w:rFonts w:ascii="Arial" w:cs="Arial" w:eastAsia="Arial" w:hAnsi="Arial"/>
                <w:sz w:val="25"/>
                <w:szCs w:val="25"/>
                <w:color w:val="auto"/>
                <w:vertAlign w:val="superscript"/>
              </w:rPr>
              <w:t>(2)</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PLSV</w:t>
            </w:r>
          </w:p>
        </w:tc>
        <w:tc>
          <w:tcPr>
            <w:tcW w:w="5240" w:type="dxa"/>
            <w:vAlign w:val="bottom"/>
          </w:tcPr>
          <w:p>
            <w:pPr>
              <w:ind w:left="20"/>
              <w:spacing w:after="0"/>
              <w:rPr>
                <w:sz w:val="20"/>
                <w:szCs w:val="20"/>
                <w:color w:val="auto"/>
              </w:rPr>
            </w:pPr>
            <w:r>
              <w:rPr>
                <w:rFonts w:ascii="Arial" w:cs="Arial" w:eastAsia="Arial" w:hAnsi="Arial"/>
                <w:sz w:val="18"/>
                <w:szCs w:val="18"/>
                <w:color w:val="auto"/>
              </w:rPr>
              <w:t>Flexible pipelay/umbilical systems</w:t>
            </w: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tcPr>
          <w:p>
            <w:pPr>
              <w:spacing w:after="0"/>
              <w:rPr>
                <w:sz w:val="17"/>
                <w:szCs w:val="17"/>
                <w:color w:val="auto"/>
              </w:rPr>
            </w:pPr>
          </w:p>
        </w:tc>
      </w:tr>
    </w:tbl>
    <w:p>
      <w:pPr>
        <w:ind w:left="420" w:hanging="398"/>
        <w:spacing w:after="0" w:line="230" w:lineRule="auto"/>
        <w:tabs>
          <w:tab w:leader="none" w:pos="42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Vessels under long term charter.</w:t>
      </w:r>
    </w:p>
    <w:p>
      <w:pPr>
        <w:spacing w:after="0" w:line="51" w:lineRule="exact"/>
        <w:rPr>
          <w:rFonts w:ascii="Arial" w:cs="Arial" w:eastAsia="Arial" w:hAnsi="Arial"/>
          <w:sz w:val="22"/>
          <w:szCs w:val="22"/>
          <w:color w:val="auto"/>
          <w:vertAlign w:val="superscript"/>
        </w:rPr>
      </w:pPr>
    </w:p>
    <w:p>
      <w:pPr>
        <w:ind w:left="420" w:hanging="398"/>
        <w:spacing w:after="0" w:line="182" w:lineRule="auto"/>
        <w:tabs>
          <w:tab w:leader="none" w:pos="42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Vessel under construction.</w:t>
      </w:r>
    </w:p>
    <w:p>
      <w:pPr>
        <w:spacing w:after="0" w:line="51" w:lineRule="exact"/>
        <w:rPr>
          <w:rFonts w:ascii="Arial" w:cs="Arial" w:eastAsia="Arial" w:hAnsi="Arial"/>
          <w:sz w:val="22"/>
          <w:szCs w:val="22"/>
          <w:color w:val="auto"/>
          <w:vertAlign w:val="superscript"/>
        </w:rPr>
      </w:pPr>
    </w:p>
    <w:p>
      <w:pPr>
        <w:ind w:left="420" w:hanging="398"/>
        <w:spacing w:after="0" w:line="182" w:lineRule="auto"/>
        <w:tabs>
          <w:tab w:leader="none" w:pos="42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Vessels held for sale.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PLSV: Pipelay Support Vessel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HCV: Heavy Duty Construction Vessel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LCV: Light Construction Vessel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DSV: Diving Support Vessel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MSV: Multi Service Vessel</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TechncipFMC,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Our ordinary shares are listed on the NYSE and the regulated market of Euronext Paris, in each case trading under the “FTI” symbol. Prior to the Merger, FMC Technologies common stock was quoted on the NYSE under the FTI symbol and Technip ordinary shares were listed on Euronext Paris. FMC Technologies common stock and Technip ordinary shares were suspended from trading on the NYSE and Euronext Paris, respectively, prior to the open of trading on January 17, 2017. The share prices shown in the table below prior to the Merger reflect FMC Technologies common stock prices under the FTI symbol on the NYSE.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3"/>
              </w:rPr>
              <w:t>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2016</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Qtr.</w:t>
            </w:r>
          </w:p>
        </w:tc>
        <w:tc>
          <w:tcPr>
            <w:tcW w:w="200" w:type="dxa"/>
            <w:vAlign w:val="bottom"/>
          </w:tcPr>
          <w:p>
            <w:pPr>
              <w:spacing w:after="0"/>
              <w:rPr>
                <w:sz w:val="22"/>
                <w:szCs w:val="22"/>
                <w:color w:val="auto"/>
              </w:rPr>
            </w:pPr>
          </w:p>
        </w:tc>
        <w:tc>
          <w:tcPr>
            <w:tcW w:w="740" w:type="dxa"/>
            <w:vAlign w:val="bottom"/>
          </w:tcPr>
          <w:p>
            <w:pPr>
              <w:jc w:val="right"/>
              <w:ind w:right="96"/>
              <w:spacing w:after="0"/>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Qtr.</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1st Qtr.</w:t>
            </w:r>
          </w:p>
        </w:tc>
        <w:tc>
          <w:tcPr>
            <w:tcW w:w="18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Qtr.</w:t>
            </w:r>
          </w:p>
        </w:tc>
        <w:tc>
          <w:tcPr>
            <w:tcW w:w="200" w:type="dxa"/>
            <w:vAlign w:val="bottom"/>
          </w:tcPr>
          <w:p>
            <w:pPr>
              <w:spacing w:after="0"/>
              <w:rPr>
                <w:sz w:val="22"/>
                <w:szCs w:val="22"/>
                <w:color w:val="auto"/>
              </w:rPr>
            </w:pPr>
          </w:p>
        </w:tc>
        <w:tc>
          <w:tcPr>
            <w:tcW w:w="740" w:type="dxa"/>
            <w:vAlign w:val="bottom"/>
          </w:tcPr>
          <w:p>
            <w:pPr>
              <w:jc w:val="right"/>
              <w:ind w:right="96"/>
              <w:spacing w:after="0"/>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2nd Qtr.</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1st Qtr.</w:t>
            </w: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closing price: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420" w:type="dxa"/>
            <w:vAlign w:val="bottom"/>
          </w:tcPr>
          <w:p>
            <w:pPr>
              <w:ind w:left="380"/>
              <w:spacing w:after="0"/>
              <w:rPr>
                <w:sz w:val="20"/>
                <w:szCs w:val="20"/>
                <w:color w:val="auto"/>
              </w:rPr>
            </w:pPr>
            <w:r>
              <w:rPr>
                <w:rFonts w:ascii="Arial" w:cs="Arial" w:eastAsia="Arial" w:hAnsi="Arial"/>
                <w:sz w:val="18"/>
                <w:szCs w:val="18"/>
                <w:color w:val="auto"/>
              </w:rPr>
              <w:t>High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28.89</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30.49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29.22</w:t>
            </w: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Low</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22.77</w:t>
            </w:r>
          </w:p>
        </w:tc>
      </w:tr>
      <w:tr>
        <w:trPr>
          <w:trHeight w:val="135"/>
        </w:trPr>
        <w:tc>
          <w:tcPr>
            <w:tcW w:w="3580" w:type="dxa"/>
            <w:vAlign w:val="bottom"/>
            <w:gridSpan w:val="4"/>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3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Closing share price at December 29, 2017</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31.31</w:t>
            </w:r>
          </w:p>
        </w:tc>
      </w:tr>
      <w:tr>
        <w:trPr>
          <w:trHeight w:val="243"/>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Closing share price at March 27, 2018</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29.00</w:t>
            </w:r>
          </w:p>
        </w:tc>
      </w:tr>
      <w:tr>
        <w:trPr>
          <w:trHeight w:val="27"/>
        </w:trPr>
        <w:tc>
          <w:tcPr>
            <w:tcW w:w="4940" w:type="dxa"/>
            <w:vAlign w:val="bottom"/>
            <w:gridSpan w:val="9"/>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4940" w:type="dxa"/>
            <w:vAlign w:val="bottom"/>
            <w:gridSpan w:val="9"/>
            <w:shd w:val="clear" w:color="auto" w:fill="CCEEFF"/>
          </w:tcPr>
          <w:p>
            <w:pPr>
              <w:ind w:left="40"/>
              <w:spacing w:after="0"/>
              <w:rPr>
                <w:sz w:val="20"/>
                <w:szCs w:val="20"/>
                <w:color w:val="auto"/>
              </w:rPr>
            </w:pPr>
            <w:r>
              <w:rPr>
                <w:rFonts w:ascii="Arial" w:cs="Arial" w:eastAsia="Arial" w:hAnsi="Arial"/>
                <w:sz w:val="18"/>
                <w:szCs w:val="18"/>
                <w:color w:val="auto"/>
                <w:w w:val="90"/>
              </w:rPr>
              <w:t>Number of ordinary share stockholders of record at March 27, 2018</w:t>
            </w: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697</w:t>
            </w:r>
          </w:p>
        </w:tc>
      </w:tr>
      <w:tr>
        <w:trPr>
          <w:trHeight w:val="27"/>
        </w:trPr>
        <w:tc>
          <w:tcPr>
            <w:tcW w:w="2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during the year ended December 31, 2017 were $60.6 million.</w:t>
      </w:r>
    </w:p>
    <w:p>
      <w:pPr>
        <w:spacing w:after="0" w:line="11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Dividends declared and paid during the year ended December 31, 2016, based on the results of the year ended December 31, 2015, were €236.6 million. The dividends were paid in cash and shares in the amount of €100.8 million and €135.8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our securities authorized for issuance under equity compensation plans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Weighted Average</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Remaining Available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40"/>
              <w:spacing w:after="0"/>
              <w:rPr>
                <w:sz w:val="20"/>
                <w:szCs w:val="20"/>
                <w:color w:val="auto"/>
              </w:rPr>
            </w:pPr>
            <w:r>
              <w:rPr>
                <w:rFonts w:ascii="Arial" w:cs="Arial" w:eastAsia="Arial" w:hAnsi="Arial"/>
                <w:sz w:val="18"/>
                <w:szCs w:val="18"/>
                <w:color w:val="auto"/>
              </w:rPr>
              <w:t>(shares in thousands)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Warrants and Rights</w:t>
            </w:r>
          </w:p>
        </w:tc>
        <w:tc>
          <w:tcPr>
            <w:tcW w:w="12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Compensation Plans</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4,883.8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36.35</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30,284.5</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4,883.8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36.35</w:t>
            </w: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30,284.5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right="40" w:hanging="652"/>
        <w:spacing w:after="0" w:line="276"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The table includes our ordinary shares available for future issuance under the TechnipFMC plc Incentive Award Plan as well as plans approved prior to, and still active on the date of, the Merger. This number includes 3,170.5 thousand shares available for issuance for non-vested share awards that vest after December 31, 2017 under the TechnipFMC plc Incentive Award Plan, and 6,184.5 thousand shares issued under plans approved prior to the merger that vest after December 31,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Issuer Purchases of Equity Securities</w:t>
            </w:r>
          </w:p>
        </w:tc>
        <w:tc>
          <w:tcPr>
            <w:tcW w:w="15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58"/>
        </w:trPr>
        <w:tc>
          <w:tcPr>
            <w:tcW w:w="4240" w:type="dxa"/>
            <w:vAlign w:val="bottom"/>
            <w:gridSpan w:val="4"/>
            <w:vMerge w:val="continue"/>
          </w:tcPr>
          <w:p>
            <w:pPr>
              <w:spacing w:after="0"/>
              <w:rPr>
                <w:sz w:val="13"/>
                <w:szCs w:val="13"/>
                <w:color w:val="auto"/>
              </w:rPr>
            </w:pP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12"/>
                <w:szCs w:val="12"/>
                <w:b w:val="1"/>
                <w:bCs w:val="1"/>
                <w:color w:val="auto"/>
                <w:w w:val="93"/>
              </w:rPr>
              <w:t>(a)</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or Programs </w:t>
            </w:r>
            <w:r>
              <w:rPr>
                <w:rFonts w:ascii="Arial" w:cs="Arial" w:eastAsia="Arial" w:hAnsi="Arial"/>
                <w:sz w:val="12"/>
                <w:szCs w:val="12"/>
                <w:b w:val="1"/>
                <w:bCs w:val="1"/>
                <w:color w:val="auto"/>
                <w:w w:val="95"/>
              </w:rPr>
              <w:t>(b)</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October 1, 2017 – October 31,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732,500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732,100</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17,642,911</w:t>
            </w:r>
          </w:p>
        </w:tc>
        <w:tc>
          <w:tcPr>
            <w:tcW w:w="0" w:type="dxa"/>
            <w:vAlign w:val="bottom"/>
          </w:tcPr>
          <w:p>
            <w:pPr>
              <w:spacing w:after="0"/>
              <w:rPr>
                <w:sz w:val="1"/>
                <w:szCs w:val="1"/>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November 1, 2017 – November 30, 2017</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668,100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21"/>
                <w:szCs w:val="21"/>
                <w:color w:val="auto"/>
              </w:rPr>
            </w:pPr>
          </w:p>
        </w:tc>
        <w:tc>
          <w:tcPr>
            <w:tcW w:w="1720" w:type="dxa"/>
            <w:vAlign w:val="bottom"/>
          </w:tcPr>
          <w:p>
            <w:pPr>
              <w:jc w:val="right"/>
              <w:ind w:right="40"/>
              <w:spacing w:after="0"/>
              <w:rPr>
                <w:sz w:val="20"/>
                <w:szCs w:val="20"/>
                <w:color w:val="auto"/>
              </w:rPr>
            </w:pPr>
            <w:r>
              <w:rPr>
                <w:rFonts w:ascii="Arial" w:cs="Arial" w:eastAsia="Arial" w:hAnsi="Arial"/>
                <w:sz w:val="18"/>
                <w:szCs w:val="18"/>
                <w:color w:val="auto"/>
              </w:rPr>
              <w:t>667,740</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16,975,171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1, 2017 – December 31,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583,580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583,000</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16,392,171</w:t>
            </w:r>
          </w:p>
        </w:tc>
        <w:tc>
          <w:tcPr>
            <w:tcW w:w="0" w:type="dxa"/>
            <w:vAlign w:val="bottom"/>
          </w:tcPr>
          <w:p>
            <w:pPr>
              <w:spacing w:after="0"/>
              <w:rPr>
                <w:sz w:val="1"/>
                <w:szCs w:val="1"/>
                <w:color w:val="auto"/>
              </w:rPr>
            </w:pPr>
          </w:p>
        </w:tc>
      </w:tr>
      <w:tr>
        <w:trPr>
          <w:trHeight w:val="257"/>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1,984,180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1,982,840</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16,392,171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jc w:val="right"/>
              <w:ind w:right="7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______________________________</w:t>
      </w:r>
    </w:p>
    <w:p>
      <w:pPr>
        <w:spacing w:after="0" w:line="135" w:lineRule="exact"/>
        <w:rPr>
          <w:sz w:val="20"/>
          <w:szCs w:val="20"/>
          <w:color w:val="auto"/>
        </w:rPr>
      </w:pPr>
    </w:p>
    <w:p>
      <w:pPr>
        <w:ind w:left="660" w:right="100" w:hanging="652"/>
        <w:spacing w:after="0" w:line="255" w:lineRule="auto"/>
        <w:tabs>
          <w:tab w:leader="none" w:pos="660"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Represents 1,982,840 ordinary shares purchased and canceled and 1,340 ordinary shares purchased and held in an employee benefit trust established for the FMC Technologies, Inc. Non-Qualified Savings and Investment Plan (the “Non-Qualified Plan”). In addition to these shares purchased on the open market, we sold 6,680 registered ordinary shares held in this trust, as directed by the beneficiaries during the three months ended December 31, 2017.</w:t>
      </w:r>
    </w:p>
    <w:p>
      <w:pPr>
        <w:spacing w:after="0" w:line="108" w:lineRule="exact"/>
        <w:rPr>
          <w:rFonts w:ascii="Arial" w:cs="Arial" w:eastAsia="Arial" w:hAnsi="Arial"/>
          <w:sz w:val="23"/>
          <w:szCs w:val="23"/>
          <w:color w:val="auto"/>
          <w:vertAlign w:val="superscript"/>
        </w:rPr>
      </w:pPr>
    </w:p>
    <w:p>
      <w:pPr>
        <w:ind w:left="660" w:hanging="652"/>
        <w:spacing w:after="0" w:line="233"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In April 2017, we announced a repurchase plan approved by our Board of Directors authorizing up to $500 million to repurchase shares of our issued and outstanding ordinary shares through open market purchases. Following a court-approved reduction of our capital, we implemented our share repurchase program on September 25, 2017.</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tables set forth selected financial data of the Company for each of the three years in the period ended December 31, 2017. This information should be read in conjunction with Part I, Item 1 “Business,” Part II, Item 7 “Management’s Discussion and Analysis of Financial Condition and Results of Operations” and the audited consolidated financial statements and notes thereto included in Part II, Item 8 of this Annual Report on Form 10-K. Financial data for 2013 and 2014 is only available in International Financial Reporting Standards (“IFRS”), has not previously been required to be presented by the host country regulator, and cannot be provided in GAAP without unreasonable effort or expense.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4"/>
                <w:szCs w:val="14"/>
                <w:color w:val="auto"/>
              </w:rPr>
            </w:pPr>
          </w:p>
        </w:tc>
        <w:tc>
          <w:tcPr>
            <w:tcW w:w="11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8"/>
        </w:trPr>
        <w:tc>
          <w:tcPr>
            <w:tcW w:w="708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708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Statement of income data:</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15,056.9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9,199.6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11,471.9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14,091.7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8,743.6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11,198.3</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Net income attributable to TechnipFMC plc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 from continuing operations attributable to TechnipFMC plc:</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Basic earnings per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477"/>
        </w:trPr>
        <w:tc>
          <w:tcPr>
            <w:tcW w:w="70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4"/>
                <w:szCs w:val="24"/>
                <w:color w:val="auto"/>
              </w:rPr>
            </w:pPr>
          </w:p>
        </w:tc>
        <w:tc>
          <w:tcPr>
            <w:tcW w:w="11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8"/>
        </w:trPr>
        <w:tc>
          <w:tcPr>
            <w:tcW w:w="708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708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28,263.7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18,679.3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14,953.6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Long-term debt, less current portion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1,869.3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2,005.0</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Total TechnipFMC plc stockholders’ equity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13,387.9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5,055.8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4,947.2</w:t>
            </w:r>
          </w:p>
        </w:tc>
        <w:tc>
          <w:tcPr>
            <w:tcW w:w="0" w:type="dxa"/>
            <w:vAlign w:val="bottom"/>
          </w:tcPr>
          <w:p>
            <w:pPr>
              <w:spacing w:after="0"/>
              <w:rPr>
                <w:sz w:val="1"/>
                <w:szCs w:val="1"/>
                <w:color w:val="auto"/>
              </w:rPr>
            </w:pPr>
          </w:p>
        </w:tc>
      </w:tr>
      <w:tr>
        <w:trPr>
          <w:trHeight w:val="321"/>
        </w:trPr>
        <w:tc>
          <w:tcPr>
            <w:tcW w:w="708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4"/>
                <w:szCs w:val="24"/>
                <w:color w:val="auto"/>
              </w:rPr>
            </w:pPr>
          </w:p>
        </w:tc>
        <w:tc>
          <w:tcPr>
            <w:tcW w:w="110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8"/>
        </w:trPr>
        <w:tc>
          <w:tcPr>
            <w:tcW w:w="708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708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Other financial information:</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54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255.7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312.9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325.5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Cash flows provided by operating activities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700.3</w:t>
            </w:r>
          </w:p>
        </w:tc>
        <w:tc>
          <w:tcPr>
            <w:tcW w:w="0" w:type="dxa"/>
            <w:vAlign w:val="bottom"/>
          </w:tcPr>
          <w:p>
            <w:pPr>
              <w:spacing w:after="0"/>
              <w:rPr>
                <w:sz w:val="1"/>
                <w:szCs w:val="1"/>
                <w:color w:val="auto"/>
              </w:rPr>
            </w:pPr>
          </w:p>
        </w:tc>
      </w:tr>
      <w:tr>
        <w:trPr>
          <w:trHeight w:val="270"/>
        </w:trPr>
        <w:tc>
          <w:tcPr>
            <w:tcW w:w="7080" w:type="dxa"/>
            <w:vAlign w:val="bottom"/>
            <w:gridSpan w:val="4"/>
          </w:tcPr>
          <w:p>
            <w:pPr>
              <w:ind w:left="40"/>
              <w:spacing w:after="0"/>
              <w:rPr>
                <w:sz w:val="20"/>
                <w:szCs w:val="20"/>
                <w:color w:val="auto"/>
              </w:rPr>
            </w:pPr>
            <w:r>
              <w:rPr>
                <w:rFonts w:ascii="Arial" w:cs="Arial" w:eastAsia="Arial" w:hAnsi="Arial"/>
                <w:sz w:val="16"/>
                <w:szCs w:val="16"/>
                <w:color w:val="auto"/>
              </w:rPr>
              <w:t xml:space="preserve">Net (debt) cash </w:t>
            </w:r>
            <w:r>
              <w:rPr>
                <w:rFonts w:ascii="Arial" w:cs="Arial" w:eastAsia="Arial" w:hAnsi="Arial"/>
                <w:sz w:val="21"/>
                <w:szCs w:val="21"/>
                <w:color w:val="auto"/>
                <w:vertAlign w:val="superscript"/>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2,882.4</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3,716.4</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270"/>
        </w:trPr>
        <w:tc>
          <w:tcPr>
            <w:tcW w:w="70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 xml:space="preserve">Order backlog </w:t>
            </w:r>
            <w:r>
              <w:rPr>
                <w:rFonts w:ascii="Arial" w:cs="Arial" w:eastAsia="Arial" w:hAnsi="Arial"/>
                <w:sz w:val="21"/>
                <w:szCs w:val="21"/>
                <w:color w:val="auto"/>
                <w:vertAlign w:val="superscript"/>
              </w:rPr>
              <w:t>(3)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12,982.8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15,002.0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18,475.5</w:t>
            </w:r>
          </w:p>
        </w:tc>
        <w:tc>
          <w:tcPr>
            <w:tcW w:w="0" w:type="dxa"/>
            <w:vAlign w:val="bottom"/>
          </w:tcPr>
          <w:p>
            <w:pPr>
              <w:spacing w:after="0"/>
              <w:rPr>
                <w:sz w:val="1"/>
                <w:szCs w:val="1"/>
                <w:color w:val="auto"/>
              </w:rPr>
            </w:pPr>
          </w:p>
        </w:tc>
      </w:tr>
      <w:tr>
        <w:trPr>
          <w:trHeight w:val="230"/>
        </w:trPr>
        <w:tc>
          <w:tcPr>
            <w:tcW w:w="7080" w:type="dxa"/>
            <w:vAlign w:val="bottom"/>
            <w:gridSpan w:val="4"/>
          </w:tcPr>
          <w:p>
            <w:pPr>
              <w:spacing w:after="0"/>
              <w:rPr>
                <w:sz w:val="20"/>
                <w:szCs w:val="20"/>
                <w:color w:val="auto"/>
              </w:rPr>
            </w:pPr>
            <w:r>
              <w:rPr>
                <w:rFonts w:ascii="Arial" w:cs="Arial" w:eastAsia="Arial" w:hAnsi="Arial"/>
                <w:sz w:val="18"/>
                <w:szCs w:val="18"/>
                <w:color w:val="auto"/>
              </w:rPr>
              <w:t>______________________________</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660" w:right="380" w:hanging="652"/>
        <w:spacing w:after="0" w:line="289"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The results of our operations for the year ended December 31, 2017 consist of the combined results of operations of Technip and FMC Technologies. Due to the Merger, FMC Technologies’ results of operations have been included in our financial statements for periods subsequent to the consummation of the merger on January 16, 2017 and as result data presented for the year December 31, 2017 is not comparable to actual results presented in prior periods. Since Technip was identified as the accounting acquiree for the Merger, our actual results for the years ended December 31, 2016 and December 31, 2015 represent Technip only.</w:t>
      </w:r>
    </w:p>
    <w:p>
      <w:pPr>
        <w:spacing w:after="0" w:line="72" w:lineRule="exact"/>
        <w:rPr>
          <w:rFonts w:ascii="Arial" w:cs="Arial" w:eastAsia="Arial" w:hAnsi="Arial"/>
          <w:sz w:val="22"/>
          <w:szCs w:val="22"/>
          <w:color w:val="auto"/>
          <w:vertAlign w:val="superscript"/>
        </w:rPr>
      </w:pPr>
    </w:p>
    <w:p>
      <w:pPr>
        <w:jc w:val="both"/>
        <w:ind w:left="660" w:right="60"/>
        <w:spacing w:after="0" w:line="261" w:lineRule="auto"/>
        <w:rPr>
          <w:rFonts w:ascii="Arial" w:cs="Arial" w:eastAsia="Arial" w:hAnsi="Arial"/>
          <w:sz w:val="22"/>
          <w:szCs w:val="22"/>
          <w:color w:val="auto"/>
          <w:vertAlign w:val="superscript"/>
        </w:rPr>
      </w:pPr>
      <w:r>
        <w:rPr>
          <w:rFonts w:ascii="Arial" w:cs="Arial" w:eastAsia="Arial" w:hAnsi="Arial"/>
          <w:sz w:val="16"/>
          <w:szCs w:val="16"/>
          <w:color w:val="auto"/>
        </w:rPr>
        <w:t>Refer to Note 2 to our consolidated financial statements included in Part II, Item 8 of this Annual Report on Form 10-K for further information related to the Merger. In order to provide for improved comparability of the 2017 actual results, unaudited pro forma results for 2016 are presented in Part II, Item 7 of this Annual Report on Form 10-K.</w:t>
      </w:r>
    </w:p>
    <w:p>
      <w:pPr>
        <w:spacing w:after="0" w:line="75" w:lineRule="exact"/>
        <w:rPr>
          <w:rFonts w:ascii="Arial" w:cs="Arial" w:eastAsia="Arial" w:hAnsi="Arial"/>
          <w:sz w:val="22"/>
          <w:szCs w:val="22"/>
          <w:color w:val="auto"/>
          <w:vertAlign w:val="superscript"/>
        </w:rPr>
      </w:pPr>
    </w:p>
    <w:p>
      <w:pPr>
        <w:ind w:left="660" w:right="40" w:hanging="652"/>
        <w:spacing w:after="0" w:line="225"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Net (debt) cash consists of cash and cash equivalents less short-term debt, long-term debt and the current portion of long-term debt. Net (debt) cash is a non-GAAP measure that management uses to evaluate our capital structure and financial leverage. See “Liquidity and Capital Resources” in Part II, Item 7 of this Annual Report on Form 10-K for additional discussion and reconciliations of net (debt) cash.</w:t>
      </w:r>
    </w:p>
    <w:p>
      <w:pPr>
        <w:spacing w:after="0" w:line="25"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global leader in oil and gas projects, technologies, systems and services. We have manufacturing operations worldwide, strategically located to facilitate efficient delivery of these products, technologies, systems and services to our customers. We report our results of operations in the following segments: Subsea, Onshore/Offshore and Surface Technologies. Management’s determination of the Company’s reporting segments was made on the basis of our strategic priorities and corresponds to the manner in which our Chief Executive Officer reviews and evaluates operating performance to make decisions about resource allocations to each segment.</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 description of our products and services and annual financial data for each segment can be found in Part I, Item 1, “Business” and Note 22 to our consolidated financial statements in Part II, Item 8 of this Annual Report on Form 10-K. A discussion and analysis of our consolidated results of operations and the results of operations of each of our segments for the years ended December 31, 2017, 2016 and 2015 follows.</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focus on economic- and industry-specific drivers and key risk factors affecting our business segments as we formulate our strategic plans and make decisions related to allocating capital and human resources. The results of our segments are primarily driven by changes in capital spending by oil and gas companies, which largely depend upon current and anticipated future crude oil and natural gas demand, production volumes, and consequently, commodity prices. We use crude oil and natural gas prices as an indicator of demand. Additionally, we use both onshore and offshore rig count as an indicator of demand, which consequently influences the level of worldwide production activity and spending decisions. We also focus on key risk factors when determining our overall strategy and making decisions for capital allocation. These factors include risks associated with the global economic outlook, product obsolescence and the competitive environment. We address these risks in our business strategies, which incorporate continuing development of leading edge technologies and cultivating strong customer relationships.</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Subsea segment is primarily affected by trends in deepwater oil and natural gas production. Our Onshore/Offshore segment is affected by commodity prices, population growth and demand for natural gas. Our Subsea and Onshore/Offshore segments benefit through the construction of petrochemical and fertilizer plants, and requirements for new liquefied natural gas facilities, respectively. Our Surface Technologies segment is primarily affected by trends in land-based and shallow water oil and natural gas production, including trends in shale production. We have developed close working relationships with our customers. Our results reflect our ability to build long-term alliances with oil and natural gas companies,and to provide solutions for their needs in a timely and cost-effective manner. We believe that by closely working with our customers, we enhance our competitive advantage, improve our operating results and strengthen our market positions.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evaluate our operating results, we consider business segment performance indicators like segment revenue, operating profit and capital employed, in addition to the level of inbound orders and order backlog. A significant proportion of our revenue is recognized under the percentage of completion method of accounting. Cash receipts from such arrangements typically occur at milestones achieved under stated contract terms. Consequently, the timing of revenue recognition is not always correlated with the timing of customer payments. We aim to structure our contracts to receive advance payments that we typically use to fund engineering efforts and inventory purchases. Working capital (excluding cash) and net (debt) cash are therefore key performance indicators of cash flows.</w:t>
      </w:r>
    </w:p>
    <w:p>
      <w:pPr>
        <w:spacing w:after="0" w:line="8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each of our segments, we serve customers from around the world. During 2017, approximately 90% of our total sales were recognized outside of the United States. We evaluate international markets and pursue opportunities that fit our technological capabilities and strategies.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Overall Outlook—</w:t>
      </w:r>
      <w:r>
        <w:rPr>
          <w:rFonts w:ascii="Arial" w:cs="Arial" w:eastAsia="Arial" w:hAnsi="Arial"/>
          <w:sz w:val="17"/>
          <w:szCs w:val="17"/>
          <w:color w:val="auto"/>
        </w:rPr>
        <w:t>The price of crude oil recovered in 2017 when compared to the prior year, and the price has been steadily increased throughout the last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the year. Nonetheless, the oil and gas industry continues to experience the overall impacts of the steep decline in crude oil prices that were experienced in prior years and there are some lingering uncertainties in the crude oil price outlook. Despite OPEC’s implementation of a cap on crude oil production in 2017, ongoing uncertainty in the crude oil price outlook remains due to concerns about the effectiveness and duration of both concurrent OPEC and non-OPEC production cuts, the impact of additional production capacity entering the market due to expanding U.S. shale production, the associated impact on worldwide production, and continued high inventory levels. The sustainability of the 2017 crude oil price recovery and business activity levels is dependent on a number of variables, but many analysts continue to believe the market corrections necessary to address the worldwide oversupply of crude oil are in place and are contributing to sustainable industry improvement. As long-term demand continues to rise and production continues to naturally decline, we believe commodity prices should demonstrate an ongoing ability for continued improvement, increasing both our cash flows and the confidence of our customers to increase their investments in new sources of oil and natural gas production. We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0" w:right="259" w:bottom="1440" w:gutter="0" w:footer="0" w:header="0"/>
        </w:sectPr>
      </w:pPr>
    </w:p>
    <w:bookmarkStart w:id="34" w:name="page35"/>
    <w:bookmarkEnd w:id="34"/>
    <w:p>
      <w:pPr>
        <w:ind w:right="160"/>
        <w:spacing w:after="0" w:line="277" w:lineRule="auto"/>
        <w:rPr>
          <w:sz w:val="20"/>
          <w:szCs w:val="20"/>
          <w:color w:val="auto"/>
        </w:rPr>
      </w:pPr>
      <w:r>
        <w:rPr>
          <w:rFonts w:ascii="Arial" w:cs="Arial" w:eastAsia="Arial" w:hAnsi="Arial"/>
          <w:sz w:val="18"/>
          <w:szCs w:val="18"/>
          <w:color w:val="auto"/>
        </w:rPr>
        <w:t>witnessed such improvements as we exited 2017 as customers globally were proceeding with final investment decisions at an improved pace over 2015 and 2016.</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Subsea—</w:t>
      </w:r>
      <w:r>
        <w:rPr>
          <w:rFonts w:ascii="Arial" w:cs="Arial" w:eastAsia="Arial" w:hAnsi="Arial"/>
          <w:sz w:val="16"/>
          <w:szCs w:val="16"/>
          <w:color w:val="auto"/>
        </w:rPr>
        <w:t>The impact of the low crude oil price environment over the last two years led many of our customers to reduce their capital spending plans or defer</w:t>
      </w:r>
      <w:r>
        <w:rPr>
          <w:rFonts w:ascii="Arial" w:cs="Arial" w:eastAsia="Arial" w:hAnsi="Arial"/>
          <w:sz w:val="16"/>
          <w:szCs w:val="16"/>
          <w:i w:val="1"/>
          <w:iCs w:val="1"/>
          <w:color w:val="auto"/>
        </w:rPr>
        <w:t xml:space="preserve"> </w:t>
      </w:r>
      <w:r>
        <w:rPr>
          <w:rFonts w:ascii="Arial" w:cs="Arial" w:eastAsia="Arial" w:hAnsi="Arial"/>
          <w:sz w:val="16"/>
          <w:szCs w:val="16"/>
          <w:color w:val="auto"/>
        </w:rPr>
        <w:t>new deep-water projects. We began to reduce our workforce and adjust manufacturing capacity to align our operations with the anticipated decreases in activity in 2016 due to delayed Subsea project inbound orders, and to mitigate the impact to operating margins. We continued such actions in 2017 and we have been realizing the benefits from these restructuring actions by attaining more cost-effective manufacturing. We expect to continue to take additional actions in 2018 as Company activity continues to slow in the near-term, but we are mindful that increased market activity levels are likely to be experienced in 2018 as a result of the improved industry economic environment, which will likely lead to increased order activity going forward. The operational improvements and cost reductions made in 2016, combined with additional actions taken in 2017, have protected operating margins in 2017, while still providing us with the capability to respond to the market recovery that we believe has commenced. We also recognize the need to continue to invest in our people to ensure that we preserve the core competencies and capabilities that delivered strong results in 2017 and will be necessary for continued success during the market recovery. Our customers are continuing to take aggressive actions to improve their project economics and to capitalize upon the improved commodity price environment and we are monitoring customer activity in the context of these improved oil and gas prices. There continues to be risk of project sanctioning delays in the current environment, however, as described above, project economics have improved considerably, and consequently, many offshore discoveries could be developed economically at today’s crude oil prices. Accordingly, we continue to work closely with our customers and believe that with our unique business model we can further reduce their project break-even levels by offering cost-effective approaches to their project developments, including customer acceptance of integrated business models to help achieve the cost-reduction goals and accelerate achievement of first oil. In the long term, we continue to believe that deepwater development will remain a significant part of our customers’ portfolios. However, further delays in project sanctions in the near term would unfortunately lead us to take further aggressive actions to ensure our cost base is aligned with the evolving market outlook.</w:t>
      </w:r>
    </w:p>
    <w:p>
      <w:pPr>
        <w:spacing w:after="0" w:line="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Onshore/Offshore—</w:t>
      </w:r>
      <w:r>
        <w:rPr>
          <w:rFonts w:ascii="Arial" w:cs="Arial" w:eastAsia="Arial" w:hAnsi="Arial"/>
          <w:sz w:val="17"/>
          <w:szCs w:val="17"/>
          <w:color w:val="auto"/>
        </w:rPr>
        <w:t>The Offshore market faces many of the same constraints as the Subsea business due to lingering industry challenges to improve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economics. Meanwhile, Onshore market activity continues to provide a tangible set of opportunities, and in particular for natural gas projects as natural gas continues to take a larger share of global energy demand. Activity in LNG is fueled by the potential for sustained modest natural gas prices, representing an important opportunity set for our business. We remain confident that the industry will make further LNG investments in the near to intermediate term. We also see opportunities for refining and petrochemical projects. As Onshore market activity levels remain stable, it provides our business with the opportunity to remain actively engaged in and pursue front-end engineering studies that provide the platform for early engagement with clients, which can significantly de-risk project execution. Market opportunities for downstream front-end engineering studies and full EPC projects are most prevalent in the Middle East, Africa and Asia markets in LNG, refining and petrochemicals.</w:t>
      </w:r>
    </w:p>
    <w:p>
      <w:pPr>
        <w:spacing w:after="0" w:line="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Surface Technologies—</w:t>
      </w:r>
      <w:r>
        <w:rPr>
          <w:rFonts w:ascii="Arial" w:cs="Arial" w:eastAsia="Arial" w:hAnsi="Arial"/>
          <w:sz w:val="17"/>
          <w:szCs w:val="17"/>
          <w:color w:val="auto"/>
        </w:rPr>
        <w:t>While North America rig count and operating activity have steadily improved since the fall of 2016, the recovery has been somewhat</w:t>
      </w:r>
      <w:r>
        <w:rPr>
          <w:rFonts w:ascii="Arial" w:cs="Arial" w:eastAsia="Arial" w:hAnsi="Arial"/>
          <w:sz w:val="17"/>
          <w:szCs w:val="17"/>
          <w:i w:val="1"/>
          <w:iCs w:val="1"/>
          <w:color w:val="auto"/>
        </w:rPr>
        <w:t xml:space="preserve"> </w:t>
      </w:r>
      <w:r>
        <w:rPr>
          <w:rFonts w:ascii="Arial" w:cs="Arial" w:eastAsia="Arial" w:hAnsi="Arial"/>
          <w:sz w:val="17"/>
          <w:szCs w:val="17"/>
          <w:color w:val="auto"/>
        </w:rPr>
        <w:t>constrained to certain oil and gas producing basins that have the ability to generate acceptable returns. The market recovery began in late 2016 in North America and continued throughout 2017. To our benefit, we have experienced sustained stronger demand for pressure control equipment driven by this increased activity. The pace of improvement is likely to slow in 2018 with expectations of more moderate rig count growth compared to 2017. However, our restructuring actions that were taken in 2016 and 2017 have reduced costs and allowing us to capture the economic benefits of the higher activity levels. Activity in our international surface business has been strengthening, but continues to experience some impact of competitive pricing pressure that began in 2016. Pricing has stabilized and in some geographies improved, but we have not yet witnessed a material recovery. We expect this competitive pricing environment to continue and to have some negative impact on operating margins into the first half of 2018, with the benefit of improved pricing beginning to materialize in the second half of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Unaudited supplemental pro forma results of operations for the year ended December 31, 2016 present consolidated information as if (i) the Merger and (ii) the consolidation of legal onshore/offshore contract entities that own and account for the design, engineering and construction of the Yamal had been completed as of January 1, 2016. The pro forma results do not include any potential synergies, cost savings or other expected benefits of these transactions. Accordingly, the pro forma results should not be considered indicative of the results that would have occurred if the transactions had been consummated as of January 1, 2016, nor are they indicative of future results.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Refer to Note 2 and Note 14 to our consolidated financial statements included in Part II, Item 8 of this Annual Report on Form 10-K for further information related to the Merger and Yamal, respectively.</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Due to the size of the aforementioned transactions relative to the size of historical results of operations and for purposes of comparability, management’s discussion of the consolidated and segment results of operations are provided on the basis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692" w:right="27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comparing actual results of operations for the year ended December 31, 2017 to pro forma results of operations for the year ended December 31, 2016. Actual results for the years ended December 31, 2016 and 2015 represent Technip only.</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92" w:right="2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8"/>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Pr>
          <w:p>
            <w:pPr>
              <w:spacing w:after="0"/>
              <w:rPr>
                <w:sz w:val="13"/>
                <w:szCs w:val="13"/>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2017 vs. 2016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9,199.6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5"/>
              </w:rPr>
              <w:t>(21)%</w:t>
            </w:r>
          </w:p>
        </w:tc>
        <w:tc>
          <w:tcPr>
            <w:tcW w:w="5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(2,272.3)</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7,630.0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(3,857.9)</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3"/>
              </w:rPr>
              <w:t>(24)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(2,345.1)</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rPr>
              <w:t>Selling, general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80"/>
              <w:spacing w:after="0"/>
              <w:rPr>
                <w:sz w:val="20"/>
                <w:szCs w:val="20"/>
                <w:color w:val="auto"/>
              </w:rPr>
            </w:pPr>
            <w:r>
              <w:rPr>
                <w:rFonts w:ascii="Arial" w:cs="Arial" w:eastAsia="Arial" w:hAnsi="Arial"/>
                <w:sz w:val="18"/>
                <w:szCs w:val="18"/>
                <w:color w:val="auto"/>
              </w:rPr>
              <w:t>administrative expense</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1,060.9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(169.0)</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3"/>
              </w:rPr>
              <w:t>(14)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(117.0)</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9"/>
              </w:rPr>
              <w:t>(3)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w w:val="94"/>
              </w:rPr>
              <w:t>Impairment, restructuring and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(252.1)</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3"/>
              </w:rPr>
              <w:t>(57)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3"/>
              </w:rPr>
              <w:t>(22)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Merger transaction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integration costs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3"/>
              </w:rPr>
              <w:t>(26)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20" w:type="dxa"/>
            <w:vAlign w:val="bottom"/>
          </w:tcPr>
          <w:p>
            <w:pPr>
              <w:ind w:left="500"/>
              <w:spacing w:after="0"/>
              <w:rPr>
                <w:sz w:val="20"/>
                <w:szCs w:val="20"/>
                <w:color w:val="auto"/>
              </w:rPr>
            </w:pPr>
            <w:r>
              <w:rPr>
                <w:rFonts w:ascii="Arial" w:cs="Arial" w:eastAsia="Arial" w:hAnsi="Arial"/>
                <w:sz w:val="18"/>
                <w:szCs w:val="18"/>
                <w:color w:val="auto"/>
                <w:w w:val="97"/>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14,091.7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18,413.3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6"/>
              </w:rPr>
              <w:t>8,743.6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11,198.3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(4,321.6)</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3"/>
              </w:rPr>
              <w:t>(23)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(2,454.7)</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3"/>
              </w:rPr>
              <w:t>(22)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(314)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Income from equity affiliates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44.7</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86"/>
              </w:rPr>
              <w:t>410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66.7</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6"/>
              </w:rPr>
              <w:t>131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(983)</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400.9</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86"/>
              </w:rPr>
              <w:t>266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260.8</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92</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Income from continuing</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(230.5)</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3"/>
              </w:rPr>
              <w:t>(63)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357.1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discontinued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operations, net of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6"/>
              </w:rPr>
              <w:t>100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3"/>
              </w:rPr>
              <w:t>(62)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(loss)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noncontrolling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7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(189)</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(264.9)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378.9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TechnipFMC plc</w:t>
            </w: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760" w:type="dxa"/>
            <w:vAlign w:val="bottom"/>
          </w:tcPr>
          <w:p>
            <w:pPr>
              <w:jc w:val="center"/>
              <w:ind w:left="170"/>
              <w:spacing w:after="0"/>
              <w:rPr>
                <w:sz w:val="20"/>
                <w:szCs w:val="20"/>
                <w:color w:val="auto"/>
              </w:rPr>
            </w:pPr>
            <w:r>
              <w:rPr>
                <w:rFonts w:ascii="Arial" w:cs="Arial" w:eastAsia="Arial" w:hAnsi="Arial"/>
                <w:sz w:val="18"/>
                <w:szCs w:val="18"/>
                <w:color w:val="auto"/>
                <w:w w:val="95"/>
              </w:rPr>
              <w:t>(70)%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8890</wp:posOffset>
            </wp:positionV>
            <wp:extent cx="6515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8890</wp:posOffset>
            </wp:positionV>
            <wp:extent cx="3713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-127635</wp:posOffset>
            </wp:positionV>
            <wp:extent cx="651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-127635</wp:posOffset>
            </wp:positionV>
            <wp:extent cx="3713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09" w:lineRule="exact"/>
        <w:rPr>
          <w:sz w:val="20"/>
          <w:szCs w:val="20"/>
          <w:color w:val="auto"/>
        </w:rPr>
      </w:pPr>
    </w:p>
    <w:p>
      <w:pPr>
        <w:ind w:left="420" w:hanging="358"/>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63" w:lineRule="exact"/>
        <w:rPr>
          <w:sz w:val="20"/>
          <w:szCs w:val="20"/>
          <w:color w:val="auto"/>
        </w:rPr>
      </w:pPr>
    </w:p>
    <w:p>
      <w:pPr>
        <w:ind w:left="420" w:right="240" w:hanging="358"/>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“Pro Forma Results of Operations” above for further information related to the presentation of and transactions included in pro forma results for the year ended December 31,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decreased $4.0 billion in 2017 compared to the prior-year period on a pro forma basis, primarily resulting from a sharp decline in Subsea activities in the Europe and Africa region due to lower order activity during 2015 and 2016, resulting in a lower backlog of business coming into 2017. The decrease was also attributable to the completion of several projects, combined with lower Subsea vessel utilization. Revenue also decreased across all Onshore/Offshore businesses year-over-year on a pro forma basis, primarily driven by lower levels of project backlog coming into 2017 for the Middle East, North America and South America regions.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ind w:right="160"/>
        <w:spacing w:after="0" w:line="279" w:lineRule="auto"/>
        <w:rPr>
          <w:sz w:val="20"/>
          <w:szCs w:val="20"/>
          <w:color w:val="auto"/>
        </w:rPr>
      </w:pPr>
      <w:r>
        <w:rPr>
          <w:rFonts w:ascii="Arial" w:cs="Arial" w:eastAsia="Arial" w:hAnsi="Arial"/>
          <w:sz w:val="17"/>
          <w:szCs w:val="17"/>
          <w:color w:val="auto"/>
        </w:rPr>
        <w:t>Gross profit (revenue less cost of sales) increased as a percentage of sales to 16.8% in 2017, from 14.1% in the prior-year on a pro forma basis. The improvement in gross profit as a percentage of sales was primarily due to the reduction of cost of sales year-over-year on a pro forma basis as a result of the realization of cost reduction opportunities on certain projects, a lower overall cost structure due to cost reduction and synergy initiatives, the successful progression of several major projects with strong economic performance. and the benefit of a better product and service mix.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expense decreased $169.0 million year-over-year on a pro forma basis, resulting from lower headcount across all reporting segments, due in part to the benefit of Merger synergies and decreased sales commissions due to the reduced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restructuring and other expense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Impairment, restructuring and other expense decreased by $252.1 million year-over-year on a pro forma basis. Impairment, restructuring and other expense for 2017 included $157.2 million of restructuring expense and $34.3 million of impairment expense.</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comparable periods, on a pro forma basis, we have implemented restructuring plans across our segments to reduce costs and better align our workforce with anticipated activity levels. Thus, we previously incurred significant restructuring expenses in 2016 on a pro forma basis. In 2017 we continued to align our capacity to expected operating activity levels for 2018 and beyond and we were also negatively impacted by Hurricane Harvey, as a result of which we incurred expenses of $10.9 million due to lost productivity.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incurred merger transaction and integration costs of $101.8 million during 2017 due to the Merger. A significant portion of the expenses recorded in the period are related to transaction and leased facility termination fees, with a lower portion but still material related to integration activities pertaining to combining the two legacy companies. Refer to Note 2 to our consolidated financial statements included in Part II, Item 8 of this Annual Report on Form 10-K for further information related to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17"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Other income (expense), net, primarily reflects foreign currency gains and losses. These include gains and losses associated with the remeasurement of net cash positions as well as foreign currency derivatives. During 2017, we incurred $40.1 million of additional net foreign exchange losses compared to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increase in interest expense was due to the changes in the fair value of a mandatorily redeemable financial liability. During the year ended December 31, 2017, we revalued the liability to reflect current expectations about the obligation and recognized a loss of $293.7 million. Refer to Note 21 for further information regarding the fair value measurement assumptions of the mandatorily redeemable financial liability and related changes in its fair value.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income tax provisions for 2017 and 2016 on a historical basis reflected effective tax rates of 80.3% and 32.7%, respectively</w:t>
      </w:r>
      <w:r>
        <w:rPr>
          <w:rFonts w:ascii="Arial" w:cs="Arial" w:eastAsia="Arial" w:hAnsi="Arial"/>
          <w:sz w:val="18"/>
          <w:szCs w:val="18"/>
          <w:color w:val="FF0000"/>
        </w:rPr>
        <w:t>.</w:t>
      </w:r>
      <w:r>
        <w:rPr>
          <w:rFonts w:ascii="Arial" w:cs="Arial" w:eastAsia="Arial" w:hAnsi="Arial"/>
          <w:sz w:val="18"/>
          <w:szCs w:val="18"/>
          <w:color w:val="auto"/>
        </w:rPr>
        <w:t xml:space="preserve"> The year-over-year increase in the effective tax rate was primarily due to increases in our valuation allowance due to additional losses generated during the year for which no tax benefit is expected to be realized and an unfavorable change in actual country mix of earnings. In addition, due to U.S. legislation passed in the fourth quarter of 2017, we incurred a one-time deemed repatriation transition tax of $148.7 million and an unfavorable tax provision impact of $18.9 million from the revaluation of the U.S. deferred individual tax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decreased $2,272.3 million compared to the prior-year period, primarily resulting from the Onshore/Offshore segment, which contributed $1,602.2 million to the overall decrease. Onshore/Offshore activities sharply decreased across all geographical areas, specifically Asia Pacific, the Americas and the Middle East. The Subsea segment decreased by $670.1 million, mainly due to decreased activities in the North Sea, which was not fully offset by increased activities in other geographic regions.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2" w:right="259" w:bottom="1440" w:gutter="0" w:footer="0" w:header="0"/>
        </w:sectPr>
      </w:pPr>
    </w:p>
    <w:bookmarkStart w:id="38" w:name="page39"/>
    <w:bookmarkEnd w:id="38"/>
    <w:p>
      <w:pPr>
        <w:spacing w:after="0" w:line="264" w:lineRule="auto"/>
        <w:rPr>
          <w:sz w:val="20"/>
          <w:szCs w:val="20"/>
          <w:color w:val="auto"/>
        </w:rPr>
      </w:pPr>
      <w:r>
        <w:rPr>
          <w:rFonts w:ascii="Arial" w:cs="Arial" w:eastAsia="Arial" w:hAnsi="Arial"/>
          <w:sz w:val="18"/>
          <w:szCs w:val="18"/>
          <w:color w:val="auto"/>
        </w:rPr>
        <w:t>Gross profit (revenue less cost of sales) increased as a percentage of sales to 17.1% in 2016, from 13.0% in the prior-year. The improvement in gross profit was primarily due to a more favorable project mix year-over-year. The components of cost of sales with the largest year-over-year decrease were purchase and construction subcontracting costs for projects and payroll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Selling, general and administrative expense decreased by $117.0 million year-over-year due to the reduction of total employee headcount and the cessation of non-essential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restructuring and other expense</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Impairment, restructuring and other expense decreased by $95.1 million year-over-year. Beginning in 2015, we implemented restructuring plans across our businesses to reduce costs and better align our workforce with anticipated activity levels, which included asset impairments, lease overhangs, appropriate amounts for disputes with some clients, closure costs of subsidiaries and additional amounts on ongoing projects. A significant portion of the restructuring plan was implemented in 2015, giving rise to the decrease in restructuring expense year-over-year.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transaction and integration costs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incurred merger transaction and integration costs of $92.6 million primarily during the fourth quarter of 2016 due to the Merger. Refer to Note 2 to our consolidated financial statements included in Part II, Item 8 of this Annual Report on Form 10-K for further information related to the Merger.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Other income (expense), net, primarily reflects foreign currency gains and losses. These include gains and losses associated with the remeasurement of net cash positions as well as foreign currency derivatives. During 2016, we incurred $123.3 million of additional net foreign exchange gains compared to 2015. The increase was partially offset by net losses from the disposal of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interest expense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decrease in net interest expense was primarily due to an increase in interest income as well as a slight reduction in other borrowings and bank overdrafts during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income taxes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income tax provisions for 2016 and 2015 reflected effective tax rates of 32.7% and 90.6%, respectively</w:t>
      </w:r>
      <w:r>
        <w:rPr>
          <w:rFonts w:ascii="Arial" w:cs="Arial" w:eastAsia="Arial" w:hAnsi="Arial"/>
          <w:sz w:val="18"/>
          <w:szCs w:val="18"/>
          <w:color w:val="FF0000"/>
        </w:rPr>
        <w:t>.</w:t>
      </w:r>
      <w:r>
        <w:rPr>
          <w:rFonts w:ascii="Arial" w:cs="Arial" w:eastAsia="Arial" w:hAnsi="Arial"/>
          <w:sz w:val="18"/>
          <w:szCs w:val="18"/>
          <w:color w:val="auto"/>
        </w:rPr>
        <w:t xml:space="preserve"> The year-over-year decrease in the effective tax rate was primarily due to decreases in our valuation allowance due to lower losses generated in 2016 for which no tax benefit is expected to be realized and a favorable change in the actual country mix of earnings.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OPERATING RESULTS OF BUSINESS SEGMENTS</w:t>
      </w:r>
    </w:p>
    <w:p>
      <w:pPr>
        <w:spacing w:after="0" w:line="337"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Refer to Note 22 to our consolidated financial statements included in Part II, Item 8 of this Annual Report on Form 10-K for further information.</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report our results of operations in U.S. dollars; however, our earnings are generated in various currencies worldwide. In order to provide worldwide consolidated results, the earnings of subsidiaries functioning in their local currencies are translated into U.S. dollars based upon the average exchange rate during the period. While the U.S. dollar results reported reflect the actual economics of the period reported upon, the variances from prior periods include the impact of translating earnings at different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w w:val="96"/>
              </w:rPr>
              <w:t>Favorable/(Unfavorable)</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40" w:type="dxa"/>
            <w:vAlign w:val="bottom"/>
          </w:tcPr>
          <w:p>
            <w:pPr>
              <w:spacing w:after="0"/>
              <w:rPr>
                <w:sz w:val="13"/>
                <w:szCs w:val="13"/>
                <w:color w:val="auto"/>
              </w:rPr>
            </w:pP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2016 Pro Forma</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left="539"/>
              <w:spacing w:after="0" w:line="153" w:lineRule="exact"/>
              <w:rPr>
                <w:sz w:val="20"/>
                <w:szCs w:val="20"/>
                <w:color w:val="auto"/>
              </w:rPr>
            </w:pPr>
            <w:r>
              <w:rPr>
                <w:rFonts w:ascii="Arial" w:cs="Arial" w:eastAsia="Arial" w:hAnsi="Arial"/>
                <w:sz w:val="14"/>
                <w:szCs w:val="14"/>
                <w:b w:val="1"/>
                <w:bCs w:val="1"/>
                <w:color w:val="auto"/>
                <w:w w:val="88"/>
              </w:rPr>
              <w:t>2017 vs.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vMerge w:val="restart"/>
          </w:tcPr>
          <w:p>
            <w:pPr>
              <w:jc w:val="right"/>
              <w:ind w:right="49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2016 Pro Forma</w:t>
            </w:r>
          </w:p>
        </w:tc>
        <w:tc>
          <w:tcPr>
            <w:tcW w:w="2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5,877.4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5,850.5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(3,273.1)</w:t>
            </w:r>
          </w:p>
        </w:tc>
        <w:tc>
          <w:tcPr>
            <w:tcW w:w="8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(670.1)</w:t>
            </w:r>
          </w:p>
        </w:tc>
        <w:tc>
          <w:tcPr>
            <w:tcW w:w="96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460.5</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982.6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732.0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866.9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99"/>
              <w:spacing w:after="0"/>
              <w:rPr>
                <w:sz w:val="20"/>
                <w:szCs w:val="20"/>
                <w:color w:val="auto"/>
              </w:rPr>
            </w:pPr>
            <w:r>
              <w:rPr>
                <w:rFonts w:ascii="Arial" w:cs="Arial" w:eastAsia="Arial" w:hAnsi="Arial"/>
                <w:sz w:val="18"/>
                <w:szCs w:val="18"/>
                <w:color w:val="auto"/>
              </w:rPr>
              <w:t>(522.1)</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(134.9)</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Operating profit as a</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tcPr>
          <w:p>
            <w:pPr>
              <w:ind w:left="40"/>
              <w:spacing w:after="0"/>
              <w:rPr>
                <w:sz w:val="20"/>
                <w:szCs w:val="20"/>
                <w:color w:val="auto"/>
              </w:rPr>
            </w:pPr>
            <w:r>
              <w:rPr>
                <w:rFonts w:ascii="Arial" w:cs="Arial" w:eastAsia="Arial" w:hAnsi="Arial"/>
                <w:sz w:val="18"/>
                <w:szCs w:val="18"/>
                <w:color w:val="auto"/>
              </w:rPr>
              <w:t>percent of revenue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(2.9pts.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(0.8pts.</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126" w:lineRule="exact"/>
        <w:rPr>
          <w:sz w:val="20"/>
          <w:szCs w:val="20"/>
          <w:color w:val="auto"/>
        </w:rPr>
      </w:pPr>
    </w:p>
    <w:p>
      <w:pPr>
        <w:ind w:left="500" w:right="200" w:hanging="492"/>
        <w:spacing w:after="0" w:line="280" w:lineRule="auto"/>
        <w:tabs>
          <w:tab w:leader="none" w:pos="50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Due to the Merger, there were 11.5 months included in the year ended 2017 for legacy FMC Technologies, compared with twelve months in pro forma 2016. Refer to Note 2 to our consolidated financial statements included in Part II, Item 8 of this Annual Report on Form 10-K for further information related to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1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Subsea revenue decreased $3.3 billion year-over-year on a pro forma basis primarily due to lower overall activity in the Europe, Africa and North America regions as a result of the reduced backlog from 2015 and 2016. Additionally, the decrease in revenue was attributable to the completion of several projects during the first nine months of 2017 and lower vessel utilization year-over-year on a pro forma basis primarily due to high vessel campaigns in Africa and Asia in the prior year that did not continue into the current year at similar levels.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Subsea operating profit as a percent of revenue decreased year-over-year on a pro forma basis due to lower revenue in our Subsea projects business across most Subsea regions.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Subsea revenue decreased $670.1 million year-over-year primarily due to decelerating activity in the North Sea after completion of some key projects such as Bøyla and Snøhvit in Norway. In the Middle East, increased activity was driven by Rashid C in Dubai, United Arab Emirates, while in Asia Pacific activity was driven by the ramp-up of Jangkrik in Indonesia. Meanwhile, Subsea revenues increased in Brazil, primarily due to high-technology supply contracts for the Lula Alto and Iracema Sul pre-salt fields, whereas activity remained stable in the Americas.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Subsea operating profit as a percentage of revenue decreased year-over-year primarily a result of a reduced group fleet activity in the North Sea during 2016, despite more offshore operations in West Africa, Asia Pacific and the Middle East during that same period. Meanwhile, manufacturing plants operated at a slightly lower level of activity during 2016 compared to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Onshore/Offshore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w w:val="98"/>
              </w:rPr>
              <w:t>Favorable/(Unfavorable)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2016 Pro Forma</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left="459"/>
              <w:spacing w:after="0" w:line="153" w:lineRule="exact"/>
              <w:rPr>
                <w:sz w:val="20"/>
                <w:szCs w:val="20"/>
                <w:color w:val="auto"/>
              </w:rPr>
            </w:pPr>
            <w:r>
              <w:rPr>
                <w:rFonts w:ascii="Arial" w:cs="Arial" w:eastAsia="Arial" w:hAnsi="Arial"/>
                <w:sz w:val="14"/>
                <w:szCs w:val="14"/>
                <w:b w:val="1"/>
                <w:bCs w:val="1"/>
                <w:color w:val="auto"/>
                <w:w w:val="91"/>
              </w:rPr>
              <w:t>2017 vs.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92"/>
        </w:trPr>
        <w:tc>
          <w:tcPr>
            <w:tcW w:w="1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2016 Pro Forma</w:t>
            </w:r>
          </w:p>
        </w:tc>
        <w:tc>
          <w:tcPr>
            <w:tcW w:w="24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4,951.3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(785.5)</w:t>
            </w:r>
          </w:p>
        </w:tc>
        <w:tc>
          <w:tcPr>
            <w:tcW w:w="760" w:type="dxa"/>
            <w:vAlign w:val="bottom"/>
            <w:tcBorders>
              <w:top w:val="single" w:sz="8" w:color="auto"/>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(1,602.2)</w:t>
            </w:r>
          </w:p>
        </w:tc>
        <w:tc>
          <w:tcPr>
            <w:tcW w:w="90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w w:val="95"/>
              </w:rPr>
              <w:t>Operating profit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1"/>
                <w:szCs w:val="21"/>
                <w:color w:val="auto"/>
              </w:rPr>
            </w:pPr>
          </w:p>
        </w:tc>
        <w:tc>
          <w:tcPr>
            <w:tcW w:w="300" w:type="dxa"/>
            <w:vAlign w:val="bottom"/>
          </w:tcPr>
          <w:p>
            <w:pPr>
              <w:jc w:val="center"/>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19"/>
              <w:spacing w:after="0"/>
              <w:rPr>
                <w:sz w:val="20"/>
                <w:szCs w:val="20"/>
                <w:color w:val="auto"/>
              </w:rPr>
            </w:pPr>
            <w:r>
              <w:rPr>
                <w:rFonts w:ascii="Arial" w:cs="Arial" w:eastAsia="Arial" w:hAnsi="Arial"/>
                <w:sz w:val="18"/>
                <w:szCs w:val="18"/>
                <w:color w:val="auto"/>
              </w:rPr>
              <w:t>626.4</w:t>
            </w:r>
          </w:p>
        </w:tc>
        <w:tc>
          <w:tcPr>
            <w:tcW w:w="760" w:type="dxa"/>
            <w:vAlign w:val="bottom"/>
          </w:tcPr>
          <w:p>
            <w:pPr>
              <w:jc w:val="right"/>
              <w:ind w:right="234"/>
              <w:spacing w:after="0"/>
              <w:rPr>
                <w:sz w:val="20"/>
                <w:szCs w:val="20"/>
                <w:color w:val="auto"/>
              </w:rPr>
            </w:pPr>
            <w:r>
              <w:rPr>
                <w:rFonts w:ascii="Arial" w:cs="Arial" w:eastAsia="Arial" w:hAnsi="Arial"/>
                <w:sz w:val="18"/>
                <w:szCs w:val="18"/>
                <w:color w:val="auto"/>
                <w:w w:val="91"/>
              </w:rPr>
              <w:t>340%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347.4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w w:val="95"/>
              </w:rPr>
              <w:t>Operating profit (loss)</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w w:val="87"/>
              </w:rPr>
              <w:t>as a percent of revenue</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Arial" w:cs="Arial" w:eastAsia="Arial" w:hAnsi="Arial"/>
                <w:sz w:val="18"/>
                <w:szCs w:val="18"/>
                <w:color w:val="auto"/>
              </w:rPr>
              <w:t>8.2 pts.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ind w:left="340"/>
              <w:spacing w:after="0"/>
              <w:rPr>
                <w:sz w:val="20"/>
                <w:szCs w:val="20"/>
                <w:color w:val="auto"/>
              </w:rPr>
            </w:pPr>
            <w:r>
              <w:rPr>
                <w:rFonts w:ascii="Arial" w:cs="Arial" w:eastAsia="Arial" w:hAnsi="Arial"/>
                <w:sz w:val="18"/>
                <w:szCs w:val="18"/>
                <w:color w:val="auto"/>
                <w:w w:val="91"/>
              </w:rPr>
              <w:t>7.3 pts.</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Onshore/Offshore revenue decreased $785.5 million year-over-year. The decrease in revenue was attributable to lower activity in North America, due to the delivery of several projects in 2016 and early 2017, as well as reduced activity in Yamal, partially offset by increases projects in Prelude FLNG and the Middle East.</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profit and operating profit as a percentage of revenue for the year ended 2017 were both favorable compared to the year ended 2016 on a pro forma basis in comparison and both benefited by successful progression of several major projects, including Yamal and Prelude FLNG, and the successful resolution of certain contract disputes. In addition, the year-over-year performances were favorably impacted by a decrease of $209.7 million related to impairment, restructuring and other expense.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Onshore/Offshore revenue decreased $1.6 billion year-over-year. The decrease was sharp across most of the geographic areas primarily as a result of some key projects nearing completion, such as SK 316 and Malikai in Malaysia and Ethylene XXI in Mexico. Elsewhere, revenues were driven by the Juniper project in Trinidad and the Duslo ammoniac plant in Slovakia.</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profit in the year ended 2016 compared to the year ended 2015 was favorably impacted by a decrease of $113.2 million related to impairment, restructuring and other severance charges.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Onshore/Offshore operating profit as a percentage of revenue increased year-over-year primarily due to considerable progress on Yamal as well as cost-saving measures across the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Surface Technologies</w:t>
      </w:r>
      <w:r>
        <w:rPr>
          <w:rFonts w:ascii="Arial" w:cs="Arial" w:eastAsia="Arial" w:hAnsi="Arial"/>
          <w:sz w:val="18"/>
          <w:szCs w:val="18"/>
          <w:b w:val="1"/>
          <w:bCs w:val="1"/>
          <w:i w:val="1"/>
          <w:iCs w:val="1"/>
          <w:color w:val="auto"/>
        </w:rPr>
        <w:t xml:space="preserve"> </w:t>
      </w:r>
      <w:r>
        <w:rPr>
          <w:rFonts w:ascii="Arial" w:cs="Arial" w:eastAsia="Arial" w:hAnsi="Arial"/>
          <w:sz w:val="25"/>
          <w:szCs w:val="25"/>
          <w:b w:val="1"/>
          <w:bCs w:val="1"/>
          <w:i w:val="1"/>
          <w:iCs w:val="1"/>
          <w:color w:val="auto"/>
          <w:vertAlign w:val="superscript"/>
        </w:rPr>
        <w:t>(2)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52"/>
        </w:trPr>
        <w:tc>
          <w:tcPr>
            <w:tcW w:w="6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104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2016 Pro Forma</w:t>
            </w:r>
          </w:p>
        </w:tc>
        <w:tc>
          <w:tcPr>
            <w:tcW w:w="240" w:type="dxa"/>
            <w:vAlign w:val="bottom"/>
          </w:tcPr>
          <w:p>
            <w:pPr>
              <w:spacing w:after="0"/>
              <w:rPr>
                <w:sz w:val="13"/>
                <w:szCs w:val="13"/>
                <w:color w:val="auto"/>
              </w:rPr>
            </w:pPr>
          </w:p>
        </w:tc>
        <w:tc>
          <w:tcPr>
            <w:tcW w:w="1200" w:type="dxa"/>
            <w:vAlign w:val="bottom"/>
          </w:tcPr>
          <w:p>
            <w:pPr>
              <w:jc w:val="center"/>
              <w:ind w:left="521"/>
              <w:spacing w:after="0" w:line="153" w:lineRule="exact"/>
              <w:rPr>
                <w:sz w:val="20"/>
                <w:szCs w:val="20"/>
                <w:color w:val="auto"/>
              </w:rPr>
            </w:pPr>
            <w:r>
              <w:rPr>
                <w:rFonts w:ascii="Arial" w:cs="Arial" w:eastAsia="Arial" w:hAnsi="Arial"/>
                <w:sz w:val="14"/>
                <w:szCs w:val="14"/>
                <w:b w:val="1"/>
                <w:bCs w:val="1"/>
                <w:color w:val="auto"/>
                <w:w w:val="88"/>
              </w:rPr>
              <w:t>2017 vs.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2016 Pro Forma</w:t>
            </w:r>
          </w:p>
        </w:tc>
        <w:tc>
          <w:tcPr>
            <w:tcW w:w="0" w:type="dxa"/>
            <w:vAlign w:val="bottom"/>
          </w:tcPr>
          <w:p>
            <w:pPr>
              <w:spacing w:after="0"/>
              <w:rPr>
                <w:sz w:val="1"/>
                <w:szCs w:val="1"/>
                <w:color w:val="auto"/>
              </w:rPr>
            </w:pP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22.4</w:t>
            </w:r>
          </w:p>
        </w:tc>
        <w:tc>
          <w:tcPr>
            <w:tcW w:w="82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461"/>
              <w:spacing w:after="0"/>
              <w:rPr>
                <w:sz w:val="20"/>
                <w:szCs w:val="20"/>
                <w:color w:val="auto"/>
              </w:rPr>
            </w:pPr>
            <w:r>
              <w:rPr>
                <w:rFonts w:ascii="Arial" w:cs="Arial" w:eastAsia="Arial" w:hAnsi="Arial"/>
                <w:sz w:val="18"/>
                <w:szCs w:val="18"/>
                <w:color w:val="auto"/>
              </w:rPr>
              <w:t>204.7</w:t>
            </w:r>
          </w:p>
        </w:tc>
        <w:tc>
          <w:tcPr>
            <w:tcW w:w="820" w:type="dxa"/>
            <w:vAlign w:val="bottom"/>
          </w:tcPr>
          <w:p>
            <w:pPr>
              <w:jc w:val="right"/>
              <w:ind w:right="270"/>
              <w:spacing w:after="0"/>
              <w:rPr>
                <w:sz w:val="20"/>
                <w:szCs w:val="20"/>
                <w:color w:val="auto"/>
              </w:rPr>
            </w:pPr>
            <w:r>
              <w:rPr>
                <w:rFonts w:ascii="Arial" w:cs="Arial" w:eastAsia="Arial" w:hAnsi="Arial"/>
                <w:sz w:val="18"/>
                <w:szCs w:val="18"/>
                <w:color w:val="auto"/>
                <w:w w:val="95"/>
              </w:rPr>
              <w:t>168%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profit (loss) as a percent of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w w:val="92"/>
              </w:rPr>
              <w:t>16.2 pts.</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b w:val="1"/>
                <w:bCs w:val="1"/>
                <w:color w:val="auto"/>
              </w:rPr>
              <w:t>_______________________</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240" w:hanging="492"/>
        <w:spacing w:after="0" w:line="217" w:lineRule="auto"/>
        <w:tabs>
          <w:tab w:leader="none" w:pos="50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Due to the Merger, there were 11.5 months included in the year ended 2017 for legacy FMC Technologies, compared with twelve months in 2016. Refer to Note 2 to our consolidated financial statements included in Part II, Item 8 of this Annual Report on Form 10-K.</w:t>
      </w:r>
    </w:p>
    <w:p>
      <w:pPr>
        <w:spacing w:after="0" w:line="91" w:lineRule="exact"/>
        <w:rPr>
          <w:rFonts w:ascii="Arial" w:cs="Arial" w:eastAsia="Arial" w:hAnsi="Arial"/>
          <w:sz w:val="22"/>
          <w:szCs w:val="22"/>
          <w:color w:val="auto"/>
          <w:vertAlign w:val="superscript"/>
        </w:rPr>
      </w:pPr>
    </w:p>
    <w:p>
      <w:pPr>
        <w:ind w:left="500" w:right="360" w:hanging="492"/>
        <w:spacing w:after="0" w:line="280" w:lineRule="auto"/>
        <w:tabs>
          <w:tab w:leader="none" w:pos="50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Prior to the Merger, we reported our business in two segments, Subsea and Onshore/Offshore. As a result of the Merger and the addition of FMC Technologies, we began reporting our business in three segments. As such, actual results of operations for 2016 and 2015 do not include Surface Technologies.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Surface Technologies revenue increased $22.4 million year-over-year on a pro forma basis. Lower revenue in our surface international, measurement solutions, and loading systems businesses year-over-year on a pro forma basis was more than offset by revenue increase in our surface Americas business. The increase for surface Americas was driven primarily by a higher rig count, which had a positive impact on our flowline and well service pump revenues.</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Surface Technologies operating profit as a percent of revenue increased year-over-year on a pro forma basis and was driven primarily by increased volume in flowline and well service pump products in our surface Americas business, and a $48.8 million decrease in impairment, restructuring and other severance charges.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Items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4"/>
              </w:rPr>
              <w:t>Favorable/(Unfavorable)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3"/>
                <w:szCs w:val="13"/>
                <w:color w:val="auto"/>
              </w:rPr>
            </w:pPr>
          </w:p>
        </w:tc>
        <w:tc>
          <w:tcPr>
            <w:tcW w:w="9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2016 Pro</w:t>
            </w:r>
          </w:p>
        </w:tc>
        <w:tc>
          <w:tcPr>
            <w:tcW w:w="240" w:type="dxa"/>
            <w:vAlign w:val="bottom"/>
          </w:tcPr>
          <w:p>
            <w:pPr>
              <w:spacing w:after="0"/>
              <w:rPr>
                <w:sz w:val="13"/>
                <w:szCs w:val="13"/>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jc w:val="center"/>
              <w:ind w:left="402"/>
              <w:spacing w:after="0" w:line="153" w:lineRule="exact"/>
              <w:rPr>
                <w:sz w:val="20"/>
                <w:szCs w:val="20"/>
                <w:color w:val="auto"/>
              </w:rPr>
            </w:pPr>
            <w:r>
              <w:rPr>
                <w:rFonts w:ascii="Arial" w:cs="Arial" w:eastAsia="Arial" w:hAnsi="Arial"/>
                <w:sz w:val="14"/>
                <w:szCs w:val="14"/>
                <w:b w:val="1"/>
                <w:bCs w:val="1"/>
                <w:color w:val="auto"/>
                <w:w w:val="88"/>
              </w:rPr>
              <w:t>2017 vs.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Forma</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2016 Pro Forma</w:t>
            </w:r>
          </w:p>
        </w:tc>
        <w:tc>
          <w:tcPr>
            <w:tcW w:w="3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rPr>
              <w:t>7.4</w:t>
            </w:r>
          </w:p>
        </w:tc>
        <w:tc>
          <w:tcPr>
            <w:tcW w:w="7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146.0</w:t>
            </w:r>
          </w:p>
        </w:tc>
        <w:tc>
          <w:tcPr>
            <w:tcW w:w="7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 Pro Forma</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Corporate expense decreased by $7.4 million year-over-year on a pro forma basis. The decrease is primarily attributable to a reduction of business combination transaction and integration costs of $34.4 million in 2017 compared to 2016 on a pro forma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 decreased by $146.0 million year-over-year primarily due to cost-saving measures instituted at the corporate level.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Inbound Orders and Order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orders—</w:t>
      </w:r>
      <w:r>
        <w:rPr>
          <w:rFonts w:ascii="Arial" w:cs="Arial" w:eastAsia="Arial" w:hAnsi="Arial"/>
          <w:sz w:val="18"/>
          <w:szCs w:val="18"/>
          <w:color w:val="auto"/>
        </w:rPr>
        <w:t>Inbound orders represent the estimated sales value of confirmed customer orders received during the reporting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96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5,143.6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3,812.9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3,689.0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1,239.8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inbound orders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10,196.3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6,073.9</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r>
        <w:rPr>
          <w:rFonts w:ascii="Arial" w:cs="Arial" w:eastAsia="Arial" w:hAnsi="Arial"/>
          <w:sz w:val="18"/>
          <w:szCs w:val="18"/>
          <w:color w:val="auto"/>
        </w:rPr>
        <w:t>Order backlog is calculated as the estimated sales value of unfilled, confirmed customer orders at the reporting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Order Backlog</w:t>
            </w:r>
          </w:p>
        </w:tc>
        <w:tc>
          <w:tcPr>
            <w:tcW w:w="98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6,203.9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6,369.1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10,093.0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order backlog</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12,982.8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15,002.0</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Subsea. </w:t>
      </w:r>
      <w:r>
        <w:rPr>
          <w:rFonts w:ascii="Arial" w:cs="Arial" w:eastAsia="Arial" w:hAnsi="Arial"/>
          <w:sz w:val="18"/>
          <w:szCs w:val="18"/>
          <w:color w:val="auto"/>
        </w:rPr>
        <w:t>Order backlog for Subsea at December 31, 2017, increased by $1.3 billion from December 31, 2016 primarily due to the Merger. Subsea backlog of</w:t>
      </w:r>
      <w:r>
        <w:rPr>
          <w:rFonts w:ascii="Arial" w:cs="Arial" w:eastAsia="Arial" w:hAnsi="Arial"/>
          <w:sz w:val="18"/>
          <w:szCs w:val="18"/>
          <w:i w:val="1"/>
          <w:iCs w:val="1"/>
          <w:color w:val="auto"/>
        </w:rPr>
        <w:t xml:space="preserve"> </w:t>
      </w:r>
      <w:r>
        <w:rPr>
          <w:rFonts w:ascii="Arial" w:cs="Arial" w:eastAsia="Arial" w:hAnsi="Arial"/>
          <w:sz w:val="18"/>
          <w:szCs w:val="18"/>
          <w:color w:val="auto"/>
        </w:rPr>
        <w:t>$6.2 billion at December 31, 2017, was composed of various subsea projects, including Petrobras’ pipelay support vessel and pre-salt tree awards; the Eni S.pA. Coral project; Total’s Kaombo; VNG’s Fenja; the Mellitah Oil &amp; Gas B.V. Bahr Essalam project; the Woodside Energy Ltd. Greater Enfield project; Statoil’s Peregrino Phase II; BP’s Shah Deniz; and Shell’s Appomattox.</w:t>
      </w:r>
    </w:p>
    <w:p>
      <w:pPr>
        <w:spacing w:after="0" w:line="119" w:lineRule="exact"/>
        <w:rPr>
          <w:sz w:val="20"/>
          <w:szCs w:val="20"/>
          <w:color w:val="auto"/>
        </w:rPr>
      </w:pPr>
    </w:p>
    <w:p>
      <w:pPr>
        <w:ind w:right="280"/>
        <w:spacing w:after="0" w:line="306" w:lineRule="auto"/>
        <w:rPr>
          <w:sz w:val="20"/>
          <w:szCs w:val="20"/>
          <w:color w:val="auto"/>
        </w:rPr>
      </w:pPr>
      <w:r>
        <w:rPr>
          <w:rFonts w:ascii="Arial" w:cs="Arial" w:eastAsia="Arial" w:hAnsi="Arial"/>
          <w:sz w:val="18"/>
          <w:szCs w:val="18"/>
          <w:i w:val="1"/>
          <w:iCs w:val="1"/>
          <w:color w:val="auto"/>
        </w:rPr>
        <w:t xml:space="preserve">Onshore/Offshore. </w:t>
      </w:r>
      <w:r>
        <w:rPr>
          <w:rFonts w:ascii="Arial" w:cs="Arial" w:eastAsia="Arial" w:hAnsi="Arial"/>
          <w:sz w:val="18"/>
          <w:szCs w:val="18"/>
          <w:color w:val="auto"/>
        </w:rPr>
        <w:t>Onshore/Offshore order backlog at December 31, 2017, decreased by $3.7 billion compared to December 31, 2016. Onshore/Offshore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of $6.4 billion was composed of various projects, including Yamal; Emirates National Oil Company’s Jebel Ali refinery expansion; Total’s Martin Linge; JSC Sibur Holding’s Zapsib-2; Eni’s Ghana onshore receiving gas terminal; the ADNOC Offshore (previously ADMA-OPCO) Umm Lulu Phase 2 project; and Shell’s Prelude FLNG.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domestically and in foreign jurisdictions to best meet the liquidity needs of our global operations. The majority of cash held by subsidiaries of our U.S. domiciled companies could be repatriated to the United States. Under current U.S. law, as amended by the Tax Cuts and Jobs Act (TCJA), signed into law on December 22, 2017, any such repatriation to the U.S. in the form of a dividend would be eligible for a 100% dividend received deduction and therefore would not be subject to U.S. federal income tax.</w:t>
      </w:r>
    </w:p>
    <w:p>
      <w:pPr>
        <w:spacing w:after="0" w:line="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6" w:right="239" w:bottom="1440" w:gutter="0" w:footer="0" w:header="0"/>
        </w:sectPr>
      </w:pPr>
    </w:p>
    <w:bookmarkStart w:id="42" w:name="page43"/>
    <w:bookmarkEnd w:id="42"/>
    <w:p>
      <w:pPr>
        <w:ind w:right="20"/>
        <w:spacing w:after="0" w:line="257" w:lineRule="auto"/>
        <w:rPr>
          <w:sz w:val="20"/>
          <w:szCs w:val="20"/>
          <w:color w:val="auto"/>
        </w:rPr>
      </w:pPr>
      <w:r>
        <w:rPr>
          <w:rFonts w:ascii="Arial" w:cs="Arial" w:eastAsia="Arial" w:hAnsi="Arial"/>
          <w:sz w:val="18"/>
          <w:szCs w:val="18"/>
          <w:i w:val="1"/>
          <w:iCs w:val="1"/>
          <w:color w:val="auto"/>
        </w:rPr>
        <w:t>Net (Debt) Cash</w:t>
      </w:r>
      <w:r>
        <w:rPr>
          <w:rFonts w:ascii="Arial" w:cs="Arial" w:eastAsia="Arial" w:hAnsi="Arial"/>
          <w:sz w:val="18"/>
          <w:szCs w:val="18"/>
          <w:color w:val="auto"/>
        </w:rPr>
        <w:t>—Net (debt) cash, is a non-GAAP financial measure reflecting cash and cash equivalents, net of debt. Management uses this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3,716.4</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gross change in the debt and cash components of our net (debt) cash position was primarily due to the Merger. Refer to Note 2 to our consolidated financial statements included in Part II, Item 8 of this Annual Report on Form 10-K for further information related to the Merger.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each of the years in the three-year period ended December 31, 2017,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(required) by investing activities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required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Operating cash flows—</w:t>
      </w:r>
      <w:r>
        <w:rPr>
          <w:rFonts w:ascii="Arial" w:cs="Arial" w:eastAsia="Arial" w:hAnsi="Arial"/>
          <w:sz w:val="16"/>
          <w:szCs w:val="16"/>
          <w:color w:val="auto"/>
        </w:rPr>
        <w:t>During 2017, we generated $210.7 million in cash flows from operating activities, which was a $283.1 million decrease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2016. Our cash flows from operating activities in 2016 were $206.5 million lower than 2015. The decrease in cash provided by operating activities in 2017 was due to the change in accounts payables and advance payments and billings in excess of costs slightly offset by the change in trade receivables, net and costs in excess of billings. The year-over-year decrease in 2016 was due to the change in trade receivables, net and costs in excess of billings. Our working capital balances can vary significantly depending on the payment and delivery terms on key contracts in our portfolio of projects.</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Investing cash flows—</w:t>
      </w:r>
      <w:r>
        <w:rPr>
          <w:rFonts w:ascii="Arial" w:cs="Arial" w:eastAsia="Arial" w:hAnsi="Arial"/>
          <w:sz w:val="18"/>
          <w:szCs w:val="18"/>
          <w:color w:val="auto"/>
        </w:rPr>
        <w:t>Investing activities provided $1.3 billion in 2017 primarily due to the Merger. Refer to Note 2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Part II, Item 8 of this Annual Report on Form 10-K for further information related to the Merger.</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provided by investing activities in 2016 was $3.1 billion, primarily reflecting cash acquired through an acquisition. Refer to Note 8 to our consolidated financial statements included in Part II, Item 8 of this Annual Report on Form 10-K for further information related to the acquisition and consolidation of legal onshore/offshore contract entities that own and account for Yamal.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cash requirements for investing activities in 2015 were $335.1 million, primarily reflecting capital expenditures.</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Financing cash flows—</w:t>
      </w:r>
      <w:r>
        <w:rPr>
          <w:rFonts w:ascii="Arial" w:cs="Arial" w:eastAsia="Arial" w:hAnsi="Arial"/>
          <w:sz w:val="17"/>
          <w:szCs w:val="17"/>
          <w:color w:val="auto"/>
        </w:rPr>
        <w:t>Financing activities used $1.1 billion in 2017. The increase of $520.2 million in cash required for financing activities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due to a decrease in proceeds from the issuance of long-term debt in 2016, an increase in settlements on mandatorily redeemable liability, and an increase in payments of taxes withheld on share-based compensation, offset by increased borrowings of our commercial paper during 2017.</w:t>
      </w:r>
    </w:p>
    <w:p>
      <w:pPr>
        <w:spacing w:after="0" w:line="5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Financing activities used $534.6 million in 2016. The increase of $407.4 million in cash required for financing activities from 2015 was driven by the increase in net repayments of $59.1 million long-term debt as well as $186.8 million of treasury share purchases during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at December 31, 2017 and 2016, comprised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tcBorders>
              <w:bottom w:val="single" w:sz="8" w:color="CCEEFF"/>
            </w:tcBorders>
            <w:gridSpan w:val="5"/>
            <w:vMerge w:val="continue"/>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auto"/>
              </w:rPr>
              <w:t>Bilateral credit facilities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auto"/>
              </w:rPr>
              <w:t>Synthetic bonds due 2021</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Convertible bonds due 2017</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3.45%</w:t>
            </w:r>
          </w:p>
        </w:tc>
        <w:tc>
          <w:tcPr>
            <w:tcW w:w="2400" w:type="dxa"/>
            <w:vAlign w:val="bottom"/>
            <w:gridSpan w:val="3"/>
          </w:tcPr>
          <w:p>
            <w:pPr>
              <w:ind w:left="20"/>
              <w:spacing w:after="0"/>
              <w:rPr>
                <w:sz w:val="20"/>
                <w:szCs w:val="20"/>
                <w:color w:val="auto"/>
              </w:rPr>
            </w:pPr>
            <w:r>
              <w:rPr>
                <w:rFonts w:ascii="Arial" w:cs="Arial" w:eastAsia="Arial" w:hAnsi="Arial"/>
                <w:sz w:val="18"/>
                <w:szCs w:val="18"/>
                <w:color w:val="auto"/>
              </w:rPr>
              <w:t>Senior Notes due 2022</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5.00%</w:t>
            </w:r>
          </w:p>
        </w:tc>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3.40%</w:t>
            </w:r>
          </w:p>
        </w:tc>
        <w:tc>
          <w:tcPr>
            <w:tcW w:w="2400" w:type="dxa"/>
            <w:vAlign w:val="bottom"/>
            <w:gridSpan w:val="3"/>
          </w:tcPr>
          <w:p>
            <w:pPr>
              <w:ind w:left="20"/>
              <w:spacing w:after="0"/>
              <w:rPr>
                <w:sz w:val="20"/>
                <w:szCs w:val="20"/>
                <w:color w:val="auto"/>
              </w:rPr>
            </w:pPr>
            <w:r>
              <w:rPr>
                <w:rFonts w:ascii="Arial" w:cs="Arial" w:eastAsia="Arial" w:hAnsi="Arial"/>
                <w:sz w:val="18"/>
                <w:szCs w:val="18"/>
                <w:color w:val="auto"/>
              </w:rPr>
              <w:t>Notes due 2022</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3.15%</w:t>
            </w:r>
          </w:p>
        </w:tc>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3.15%</w:t>
            </w:r>
          </w:p>
        </w:tc>
        <w:tc>
          <w:tcPr>
            <w:tcW w:w="2400" w:type="dxa"/>
            <w:vAlign w:val="bottom"/>
            <w:gridSpan w:val="3"/>
          </w:tcPr>
          <w:p>
            <w:pPr>
              <w:ind w:left="20"/>
              <w:spacing w:after="0"/>
              <w:rPr>
                <w:sz w:val="20"/>
                <w:szCs w:val="20"/>
                <w:color w:val="auto"/>
              </w:rPr>
            </w:pPr>
            <w:r>
              <w:rPr>
                <w:rFonts w:ascii="Arial" w:cs="Arial" w:eastAsia="Arial" w:hAnsi="Arial"/>
                <w:sz w:val="18"/>
                <w:szCs w:val="18"/>
                <w:color w:val="auto"/>
              </w:rPr>
              <w:t>Notes due 2023</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7"/>
        </w:trPr>
        <w:tc>
          <w:tcPr>
            <w:tcW w:w="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4.00%</w:t>
            </w:r>
          </w:p>
        </w:tc>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2027</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43"/>
        </w:trPr>
        <w:tc>
          <w:tcPr>
            <w:tcW w:w="520" w:type="dxa"/>
            <w:vAlign w:val="bottom"/>
            <w:gridSpan w:val="3"/>
          </w:tcPr>
          <w:p>
            <w:pPr>
              <w:ind w:left="40"/>
              <w:spacing w:after="0"/>
              <w:rPr>
                <w:sz w:val="20"/>
                <w:szCs w:val="20"/>
                <w:color w:val="auto"/>
              </w:rPr>
            </w:pPr>
            <w:r>
              <w:rPr>
                <w:rFonts w:ascii="Arial" w:cs="Arial" w:eastAsia="Arial" w:hAnsi="Arial"/>
                <w:sz w:val="18"/>
                <w:szCs w:val="18"/>
                <w:color w:val="auto"/>
                <w:w w:val="90"/>
              </w:rPr>
              <w:t>4.00%</w:t>
            </w:r>
          </w:p>
        </w:tc>
        <w:tc>
          <w:tcPr>
            <w:tcW w:w="2400" w:type="dxa"/>
            <w:vAlign w:val="bottom"/>
            <w:gridSpan w:val="3"/>
          </w:tcPr>
          <w:p>
            <w:pPr>
              <w:ind w:left="20"/>
              <w:spacing w:after="0"/>
              <w:rPr>
                <w:sz w:val="20"/>
                <w:szCs w:val="20"/>
                <w:color w:val="auto"/>
              </w:rPr>
            </w:pPr>
            <w:r>
              <w:rPr>
                <w:rFonts w:ascii="Arial" w:cs="Arial" w:eastAsia="Arial" w:hAnsi="Arial"/>
                <w:sz w:val="18"/>
                <w:szCs w:val="18"/>
                <w:color w:val="auto"/>
              </w:rPr>
              <w:t>Notes due 2032</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3.75%</w:t>
            </w:r>
          </w:p>
        </w:tc>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Notes due 2033</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color w:val="auto"/>
              </w:rPr>
              <w:t>Bank borrowings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7"/>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borrowings</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0"/>
        </w:trPr>
        <w:tc>
          <w:tcPr>
            <w:tcW w:w="7120" w:type="dxa"/>
            <w:vAlign w:val="bottom"/>
            <w:gridSpan w:val="14"/>
            <w:vMerge w:val="restart"/>
          </w:tcPr>
          <w:p>
            <w:pPr>
              <w:spacing w:after="0"/>
              <w:rPr>
                <w:sz w:val="20"/>
                <w:szCs w:val="20"/>
                <w:color w:val="auto"/>
              </w:rPr>
            </w:pPr>
            <w:r>
              <w:rPr>
                <w:rFonts w:ascii="Arial" w:cs="Arial" w:eastAsia="Arial" w:hAnsi="Arial"/>
                <w:sz w:val="18"/>
                <w:szCs w:val="18"/>
                <w:color w:val="auto"/>
              </w:rPr>
              <w:t>The following is a summary of our revolving credit facility at December 31, 2017:</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20" w:type="dxa"/>
            <w:vAlign w:val="bottom"/>
            <w:gridSpan w:val="14"/>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Commercial</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left="222"/>
              <w:spacing w:after="0"/>
              <w:rPr>
                <w:sz w:val="20"/>
                <w:szCs w:val="20"/>
                <w:color w:val="auto"/>
              </w:rPr>
            </w:pPr>
            <w:r>
              <w:rPr>
                <w:rFonts w:ascii="Arial" w:cs="Arial" w:eastAsia="Arial" w:hAnsi="Arial"/>
                <w:sz w:val="14"/>
                <w:szCs w:val="14"/>
                <w:b w:val="1"/>
                <w:bCs w:val="1"/>
                <w:color w:val="auto"/>
                <w:w w:val="96"/>
              </w:rPr>
              <w:t>Debt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Paper</w:t>
            </w:r>
          </w:p>
        </w:tc>
        <w:tc>
          <w:tcPr>
            <w:tcW w:w="260" w:type="dxa"/>
            <w:vAlign w:val="bottom"/>
          </w:tcPr>
          <w:p>
            <w:pPr>
              <w:spacing w:after="0"/>
              <w:rPr>
                <w:sz w:val="12"/>
                <w:szCs w:val="12"/>
                <w:color w:val="auto"/>
              </w:rPr>
            </w:pPr>
          </w:p>
        </w:tc>
        <w:tc>
          <w:tcPr>
            <w:tcW w:w="138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Letters</w:t>
            </w: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Unused</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5"/>
            <w:vMerge w:val="continue"/>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00" w:type="dxa"/>
            <w:vAlign w:val="bottom"/>
            <w:gridSpan w:val="5"/>
          </w:tcPr>
          <w:p>
            <w:pPr>
              <w:ind w:left="20"/>
              <w:spacing w:after="0" w:line="158" w:lineRule="exact"/>
              <w:rPr>
                <w:sz w:val="20"/>
                <w:szCs w:val="20"/>
                <w:color w:val="auto"/>
              </w:rPr>
            </w:pPr>
            <w:r>
              <w:rPr>
                <w:rFonts w:ascii="Arial" w:cs="Arial" w:eastAsia="Arial" w:hAnsi="Arial"/>
                <w:sz w:val="14"/>
                <w:szCs w:val="14"/>
                <w:b w:val="1"/>
                <w:bCs w:val="1"/>
                <w:color w:val="auto"/>
              </w:rPr>
              <w:t>Description</w:t>
            </w:r>
          </w:p>
        </w:tc>
        <w:tc>
          <w:tcPr>
            <w:tcW w:w="1240" w:type="dxa"/>
            <w:vAlign w:val="bottom"/>
            <w:gridSpan w:val="2"/>
            <w:vMerge w:val="continue"/>
          </w:tcPr>
          <w:p>
            <w:pPr>
              <w:spacing w:after="0"/>
              <w:rPr>
                <w:sz w:val="13"/>
                <w:szCs w:val="13"/>
                <w:color w:val="auto"/>
              </w:rPr>
            </w:pPr>
          </w:p>
        </w:tc>
        <w:tc>
          <w:tcPr>
            <w:tcW w:w="1080" w:type="dxa"/>
            <w:vAlign w:val="bottom"/>
          </w:tcPr>
          <w:p>
            <w:pPr>
              <w:jc w:val="center"/>
              <w:ind w:left="222"/>
              <w:spacing w:after="0" w:line="158" w:lineRule="exact"/>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3"/>
                <w:szCs w:val="13"/>
                <w:color w:val="auto"/>
              </w:rPr>
            </w:pPr>
          </w:p>
        </w:tc>
        <w:tc>
          <w:tcPr>
            <w:tcW w:w="1380" w:type="dxa"/>
            <w:vAlign w:val="bottom"/>
            <w:gridSpan w:val="4"/>
          </w:tcPr>
          <w:p>
            <w:pPr>
              <w:jc w:val="right"/>
              <w:ind w:right="680"/>
              <w:spacing w:after="0" w:line="158" w:lineRule="exact"/>
              <w:rPr>
                <w:sz w:val="20"/>
                <w:szCs w:val="20"/>
                <w:color w:val="auto"/>
              </w:rPr>
            </w:pPr>
            <w:r>
              <w:rPr>
                <w:rFonts w:ascii="Arial" w:cs="Arial" w:eastAsia="Arial" w:hAnsi="Arial"/>
                <w:sz w:val="14"/>
                <w:szCs w:val="14"/>
                <w:b w:val="1"/>
                <w:bCs w:val="1"/>
                <w:color w:val="auto"/>
              </w:rPr>
              <w:t>of Credit</w:t>
            </w: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1,450.4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73"/>
              <w:spacing w:after="0"/>
              <w:rPr>
                <w:sz w:val="20"/>
                <w:szCs w:val="20"/>
                <w:color w:val="auto"/>
              </w:rPr>
            </w:pPr>
            <w:r>
              <w:rPr>
                <w:rFonts w:ascii="Arial" w:cs="Arial" w:eastAsia="Arial" w:hAnsi="Arial"/>
                <w:sz w:val="18"/>
                <w:szCs w:val="18"/>
                <w:color w:val="auto"/>
                <w:w w:val="87"/>
              </w:rPr>
              <w:t>January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auto"/>
                <w:w w:val="95"/>
              </w:rPr>
              <w:t>______________________________</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60" w:right="280" w:hanging="652"/>
        <w:spacing w:after="0" w:line="227" w:lineRule="auto"/>
        <w:tabs>
          <w:tab w:leader="none" w:pos="66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Committed credit available under our revolving credit facility provides the ability to issue our commercial paper obligations on a long-term basis. We had</w:t>
      </w:r>
    </w:p>
    <w:p>
      <w:pPr>
        <w:spacing w:after="0" w:line="3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$1,450.4 million of commercial paper issued under our facility at December 31, 2017. As we had both the ability and intent to refinance these obligations on a long-term basis, our commercial paper borrowings were classified as long-term debt in the accompanying consolidated balance sheets at December 31, 2017.</w:t>
      </w:r>
    </w:p>
    <w:p>
      <w:pPr>
        <w:spacing w:after="0" w:line="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revolving credit facility contains customary covenants as defined by the credit facility agreement which includes a financial covenant requiring that our total capitalization ratio not exceed 60% at the end of any financial quarter. The facility agreement also contains covenants restricting our ability and our subsidiaries ability to incur additional liens and indebtedness, enter into asset sales, make certain investments. As of December 31, 2017, we were in compliance with all restrictive covenants under our revolving credit facility.</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Refer to Note 13 and Note 14 to our consolidated financial statements included in Part II, Item 8 of this Annual Report on Form 10-K for further information related to our credit facility and our mandatorily redeemable liability,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Valuations of derivative assets and liabilities reflect the fair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use the income approach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26" w:right="239" w:bottom="1440" w:gutter="0" w:footer="0" w:header="0"/>
        </w:sectPr>
      </w:pPr>
    </w:p>
    <w:bookmarkStart w:id="44" w:name="page45"/>
    <w:bookmarkEnd w:id="44"/>
    <w:p>
      <w:pPr>
        <w:ind w:right="100"/>
        <w:spacing w:after="0" w:line="259" w:lineRule="auto"/>
        <w:rPr>
          <w:sz w:val="20"/>
          <w:szCs w:val="20"/>
          <w:color w:val="auto"/>
        </w:rPr>
      </w:pPr>
      <w:r>
        <w:rPr>
          <w:rFonts w:ascii="Arial" w:cs="Arial" w:eastAsia="Arial" w:hAnsi="Arial"/>
          <w:sz w:val="18"/>
          <w:szCs w:val="18"/>
          <w:color w:val="auto"/>
        </w:rPr>
        <w:t>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this time, we have no credit-risk-related contingent features in our agreements with the financial institutions that would require us to post collateral for derivative positions in a liability position.</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information about credit risk is incorporated herein by reference to Note 21 to our consolidated financial statements included in Part II,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Historically, we have generated our liquidity and capital resources primarily through operations and, when needed, through our credit facility. We have</w:t>
      </w:r>
    </w:p>
    <w:p>
      <w:pPr>
        <w:spacing w:after="0" w:line="3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$1,049.6 million of capacity available under our revolving credit facility that we expect to utilize if working capital needs temporarily increase. The volatility in credit, equity and commodity markets creates some uncertainty for our business.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 While we will continue to reach payment milestones on our projects, we expect our consolidated operating cash flow in 2018 to decrease as a result of the negative impact of the decline in commodity prices and the corresponding impact the industry downturn has had on our overall business in terms of the number of new projects awarded and the payment terms and conditions of such project awards during 2016 and 2017. Consequently, any payment deferrals or discounts on pricing granted to clients in prior years may adversely affect our results of operations and cash flows in 2018 and beyond.</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project spending approximately $300 million in 2018 for capital expenditures, largely on expenditures in our subsea service business. However, projected capital expenditures for 2018 does not include any contingent capital that may be needed to respond to a contract award.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implemented a U.K. court-approved reduction of our capital, which completed on June 29, 2017, in order to create distributable profits to support the payment of future dividends or future share repurchases. Our board of directors authorized $500 million for the repurchase of shares which was executed over the remainder of 2017 and will be completed in 2018. Also, on October 25, 2017, it was announced that our Board of Directors authorized and declared an initial quarterly cash dividend of $0.13 per ordinary share.</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2018, we expect to make contributions of approximately $19.9 million to our pension plans. Actual contribution amounts are dependent upon plan investment returns, changes in pension obligations, regulatory environments and other economic factors. We update our pension estimates annually during the fourth quarter or more frequently upon the occurrence of significant events. Additionally, we expect to make payments of approximately $5.3 million to our U.S. Non-Qualified Defined Benefit Pension Plan during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contractual obligations at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3"/>
                <w:szCs w:val="13"/>
                <w:color w:val="auto"/>
              </w:rPr>
            </w:pPr>
          </w:p>
        </w:tc>
        <w:tc>
          <w:tcPr>
            <w:tcW w:w="122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4"/>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3 -5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58"/>
        </w:trPr>
        <w:tc>
          <w:tcPr>
            <w:tcW w:w="35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3"/>
                <w:szCs w:val="13"/>
                <w:color w:val="auto"/>
              </w:rPr>
            </w:pPr>
          </w:p>
        </w:tc>
        <w:tc>
          <w:tcPr>
            <w:tcW w:w="13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1"/>
              </w:rPr>
              <w:t>payments</w:t>
            </w:r>
          </w:p>
        </w:tc>
        <w:tc>
          <w:tcPr>
            <w:tcW w:w="280" w:type="dxa"/>
            <w:vAlign w:val="bottom"/>
          </w:tcPr>
          <w:p>
            <w:pPr>
              <w:spacing w:after="0"/>
              <w:rPr>
                <w:sz w:val="13"/>
                <w:szCs w:val="13"/>
                <w:color w:val="auto"/>
              </w:rPr>
            </w:pPr>
          </w:p>
        </w:tc>
        <w:tc>
          <w:tcPr>
            <w:tcW w:w="1220" w:type="dxa"/>
            <w:vAlign w:val="bottom"/>
          </w:tcPr>
          <w:p>
            <w:pPr>
              <w:jc w:val="right"/>
              <w:ind w:right="473"/>
              <w:spacing w:after="0" w:line="158" w:lineRule="exact"/>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3"/>
                <w:szCs w:val="13"/>
                <w:color w:val="auto"/>
              </w:rPr>
            </w:pPr>
          </w:p>
        </w:tc>
        <w:tc>
          <w:tcPr>
            <w:tcW w:w="122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3"/>
                <w:szCs w:val="13"/>
                <w:color w:val="auto"/>
              </w:rPr>
            </w:pPr>
          </w:p>
        </w:tc>
        <w:tc>
          <w:tcPr>
            <w:tcW w:w="1160" w:type="dxa"/>
            <w:vAlign w:val="bottom"/>
          </w:tcPr>
          <w:p>
            <w:pPr>
              <w:jc w:val="right"/>
              <w:ind w:right="494"/>
              <w:spacing w:after="0" w:line="158"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5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3,855.0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1,972.9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Interest on debt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409.4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(c)</w:t>
            </w:r>
          </w:p>
        </w:tc>
        <w:tc>
          <w:tcPr>
            <w:tcW w:w="3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5,263.4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4,140.2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w w:val="95"/>
              </w:rPr>
              <w:t xml:space="preserve">Pension and other post-retirement benefits </w:t>
            </w:r>
            <w:r>
              <w:rPr>
                <w:rFonts w:ascii="Arial" w:cs="Arial" w:eastAsia="Arial" w:hAnsi="Arial"/>
                <w:sz w:val="25"/>
                <w:szCs w:val="25"/>
                <w:color w:val="auto"/>
                <w:w w:val="95"/>
                <w:vertAlign w:val="superscript"/>
              </w:rPr>
              <w:t>(d)</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25"/>
                <w:szCs w:val="25"/>
                <w:color w:val="auto"/>
                <w:vertAlign w:val="superscript"/>
              </w:rPr>
              <w:t>(e)</w:t>
            </w:r>
          </w:p>
        </w:tc>
        <w:tc>
          <w:tcPr>
            <w:tcW w:w="3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contractual obligations </w:t>
            </w:r>
            <w:r>
              <w:rPr>
                <w:rFonts w:ascii="Arial" w:cs="Arial" w:eastAsia="Arial" w:hAnsi="Arial"/>
                <w:sz w:val="25"/>
                <w:szCs w:val="25"/>
                <w:color w:val="auto"/>
                <w:vertAlign w:val="superscript"/>
              </w:rPr>
              <w:t>(f)</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11,744.9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4,818.3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3,718.9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1,547.6</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vMerge w:val="restart"/>
          </w:tcPr>
          <w:p>
            <w:pPr>
              <w:jc w:val="right"/>
              <w:ind w:right="79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5" w:name="page46"/>
    <w:bookmarkEnd w:id="45"/>
    <w:p>
      <w:pPr>
        <w:ind w:left="660" w:right="60" w:hanging="652"/>
        <w:spacing w:after="0" w:line="233"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Our available debt is dependent upon our compliance with covenants, including negative covenants related to liens and our total capitalization ratio. Any violation of covenants or other events of default, which are not waived or cured, or changes in our credit rating could have a material impact on our ability to maintain our committed financing arrangements.</w:t>
      </w:r>
    </w:p>
    <w:p>
      <w:pPr>
        <w:spacing w:after="0" w:line="106" w:lineRule="exact"/>
        <w:rPr>
          <w:rFonts w:ascii="Arial" w:cs="Arial" w:eastAsia="Arial" w:hAnsi="Arial"/>
          <w:sz w:val="25"/>
          <w:szCs w:val="25"/>
          <w:color w:val="auto"/>
          <w:vertAlign w:val="superscript"/>
        </w:rPr>
      </w:pPr>
    </w:p>
    <w:p>
      <w:pPr>
        <w:ind w:left="660" w:right="400"/>
        <w:spacing w:after="0" w:line="261" w:lineRule="auto"/>
        <w:rPr>
          <w:rFonts w:ascii="Arial" w:cs="Arial" w:eastAsia="Arial" w:hAnsi="Arial"/>
          <w:sz w:val="25"/>
          <w:szCs w:val="25"/>
          <w:color w:val="auto"/>
          <w:vertAlign w:val="superscript"/>
        </w:rPr>
      </w:pPr>
      <w:r>
        <w:rPr>
          <w:rFonts w:ascii="Arial" w:cs="Arial" w:eastAsia="Arial" w:hAnsi="Arial"/>
          <w:sz w:val="16"/>
          <w:szCs w:val="16"/>
          <w:color w:val="auto"/>
        </w:rPr>
        <w:t>Due to our intent and ability to refinance commercial paper obligations on a long-term basis under our revolving credit facility and the variable interest rates associated with these debt instruments, only interest on our Senior Notes is included in the table. During 2017, we paid $50.3 million for interest charges, net of interest capitalized.</w:t>
      </w:r>
    </w:p>
    <w:p>
      <w:pPr>
        <w:spacing w:after="0" w:line="88" w:lineRule="exact"/>
        <w:rPr>
          <w:rFonts w:ascii="Arial" w:cs="Arial" w:eastAsia="Arial" w:hAnsi="Arial"/>
          <w:sz w:val="25"/>
          <w:szCs w:val="25"/>
          <w:color w:val="auto"/>
          <w:vertAlign w:val="superscript"/>
        </w:rPr>
      </w:pPr>
    </w:p>
    <w:p>
      <w:pPr>
        <w:ind w:left="660" w:right="260" w:hanging="652"/>
        <w:spacing w:after="0" w:line="245"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In 2014 we entered into construction and operating lease agreements to finance the construction of manufacturing and office facilities located in Houston, TX. In January 2016, construction of the facilities was completed and the operating lease commenced. Upon expiration of the lease term in September 2021, we have the option to renew the lease, purchase the facilities or re-market the facilities on behalf of the lessor, including certain guarantees of residual value under the re-marketing option.</w:t>
      </w:r>
    </w:p>
    <w:p>
      <w:pPr>
        <w:spacing w:after="0" w:line="115" w:lineRule="exact"/>
        <w:rPr>
          <w:rFonts w:ascii="Arial" w:cs="Arial" w:eastAsia="Arial" w:hAnsi="Arial"/>
          <w:sz w:val="25"/>
          <w:szCs w:val="25"/>
          <w:color w:val="auto"/>
          <w:vertAlign w:val="superscript"/>
        </w:rPr>
      </w:pPr>
    </w:p>
    <w:p>
      <w:pPr>
        <w:ind w:left="660" w:right="60" w:hanging="652"/>
        <w:spacing w:after="0" w:line="245"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In the normal course of business, we enter into agreements with our suppliers to purchase raw materials or services. These agreements include a requirement that our supplier provide products or services to our specifications and require us to make a firm purchase commitment to our supplier. As substantially all of these commitments are associated with purchases made to fulfill our customers’ orders, the costs associated with these agreements will ultimately be reflected in cost of sales on our consolidated statements of income.</w:t>
      </w:r>
    </w:p>
    <w:p>
      <w:pPr>
        <w:spacing w:after="0" w:line="97" w:lineRule="exact"/>
        <w:rPr>
          <w:rFonts w:ascii="Arial" w:cs="Arial" w:eastAsia="Arial" w:hAnsi="Arial"/>
          <w:sz w:val="25"/>
          <w:szCs w:val="25"/>
          <w:color w:val="auto"/>
          <w:vertAlign w:val="superscript"/>
        </w:rPr>
      </w:pPr>
    </w:p>
    <w:p>
      <w:pPr>
        <w:ind w:left="660" w:right="200" w:hanging="652"/>
        <w:spacing w:after="0" w:line="244" w:lineRule="auto"/>
        <w:tabs>
          <w:tab w:leader="none" w:pos="660" w:val="left"/>
        </w:tabs>
        <w:numPr>
          <w:ilvl w:val="0"/>
          <w:numId w:val="25"/>
        </w:numPr>
        <w:rPr>
          <w:rFonts w:ascii="Arial" w:cs="Arial" w:eastAsia="Arial" w:hAnsi="Arial"/>
          <w:sz w:val="23"/>
          <w:szCs w:val="23"/>
          <w:color w:val="auto"/>
          <w:vertAlign w:val="superscript"/>
        </w:rPr>
      </w:pPr>
      <w:r>
        <w:rPr>
          <w:rFonts w:ascii="Arial" w:cs="Arial" w:eastAsia="Arial" w:hAnsi="Arial"/>
          <w:sz w:val="15"/>
          <w:szCs w:val="15"/>
          <w:color w:val="auto"/>
        </w:rPr>
        <w:t xml:space="preserve">We expect to contribute approximately </w:t>
      </w:r>
      <w:r>
        <w:rPr>
          <w:rFonts w:ascii="Arial" w:cs="Arial" w:eastAsia="Arial" w:hAnsi="Arial"/>
          <w:sz w:val="17"/>
          <w:szCs w:val="17"/>
          <w:color w:val="auto"/>
        </w:rPr>
        <w:t>$</w:t>
      </w:r>
      <w:r>
        <w:rPr>
          <w:rFonts w:ascii="Arial" w:cs="Arial" w:eastAsia="Arial" w:hAnsi="Arial"/>
          <w:sz w:val="15"/>
          <w:szCs w:val="15"/>
          <w:color w:val="auto"/>
        </w:rPr>
        <w:t>19.9 million to our international pension plans during 2018. Required contributions for future years depend on factors that cannot be determined at this time. Additionally, we expect to contribute $5.3 million to our U.S. Non-Qualified Defined Benefit Pension Plan in 2018.</w:t>
      </w:r>
    </w:p>
    <w:p>
      <w:pPr>
        <w:spacing w:after="0" w:line="113" w:lineRule="exact"/>
        <w:rPr>
          <w:rFonts w:ascii="Arial" w:cs="Arial" w:eastAsia="Arial" w:hAnsi="Arial"/>
          <w:sz w:val="23"/>
          <w:szCs w:val="23"/>
          <w:color w:val="auto"/>
          <w:vertAlign w:val="superscript"/>
        </w:rPr>
      </w:pPr>
    </w:p>
    <w:p>
      <w:pPr>
        <w:ind w:left="660" w:right="300" w:hanging="652"/>
        <w:spacing w:after="0" w:line="233"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It is reasonably possible that $96.3 million of liabilities for unrecognized tax benefits will be settled during 2018, and this amount is reflected in income taxes payable in our consolidated balance sheet as of December 31, 2017. Although unrecognized tax benefits are not contractual obligations, they are presented in this table because they represent demands on our liquidity.</w:t>
      </w:r>
    </w:p>
    <w:p>
      <w:pPr>
        <w:spacing w:after="0" w:line="119" w:lineRule="exact"/>
        <w:rPr>
          <w:rFonts w:ascii="Arial" w:cs="Arial" w:eastAsia="Arial" w:hAnsi="Arial"/>
          <w:sz w:val="25"/>
          <w:szCs w:val="25"/>
          <w:color w:val="auto"/>
          <w:vertAlign w:val="superscript"/>
        </w:rPr>
      </w:pPr>
    </w:p>
    <w:p>
      <w:pPr>
        <w:ind w:left="660" w:hanging="652"/>
        <w:spacing w:after="0" w:line="258"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Other contractual obligations represent a mandatorily redeemable financial liability. 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A mandatorily redeemable financial liability of $174.8 million was recognized as of December 31, 2016 to account for the fair value of the non-controlling interests. During the year ended December 31, 2017 we revalued the liability to reflect current expectations about the obligation. Refer to Note 22 for further information regarding the fair value measurement assumptions of the mandatorily redeemable financial liability and related changes in its fair v</w:t>
      </w:r>
      <w:r>
        <w:rPr>
          <w:rFonts w:ascii="Arial" w:cs="Arial" w:eastAsia="Arial" w:hAnsi="Arial"/>
          <w:sz w:val="18"/>
          <w:szCs w:val="18"/>
          <w:color w:val="auto"/>
        </w:rPr>
        <w:t>alue.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off-balance sheet arrangements at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Amount of Commitment Expiration per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3"/>
                <w:szCs w:val="13"/>
                <w:color w:val="auto"/>
              </w:rPr>
            </w:pPr>
          </w:p>
        </w:tc>
        <w:tc>
          <w:tcPr>
            <w:tcW w:w="13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8"/>
              </w:rPr>
              <w:t>Less than</w:t>
            </w:r>
          </w:p>
        </w:tc>
        <w:tc>
          <w:tcPr>
            <w:tcW w:w="360" w:type="dxa"/>
            <w:vAlign w:val="bottom"/>
          </w:tcPr>
          <w:p>
            <w:pPr>
              <w:spacing w:after="0"/>
              <w:rPr>
                <w:sz w:val="13"/>
                <w:szCs w:val="13"/>
                <w:color w:val="auto"/>
              </w:rPr>
            </w:pPr>
          </w:p>
        </w:tc>
        <w:tc>
          <w:tcPr>
            <w:tcW w:w="1120" w:type="dxa"/>
            <w:vAlign w:val="bottom"/>
          </w:tcPr>
          <w:p>
            <w:pPr>
              <w:jc w:val="right"/>
              <w:ind w:right="557"/>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7"/>
              <w:spacing w:after="0" w:line="153"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58"/>
        </w:trPr>
        <w:tc>
          <w:tcPr>
            <w:tcW w:w="35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Other off-balance sheet arrangements</w:t>
            </w:r>
          </w:p>
        </w:tc>
        <w:tc>
          <w:tcPr>
            <w:tcW w:w="320" w:type="dxa"/>
            <w:vAlign w:val="bottom"/>
          </w:tcPr>
          <w:p>
            <w:pPr>
              <w:spacing w:after="0"/>
              <w:rPr>
                <w:sz w:val="13"/>
                <w:szCs w:val="13"/>
                <w:color w:val="auto"/>
              </w:rPr>
            </w:pPr>
          </w:p>
        </w:tc>
        <w:tc>
          <w:tcPr>
            <w:tcW w:w="13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3"/>
                <w:szCs w:val="13"/>
                <w:color w:val="auto"/>
              </w:rPr>
            </w:pPr>
          </w:p>
        </w:tc>
        <w:tc>
          <w:tcPr>
            <w:tcW w:w="13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1 year</w:t>
            </w:r>
          </w:p>
        </w:tc>
        <w:tc>
          <w:tcPr>
            <w:tcW w:w="360" w:type="dxa"/>
            <w:vAlign w:val="bottom"/>
          </w:tcPr>
          <w:p>
            <w:pPr>
              <w:spacing w:after="0"/>
              <w:rPr>
                <w:sz w:val="13"/>
                <w:szCs w:val="13"/>
                <w:color w:val="auto"/>
              </w:rPr>
            </w:pPr>
          </w:p>
        </w:tc>
        <w:tc>
          <w:tcPr>
            <w:tcW w:w="122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3"/>
                <w:szCs w:val="13"/>
                <w:color w:val="auto"/>
              </w:rPr>
            </w:pPr>
          </w:p>
        </w:tc>
        <w:tc>
          <w:tcPr>
            <w:tcW w:w="122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3"/>
                <w:szCs w:val="13"/>
                <w:color w:val="auto"/>
              </w:rPr>
            </w:pPr>
          </w:p>
        </w:tc>
        <w:tc>
          <w:tcPr>
            <w:tcW w:w="1160" w:type="dxa"/>
            <w:vAlign w:val="bottom"/>
          </w:tcPr>
          <w:p>
            <w:pPr>
              <w:jc w:val="right"/>
              <w:ind w:right="497"/>
              <w:spacing w:after="0" w:line="158"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32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54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Letters of credit and bank guarantees </w:t>
            </w:r>
            <w:r>
              <w:rPr>
                <w:rFonts w:ascii="Arial" w:cs="Arial" w:eastAsia="Arial" w:hAnsi="Arial"/>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4,566.4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2,174.4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2,164.4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Surety bonds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other off-balance sheet arrangements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4,603.6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2,204.1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right="60" w:hanging="652"/>
        <w:spacing w:after="0" w:line="296"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As collateral for our performance on certain sales contracts or as part of our agreements with insurance companies, we are liable under letters of credit, surety bonds and other bank guarantees. Our ability to generate revenue from certain contracts is dependent upon our ability to obtain these off-balance sheet financial instruments. These off-balance sheet financial instruments may be renewed, revised or released based on changes in the underlying commitment. Historically, our commercial commitments have not been drawn upon to a material extent; consequently, management believes it is not reasonably likely there will be material claims against these commitments. However, should these financial instruments become unavailable to us, our operations and liquidity could be negatively impacted.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0" w:right="239" w:bottom="1440" w:gutter="0" w:footer="0" w:header="0"/>
        </w:sectPr>
      </w:pPr>
    </w:p>
    <w:bookmarkStart w:id="46" w:name="page47"/>
    <w:bookmarkEnd w:id="46"/>
    <w:p>
      <w:pPr>
        <w:ind w:right="620"/>
        <w:spacing w:after="0" w:line="277" w:lineRule="auto"/>
        <w:rPr>
          <w:sz w:val="20"/>
          <w:szCs w:val="20"/>
          <w:color w:val="auto"/>
        </w:rPr>
      </w:pPr>
      <w:r>
        <w:rPr>
          <w:rFonts w:ascii="Arial" w:cs="Arial" w:eastAsia="Arial" w:hAnsi="Arial"/>
          <w:sz w:val="18"/>
          <w:szCs w:val="18"/>
          <w:color w:val="auto"/>
        </w:rPr>
        <w:t>See Note 1 to our consolidated financial statements included in Part II, Item 8 of this Annual Report on Form 10-K for a description of our significant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Completion Method of Accounting</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recognize revenue on construction-type projects using the percentage of completion method of accounting whereby revenue is recognized as work progresses on each contract. There are several acceptable methods under GAAP of measuring progress toward completion. Most frequently, we use the ratio of costs incurred to date to total estimated contract costs at completion to measure progress toward completion. We also use alternative methods including physical progress or others depending on the type of project.</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execute contracts with our customers that clearly describe the equipment, systems and/or services that we will provide and the amount of consideration we will receive.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recognized using the percentage of completion method of accounting was approximately 79.0%, 84.9% and 83.9% of total revenue recognized for the years ended December 31, 2017, 2016 and 2015, respectively. A significant portion of our total revenue recognized under the percentage of completion method of accounting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w:t>
      </w:r>
    </w:p>
    <w:p>
      <w:pPr>
        <w:spacing w:after="0" w:line="8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Total estimated contract cost affects both the revenue recognized in a period as well as the reported profit or loss on a project. The determination of profit or loss on a contract requires consideration of contract revenue, change orders and claims, less costs incurred to date and estimated costs to complete. Profits are recognized based on the estimated project profit multiplied by the percentage complete. 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contracts under the percentage of completion method of accounting is such that refinements of the estimating process for changing conditions and new developments are continuous and characteristic of the process. Consequently, the amount of revenue recognized using the percentage of completion method of accounting is sensitive to changes in our estimates of total contract costs. For each contract in progress at December 31, 2017, a 1% increase or decrease in the estimated margin earned on each contract would have increased or decreased total revenue and pre-tax income by $194.6 million for the year ended December 31, 2017.</w:t>
      </w:r>
    </w:p>
    <w:p>
      <w:pPr>
        <w:spacing w:after="0" w:line="11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total estimated contract cost in the percentage of completion method of accounting is a critical accounting estimate because it can materially affect revenue and profit and requires us to make judgments about matters that are uncertain.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 Changes in these factors may result in revisions to costs and income, and their effects are recognized in the period in which the revisions are determined. These factors are routinely evaluated on a project by project basis throughout the project term, and the impact of corresponding revisions in management’s estimates of contract value, contract cost and contract profit are recorded as necessary in the period in which the revisions are determined.</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operating profit for the year ended December 31, 2017 was positively impacted by approximately $378.4 million, as a result of changes in contract estimates related to projects that were in progress at December 31, 2016. During the year ended December 31, 2017, we recognized favorable changes in our estimates which had an impact on our margin in the amounts of $325 million and $53.4 million in our Onshore/Offshore and Subsea segment’s, respectively. The changes in contract estimates are attributed to better than expected performance throughout our execution of our projects.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uncertain tax positions reflect management’s best assessment of estimated future taxes to be paid. We are subject to income taxes in the United Kingdom and numerous foreign jurisdictions. Significant judgments and estimates are required in determining our consolidated income tax expense.</w:t>
      </w:r>
    </w:p>
    <w:p>
      <w:pPr>
        <w:spacing w:after="0" w:line="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determining our current income tax provision, we assess temporary differences resulting from differing treatments of items for tax and accounting purposes. These differences result in deferred tax assets and liabilities, which are recorded in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7" w:name="page48"/>
    <w:bookmarkEnd w:id="47"/>
    <w:p>
      <w:pPr>
        <w:ind w:right="20"/>
        <w:spacing w:after="0" w:line="255" w:lineRule="auto"/>
        <w:rPr>
          <w:sz w:val="20"/>
          <w:szCs w:val="20"/>
          <w:color w:val="auto"/>
        </w:rPr>
      </w:pPr>
      <w:r>
        <w:rPr>
          <w:rFonts w:ascii="Arial" w:cs="Arial" w:eastAsia="Arial" w:hAnsi="Arial"/>
          <w:sz w:val="18"/>
          <w:szCs w:val="18"/>
          <w:color w:val="auto"/>
        </w:rPr>
        <w:t>consolidated balance sheets. When we maintain deferred tax assets, we must assess the likelihood that these assets will be recovered through adjustments to future taxable income. To the extent, we believe recovery is not likely, we establish a valuation allowance. We record a valuation allowance to reduce the asset to a value we believe will be recoverable based on our expectation of future taxable income. We believe the accounting estimate related to the valuation allowance is a critical accounting estimate because it is highly susceptible to change from period to period, requires management to make assumptions about our future income over the lives of the deferred tax assets, and finally, the impact of increasing or decreasing the valuation allowance is potentially material to our results of operations.</w:t>
      </w:r>
    </w:p>
    <w:p>
      <w:pPr>
        <w:spacing w:after="0" w:line="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Forecasting future income requires us to use a significant amount of judgment. In estimating future income, we use our internal operating budgets and long-range planning projections. We develop our budgets and long-range projections based on recent results, trends, economic and industry forecasts influencing our segments’ performance, our backlog, planned timing of new product launches and customer sales commitments. Significant changes in our judgment related to the expected realizability of a deferred tax asset results in an adjustment to the associated valuation allowance.</w:t>
      </w:r>
    </w:p>
    <w:p>
      <w:pPr>
        <w:spacing w:after="0" w:line="6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As of December 31, 2017, we believe that it is not more likely than not that we will generate future taxable income in certain jurisdictions in which we have cumulative net operating losses and, therefore, we have provided a valuation allowance against the related deferred tax assets.</w:t>
      </w:r>
    </w:p>
    <w:p>
      <w:pPr>
        <w:spacing w:after="0" w:line="3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calculation of our income tax expense involves dealing with uncertainties in the application of complex tax laws and regulations in numerous jurisdictions in which we operate. We recognize tax benefits related to uncertain tax positions when, in our judgment, it is more likely than not that such positions will be sustained on examination, including resolutions of any related appeals or litigation, based on the technical merits. We adjust our liabilities for uncertain tax positions when our judgment changes as a result of new information previously unavailable. Due to the complexity of some of these uncertainties, their ultimate resolution may result in payments that are materially different from our current estimates. Any such differences will be reflected as adjustments to income tax expense in the periods in which they are determined.</w:t>
      </w:r>
    </w:p>
    <w:p>
      <w:pPr>
        <w:spacing w:after="0" w:line="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currently evaluating provisions of United States and French tax reform enacted in December 2017. In the fourth quarter of 2017, we recorded a provision to income taxes for our preliminary assessment of the impact of tax reform. As we do not have all the necessary information to analyze all income tax effects of tax reform, this is a provisional amount which we believe represents a reasonable estimate of the accounting implications of this tax reform. We will continue to evaluate tax reform and adjust the provisional amounts as additional information is obtained. The ultimate impact of tax reform may differ from our provisional amounts due to changes in our interpretations and assumptions, as well as additional regulatory guidance that may be issued. We expect to complete our detailed analysis no later than the fourth quarter of 2018. For further information, see Note 17 to the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Pension and Other Post-retirement Benefit Plans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pension and other post-retirement (health care and life insurance) obligations are described in Note 18 to our consolidated financial statements included in Part II, Item 8 of this Annual Report on Form 10-K.</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determination of the projected benefit obligations of our pension and other post-retirement benefit plans are important to the recorded amounts of such obligations on our consolidated balance sheet and to the amount of pension expense in our consolidated statements of income. In order to measure the obligations and expense associated with our pension benefits, management must make a variety of estimates, including discount rates used to value certain liabilities, expected return on plan assets set aside to fund these costs, rate of compensation increase, employee turnover rates, retirement rates, mortality rates and other factors. We update these estimates on an annual basis or more frequently upon the occurrence of significant events. These accounting estimates bear the risk of change due to the uncertainty and difficulty in estimating these measures. Different estimates used by management could result in our recognition of different amounts of expense over different periods of time.</w:t>
      </w:r>
    </w:p>
    <w:p>
      <w:pPr>
        <w:spacing w:after="0" w:line="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Due to the specialized and statistical nature of these calculations which attempt to anticipate future events, we engage third-party specialists to assist management in evaluating our assumptions as well as appropriately measuring the costs and obligations associated with these pension benefits. The discount rate and expected long-term rate of return on plan assets are primarily based on investment yields available and the historical performance of our plan assets, respectively. These measures are critical accounting estimates because they are subject to management’s judgment and can materially affect net income.</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discount rate affects the interest cost component of net periodic pension cost and the calculation of the projected benefit obligation. The discount rate is based on rates at which the pension benefit obligation could be effectively settled on a present value basis. Discount rates are derived by identifying a theoretical settlement portfolio of long-term, high quality (“AA” rated) corporate bonds at our determination date that is sufficient to provide for the projected pension benefit payments. A single discount rate is determined that results in a discounted value of the pension benefit payments that equate to the market value of the selected bonds. The resulting discount rate is reflective of both the current interest rate environment and the pension’s distinct liability characteristics. Significant changes in the discount rate, such as those caused by changes in the yield curve,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92" w:right="259" w:bottom="1440" w:gutter="0" w:footer="0" w:header="0"/>
        </w:sectPr>
      </w:pPr>
    </w:p>
    <w:bookmarkStart w:id="48" w:name="page49"/>
    <w:bookmarkEnd w:id="48"/>
    <w:p>
      <w:pPr>
        <w:ind w:right="480"/>
        <w:spacing w:after="0" w:line="277" w:lineRule="auto"/>
        <w:rPr>
          <w:sz w:val="20"/>
          <w:szCs w:val="20"/>
          <w:color w:val="auto"/>
        </w:rPr>
      </w:pPr>
      <w:r>
        <w:rPr>
          <w:rFonts w:ascii="Arial" w:cs="Arial" w:eastAsia="Arial" w:hAnsi="Arial"/>
          <w:sz w:val="18"/>
          <w:szCs w:val="18"/>
          <w:color w:val="auto"/>
        </w:rPr>
        <w:t>mix of bonds available in the market, the duration of selected bonds and the timing of expected benefit payments, may result in volatility in our pension expense and pension liabilities.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expected long-term rate of return on plan assets is a component of net periodic pension cost. Our estimate of the expected long-term rate of return on plan assets is primarily based on the historical performance of plan assets, current market conditions, our asset allocation and long-term growth expectations. The difference between the expected return and the actual return on plan assets is amortized over the expected remaining service life of employees, resulting in a lag time between the market’s performance and its impact on plan results.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Holding other assumptions constant, the following table illustrates the sensitivity of changes in the discount rate and expected long-term return on plan assets on pension expense and the projected benefit obligation: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960" w:type="dxa"/>
            <w:vAlign w:val="bottom"/>
            <w:gridSpan w:val="2"/>
            <w:vMerge w:val="restart"/>
          </w:tcPr>
          <w:p>
            <w:pPr>
              <w:jc w:val="center"/>
              <w:ind w:left="1318"/>
              <w:spacing w:after="0"/>
              <w:rPr>
                <w:sz w:val="20"/>
                <w:szCs w:val="20"/>
                <w:color w:val="auto"/>
              </w:rPr>
            </w:pPr>
            <w:r>
              <w:rPr>
                <w:rFonts w:ascii="Arial" w:cs="Arial" w:eastAsia="Arial" w:hAnsi="Arial"/>
                <w:sz w:val="14"/>
                <w:szCs w:val="14"/>
                <w:b w:val="1"/>
                <w:bCs w:val="1"/>
                <w:color w:val="auto"/>
                <w:w w:val="91"/>
              </w:rPr>
              <w:t>Increase (Decrease) in</w:t>
            </w:r>
          </w:p>
        </w:tc>
        <w:tc>
          <w:tcPr>
            <w:tcW w:w="180" w:type="dxa"/>
            <w:vAlign w:val="bottom"/>
          </w:tcPr>
          <w:p>
            <w:pPr>
              <w:spacing w:after="0"/>
              <w:rPr>
                <w:sz w:val="14"/>
                <w:szCs w:val="14"/>
                <w:color w:val="auto"/>
              </w:rPr>
            </w:pPr>
          </w:p>
        </w:tc>
        <w:tc>
          <w:tcPr>
            <w:tcW w:w="14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Increase (Decrease) in</w:t>
            </w:r>
          </w:p>
        </w:tc>
        <w:tc>
          <w:tcPr>
            <w:tcW w:w="0" w:type="dxa"/>
            <w:vAlign w:val="bottom"/>
          </w:tcPr>
          <w:p>
            <w:pPr>
              <w:spacing w:after="0"/>
              <w:rPr>
                <w:sz w:val="1"/>
                <w:szCs w:val="1"/>
                <w:color w:val="auto"/>
              </w:rPr>
            </w:pPr>
          </w:p>
        </w:tc>
      </w:tr>
      <w:tr>
        <w:trPr>
          <w:trHeight w:val="149"/>
        </w:trPr>
        <w:tc>
          <w:tcPr>
            <w:tcW w:w="6800" w:type="dxa"/>
            <w:vAlign w:val="bottom"/>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Projected Benefit</w:t>
            </w:r>
          </w:p>
        </w:tc>
        <w:tc>
          <w:tcPr>
            <w:tcW w:w="0" w:type="dxa"/>
            <w:vAlign w:val="bottom"/>
          </w:tcPr>
          <w:p>
            <w:pPr>
              <w:spacing w:after="0"/>
              <w:rPr>
                <w:sz w:val="1"/>
                <w:szCs w:val="1"/>
                <w:color w:val="auto"/>
              </w:rPr>
            </w:pPr>
          </w:p>
        </w:tc>
      </w:tr>
      <w:tr>
        <w:trPr>
          <w:trHeight w:val="149"/>
        </w:trPr>
        <w:tc>
          <w:tcPr>
            <w:tcW w:w="6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basis points)</w:t>
            </w:r>
          </w:p>
        </w:tc>
        <w:tc>
          <w:tcPr>
            <w:tcW w:w="2960" w:type="dxa"/>
            <w:vAlign w:val="bottom"/>
            <w:gridSpan w:val="2"/>
          </w:tcPr>
          <w:p>
            <w:pPr>
              <w:jc w:val="center"/>
              <w:ind w:left="1318"/>
              <w:spacing w:after="0" w:line="149" w:lineRule="exact"/>
              <w:rPr>
                <w:sz w:val="20"/>
                <w:szCs w:val="20"/>
                <w:color w:val="auto"/>
              </w:rPr>
            </w:pPr>
            <w:r>
              <w:rPr>
                <w:rFonts w:ascii="Arial" w:cs="Arial" w:eastAsia="Arial" w:hAnsi="Arial"/>
                <w:sz w:val="14"/>
                <w:szCs w:val="14"/>
                <w:b w:val="1"/>
                <w:bCs w:val="1"/>
                <w:color w:val="auto"/>
                <w:w w:val="90"/>
              </w:rPr>
              <w:t>2017 Pension Expense</w:t>
            </w: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Obligation at December</w:t>
            </w:r>
          </w:p>
        </w:tc>
        <w:tc>
          <w:tcPr>
            <w:tcW w:w="0" w:type="dxa"/>
            <w:vAlign w:val="bottom"/>
          </w:tcPr>
          <w:p>
            <w:pPr>
              <w:spacing w:after="0"/>
              <w:rPr>
                <w:sz w:val="1"/>
                <w:szCs w:val="1"/>
                <w:color w:val="auto"/>
              </w:rPr>
            </w:pPr>
          </w:p>
        </w:tc>
      </w:tr>
      <w:tr>
        <w:trPr>
          <w:trHeight w:val="192"/>
        </w:trPr>
        <w:tc>
          <w:tcPr>
            <w:tcW w:w="6800" w:type="dxa"/>
            <w:vAlign w:val="bottom"/>
            <w:vMerge w:val="continue"/>
          </w:tcPr>
          <w:p>
            <w:pPr>
              <w:spacing w:after="0"/>
              <w:rPr>
                <w:sz w:val="16"/>
                <w:szCs w:val="16"/>
                <w:color w:val="auto"/>
              </w:rPr>
            </w:pPr>
          </w:p>
        </w:tc>
        <w:tc>
          <w:tcPr>
            <w:tcW w:w="2960" w:type="dxa"/>
            <w:vAlign w:val="bottom"/>
            <w:gridSpan w:val="2"/>
          </w:tcPr>
          <w:p>
            <w:pPr>
              <w:jc w:val="center"/>
              <w:ind w:left="1318"/>
              <w:spacing w:after="0"/>
              <w:rPr>
                <w:sz w:val="20"/>
                <w:szCs w:val="20"/>
                <w:color w:val="auto"/>
              </w:rPr>
            </w:pPr>
            <w:r>
              <w:rPr>
                <w:rFonts w:ascii="Arial" w:cs="Arial" w:eastAsia="Arial" w:hAnsi="Arial"/>
                <w:sz w:val="14"/>
                <w:szCs w:val="14"/>
                <w:b w:val="1"/>
                <w:bCs w:val="1"/>
                <w:color w:val="auto"/>
                <w:w w:val="90"/>
              </w:rPr>
              <w:t>Before Income Taxes</w:t>
            </w:r>
          </w:p>
        </w:tc>
        <w:tc>
          <w:tcPr>
            <w:tcW w:w="180" w:type="dxa"/>
            <w:vAlign w:val="bottom"/>
          </w:tcPr>
          <w:p>
            <w:pPr>
              <w:spacing w:after="0"/>
              <w:rPr>
                <w:sz w:val="16"/>
                <w:szCs w:val="16"/>
                <w:color w:val="auto"/>
              </w:rPr>
            </w:pPr>
          </w:p>
        </w:tc>
        <w:tc>
          <w:tcPr>
            <w:tcW w:w="148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31, 2017</w:t>
            </w:r>
          </w:p>
        </w:tc>
        <w:tc>
          <w:tcPr>
            <w:tcW w:w="0" w:type="dxa"/>
            <w:vAlign w:val="bottom"/>
          </w:tcPr>
          <w:p>
            <w:pPr>
              <w:spacing w:after="0"/>
              <w:rPr>
                <w:sz w:val="1"/>
                <w:szCs w:val="1"/>
                <w:color w:val="auto"/>
              </w:rPr>
            </w:pPr>
          </w:p>
        </w:tc>
      </w:tr>
      <w:tr>
        <w:trPr>
          <w:trHeight w:val="256"/>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 in discount rate</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25 basis point increase in discount rate</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 in expected long-term rate of return on plan assets</w:t>
            </w:r>
          </w:p>
        </w:tc>
        <w:tc>
          <w:tcPr>
            <w:tcW w:w="2040" w:type="dxa"/>
            <w:vAlign w:val="bottom"/>
            <w:tcBorders>
              <w:bottom w:val="single" w:sz="8" w:color="CCEEFF"/>
            </w:tcBorders>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25 basis point increase in expected long-term rate of return on plan assets</w:t>
            </w:r>
          </w:p>
        </w:tc>
        <w:tc>
          <w:tcPr>
            <w:tcW w:w="2040" w:type="dxa"/>
            <w:vAlign w:val="bottom"/>
          </w:tcPr>
          <w:p>
            <w:pPr>
              <w:jc w:val="right"/>
              <w:ind w:right="41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actuarial assumptions and estimates made by management in determining our pension benefit obligations may materially differ from actual results as a result of changing market and economic conditions and changes in plan participant assumptions. While we believe the assumptions and estimates used are appropriate, differences in actual experience or changes in plan participant assumptions may materially affect our financial position or results of operations.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 in Business Combinations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Accounting for the acquisition of a business requires the allocation of the purchase price to the various assets acquired and liabilities assumed at their respective fair values. The determination of fair value requires the use of significant estimates and assumptions, and in making these determinations, management uses all available information. If necessary, we have up to one year after the acquisition closing date to finalize these fair value determinations. For tangible and identifiable intangible assets acquired in a business combination, the determination of fair value utilizes several valuation methodologies including discounted cash flows which has assumptions with respect to the timing and amount of future revenue and expenses associated with an asset. The assumptions made in performing these valuations include, but are not limited to, discount rates, future revenues and operating costs, projections of capital costs, and other assumptions believed to be consistent with those used by principal market participants. Due to the specialized nature of these calculations, we engage third-party specialists to assist management in evaluating our assumptions as well as appropriately measuring the fair value of assets acquired and liabilities assumed. Business combinations are described in Note 2 to our consolidated financial statements included in Part II, Item 8 of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Inventory is recorded at the lower of cost or net realizable value. We evaluate the components of inventory on a regular basis for excess and obsolescence. We record the decline in the carrying value of estimated excess or obsolete inventory as a reduction of inventory and as an expense included in cost of sales in the period in which it is identified. Our estimate of excess and obsolete inventory is a critical accounting estimate because it is highly susceptible to change from period to period. In addition, the estimate requires management to make judgments about the future demand for inventory.</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order to quantify excess or obsolete inventory, we begin by preparing a candidate listing of the components of inventory that have a quantity on hand in excess of usage within the most recent two-year period. The list is reviewed with sales, engineering, production and materials management personnel to determine whether the list of potential excess or obsolete inventory items is accurate. As part of this evaluation, management considers whether there has been a change in the market for finished goods, whether there will be future demand for on-hand inventory items and whether there are components of inventory that incorporate obsolete technology. Finally, an assessment is made of our historical usage of inventory previously written off as excess or obsolete, and a further adjustment to the estimate is made based on this historical experience. As a result, our estimate of excess or obsolete inventory is sensitive to changes in assumptions about future usage of inventory. Factors that could materially impact our estimate include changes in crude oil prices and its effect on the longevity of the current industry downturn, which would impact the demand for our products and services, as well as changes in the pattern of demand for the products that we offer. We believe our inventory valuation reserve is adequate to properly value potential excess and obsolete inventory as of December 31, 2017, however, any significant changes to the factors mentioned above could lead our estimate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92" w:right="23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color w:val="auto"/>
        </w:rPr>
        <w:t>change. Refer to Note 6 to our consolidated financial statements included in Part II, Item 8 of this Annual Report on Form 10-K for additional information related to inventory valuation adjustments recorded during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Intangible Assets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Long-lived assets, including vessels, property, plant and equipment, identifiable intangible assets being amortized and capitalized software costs are reviewed for impairment whenever events or changes in circumstances indicate the carrying amount of the long-lived asset may not be recoverable. The carrying amount of a long-lived asset is not recoverable if it exceeds the sum of the undiscounted cash flows expected to result from the use and eventual disposition of the asset. If it is determined that an impairment loss has occurred, the loss is measured as the amount by which the carrying amount of the long-lived asset exceeds its fair value. The determination of future cash flows as well as the estimated fair value of long-lived assets involves significant estimates on the part of management. Because there usually is a lack of quoted market prices for long-lived assets, fair value of impaired assets is typically determined based on the present values of expected future cash flows using discount rates believed to be consistent with those used by principal market participants, or based on a multiple of operating cash flow validated with historical market transactions of similar assets where possible. The expected future cash flows used for impairment reviews and related fair value calculations are based on judgmental assessments of future productivity of the asset, operating costs and capital decisions and all available information at the date of review. If future market conditions deteriorate beyond our current expectations and assumptions, impairments of long-lived assets may be identified if we conclude that the carrying amounts are no longer recoverable.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Goodwill represents the excess of cost over the fair market value of net assets acquired in business combinations. Goodwill is not subject to amortization but is tested for impairment on an annual basis at a reporting level unit, or more frequently if impairment indicators arise. We have established October 31 as the date of our annual test for impairment of goodwill.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 Reporting units with goodwill are tested for impairment using a quantitative impairment test.</w:t>
      </w:r>
    </w:p>
    <w:p>
      <w:pPr>
        <w:spacing w:after="0" w:line="5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When using the quantitative impairment test, determining the fair value of a reporting unit is judgmental in nature and involves the use of significant estimates and assumptions. We estimate the fair value of our reporting units using a discounted future cash flow model. The majority of the estimates and assumptions used in a discounted future cash flow model involve unobservable inputs reflecting management’s own assumptions about the assumptions market participants would use in estimating the fair value of a business. These estimates and assumptions include revenue growth rates and operating margins used to calculate projected future cash flows, discount rates and future economic and market conditions. Our estimates are based upon assumptions believed to be reasonable, but which are inherently uncertain and unpredictable and do not reflect unanticipated events and circumstances that may occur.</w:t>
      </w:r>
    </w:p>
    <w:p>
      <w:pPr>
        <w:spacing w:after="0" w:line="5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The risk-adjusted discount rate applied to our future cash flows under the income approach was 10.8%. The excess of fair value over carrying amount for our reporting units ranged from approximately 15% to in excess of 200% of the respective carrying amounts.</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Refer to Note 11 to our consolidated financial statements included in Part II, Item 8 of this Annual Report on Form 10-K for additional information related to goodwill impairment testing during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0" w:name="page51"/>
    <w:bookmarkEnd w:id="50"/>
    <w:p>
      <w:pPr>
        <w:ind w:right="40"/>
        <w:spacing w:after="0" w:line="297" w:lineRule="auto"/>
        <w:rPr>
          <w:sz w:val="20"/>
          <w:szCs w:val="20"/>
          <w:color w:val="auto"/>
        </w:rPr>
      </w:pPr>
      <w:r>
        <w:rPr>
          <w:rFonts w:ascii="Arial" w:cs="Arial" w:eastAsia="Arial" w:hAnsi="Arial"/>
          <w:sz w:val="16"/>
          <w:szCs w:val="16"/>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and have also contacted the Brazilian authorities and are cooperating with their investigation concerning the projects in Brazil.</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of the government investigations have identified issues relating to potential non-compliance with applicable laws and regulations, including the FCPA and Brazilian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our consolidated financial statements included in Part II, Item 8 of this Annual Report on Form 10-K.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746"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subject to financial market risks, including fluctuations in foreign currency exchange rates and interest rates. In order to manage and mitigate our exposure to these risks, we may use derivative financial instruments in accordance with established policies and procedures. We do not use derivative financial instruments where the objective is to generate profits solely from trading activities. At December 31, 2017 and December 31, 2016, substantially all of our derivative holdings consisted of foreign currency forward contracts and foreign currency instruments embedded in purchase and sale contracts.</w:t>
      </w:r>
    </w:p>
    <w:p>
      <w:pPr>
        <w:spacing w:after="0" w:line="4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These forward-looking disclosures only address potential impacts from market risks as they affect our financial instruments and do not include other potential effects that could impact our business as a result of changes in foreign currency exchange rates, interest rates, commodity prices or equity prices.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operations around the world in a number of different currencies. Many of our significant foreign subsidiaries have designated the local currency as their functional currency. Our earnings are therefore subject to change due to fluctuations in foreign currency exchange rates when the earnings in foreign currencies are translated into U.S. dollars. We do not hedge this translation impact on earnings. A 10% increase or decrease in the average exchange rates of all foreign currencies at December 31, 2017, would have changed our revenue and income before income taxes attributable to TechnipFMC by approximately $903.4 million and $47.6 million, respectively.</w:t>
      </w:r>
    </w:p>
    <w:p>
      <w:pPr>
        <w:spacing w:after="0" w:line="8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When transactions are denominated in currencies other than our subsidiaries’ respective functional currencies, we manage these exposures through the use of derivative instruments. We primarily use foreign currency forward contracts to hedge the foreign currency fluctuation associated with firmly committed and forecasted foreign currency denominated payments and receipts. The derivative instruments associated with these anticipated transactions are usually designated and qualify as cash flow hedges, and as such the gains and losses associated with these instruments are recorded in other comprehensive income until such time that the underlying transactions are recognized. Unless these cash flow contracts are deemed to be ineffective or are not designated as cash flow hedges at inception, changes in the derivative fair value will not have an immediate impact on our results of operations since the gains and losses associated with these instruments are recorded in other comprehensive income. When the anticipated transactions occur, these changes in value of derivative instrument positions will be offset against changes in the value of the underlying transaction. When an anticipated transaction in a currency other than the functional currency of an entity is recognized as an asset or liability on the balance sheet, we also hedge the foreign currency fluctuation of these assets and liabilities with derivative instruments after netting our exposures worldwide. These derivative instruments do not qualify as cash flow hedges.</w:t>
      </w:r>
    </w:p>
    <w:p>
      <w:pPr>
        <w:spacing w:after="0" w:line="6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Occasionally, we enter into contracts or other arrangements containing terms and conditions that qualify as embedded derivative instruments and are subject to fluctuations in foreign exchange rates. In those situations, we enter into derivative foreign exchange contracts that hedge the price or cost fluctuations due to movements in the foreign exchange rates. These derivative instruments are not designated as cash flow hedges.</w:t>
      </w:r>
    </w:p>
    <w:p>
      <w:pPr>
        <w:spacing w:after="0" w:line="5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our foreign currency forward contracts hedging anticipated transactions that are accounted for as cash flow hedges, a 10% increase in the value of the U.S. dollar would result in an additional loss of $25.6 million in the net fair value of cash flow hedges reflected in our consolidated balance sheet at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At December 31, 2017, we had commercial paper of approximately $1.5 billion with a weighted average interest rate of 0.56%. Using sensitivity analysis to measure the impact of a 10% adverse movement in the interest rate, or nine basis points, would result in an increase to interest expense of $20.7 million.</w:t>
      </w:r>
    </w:p>
    <w:p>
      <w:pPr>
        <w:spacing w:after="0" w:line="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assess effectiveness of forward foreign currency contracts designated as cash flow hedges based on changes in fair value attributable to changes in spot rates. We exclude the impact attributable to changes in the difference between the spot rate and the forward rate for the assessment of hedge effectiveness and recognize the change in fair value of this component immediately in earnings. Considering that the difference between the spot rate and the forward rate is proportional to the differences in the interest rates of the countries of the currencies being traded, we have exposure in the unrealized valuation of our forward foreign currency contracts to relative changes in interest rates between countries in our results of operations. To the extent any one interest rate increases by 10% across all tenors and other countries’ interest rates remain fixed, and assuming no change in discount rates, we would expect to recognize a decrease of $0.3 million in unrealized earnings in the period of change. Based on our portfolio as of December 31, 2017, we have material positions with exposure to interest rates in the United States, Canada, Australia, Brazil, the United Kingdom, Singapore, the European Community and Norway.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742"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 of TechnipFMC plc and its subsidiaries (“the Company”), as of December 31, 2017, and the related consolidated statement of income, comprehensive income, cash flows, and changes in stockholders’ equity for the year ended December 31, 2017, including the related notes and financial statement schedule listed in the index appearing under the Item 15(a)(2) (collectively referred to as the “consolidated financial statements”). In our opinion, the consolidated financial statements present fairly, in all material respects, the financial position of the Company as of December 31, 2017, and the results of their operations and their cash flows for the year in the period ended December 31, 2017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742" w:right="259" w:bottom="1440" w:gutter="0" w:footer="0" w:header="0"/>
        </w:sectPr>
      </w:pPr>
    </w:p>
    <w:bookmarkStart w:id="53" w:name="page54"/>
    <w:bookmarkEnd w:id="5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comprehensive income, cash flows and changes in stockholders’ equity present fairly, in all material respects, the financial position of TechnipFMC plc and its subsidiaries as of December 31, 2016 and the results of their operations and their cash flows for each of the two years in the period ended December 31, 2016 in conformity with accounting principles generally accepted in the United States of America. In addition, in our opinion, the financial statement schedule listed in the index appearing under the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1013"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 millions, except per share data)</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Service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12,210.5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9,128.7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11,323.1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Lease and other revenue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9,863.0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112.1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lease and other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689.6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restructuring and other expense (Note 5)</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 (Note 2)</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14,091.7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11,198.3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equity affiliates (Note 8)</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interest income, interest expense and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(Note 17)</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attributable to TechnipFMC plc (Note 4):</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(Note 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80"/>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Foreign currency translation adjustments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gains (losses) on hedging instruments: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gains (losses) arising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1140"/>
              <w:spacing w:after="0" w:line="264" w:lineRule="exact"/>
              <w:rPr>
                <w:sz w:val="20"/>
                <w:szCs w:val="20"/>
                <w:color w:val="auto"/>
              </w:rPr>
            </w:pPr>
            <w:r>
              <w:rPr>
                <w:rFonts w:ascii="Arial" w:cs="Arial" w:eastAsia="Arial" w:hAnsi="Arial"/>
                <w:sz w:val="18"/>
                <w:szCs w:val="18"/>
                <w:color w:val="auto"/>
              </w:rPr>
              <w:t xml:space="preserve">Net gains (losses) on hedging instruments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Pension and other post-retirement benefits: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gains arising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Prior service cost arising during the period</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Reclassification adjustment for settlement losses included in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720"/>
              <w:spacing w:after="0"/>
              <w:rPr>
                <w:sz w:val="20"/>
                <w:szCs w:val="20"/>
                <w:color w:val="auto"/>
              </w:rPr>
            </w:pPr>
            <w:r>
              <w:rPr>
                <w:rFonts w:ascii="Arial" w:cs="Arial" w:eastAsia="Arial" w:hAnsi="Arial"/>
                <w:sz w:val="18"/>
                <w:szCs w:val="18"/>
                <w:color w:val="auto"/>
                <w:w w:val="95"/>
              </w:rPr>
              <w:t>Reclassification adjustment for amortization of prior service cost included in net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720"/>
              <w:spacing w:after="0"/>
              <w:rPr>
                <w:sz w:val="20"/>
                <w:szCs w:val="20"/>
                <w:color w:val="auto"/>
              </w:rPr>
            </w:pPr>
            <w:r>
              <w:rPr>
                <w:rFonts w:ascii="Arial" w:cs="Arial" w:eastAsia="Arial" w:hAnsi="Arial"/>
                <w:sz w:val="18"/>
                <w:szCs w:val="18"/>
                <w:color w:val="auto"/>
              </w:rPr>
              <w:t>income</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Reclassification adjustment for amortization of net actuarial loss included in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4"/>
        </w:trPr>
        <w:tc>
          <w:tcPr>
            <w:tcW w:w="6740" w:type="dxa"/>
            <w:vAlign w:val="bottom"/>
            <w:tcBorders>
              <w:bottom w:val="single" w:sz="8" w:color="CCEEFF"/>
            </w:tcBorders>
          </w:tcPr>
          <w:p>
            <w:pPr>
              <w:ind w:left="1140"/>
              <w:spacing w:after="0" w:line="264" w:lineRule="exact"/>
              <w:rPr>
                <w:sz w:val="20"/>
                <w:szCs w:val="20"/>
                <w:color w:val="auto"/>
              </w:rPr>
            </w:pPr>
            <w:r>
              <w:rPr>
                <w:rFonts w:ascii="Arial" w:cs="Arial" w:eastAsia="Arial" w:hAnsi="Arial"/>
                <w:sz w:val="18"/>
                <w:szCs w:val="18"/>
                <w:color w:val="auto"/>
              </w:rPr>
              <w:t xml:space="preserve">Net pension and other post-retirement benefits </w:t>
            </w:r>
            <w:r>
              <w:rPr>
                <w:rFonts w:ascii="Arial" w:cs="Arial" w:eastAsia="Arial" w:hAnsi="Arial"/>
                <w:sz w:val="25"/>
                <w:szCs w:val="25"/>
                <w:color w:val="auto"/>
                <w:vertAlign w:val="superscript"/>
              </w:rPr>
              <w:t>(3)</w:t>
            </w: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TechnipFMC plc</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-127635</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9"/>
          <w:szCs w:val="9"/>
          <w:color w:val="auto"/>
        </w:rPr>
      </w:pPr>
      <w:r>
        <w:rPr>
          <w:rFonts w:ascii="Arial" w:cs="Arial" w:eastAsia="Arial" w:hAnsi="Arial"/>
          <w:sz w:val="14"/>
          <w:szCs w:val="14"/>
          <w:color w:val="auto"/>
        </w:rPr>
        <w:t>Net of income tax (expense) benefit of $(11.5), nil and nil for the years ended December 31, 2017, 2016 and 2015, respectively.</w:t>
      </w:r>
    </w:p>
    <w:p>
      <w:pPr>
        <w:spacing w:after="0" w:line="13" w:lineRule="exact"/>
        <w:rPr>
          <w:rFonts w:ascii="Arial" w:cs="Arial" w:eastAsia="Arial" w:hAnsi="Arial"/>
          <w:sz w:val="9"/>
          <w:szCs w:val="9"/>
          <w:color w:val="auto"/>
        </w:rPr>
      </w:pPr>
    </w:p>
    <w:p>
      <w:pPr>
        <w:ind w:left="660" w:hanging="652"/>
        <w:spacing w:after="0"/>
        <w:tabs>
          <w:tab w:leader="none" w:pos="660" w:val="left"/>
        </w:tabs>
        <w:numPr>
          <w:ilvl w:val="0"/>
          <w:numId w:val="27"/>
        </w:numPr>
        <w:rPr>
          <w:rFonts w:ascii="Arial" w:cs="Arial" w:eastAsia="Arial" w:hAnsi="Arial"/>
          <w:sz w:val="9"/>
          <w:szCs w:val="9"/>
          <w:color w:val="auto"/>
        </w:rPr>
      </w:pPr>
      <w:r>
        <w:rPr>
          <w:rFonts w:ascii="Arial" w:cs="Arial" w:eastAsia="Arial" w:hAnsi="Arial"/>
          <w:sz w:val="14"/>
          <w:szCs w:val="14"/>
          <w:color w:val="auto"/>
        </w:rPr>
        <w:t>Net of income tax (expense) benefit of $(52.5), $(24.3) and $(4.7) for the years ended December 31, 2017, 2016 and 2015, respectively.</w:t>
      </w:r>
    </w:p>
    <w:p>
      <w:pPr>
        <w:spacing w:after="0" w:line="1" w:lineRule="exact"/>
        <w:rPr>
          <w:rFonts w:ascii="Arial" w:cs="Arial" w:eastAsia="Arial" w:hAnsi="Arial"/>
          <w:sz w:val="9"/>
          <w:szCs w:val="9"/>
          <w:color w:val="auto"/>
        </w:rPr>
      </w:pPr>
    </w:p>
    <w:p>
      <w:pPr>
        <w:ind w:left="660" w:hanging="652"/>
        <w:spacing w:after="0"/>
        <w:tabs>
          <w:tab w:leader="none" w:pos="660" w:val="left"/>
        </w:tabs>
        <w:numPr>
          <w:ilvl w:val="0"/>
          <w:numId w:val="27"/>
        </w:numPr>
        <w:rPr>
          <w:rFonts w:ascii="Arial" w:cs="Arial" w:eastAsia="Arial" w:hAnsi="Arial"/>
          <w:sz w:val="9"/>
          <w:szCs w:val="9"/>
          <w:color w:val="auto"/>
        </w:rPr>
      </w:pPr>
      <w:r>
        <w:rPr>
          <w:rFonts w:ascii="Arial" w:cs="Arial" w:eastAsia="Arial" w:hAnsi="Arial"/>
          <w:sz w:val="14"/>
          <w:szCs w:val="14"/>
          <w:color w:val="auto"/>
        </w:rPr>
        <w:t>Net of income tax (expense) benefit of $(11.7), $1.0 and $(9.3) for the years ended December 31, 2017, 2016 and 2015,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6" w:name="page57"/>
    <w:bookmarkEnd w:id="56"/>
    <w:p>
      <w:pPr>
        <w:jc w:val="center"/>
        <w:ind w:left="320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ind w:left="3200"/>
        <w:spacing w:after="0"/>
        <w:rPr>
          <w:sz w:val="20"/>
          <w:szCs w:val="20"/>
          <w:color w:val="auto"/>
        </w:rPr>
      </w:pPr>
      <w:r>
        <w:rPr>
          <w:rFonts w:ascii="Arial" w:cs="Arial" w:eastAsia="Arial" w:hAnsi="Arial"/>
          <w:sz w:val="18"/>
          <w:szCs w:val="18"/>
          <w:b w:val="1"/>
          <w:bCs w:val="1"/>
          <w:color w:val="auto"/>
        </w:rPr>
        <w:t>CONSOLIDATED BALANCE SHEETS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Trade receivables, net of allowances of $117.4 in 2017 and $85.6 in 2016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Costs and estimated earnings in excess of billings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Inventories, net (Note 6)</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Income taxes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Advances paid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current assets (Note 7)</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Investments in equity affiliates (Note 8)</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net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Goodwill (Note 11)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 (Note 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equity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Short-term debt and current portion of long-term debt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trade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Billings in excess of costs and estimated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Accrued payroll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Income taxes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current liabilities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Long-term debt, less current portion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Accrued pension and other post-retirement benefits, less current portion (Note 18)</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 (Note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 (Note 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contingent liabilities (Note 15)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Stockholders’ equity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Ordinary shares, $1.00 and €0.7625 par values in 2017 and 2016, respectively; 525.0 and 119.2 shares authorized in 2017 and 2016, respectively; 465.1 and 119.2 shares issued in 2017 and 2016, respectively; 2.1 and 3.2 shares canceled in 2017 and 2016, respectively; 465.1 and 118.9 shares outstanding in 2017 and 2016,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Ordinary shares held in employee benefit trust, at cost; 0.1 shares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Treasury stock, at cost; 0.0 shares and 0.3 shares in 2017 and 2016,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Capital in excess of par value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TechnipFMC plc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6,737.4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6,269.3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1,484.4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1,469.5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1,755.5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1,040.8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334.7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265.0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711.5</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1,206.2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799.2</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12,977.1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10,937.2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3,871.5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2,620.1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8,929.8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3,718.3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1,333.8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173.7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553.6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190.8</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250.2</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28,263.7</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18,679.3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683.6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3,958.7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3,837.7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3,314.2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4,141.8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307.7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317.5</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1,687.9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1,417.6</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9,829.4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10,888.9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3,777.9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465.1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114.7</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8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10,483.3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2,683.1</w:t>
            </w:r>
          </w:p>
        </w:tc>
      </w:tr>
      <w:tr>
        <w:trPr>
          <w:trHeight w:val="270"/>
        </w:trPr>
        <w:tc>
          <w:tcPr>
            <w:tcW w:w="48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3,448.0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3,404.1</w:t>
            </w:r>
          </w:p>
        </w:tc>
      </w:tr>
      <w:tr>
        <w:trPr>
          <w:trHeight w:val="276"/>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(1,003.7)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(1,101.6)</w:t>
            </w:r>
          </w:p>
        </w:tc>
      </w:tr>
      <w:tr>
        <w:trPr>
          <w:trHeight w:val="244"/>
        </w:trPr>
        <w:tc>
          <w:tcPr>
            <w:tcW w:w="48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13,387.9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5,055.8</w:t>
            </w:r>
          </w:p>
        </w:tc>
      </w:tr>
      <w:tr>
        <w:trPr>
          <w:trHeight w:val="276"/>
        </w:trPr>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r>
      <w:tr>
        <w:trPr>
          <w:trHeight w:val="250"/>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13,409.4</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5,044.1</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28,263.7</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18,679.3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8140" w:space="160"/>
            <w:col w:w="3080"/>
          </w:cols>
          <w:pgMar w:left="280" w:top="715" w:right="239" w:bottom="1440" w:gutter="0" w:footer="0" w:header="0"/>
        </w:sect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380"/>
          </w:cols>
          <w:pgMar w:left="280" w:top="715"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80" w:top="715"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371.1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cash provided (required)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315.3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Employee benefit plan and share-based compensation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57.2</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 provision (benefit),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Impairments (Note 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Income from equity affiliates, net of dividends received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receivables, net and costs in excess of billings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232.7</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Inventories,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trade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125.6</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Billings in excess of costs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(408.2)</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 (receivable),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assets and liabilities,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395.1</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700.3</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expenditures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(325.5)</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Cash acquired in merger of FMC Technologies, Inc. and Technip S.A. (Note 2)</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1,479.2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acquired upon consolidation of investee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Cash divested from deconsolidation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3,110.5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(335.1)</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short-term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increase (decrease) in commercial paper</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48.8</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Repayments of long-term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(219.1)</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Dividends paid</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(98.7)</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related to taxes withheld on share-based compensation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Settlements of mandatorily redeemable financial liability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(320.6)</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(82.6)</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6,269.3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3,178.0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3,260.6</w:t>
            </w:r>
          </w:p>
        </w:tc>
      </w:tr>
      <w:tr>
        <w:trPr>
          <w:trHeight w:val="243"/>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6,737.4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6,269.3</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3,178.0</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Cash paid for interest (net of interest capitalized)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50.3</w:t>
            </w:r>
          </w:p>
        </w:tc>
        <w:tc>
          <w:tcPr>
            <w:tcW w:w="4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income taxes (net of refunds received)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424.7</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69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80" w:right="239" w:bottom="69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Held in</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 in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Employee</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Trust</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Ordinary Shares</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2,451.9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3,559.1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5,296.2</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Net capital transactions</w:t>
            </w:r>
          </w:p>
        </w:tc>
        <w:tc>
          <w:tcPr>
            <w:tcW w:w="1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276.1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280.4</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shares (Note 16)</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Dividends (Note 16)</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(300.1)</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4,956.4</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371.1</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Other comprehensive income (loss)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Net capital transactions</w:t>
            </w:r>
          </w:p>
        </w:tc>
        <w:tc>
          <w:tcPr>
            <w:tcW w:w="1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shares (Note 16)</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Dividends (Note 16)</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(262.6)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19)</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5,044.1</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8"/>
              </w:rPr>
              <w:t>Issuance of ordinary shares due to</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Arial" w:cs="Arial" w:eastAsia="Arial" w:hAnsi="Arial"/>
                <w:sz w:val="14"/>
                <w:szCs w:val="14"/>
                <w:color w:val="auto"/>
              </w:rPr>
              <w:t>the merger of FMC Technologies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and Technip</w:t>
            </w:r>
          </w:p>
        </w:tc>
        <w:tc>
          <w:tcPr>
            <w:tcW w:w="14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7,825.4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8,170.7</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Cancellation of treasury shares due</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to the merger of FMC Technologies</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Technip</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Cancellation of treasury shares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(Note 16)</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of ordinary shares for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benefit trust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Issuance of ordinary shares</w:t>
            </w:r>
          </w:p>
        </w:tc>
        <w:tc>
          <w:tcPr>
            <w:tcW w:w="14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(Note 16)</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(Note 19)</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74"/>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10,483.3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3,448.0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(1,003.7)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13,409.4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Nature of operations</w:t>
      </w:r>
      <w:r>
        <w:rPr>
          <w:rFonts w:ascii="Arial" w:cs="Arial" w:eastAsia="Arial" w:hAnsi="Arial"/>
          <w:sz w:val="18"/>
          <w:szCs w:val="18"/>
          <w:color w:val="auto"/>
        </w:rPr>
        <w:t>—TechnipFMC plc and consolidated subsidiaries (“TechnipFMC,” “we,” “us” or “our”) is a global leader in oil and gas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systems and services through our business segments: Subsea, Onshore/Offshore and Surface Technologies. We have manufacturing operations worldwide, strategically located to facilitate delivery of our products, systems and services to our customers.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—Our consolidated financial statements were prepared in U.S. dollars and in accordance with accounting principles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of America (“GAAP”) and rules and regulations of the Securities and Exchange Commission (“SEC”) pertaining to annual financial information.</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this Annual Report on Form 10-K, we are reporting the results of our operations for the year ended December 31, 2017, which consist of the combined results of operations of Technip S.A. (“Technip”) and FMC Technologies, Inc. (“FMC Technologies”). Due to the merger of FMC Technologies and Technip, FMC Technologies’ results of operations have been included in our financial statements for periods subsequent to the consummation of the merger on January 16, 2017.</w:t>
      </w:r>
    </w:p>
    <w:p>
      <w:pPr>
        <w:spacing w:after="0" w:line="16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Since TechnipFMC is the successor company to Technip, we are presenting the results of Technip’s operations for the years ended December 31, 2016 and December 31, 2015 and as of December 31, 2016. Refer to Note 2 for further information related to the merger of FMC Technologies and Technip.</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r>
        <w:rPr>
          <w:rFonts w:ascii="Arial" w:cs="Arial" w:eastAsia="Arial" w:hAnsi="Arial"/>
          <w:sz w:val="16"/>
          <w:szCs w:val="16"/>
          <w:color w:val="auto"/>
        </w:rPr>
        <w:t>—The consolidated financial statements include the accounts of TechnipFMC and its majority-owned subsidiaries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accounts and transactions are eliminated in consolidation.</w:t>
      </w:r>
    </w:p>
    <w:p>
      <w:pPr>
        <w:spacing w:after="0" w:line="103"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 of fair value in business combinations and estimates related to income taxes.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Investments in the common stock of unconsolidated affiliates</w:t>
      </w:r>
      <w:r>
        <w:rPr>
          <w:rFonts w:ascii="Arial" w:cs="Arial" w:eastAsia="Arial" w:hAnsi="Arial"/>
          <w:sz w:val="18"/>
          <w:szCs w:val="18"/>
          <w:color w:val="auto"/>
        </w:rPr>
        <w:t>—The equity method of accounting is used to account for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where we can have the ability to exert significant influence over the affiliates operating and financial policies. The cost method of accounting is used where significant influence over the affiliate is not present. For certain construction joint ventures, we use the proportionate consolidation method, whereby our proportionate share of each entity’s assets, liabilities, revenues, and expenses are included in the appropriate classifications in the accompanying consolidated financial statements. Intercompany balances and transactions have been eliminated in preparing the accompanying consolidated financial statements.</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0" w:name="page61"/>
    <w:bookmarkEnd w:id="60"/>
    <w:p>
      <w:pPr>
        <w:ind w:right="60"/>
        <w:spacing w:after="0" w:line="276" w:lineRule="auto"/>
        <w:rPr>
          <w:sz w:val="20"/>
          <w:szCs w:val="20"/>
          <w:color w:val="auto"/>
        </w:rPr>
      </w:pPr>
      <w:r>
        <w:rPr>
          <w:rFonts w:ascii="Arial" w:cs="Arial" w:eastAsia="Arial" w:hAnsi="Arial"/>
          <w:sz w:val="17"/>
          <w:szCs w:val="17"/>
          <w:i w:val="1"/>
          <w:iCs w:val="1"/>
          <w:color w:val="auto"/>
        </w:rPr>
        <w:t>Business combinations—</w:t>
      </w:r>
      <w:r>
        <w:rPr>
          <w:rFonts w:ascii="Arial" w:cs="Arial" w:eastAsia="Arial" w:hAnsi="Arial"/>
          <w:sz w:val="17"/>
          <w:szCs w:val="17"/>
          <w:color w:val="auto"/>
        </w:rPr>
        <w:t>Business combinations are accounted for using the acquisition method of accounting. Under the acquisition method, assets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 related costs are expensed as incurred.</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 is generally recognized once the following four criteria are met: i) persuasive evidence of an arrangement exists, ii)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equipment has occurred (which is upon shipment or when customer-specific acceptance requirements are met) or services have been rendered, iii) the price of the equipment or service is fixed or determinable, and iv) collectibility is reasonably assured. We record our sales net of any value added, sales or use tax.</w:t>
      </w:r>
    </w:p>
    <w:p>
      <w:pPr>
        <w:spacing w:after="0" w:line="7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For certain construction-type manufacturing and assembly projects that involve significant design and engineering efforts to satisfy detailed customer specifications, revenue is recognized using the percentage of completion method of accounting. Under the percentage of completion method, revenue is recognized as work progresses on each contract. We apply the ratio of costs incurred to date to total estimated contract costs at completion or </w:t>
      </w:r>
      <w:r>
        <w:rPr>
          <w:rFonts w:ascii="Arial" w:cs="Arial" w:eastAsia="Arial" w:hAnsi="Arial"/>
          <w:sz w:val="17"/>
          <w:szCs w:val="17"/>
          <w:color w:val="231F20"/>
        </w:rPr>
        <w:t>on physical</w:t>
      </w:r>
      <w:r>
        <w:rPr>
          <w:rFonts w:ascii="Arial" w:cs="Arial" w:eastAsia="Arial" w:hAnsi="Arial"/>
          <w:sz w:val="17"/>
          <w:szCs w:val="17"/>
          <w:color w:val="auto"/>
        </w:rPr>
        <w:t xml:space="preserve"> </w:t>
      </w:r>
      <w:r>
        <w:rPr>
          <w:rFonts w:ascii="Arial" w:cs="Arial" w:eastAsia="Arial" w:hAnsi="Arial"/>
          <w:sz w:val="17"/>
          <w:szCs w:val="17"/>
          <w:color w:val="231F20"/>
        </w:rPr>
        <w:t>progress defined for the main deliverables under the contracts</w:t>
      </w:r>
      <w:r>
        <w:rPr>
          <w:rFonts w:ascii="Arial" w:cs="Arial" w:eastAsia="Arial" w:hAnsi="Arial"/>
          <w:sz w:val="17"/>
          <w:szCs w:val="17"/>
          <w:color w:val="000000"/>
        </w:rPr>
        <w:t>. If it is not possible to form a reliable estimate of progress toward completion, no revenue or</w:t>
      </w:r>
      <w:r>
        <w:rPr>
          <w:rFonts w:ascii="Arial" w:cs="Arial" w:eastAsia="Arial" w:hAnsi="Arial"/>
          <w:sz w:val="17"/>
          <w:szCs w:val="17"/>
          <w:color w:val="231F20"/>
        </w:rPr>
        <w:t xml:space="preserve"> </w:t>
      </w:r>
      <w:r>
        <w:rPr>
          <w:rFonts w:ascii="Arial" w:cs="Arial" w:eastAsia="Arial" w:hAnsi="Arial"/>
          <w:sz w:val="17"/>
          <w:szCs w:val="17"/>
          <w:color w:val="000000"/>
        </w:rPr>
        <w:t>costs are recognized until the project is complete or substantially complete. Any expected losses on construction-type contracts in progress are charged to earnings, in total, in the period the losses are identified.</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Modifications to construction-type contracts, referred to as “change orders,” effectively change the provisions of the original contract, and may, for example, alter the specifications or design, method or manner of performance, equipment, materials, sites and/or period for completion of the work. If a change order represents a firm price commitment from a customer, we account for the revised estimate as if it had been included in the original estimate, effectively recognizing the pro rata impact of the new estimate on our calculation of progress toward completion in the period in which the firm commitment is received. If a change order is unpriced: (1) we include the costs of contract performance in our calculation of progress toward completion in the period in which the costs are incurred or become probable; and (2) when it is determined that the revenue is probable of recovery, we include the change order revenue, limited to the costs incurred to date related to the change order, in our calculation of progress toward completion. Unpriced change orders included in revenue were immaterial to our consolidated revenue for all periods presented. Margin is not recorded on unpriced change orders unless realization is assured beyond a reasonable doubt. The assessment of realization may be based upon our previous experience with the customer or based upon our receipt of a firm price commitment from the customer.</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Progress billings are generally issued upon completion of certain phases of the work as stipulated in the contract. Revenue in excess of progress billings are reported in costs and estimated earnings in excess of billings on uncompleted contracts in our consolidated balance sheets. Progress billings and cash collections in excess of revenue recognized on a contract are classified as billings in excess of costs and estimated earnings on uncompleted contracts and advance payments, respectively, in our consolidated balance sheets.</w:t>
      </w:r>
    </w:p>
    <w:p>
      <w:pPr>
        <w:spacing w:after="0" w:line="13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operating profit for the year ended December 31, 2017 was positively impacted by approximately $378.4 million, as a result of changes in contract estimates related to projects that were in progress at December 31, 2016. During the year ended December 31, 2017, we recognized favorable changes in our estimates which had an impact on our margin in the amounts of $325.0 million and $53.4 million in our Onshore/Offshore and Subsea segment’s, respectively. The changes in contract estimates are attributed to better than expected performance throughout our execution of our projects.</w:t>
      </w:r>
    </w:p>
    <w:p>
      <w:pPr>
        <w:spacing w:after="0" w:line="1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are highly-liquid, short-term instruments with original maturities of generally three months or less from their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Trade receivables, net of allowances</w:t>
      </w:r>
      <w:r>
        <w:rPr>
          <w:rFonts w:ascii="Arial" w:cs="Arial" w:eastAsia="Arial" w:hAnsi="Arial"/>
          <w:sz w:val="18"/>
          <w:szCs w:val="18"/>
          <w:color w:val="auto"/>
        </w:rPr>
        <w:t>—An allowance for doubtful accounts is provided on receivables equal to the estimated uncollectible amounts.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is based on historical collection experience and a specific review of each customer’s receivables balance.</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Inventories</w:t>
      </w:r>
      <w:r>
        <w:rPr>
          <w:rFonts w:ascii="Arial" w:cs="Arial" w:eastAsia="Arial" w:hAnsi="Arial"/>
          <w:sz w:val="17"/>
          <w:szCs w:val="17"/>
          <w:color w:val="auto"/>
        </w:rPr>
        <w:t>—Inventories are stated at the lower of cost or net realizable value, except as it relates to inventory measured using the last-in, first-out (“LIFO”)</w:t>
      </w:r>
      <w:r>
        <w:rPr>
          <w:rFonts w:ascii="Arial" w:cs="Arial" w:eastAsia="Arial" w:hAnsi="Arial"/>
          <w:sz w:val="17"/>
          <w:szCs w:val="17"/>
          <w:i w:val="1"/>
          <w:iCs w:val="1"/>
          <w:color w:val="auto"/>
        </w:rPr>
        <w:t xml:space="preserve"> </w:t>
      </w:r>
      <w:r>
        <w:rPr>
          <w:rFonts w:ascii="Arial" w:cs="Arial" w:eastAsia="Arial" w:hAnsi="Arial"/>
          <w:sz w:val="17"/>
          <w:szCs w:val="17"/>
          <w:color w:val="auto"/>
        </w:rPr>
        <w:t>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(“FIFO”) or weighted average methods are used to determine the cost for the remaining inventories. Write-down on inventories are recorded when the net realizable value of inventories is lower than their net book value.</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—Property, plant, and equipment is recorded at cost. Depreciation is principally provided on the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lives of the assets (vessels—10 to 30 years; buildings—10 to 50 years; and machinery and equipment—3 to 20 years). Gains and losses are realized upon the sale or retirement of assets and are recorded in other income (expense), net on our consolidated statements of income. Maintenance and repair costs are expensed as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692" w:right="279" w:bottom="1440" w:gutter="0" w:footer="0" w:header="0"/>
        </w:sectPr>
      </w:pPr>
    </w:p>
    <w:bookmarkStart w:id="61" w:name="page62"/>
    <w:bookmarkEnd w:id="61"/>
    <w:p>
      <w:pPr>
        <w:ind w:right="160"/>
        <w:spacing w:after="0" w:line="277" w:lineRule="auto"/>
        <w:rPr>
          <w:sz w:val="20"/>
          <w:szCs w:val="20"/>
          <w:color w:val="auto"/>
        </w:rPr>
      </w:pPr>
      <w:r>
        <w:rPr>
          <w:rFonts w:ascii="Arial" w:cs="Arial" w:eastAsia="Arial" w:hAnsi="Arial"/>
          <w:sz w:val="18"/>
          <w:szCs w:val="18"/>
          <w:color w:val="auto"/>
        </w:rPr>
        <w:t>incurred. Expenditures that extend the useful lives of property, plant and equipment are capitalized and depreciated over the estimated new remaining life of the asset.</w:t>
      </w:r>
    </w:p>
    <w:p>
      <w:pPr>
        <w:spacing w:after="0" w:line="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—Property, plant and equipment are reviewed for impairment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—Goodwill is not subject to amortization but is tested for impairment on an annual basis (or more frequently if impairment indicators arise) by</w:t>
      </w:r>
      <w:r>
        <w:rPr>
          <w:rFonts w:ascii="Arial" w:cs="Arial" w:eastAsia="Arial" w:hAnsi="Arial"/>
          <w:sz w:val="16"/>
          <w:szCs w:val="16"/>
          <w:i w:val="1"/>
          <w:iCs w:val="1"/>
          <w:color w:val="auto"/>
        </w:rPr>
        <w:t xml:space="preserve"> </w:t>
      </w:r>
      <w:r>
        <w:rPr>
          <w:rFonts w:ascii="Arial" w:cs="Arial" w:eastAsia="Arial" w:hAnsi="Arial"/>
          <w:sz w:val="16"/>
          <w:szCs w:val="16"/>
          <w:color w:val="auto"/>
        </w:rPr>
        <w:t>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—Our acquired intangible assets are generally amortized on a straight-line basis over their estimated useful lives, which generally range from</w:t>
      </w:r>
      <w:r>
        <w:rPr>
          <w:rFonts w:ascii="Arial" w:cs="Arial" w:eastAsia="Arial" w:hAnsi="Arial"/>
          <w:sz w:val="16"/>
          <w:szCs w:val="16"/>
          <w:i w:val="1"/>
          <w:iCs w:val="1"/>
          <w:color w:val="auto"/>
        </w:rPr>
        <w:t xml:space="preserve"> </w:t>
      </w:r>
      <w:r>
        <w:rPr>
          <w:rFonts w:ascii="Arial" w:cs="Arial" w:eastAsia="Arial" w:hAnsi="Arial"/>
          <w:sz w:val="16"/>
          <w:szCs w:val="16"/>
          <w:color w:val="auto"/>
        </w:rPr>
        <w:t>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5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three to ten years. For Internet website costs, the estimated useful lives do not exceed three years.</w:t>
      </w:r>
    </w:p>
    <w:p>
      <w:pPr>
        <w:spacing w:after="0" w:line="5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Debt instruments—</w:t>
      </w:r>
      <w:r>
        <w:rPr>
          <w:rFonts w:ascii="Arial" w:cs="Arial" w:eastAsia="Arial" w:hAnsi="Arial"/>
          <w:sz w:val="16"/>
          <w:szCs w:val="16"/>
          <w:color w:val="231F20"/>
        </w:rPr>
        <w:t>Debt instruments include convertible and synthetic bonds, senior and private placement notes and other borrowings. Issuance fees and</w:t>
      </w:r>
      <w:r>
        <w:rPr>
          <w:rFonts w:ascii="Arial" w:cs="Arial" w:eastAsia="Arial" w:hAnsi="Arial"/>
          <w:sz w:val="16"/>
          <w:szCs w:val="16"/>
          <w:i w:val="1"/>
          <w:iCs w:val="1"/>
          <w:color w:val="auto"/>
        </w:rPr>
        <w:t xml:space="preserve"> </w:t>
      </w:r>
      <w:r>
        <w:rPr>
          <w:rFonts w:ascii="Arial" w:cs="Arial" w:eastAsia="Arial" w:hAnsi="Arial"/>
          <w:sz w:val="16"/>
          <w:szCs w:val="16"/>
          <w:color w:val="231F20"/>
        </w:rPr>
        <w:t>redemption premium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3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Fair value measurements</w:t>
      </w:r>
      <w:r>
        <w:rPr>
          <w:rFonts w:ascii="Arial" w:cs="Arial" w:eastAsia="Arial" w:hAnsi="Arial"/>
          <w:sz w:val="17"/>
          <w:szCs w:val="17"/>
          <w:color w:val="auto"/>
        </w:rPr>
        <w:t>—Fair value is defined as the price that would be received to sell an asset or paid to transfer a liability (an exit price)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64" w:lineRule="exact"/>
        <w:rPr>
          <w:sz w:val="20"/>
          <w:szCs w:val="20"/>
          <w:color w:val="auto"/>
        </w:rPr>
      </w:pPr>
    </w:p>
    <w:p>
      <w:pPr>
        <w:ind w:left="740" w:hanging="570"/>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17" w:lineRule="exact"/>
        <w:rPr>
          <w:rFonts w:ascii="Arial" w:cs="Arial" w:eastAsia="Arial" w:hAnsi="Arial"/>
          <w:sz w:val="18"/>
          <w:szCs w:val="18"/>
          <w:color w:val="auto"/>
        </w:rPr>
      </w:pPr>
    </w:p>
    <w:p>
      <w:pPr>
        <w:ind w:left="740" w:right="40" w:hanging="570"/>
        <w:spacing w:after="0" w:line="277" w:lineRule="auto"/>
        <w:tabs>
          <w:tab w:leader="none" w:pos="7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or quoted prices for identical assets or liabilities in inactive markets.</w:t>
      </w:r>
    </w:p>
    <w:p>
      <w:pPr>
        <w:spacing w:after="0" w:line="62" w:lineRule="exact"/>
        <w:rPr>
          <w:rFonts w:ascii="Arial" w:cs="Arial" w:eastAsia="Arial" w:hAnsi="Arial"/>
          <w:sz w:val="18"/>
          <w:szCs w:val="18"/>
          <w:i w:val="1"/>
          <w:iCs w:val="1"/>
          <w:color w:val="auto"/>
        </w:rPr>
      </w:pPr>
    </w:p>
    <w:p>
      <w:pPr>
        <w:ind w:left="740" w:right="20" w:hanging="570"/>
        <w:spacing w:after="0" w:line="277" w:lineRule="auto"/>
        <w:tabs>
          <w:tab w:leader="none" w:pos="7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—Current income taxes are provided on income reported for financial statement purposes, adjusted for transactions that do not enter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2" w:name="page63"/>
    <w:bookmarkEnd w:id="62"/>
    <w:p>
      <w:pPr>
        <w:ind w:right="200"/>
        <w:spacing w:after="0" w:line="264"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2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Share-based employee compensation</w:t>
      </w:r>
      <w:r>
        <w:rPr>
          <w:rFonts w:ascii="Arial" w:cs="Arial" w:eastAsia="Arial" w:hAnsi="Arial"/>
          <w:sz w:val="16"/>
          <w:szCs w:val="16"/>
          <w:color w:val="auto"/>
        </w:rPr>
        <w:t>—The measurement of share-based compensation expense on restricted share awards and performance share awards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market price at the grant date and the number of shares awarded. We used the Cox Ross Rubinstein binomial model to measure the fair value of stock options granted prior to December 31, 2016 and Black-Scholes options pricing model to measure the fair value of stock options granted on or after January 1, 2017. The stock-based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5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Ordinary shares held in employee benefit trust</w:t>
      </w:r>
      <w:r>
        <w:rPr>
          <w:rFonts w:ascii="Arial" w:cs="Arial" w:eastAsia="Arial" w:hAnsi="Arial"/>
          <w:sz w:val="18"/>
          <w:szCs w:val="18"/>
          <w:color w:val="auto"/>
        </w:rPr>
        <w:t>—Our ordinary shares are purchased by the plan administrator of the FMC Technologies, Inc.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and Investment Plan and placed in a trust that we own. Purchased shares are recorded at cost and classified as a reduction of stockholders’ equity on the consolidated balance sheets.</w:t>
      </w:r>
    </w:p>
    <w:p>
      <w:pPr>
        <w:spacing w:after="0" w:line="73"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i w:val="1"/>
          <w:iCs w:val="1"/>
          <w:color w:val="auto"/>
        </w:rPr>
        <w:t>Treasury shares</w:t>
      </w:r>
      <w:r>
        <w:rPr>
          <w:rFonts w:ascii="Arial" w:cs="Arial" w:eastAsia="Arial" w:hAnsi="Arial"/>
          <w:sz w:val="17"/>
          <w:szCs w:val="17"/>
          <w:color w:val="auto"/>
        </w:rPr>
        <w:t>—Treasury shares held are recorded as a reduction to stockholders’ equity using the cost method. Any gain or loss related to the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treasury shares is included in stockholders’ equity. Canceled treasury shares are accounted for using the constructive retirement method. For shares repurchased in excess of par, we allocate the value to capital in excess of par value of ordinary shares and retained earnings, if any, using the weighted average method to identify the net original issue proceeds to the cost of the shares repurchased.</w:t>
      </w:r>
    </w:p>
    <w:p>
      <w:pPr>
        <w:spacing w:after="0" w:line="6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Earnings per ordinary share (“EPS”)</w:t>
      </w:r>
      <w:r>
        <w:rPr>
          <w:rFonts w:ascii="Arial" w:cs="Arial" w:eastAsia="Arial" w:hAnsi="Arial"/>
          <w:sz w:val="18"/>
          <w:szCs w:val="18"/>
          <w:color w:val="auto"/>
        </w:rPr>
        <w:t>—Basic EPS is computed using the weighted-average number of ordinary shares outstanding during the year.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 diluted EPS under the if-converted method. Additionally, the net profit of the period is adjusted as if converted for the after-tax interest expense related to these dilutive shares.</w:t>
      </w:r>
    </w:p>
    <w:p>
      <w:pPr>
        <w:spacing w:after="0" w:line="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Foreign currency</w:t>
      </w:r>
      <w:r>
        <w:rPr>
          <w:rFonts w:ascii="Arial" w:cs="Arial" w:eastAsia="Arial" w:hAnsi="Arial"/>
          <w:sz w:val="16"/>
          <w:szCs w:val="16"/>
          <w:color w:val="auto"/>
        </w:rPr>
        <w:t>—Financial statements of operations for which the U.S. dollar is not the functional currency, and which are located in non-highly</w:t>
      </w:r>
      <w:r>
        <w:rPr>
          <w:rFonts w:ascii="Arial" w:cs="Arial" w:eastAsia="Arial" w:hAnsi="Arial"/>
          <w:sz w:val="16"/>
          <w:szCs w:val="16"/>
          <w:i w:val="1"/>
          <w:iCs w:val="1"/>
          <w:color w:val="auto"/>
        </w:rPr>
        <w:t xml:space="preserve"> </w:t>
      </w:r>
      <w:r>
        <w:rPr>
          <w:rFonts w:ascii="Arial" w:cs="Arial" w:eastAsia="Arial" w:hAnsi="Arial"/>
          <w:sz w:val="16"/>
          <w:szCs w:val="16"/>
          <w:color w:val="auto"/>
        </w:rPr>
        <w:t>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exchanges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Derivatives are recognized on the consolidated balance sheets at fair value, with classification as current or non-current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3" w:name="page64"/>
    <w:bookmarkEnd w:id="63"/>
    <w:p>
      <w:pPr>
        <w:ind w:right="80"/>
        <w:spacing w:after="0" w:line="271" w:lineRule="auto"/>
        <w:rPr>
          <w:sz w:val="20"/>
          <w:szCs w:val="20"/>
          <w:color w:val="auto"/>
        </w:rPr>
      </w:pPr>
      <w:r>
        <w:rPr>
          <w:rFonts w:ascii="Arial" w:cs="Arial" w:eastAsia="Arial" w:hAnsi="Arial"/>
          <w:sz w:val="17"/>
          <w:szCs w:val="17"/>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merger of FMC Technologies and Technip</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 Technologies, TechnipFMC, Merger Sub or their wholly-owned subsidiaries, were exchanged for 1.0 ordinary share of TechnipFMC, subject to the terms of the definitive business combination agreement.</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Under the acquisition method of accounting, Technip was identified as the accounting acquirer and acquired a 100% interest in FMC Technologies.</w:t>
      </w:r>
    </w:p>
    <w:p>
      <w:pPr>
        <w:spacing w:after="0" w:line="129"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64" w:lineRule="exact"/>
        <w:rPr>
          <w:sz w:val="20"/>
          <w:szCs w:val="20"/>
          <w:color w:val="auto"/>
        </w:rPr>
      </w:pPr>
    </w:p>
    <w:p>
      <w:pPr>
        <w:ind w:right="140"/>
        <w:spacing w:after="0" w:line="375" w:lineRule="auto"/>
        <w:rPr>
          <w:sz w:val="20"/>
          <w:szCs w:val="20"/>
          <w:color w:val="auto"/>
        </w:rPr>
      </w:pPr>
      <w:r>
        <w:rPr>
          <w:rFonts w:ascii="Arial" w:cs="Arial" w:eastAsia="Arial" w:hAnsi="Arial"/>
          <w:sz w:val="18"/>
          <w:szCs w:val="18"/>
          <w:color w:val="auto"/>
        </w:rPr>
        <w:t xml:space="preserve">We incurred merger transaction and integration costs of $101.8 million and $92.6 million during the years ended December 31, 2017 and 2016, respectively. </w:t>
      </w:r>
      <w:r>
        <w:rPr>
          <w:rFonts w:ascii="Arial" w:cs="Arial" w:eastAsia="Arial" w:hAnsi="Arial"/>
          <w:sz w:val="18"/>
          <w:szCs w:val="18"/>
          <w:i w:val="1"/>
          <w:iCs w:val="1"/>
          <w:color w:val="auto"/>
        </w:rPr>
        <w:t>Description of FMC Technologies as Accounting Acquiree</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FMC Technologies is a global provider of technology solutions for the energy 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692"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Consideration Transferred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acquisition-date fair value of the consideration transferred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FMC Technologies, Inc. shares subject to exchange as of January 16, 2017</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r>
      <w:tr>
        <w:trPr>
          <w:trHeight w:val="270"/>
        </w:trPr>
        <w:tc>
          <w:tcPr>
            <w:tcW w:w="101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FMC Technologies, Inc. exchange ratio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4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TechnipFMC issued</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101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Value per share of Technip as of January 16, 2017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w:t>
            </w: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consideration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w:t>
      </w:r>
    </w:p>
    <w:p>
      <w:pPr>
        <w:spacing w:after="0" w:line="113" w:lineRule="exact"/>
        <w:rPr>
          <w:sz w:val="20"/>
          <w:szCs w:val="20"/>
          <w:color w:val="auto"/>
        </w:rPr>
      </w:pPr>
    </w:p>
    <w:p>
      <w:pPr>
        <w:ind w:left="660" w:right="60" w:hanging="652"/>
        <w:spacing w:after="0" w:line="246" w:lineRule="auto"/>
        <w:tabs>
          <w:tab w:leader="none" w:pos="660" w:val="left"/>
        </w:tabs>
        <w:numPr>
          <w:ilvl w:val="0"/>
          <w:numId w:val="29"/>
        </w:numPr>
        <w:rPr>
          <w:rFonts w:ascii="Arial" w:cs="Arial" w:eastAsia="Arial" w:hAnsi="Arial"/>
          <w:sz w:val="9"/>
          <w:szCs w:val="9"/>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business combination agreement) is adjusted by dividing the FMC Technologies exchange ratio by the Technip exchange ratio (2 shares of TechnipFMC for 1 share of Technip as provided in the business combination agreement), i.e., 1 ⁄ 2 = 0.5 in order to reflect the number of shares of Technip that FMC Technologies stockholders would have received if Technip was to have issued its own shares.</w:t>
      </w:r>
    </w:p>
    <w:p>
      <w:pPr>
        <w:ind w:left="660" w:hanging="652"/>
        <w:spacing w:after="0"/>
        <w:tabs>
          <w:tab w:leader="none" w:pos="660" w:val="left"/>
        </w:tabs>
        <w:numPr>
          <w:ilvl w:val="0"/>
          <w:numId w:val="29"/>
        </w:numPr>
        <w:rPr>
          <w:rFonts w:ascii="Arial" w:cs="Arial" w:eastAsia="Arial" w:hAnsi="Arial"/>
          <w:sz w:val="8"/>
          <w:szCs w:val="8"/>
          <w:color w:val="auto"/>
        </w:rPr>
      </w:pPr>
      <w:r>
        <w:rPr>
          <w:rFonts w:ascii="Arial" w:cs="Arial" w:eastAsia="Arial" w:hAnsi="Arial"/>
          <w:sz w:val="13"/>
          <w:szCs w:val="13"/>
          <w:color w:val="auto"/>
        </w:rPr>
        <w:t>Closing price of Technip’s ordinary shares on Euronext Paris on January 16, 2017 in Euro converted at the Euro to U.S. dollar exchange rate of $1.0594 on January 16,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allocation of the fair values of the assets acquired and liabilities assumed at the acquisition date:</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280"/>
              <w:spacing w:after="0"/>
              <w:rPr>
                <w:sz w:val="20"/>
                <w:szCs w:val="20"/>
                <w:color w:val="auto"/>
              </w:rPr>
            </w:pPr>
            <w:r>
              <w:rPr>
                <w:rFonts w:ascii="Arial" w:cs="Arial" w:eastAsia="Arial" w:hAnsi="Arial"/>
                <w:sz w:val="18"/>
                <w:szCs w:val="18"/>
                <w:color w:val="auto"/>
              </w:rPr>
              <w:t>Cash</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1,390.3</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6,763.7</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and current portion of long-term debt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Accounts payable, trade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Long-term debt, less current portion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pension and other post-retirement benefits, less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3,754.0</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3,009.7</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5,161.0</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8,170.7</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i w:val="1"/>
                <w:iCs w:val="1"/>
                <w:color w:val="auto"/>
              </w:rPr>
              <w:t>Segment Allocation of Goodwill</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0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60" w:type="dxa"/>
            <w:vAlign w:val="bottom"/>
          </w:tcPr>
          <w:p>
            <w:pPr>
              <w:spacing w:after="0"/>
              <w:rPr>
                <w:sz w:val="20"/>
                <w:szCs w:val="20"/>
                <w:color w:val="auto"/>
              </w:rPr>
            </w:pPr>
            <w:r>
              <w:rPr>
                <w:rFonts w:ascii="Arial" w:cs="Arial" w:eastAsia="Arial" w:hAnsi="Arial"/>
                <w:sz w:val="18"/>
                <w:szCs w:val="18"/>
                <w:color w:val="auto"/>
              </w:rPr>
              <w:t>The final allocation of goodwill to the reporting segments based on the final valuation is as follows: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Allocated Goodwill</w:t>
            </w: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2,527.7</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5,161.0</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Acquired Identifiable Intangible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identifiable intangible assets acquired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40" w:type="dxa"/>
            <w:vAlign w:val="bottom"/>
          </w:tcPr>
          <w:p>
            <w:pPr>
              <w:spacing w:after="0"/>
              <w:rPr>
                <w:sz w:val="14"/>
                <w:szCs w:val="14"/>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360" w:type="dxa"/>
            <w:vAlign w:val="bottom"/>
          </w:tcPr>
          <w:p>
            <w:pPr>
              <w:jc w:val="right"/>
              <w:ind w:right="30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Backlog</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identifiable intangible assets acquired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1,390.3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FMC Technologies’ results of operations have been included in our financial statements for periods subsequent to the consummation of the Merger on January 16, 2017. FMC Technologies contributed revenues and a net loss of $3,441.1 million and $251.2 million, respectively, for the period from January 17, 2017 through December 31,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Impact of the Merger (unaudited)</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following unaudited supplemental pro forma results present consolidated information as if the Merger had been completed as of January 1, 2016.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2016, nor are they indicative of future results. For comparative purposes, the weighted average shares outstanding used for the diluted earnings per share calculation for the year ended December 31, 2017 was also used to calculate the diluted earnings per share for the year ended December 31, 2016.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2"/>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240" w:type="dxa"/>
            <w:vAlign w:val="bottom"/>
          </w:tcPr>
          <w:p>
            <w:pPr>
              <w:jc w:val="right"/>
              <w:ind w:right="520"/>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6"/>
                <w:szCs w:val="16"/>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15,169.8</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13,727.9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adjusted for dilutive effects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Effective January 1, 2017, we adopted Accounting Standards Update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Among other amendments, this update requires that excess tax benefits or deficiencies be recognized as income tax expense or benefit in the income statement and eliminates the requirement to reclassify excess tax benefits and deficiencies from operating activities to financing activities in the statement of cash flows. This updated guidance also gives an entity the election to either (i) estimate the forfeiture rate of employee stock-based awards or (ii) account for forfeitures as they occur. We elected to retrospectively classify excess tax benefits and deficiencies as operating activity and these amounts, which were immaterial for all periods presented, are reflected in the income taxes payable, net line item in the accompanying consolidated statement of cash flows. In addition, we elected to continue to estimate forfeitures on the grant date to account for the estimated number of awards for which the requisite service period will not be rendered. The adoption of this update did not have a material impact on our consolidated financial statements.</w:t>
      </w:r>
    </w:p>
    <w:p>
      <w:pPr>
        <w:spacing w:after="0" w:line="5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Effective January 1, 2017, we adopted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This update requires in scope inventory to be measured at the lower of cost or net realizable value rather than at the lower of cost or market under existing guidance. We adopted the updated guidance prospectively. The adoption of this update did not have a material impact on our consolidated financial statements.</w:t>
      </w:r>
    </w:p>
    <w:p>
      <w:pPr>
        <w:spacing w:after="0" w:line="5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Effective January 1, 2017, we adopted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This update states that substantial doubt exists if it is probable that an entity will be unable to meet its current and future obligations. Disclosures are required if conditions give rise to substantial doubt. However, management will need to assess if its plans will alleviate substantial doubt to determine the specific disclosures. The Company adopted this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standard in 2017 and management does not believe there is substantial doubt about the entity's ability to continue as a going concern.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Effective September 30, 2017, we early adopted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This update eliminates step two from the goodwill impairment test. An annual or interim goodwill test should be performed by comparing the fair value of a reporting unit with its carrying amount. Income tax effects from any tax deductible goodwill on the carrying amount of the reporting unit should also be considered when measuring any applicable goodwill impairment loss. This updated guidance also eliminates the requirements for any reporting unit with a zero or negative carrying amount to perform a qualitative assessment and if it fails that qualitative assessment, to perform step two of the goodwill impairment test. Any goodwill amount allocated to a reporting unit with a zero or negative carrying amount net of assets is required to be disclosed. The adoption of this update did not have a material impact on our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(Topic 606).” This update requires an entity to recognize revenue to depict the transfer of promised goods or services to customers in an amount that reflects the consideration to which the entity expects to be entitled in exchange for those goods or services. The ASU will supersede most existing GAAP related to revenue recognition and will supersede some cost guidance in existing GAAP related to construction-type and production-type contract accounting. Additionally, the ASU will significantly increase disclosures related to revenue recognition. In August 2015, the FASB issued ASU No. 2015-14 which deferred the effective date of ASU No. 2014-09 by one year, and as a result, is now effective for us on January 1, 2018.</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March 2016, the FASB issued ASU No. 2016-08, “Principal versus Agent Considerations (Reporting Revenue Gross versus Net)” which clarifies the implementation guidance on principal versus agent considerations. Early application is permitted to the original effective date of January 1, 2017. Entities are permitted to apply the amendments either retrospectively to each prior reporting period presented or retrospectively with the cumulative effect of initially applying the ASU recognized at the date of initial application.</w:t>
      </w:r>
    </w:p>
    <w:p>
      <w:pPr>
        <w:spacing w:after="0" w:line="7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new standard requires companies to identify contractual performance obligations and determine whether revenue should be recognized at a point in time or over time based on when control of goods and services transfer to a customer. As a result, we expect changes in the presentation of our financial statements, including: (1) timing of revenue recognition, and (2) changes in classification between revenue and costs.</w:t>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performed a detailed review of our contract portfolio representative of our different businesses and compared historical accounting policies and practices to the new standard. Over the course of 2017, we have formed an implementation work team, conducted training for the relevant staff regarding a detailed overview of the key changes within the new standard.</w:t>
      </w:r>
    </w:p>
    <w:p>
      <w:pPr>
        <w:spacing w:after="0" w:line="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engaged external resources to assist us in our efforts of establishing new policies, procedures, and controls, establishing appropriate presentation and disclosure changes. We adopted new revenue recognition guidance using the modified retrospective transition method effective for the quarter ending March 31, 2018, applying the guidance to contracts with customers that were not substantially complete as of January 1, 2018. Our financial results for reporting periods after January 1, 2018 will be presented under the new guidance, while financial results for prior periods will continue to be reported in accordance with the prior guidance and our historical accounting policy. We have evaluated the impact of the new guidance on a substantial portion our contracts with customers, including identification of differences that will result from the new requirements. Based on the analysis performed to date, we do not anticipate any significant changes in our revenue recognition and do not believe that the guidance surrounding identification of contracts and performance obligations or measurement of variable consideration will have a material impact on the revenue recognition for these arrangements. We expect our disclosures related to revenue recognition will expand to address new quantitative and qualitative requirements regarding the nature, amount and timing of revenue from contracts with customers and additional information related to contract assets and liabilities.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 notion when measuring the fair value of financial instruments for disclosure purposes. The amendments in this ASU are effective for us on January 1, 2018. All amendments are required to be adopted on a modified retrospective basis, with two exceptions. The amendments related to equity investments without readily determinable fair values and the requirement to use an exit price notion are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ind w:right="520"/>
        <w:spacing w:after="0" w:line="277" w:lineRule="auto"/>
        <w:rPr>
          <w:sz w:val="20"/>
          <w:szCs w:val="20"/>
          <w:color w:val="auto"/>
        </w:rPr>
      </w:pPr>
      <w:r>
        <w:rPr>
          <w:rFonts w:ascii="Arial" w:cs="Arial" w:eastAsia="Arial" w:hAnsi="Arial"/>
          <w:sz w:val="18"/>
          <w:szCs w:val="18"/>
          <w:color w:val="auto"/>
        </w:rPr>
        <w:t>required to be adopted prospectively. Early adoption is not permitted. We are currently evaluating the impact of this ASU on our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On February 28, 2018 the FASB issued ASU 2018-03, “Technical Corrections and Improvements to Financial Instruments-Overall(Subtopic825-</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10):Recognition and Measurement of Financial Assets and Financial Liabilities, that clarifies the guidance in ASU No. 2016-01, Financial Instruments-Overall (Subtopic 825-10).” These amendments clarify the guidance in ASU 2016-01, Financial Instruments-Overall (Subtopic 825-10), on the following issues (among other things): Equity Securities without a Readily Determinable Fair Value-Discontinuation; Equity Securities without a Readily Determinable Fair Value- Adjustments; Forward Contracts and Purchase Options; Presentation Requirements for Certain Fair Value Option Liabilities; Fair Value Option Liabilities Denominated in a Foreign Currency; Transition Guidance for Equity Securities without a Readily Determinable Fair Value. The amendments in this ASU are effective for us January 1, 2018 in conjunction with the adoption of ASU 2016-01. We are currently evaluating the impact of this ASU on our consolidated financial statements.</w:t>
      </w:r>
    </w:p>
    <w:p>
      <w:pPr>
        <w:spacing w:after="0" w:line="8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w:t>
      </w:r>
    </w:p>
    <w:p>
      <w:pPr>
        <w:spacing w:after="0" w:line="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w:t>
      </w:r>
      <w:r>
        <w:rPr>
          <w:rFonts w:ascii="Arial" w:cs="Arial" w:eastAsia="Arial" w:hAnsi="Arial"/>
          <w:sz w:val="17"/>
          <w:szCs w:val="17"/>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2016, the FASB issued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effective for us on January 1, 2018 and are required to be adopted retrospectively. For issues that are impracticable to adopt retrospectively, the amendments may be adopted prospectively as of the earliest date practicable. Early adoption is permitted. This ASU is not expected to have a material impact on our consolidated financial statements.</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effective for us on January 1, 2018 and are required to be adopted on a modified retrospective basis. Early adoption is permitted. This ASU is not expected to have a material impact on our consolidated financial statements.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effective for us on January 1, 2018 and are required to be adopted prospectively. Early adoption is permitted. This ASU is not expected to have a material impact on our consolidated financial statements.</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“Clarifying the Scope of Asset Derecognition Guidance and Accounting for Partial Sales of Nonfinancial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This update defines an in-substance nonfinancial asset, unifies guidance related to partial sales of nonfinancial assets, eliminates rules specifically</w:t>
      </w:r>
      <w:r>
        <w:rPr>
          <w:rFonts w:ascii="Arial" w:cs="Arial" w:eastAsia="Arial" w:hAnsi="Arial"/>
          <w:sz w:val="16"/>
          <w:szCs w:val="16"/>
          <w:i w:val="1"/>
          <w:iCs w:val="1"/>
          <w:color w:val="auto"/>
        </w:rPr>
        <w:t xml:space="preserve"> </w:t>
      </w:r>
      <w:r>
        <w:rPr>
          <w:rFonts w:ascii="Arial" w:cs="Arial" w:eastAsia="Arial" w:hAnsi="Arial"/>
          <w:sz w:val="16"/>
          <w:szCs w:val="16"/>
          <w:color w:val="auto"/>
        </w:rPr>
        <w:t>addressing the sale of real estate, removes exceptions to the financial asset derecognition model, and clarifies the accounting for contributions of nonfinancial assets to joint ventures. The amendments in this ASU are effective for us January 1, 2018 and are required to be adopted with either a full retrospective approach or a modified retrospective approach. This ASU is not expected to have a material impact on our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692" w:right="259" w:bottom="1440" w:gutter="0" w:footer="0" w:header="0"/>
        </w:sectPr>
      </w:pPr>
    </w:p>
    <w:bookmarkStart w:id="69" w:name="page70"/>
    <w:bookmarkEnd w:id="69"/>
    <w:p>
      <w:pPr>
        <w:ind w:right="40"/>
        <w:spacing w:after="0" w:line="288"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w:t>
      </w:r>
      <w:r>
        <w:rPr>
          <w:rFonts w:ascii="Arial" w:cs="Arial" w:eastAsia="Arial" w:hAnsi="Arial"/>
          <w:sz w:val="16"/>
          <w:szCs w:val="16"/>
          <w:color w:val="auto"/>
        </w:rPr>
        <w:t>This update requires employers to disaggregate the service cost component from the other components of net benefit cost and disclose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Early adoption is permitted.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We will adopt this ASU on January 1, 2018. This ASU is not expected to have a material impact on our consolidated financial statements.</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We will adopt this ASU on January 1, 2018. This ASU is not expected to have a material impact on our consolidated financial statements.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amendments in this ASU are effective for us January 1, 2019. Early adoption is permitted. For cash flow and net investment hedges as of the adoption date, the guidance requires a modified retrospective approach. The amended presentation and disclosure guidance is required to be adopted prospectively. We are currently evaluating the impact of this ASU on our consolidated financial statements.</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February 14, 2018 the FASB issued ASU 2018-02, “Income Statement-Reporting Comprehensive Income (Topic 220): Reclassification of Certain Tax Effects from Accumulated Other Comprehensive Income (AOCI).” These amendments provide an option to reclassify stranded tax effects with AOCI to retained earnings in each period in which the effect of the change in the U.S. federal corporate tax rate in the Tax Cuts and Jobs Act (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Income Statement-Reporting Comprehensive Income, and has items of other comprehensive income for which the related tax effects are presented in other comprehensive income as required by GAAP. The amendments in this ASU are effective for us January 1, 2019. We are currently evaluating the impact of this ASU on our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4.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plc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After-tax interest expense related to dilutive shares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TechnipFMC plc adjusted for dilutive effects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restricted stock units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performance shares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Dilutive effect of convertible bonds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and dilutive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TechnipFMC plc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per share attributable to TechnipFMC plc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02"/>
        </w:trPr>
        <w:tc>
          <w:tcPr>
            <w:tcW w:w="74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Impairment expense: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Subsea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37"/>
        </w:trPr>
        <w:tc>
          <w:tcPr>
            <w:tcW w:w="40" w:type="dxa"/>
            <w:vAlign w:val="bottom"/>
          </w:tcPr>
          <w:p>
            <w:pPr>
              <w:spacing w:after="0"/>
              <w:rPr>
                <w:sz w:val="20"/>
                <w:szCs w:val="20"/>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Total impairment expense</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and other expense: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50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Subsea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88.4</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34.0</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342.2</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37"/>
        </w:trPr>
        <w:tc>
          <w:tcPr>
            <w:tcW w:w="40" w:type="dxa"/>
            <w:vAlign w:val="bottom"/>
          </w:tcPr>
          <w:p>
            <w:pPr>
              <w:spacing w:after="0"/>
              <w:rPr>
                <w:sz w:val="20"/>
                <w:szCs w:val="20"/>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Total restructuring and other expense</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392.9</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Asset impairments—</w:t>
      </w:r>
      <w:r>
        <w:rPr>
          <w:rFonts w:ascii="Arial" w:cs="Arial" w:eastAsia="Arial" w:hAnsi="Arial"/>
          <w:sz w:val="18"/>
          <w:szCs w:val="18"/>
          <w:color w:val="auto"/>
        </w:rPr>
        <w:t>We conduct impairment tests on long-lived assets whenever events or changes in circumstances indicate the carrying value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During 2017, our impairment expense was primarily related to leasehold improvements, decommissioning vacant buildings and other long-lived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During 2016 and 2015, our impairment expense was primarily associated with the restructuring plan discussed below.</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Restructuring and other—</w:t>
      </w:r>
      <w:r>
        <w:rPr>
          <w:rFonts w:ascii="Arial" w:cs="Arial" w:eastAsia="Arial" w:hAnsi="Arial"/>
          <w:sz w:val="18"/>
          <w:szCs w:val="18"/>
          <w:color w:val="auto"/>
        </w:rPr>
        <w:t>In July 2015, as a result of the decline in crude oil prices and its effect on the demand for products and services in the oilfield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industry worldwide, we initiated a company-wide reduction in workforce and facility consolidation (the “July 2015 Plan”) intended to reduce costs and better align our workforce with current and anticipated</w:t>
      </w:r>
    </w:p>
    <w:p>
      <w:pPr>
        <w:sectPr>
          <w:pgSz w:w="11900" w:h="16838" w:orient="portrait"/>
          <w:cols w:equalWidth="0" w:num="1">
            <w:col w:w="11420"/>
          </w:cols>
          <w:pgMar w:left="240" w:top="74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742" w:right="239" w:bottom="1440" w:gutter="0" w:footer="0" w:header="0"/>
          <w:type w:val="continuous"/>
        </w:sectPr>
      </w:pPr>
    </w:p>
    <w:bookmarkStart w:id="71" w:name="page72"/>
    <w:bookmarkEnd w:id="71"/>
    <w:p>
      <w:pPr>
        <w:ind w:right="100"/>
        <w:spacing w:after="0" w:line="277" w:lineRule="auto"/>
        <w:rPr>
          <w:sz w:val="20"/>
          <w:szCs w:val="20"/>
          <w:color w:val="auto"/>
        </w:rPr>
      </w:pPr>
      <w:r>
        <w:rPr>
          <w:rFonts w:ascii="Arial" w:cs="Arial" w:eastAsia="Arial" w:hAnsi="Arial"/>
          <w:sz w:val="18"/>
          <w:szCs w:val="18"/>
          <w:color w:val="auto"/>
        </w:rPr>
        <w:t>activity levels, which resulted in the continued recognition of severance costs relating to termination benefits and other restructuring charges. The initial plan included a workforce reduction of approximately 6,000 employees.</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significant part of the restructuring plan was focused on the Onshore/Offshore segment. In this segment, we reduced our presence in North America, Latin America, Asia and Europe. In the Subsea segment, we reduced our presence in the North Sea.</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Additionally, during 2017 we initiated further cost cutting measures that have resulted in restructuring expense primarily related to termination of lease contracts.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year ended December 31, 2016, as part of our restructuring plan, we divested and deconsolidated our wholly owned subsidiaries Technip Germany Holding GmBH and Technip Germany GmBH.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r>
      <w:tr>
        <w:trPr>
          <w:trHeight w:val="237"/>
        </w:trPr>
        <w:tc>
          <w:tcPr>
            <w:tcW w:w="834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334.7</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amounts in the table above are reported net of obsolescence reserves of $70.8 million and $38.8 million at December 31, 2017 and 2016, respectively.</w:t>
      </w:r>
    </w:p>
    <w:p>
      <w:pPr>
        <w:spacing w:after="0" w:line="14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inventories accounted for under the LIFO method totaled $300.9 million at December 31, 2017. There were no net inventories accounted for under the LIFO method at December 31, 2016. The current replacement costs of LIFO inventories exceeded their recorded values by $0.6 million at December 31, 2017. There was no reduction to the base LIFO inventory in 2017.</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Value-added tax receivables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319.4</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tax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106.4</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Held-to-maturity investments (short-term)</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(short-term)</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246.3</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1,206.2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799.2</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METHOD INVESTMENTS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equity method of accounting is used to account for investments in unconsolidated affiliates where we can have the ability to exert significant influence over the affiliates operating and financial policies.</w:t>
      </w:r>
    </w:p>
    <w:p>
      <w:pPr>
        <w:spacing w:after="0" w:line="6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For certain construction joint ventures, we use the proportionate consolidation method, whereby our proportionate share of each entity’s assets, liabilities, revenues, and expenses are included in the appropriate classifications in the accompanying consolidated financial statements. None of our proportionate consolidation investments, individually or in the aggregate, are significant to our consolidated results for 2017, 2016, or 2015.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92"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Our equity investments were as follows as of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1"/>
              </w:rPr>
              <w:t>Percentage Owned</w:t>
            </w: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Technip Odebrecht PLSV CV</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Dofcon Brasil AS</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Serimax Holdings SAS</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FSTP Brasil Ltda</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57"/>
        </w:trPr>
        <w:tc>
          <w:tcPr>
            <w:tcW w:w="6800" w:type="dxa"/>
            <w:vAlign w:val="bottom"/>
          </w:tcPr>
          <w:p>
            <w:pPr>
              <w:ind w:left="260"/>
              <w:spacing w:after="0"/>
              <w:rPr>
                <w:sz w:val="20"/>
                <w:szCs w:val="20"/>
                <w:color w:val="auto"/>
              </w:rPr>
            </w:pPr>
            <w:r>
              <w:rPr>
                <w:rFonts w:ascii="Arial" w:cs="Arial" w:eastAsia="Arial" w:hAnsi="Arial"/>
                <w:sz w:val="18"/>
                <w:szCs w:val="18"/>
                <w:color w:val="auto"/>
              </w:rPr>
              <w:t>Investments in equity affiliates</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w w:val="93"/>
              </w:rPr>
              <w:t>Our income (loss) from equity affiliates included in each of our reporting segments was as follows:</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30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116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00" w:type="dxa"/>
            <w:vAlign w:val="bottom"/>
          </w:tcPr>
          <w:p>
            <w:pPr>
              <w:ind w:left="260"/>
              <w:spacing w:after="0"/>
              <w:rPr>
                <w:sz w:val="20"/>
                <w:szCs w:val="20"/>
                <w:color w:val="auto"/>
              </w:rPr>
            </w:pPr>
            <w:r>
              <w:rPr>
                <w:rFonts w:ascii="Arial" w:cs="Arial" w:eastAsia="Arial" w:hAnsi="Arial"/>
                <w:sz w:val="18"/>
                <w:szCs w:val="18"/>
                <w:color w:val="auto"/>
              </w:rPr>
              <w:t>Income from equity affiliates</w:t>
            </w:r>
          </w:p>
        </w:tc>
        <w:tc>
          <w:tcPr>
            <w:tcW w:w="2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i w:val="1"/>
          <w:iCs w:val="1"/>
          <w:color w:val="auto"/>
        </w:rPr>
        <w:t>Summarized financial information</w:t>
      </w:r>
      <w:r>
        <w:rPr>
          <w:rFonts w:ascii="Arial" w:cs="Arial" w:eastAsia="Arial" w:hAnsi="Arial"/>
          <w:sz w:val="25"/>
          <w:szCs w:val="25"/>
          <w:i w:val="1"/>
          <w:iCs w:val="1"/>
          <w:color w:val="auto"/>
          <w:vertAlign w:val="superscript"/>
        </w:rPr>
        <w:t>(2)</w:t>
      </w:r>
      <w:r>
        <w:rPr>
          <w:rFonts w:ascii="Arial" w:cs="Arial" w:eastAsia="Arial" w:hAnsi="Arial"/>
          <w:sz w:val="18"/>
          <w:szCs w:val="18"/>
          <w:color w:val="auto"/>
        </w:rPr>
        <w:t>—Summarized financial information for our equity method investments is presented below for 2016 and 2015. Our major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method investments are as follows:</w:t>
      </w:r>
    </w:p>
    <w:p>
      <w:pPr>
        <w:spacing w:after="0" w:line="9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u w:val="single" w:color="auto"/>
          <w:color w:val="auto"/>
        </w:rPr>
        <w:t>Technip Odebrecht.</w:t>
      </w:r>
      <w:r>
        <w:rPr>
          <w:rFonts w:ascii="Arial" w:cs="Arial" w:eastAsia="Arial" w:hAnsi="Arial"/>
          <w:sz w:val="18"/>
          <w:szCs w:val="18"/>
          <w:color w:val="auto"/>
        </w:rPr>
        <w:t xml:space="preserve"> Technip Odebrecht PLSV CV (“Technip Odebrecht”) is an affiliated company in the form of a joint venture between Technip SA and Odebrecht Oleo &amp; Gas. Technip Odebrecht was formed in 2011 when awarded a contract to provide pipeline installation ships to state-controlled Petroleo Brasileiro SA (“Petrobras”) for their work in oil and gas fields offshore Brazil. We have accounted for our 50% investment using the equity method of accounting with results reported in our Subsea segment.</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u w:val="single" w:color="auto"/>
          <w:color w:val="auto"/>
        </w:rPr>
        <w:t>Dofcon.</w:t>
      </w:r>
      <w:r>
        <w:rPr>
          <w:rFonts w:ascii="Arial" w:cs="Arial" w:eastAsia="Arial" w:hAnsi="Arial"/>
          <w:sz w:val="17"/>
          <w:szCs w:val="17"/>
          <w:color w:val="auto"/>
        </w:rPr>
        <w:t xml:space="preserve"> Dofcon Brasil AS (“Dofcon”) is an affiliated company in the form of a joint venture between Technip SA and DOF Subsea and was founded in 2006. Dofcon provides Pipe-Laying Support Vessels (PLSVs) for work in oil and gas fields offshore Brazil. Dofcon is considered a VIE because it does not have sufficient equity to finance its activities without additional subordinated financial. We are not the primarily beneficiary of the VIE. As such, we have accounted for our 50% investment using the equity method of accounting with results reported in our Subsea segment.</w:t>
      </w:r>
    </w:p>
    <w:p>
      <w:pPr>
        <w:spacing w:after="0" w:line="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u w:val="single" w:color="auto"/>
          <w:color w:val="auto"/>
        </w:rPr>
        <w:t>Serimax.</w:t>
      </w:r>
      <w:r>
        <w:rPr>
          <w:rFonts w:ascii="Arial" w:cs="Arial" w:eastAsia="Arial" w:hAnsi="Arial"/>
          <w:sz w:val="17"/>
          <w:szCs w:val="17"/>
          <w:color w:val="auto"/>
        </w:rPr>
        <w:t xml:space="preserve"> Serimax Holdings SAS (“Serimax”) is an affiliated company in the form of a joint venture between Technip SA and Vallourec SA and was founded in 2016. Serimax is headquartered in Paris, France and provides rigid pipes welding services for work in oil and gas fields around the world. We have accounted for our 20% investment using the equity method of accounting with results reported in our Subsea segment.</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FSTP Brasil.</w:t>
      </w:r>
      <w:r>
        <w:rPr>
          <w:rFonts w:ascii="Arial" w:cs="Arial" w:eastAsia="Arial" w:hAnsi="Arial"/>
          <w:sz w:val="18"/>
          <w:szCs w:val="18"/>
          <w:color w:val="auto"/>
        </w:rPr>
        <w:t xml:space="preserve"> FSTP Brasil Ltda. (“FSTP Brasil”) is an affiliated company in the form of a joint venture between Technip Brasil - Engenharia, Instalações e Apoio Marítimo Ltda. and Keppel FELS Brasil S.A. FSTP Brasil was formed in 2003 to operate in the engineering, construction, manufacture and repair of offshore platforms and vessels segments, especially for oil and natural gas companies. We have accounted for our 25% investment using the equity method of accounting with results reported in our Subsea segment.</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Yamgaz.</w:t>
      </w:r>
      <w:r>
        <w:rPr>
          <w:rFonts w:ascii="Arial" w:cs="Arial" w:eastAsia="Arial" w:hAnsi="Arial"/>
          <w:sz w:val="17"/>
          <w:szCs w:val="17"/>
          <w:color w:val="auto"/>
        </w:rPr>
        <w:t xml:space="preserve"> In 2015, Yamgaz was an affiliated company in the form of a joint venture between Technip, JGC Corporation (“JGC”), and Chiyoda International Corporation (“Chiyoda”). Yamgaz was formed in 2013 when it was awarded a contract to carry out the engineering, procurement, supply, construction and commissioning of an integrated facility for natural gas liquefaction based on the resources of the South Tambey Gas Condensate field located on the Yamal Peninsula, Russia. 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our 50% investment using the equity method of accounting with results reported in our Onshore/Offshore segment. Subsequent to this transaction we recorded the results in our consolidated financial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following table presents summarized financial information of the equity method investments: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619.2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4,769.3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1,587.2</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796.9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4,853.7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925.6</w:t>
            </w: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5,426.1</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721.8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561.1</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40" w:firstLine="8"/>
        <w:spacing w:after="0" w:line="262" w:lineRule="auto"/>
        <w:tabs>
          <w:tab w:leader="none" w:pos="192"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As discussed above, in the fourth quarter of 2016, we obtained the voting control interests of legal Onshore/Offshore entities that own and account for the design, engineering and construction of Yamal. As a result of the acquisition and consolidation, we recorded $3.5 billion in cash, $601.7 million in advances to suppliers, $71.1 million in intangibles, $3.8 billion in current liabilities, $191.2 million in noncurrent liabilities, and a $7.7 million gain.</w:t>
      </w:r>
    </w:p>
    <w:p>
      <w:pPr>
        <w:spacing w:after="0" w:line="78" w:lineRule="exact"/>
        <w:rPr>
          <w:rFonts w:ascii="Arial" w:cs="Arial" w:eastAsia="Arial" w:hAnsi="Arial"/>
          <w:sz w:val="22"/>
          <w:szCs w:val="22"/>
          <w:color w:val="auto"/>
          <w:vertAlign w:val="superscript"/>
        </w:rPr>
      </w:pPr>
    </w:p>
    <w:p>
      <w:pPr>
        <w:ind w:right="520" w:firstLine="8"/>
        <w:spacing w:after="0" w:line="301" w:lineRule="auto"/>
        <w:tabs>
          <w:tab w:leader="none" w:pos="178" w:val="left"/>
        </w:tabs>
        <w:numPr>
          <w:ilvl w:val="0"/>
          <w:numId w:val="30"/>
        </w:numPr>
        <w:rPr>
          <w:rFonts w:ascii="Arial" w:cs="Arial" w:eastAsia="Arial" w:hAnsi="Arial"/>
          <w:sz w:val="20"/>
          <w:szCs w:val="20"/>
          <w:color w:val="auto"/>
          <w:vertAlign w:val="superscript"/>
        </w:rPr>
      </w:pPr>
      <w:r>
        <w:rPr>
          <w:rFonts w:ascii="Arial" w:cs="Arial" w:eastAsia="Arial" w:hAnsi="Arial"/>
          <w:sz w:val="15"/>
          <w:szCs w:val="15"/>
          <w:color w:val="auto"/>
        </w:rPr>
        <w:t>As of December 31, 2017, our equity method investments were no longer significant individually or in the aggregate. As such, summarized financial information for 2017 is not presented.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8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trade receivables/(payables)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20.2</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8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4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receivables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153.9</w:t>
            </w:r>
          </w:p>
        </w:tc>
      </w:tr>
      <w:tr>
        <w:trPr>
          <w:trHeight w:val="27"/>
        </w:trPr>
        <w:tc>
          <w:tcPr>
            <w:tcW w:w="8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member of our Board of Directors serves on the board of directors of Anadarko and the table above includes trade receivable balances of $22.3 million from Anadarko at December 31, 2017 as well as $42.5 million from TP JGC Coral France SNC and $13.8 million from Technip Odebrecht PLSV CV, as both companies are equity method affiliates. The trade receivables balance at December 31, 2016 includes $98.8 million and $25.8 million from Dofcon Brasil AS and Technip Odebrecht PLSV CV, respectively, both are equity method affiliates.</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balance in trade payables includes $52.4 million to JGC Corporation and $48.3 million to Chiyoda, both JV partners on our Yamal project, at December 31, 2017. The trade payables balance at December 31, 2016 includes $50.3 million and $64.3 million to JGC Corporation and Chiyoda, respectively, and $46.0 million to Heerema, a joint venture partner of one of our consolidated subsidiaries.</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note receivables balance includes $114.9 million and $104.2 million with Dofcon Brasil AS at December 31, 2017 and 2016, respectively. Dofcon Brasil AS is a VIE and accounted for as an equity method affiliate. These are included in other noncurrent assets on our consolidated balance sheets.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413.5</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4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648"/>
        </w:trPr>
        <w:tc>
          <w:tcPr>
            <w:tcW w:w="3180" w:type="dxa"/>
            <w:vAlign w:val="bottom"/>
          </w:tcPr>
          <w:p>
            <w:pPr>
              <w:spacing w:after="0"/>
              <w:rPr>
                <w:sz w:val="24"/>
                <w:szCs w:val="24"/>
                <w:color w:val="auto"/>
              </w:rPr>
            </w:pPr>
          </w:p>
        </w:tc>
        <w:tc>
          <w:tcPr>
            <w:tcW w:w="4440" w:type="dxa"/>
            <w:vAlign w:val="bottom"/>
          </w:tcPr>
          <w:p>
            <w:pPr>
              <w:jc w:val="right"/>
              <w:ind w:right="177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4" w:name="page75"/>
    <w:bookmarkEnd w:id="74"/>
    <w:p>
      <w:pPr>
        <w:ind w:right="100"/>
        <w:spacing w:after="0" w:line="264" w:lineRule="auto"/>
        <w:rPr>
          <w:sz w:val="20"/>
          <w:szCs w:val="20"/>
          <w:color w:val="auto"/>
        </w:rPr>
      </w:pPr>
      <w:r>
        <w:rPr>
          <w:rFonts w:ascii="Arial" w:cs="Arial" w:eastAsia="Arial" w:hAnsi="Arial"/>
          <w:sz w:val="18"/>
          <w:szCs w:val="18"/>
          <w:color w:val="auto"/>
        </w:rPr>
        <w:t>Revenue in the table above includes $111.3 million from Anadarko and $69.9 million from TP JGC Coral France SNC, an equity method affiliate, during the year ended December 31, 2017. Revenue for the years ended December 31, 2016 and 2015 included $196.7 million and $272.4 million, respectively, from Yamgaz, which was an equity method affiliate during that time.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Expense activity for the year ended December 31, 2017 includes $46.8 million to JGC Corporation and $44.1 million to Chiyoda. Expense activity for the year ended December 31, 2016 includes $71.3 million to Heerema. For the year ended December 31, 2015, there was no expense activity with an individually significant related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Vessels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1,892.2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fixtures and furniture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310.5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376.3</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5,819.4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4,311.9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3,871.5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2,620.1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Depreciation expense was $370.2 million, $283.2 million and $315.3 million in 2017, 2016 and 2015, respectively. The amount of interest cost capitalized was not material for the years presented.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INTANGIBLE ASSETS</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—We record goodwill as the excess of the purchase price over the fair value of the net assets acquired in acquisitions accounted for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method of accounting. We test goodwill for impairment annually, or more frequently if circumstances indicate possible impairment. We identify a potential impairment by comparing the fair value of the applicable reporting unit to its net book value, including goodwill. If the net book value exceeds the fair value of the reporting unit, we measure the impairment by comparing the carrying value of the reporting unit to its fair value.</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test our goodwill for impairment by comparing the fair value of each of our reporting units to their net carrying value as of October 31 of each year. Our impairment analysis is quantitative; however, it includes subjective estimates based on assumptions regarding future growth rates, interest rates and operating expenses.</w:t>
      </w:r>
    </w:p>
    <w:p>
      <w:pPr>
        <w:spacing w:after="0" w:line="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 based on internal forecasts of revenues and expenses over a specified period plus a terminal value (the income approach).</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income approach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We believe this approach is an appropriate valuation method. The risk-adjusted discount rate applied to our future cash flows was 10.8%. The excess of fair value over carrying amount for our reporting units ranged from approximately 15% to in excess of 200% of the respective carrying amounts.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carrying amount of goodwill by reporting segment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Subsea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3"/>
              </w:rPr>
              <w:t>Onshore/Offshore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Surface Technologies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Additions due to business combinations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Translation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(369.6)</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3,786.5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Additions due to business combinations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Translation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3,718.3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Additions due to business combinations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1,635.5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5,165.9</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Translation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45.6</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8,929.8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—The components of intangible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2017</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2016</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3"/>
                <w:szCs w:val="13"/>
                <w:color w:val="auto"/>
              </w:rPr>
            </w:pPr>
          </w:p>
        </w:tc>
        <w:tc>
          <w:tcPr>
            <w:tcW w:w="98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1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Licenses, patents and trademarks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1,820.7</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connection with the Merger, we recorded identifiable intangible assets acquired. Refer to Note 2 to these consolidated financial statements for additional information regarding the Merger. All of our acquired identifiable intangible assets are subject to amortization and, where applicable, foreign currency translation adjustments.</w:t>
      </w:r>
    </w:p>
    <w:p>
      <w:pPr>
        <w:spacing w:after="0" w:line="15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recorded $244.5 million, $17.5 million and $23.4 million in amortization expense related to intangible assets during the years ended December 31, 2017, 2016 and 2015, respectively. During the years 2018 through 2022, annual amortization expense is expected to be as follows: $173.5 million in 2018, $124.1 million in 2019, $114.8 million in 2020, $109.1 million in 2021, $106.6 million in 2022 and $705.7 million thereafter.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12.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accruals on 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Contingencies related to completed contracts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Social security liability</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accrual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financial liability</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1,687.9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 and current portion of long-term debt</w:t>
      </w:r>
      <w:r>
        <w:rPr>
          <w:rFonts w:ascii="Arial" w:cs="Arial" w:eastAsia="Arial" w:hAnsi="Arial"/>
          <w:sz w:val="18"/>
          <w:szCs w:val="18"/>
          <w:color w:val="auto"/>
        </w:rPr>
        <w:t>—Short-term debt and current portion of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bonds due 2017</w:t>
            </w:r>
          </w:p>
        </w:tc>
        <w:tc>
          <w:tcPr>
            <w:tcW w:w="35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Bank borrowings</w:t>
            </w:r>
          </w:p>
        </w:tc>
        <w:tc>
          <w:tcPr>
            <w:tcW w:w="3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Total short-term debt and current portion of long-term debt</w:t>
            </w:r>
          </w:p>
        </w:tc>
        <w:tc>
          <w:tcPr>
            <w:tcW w:w="3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vMerge w:val="restart"/>
          </w:tcPr>
          <w:p>
            <w:pPr>
              <w:jc w:val="right"/>
              <w:ind w:right="2450"/>
              <w:spacing w:after="0"/>
              <w:rPr>
                <w:sz w:val="20"/>
                <w:szCs w:val="20"/>
                <w:color w:val="auto"/>
              </w:rPr>
            </w:pPr>
            <w:r>
              <w:rPr>
                <w:rFonts w:ascii="Arial" w:cs="Arial" w:eastAsia="Arial" w:hAnsi="Arial"/>
                <w:sz w:val="18"/>
                <w:szCs w:val="18"/>
                <w:color w:val="auto"/>
              </w:rPr>
              <w:t>77</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—Long-term debt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Bilateral credit facilities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Synthetic bonds due 2021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gridSpan w:val="2"/>
          </w:tcPr>
          <w:p>
            <w:pPr>
              <w:ind w:left="20"/>
              <w:spacing w:after="0"/>
              <w:rPr>
                <w:sz w:val="20"/>
                <w:szCs w:val="20"/>
                <w:color w:val="auto"/>
              </w:rPr>
            </w:pPr>
            <w:r>
              <w:rPr>
                <w:rFonts w:ascii="Arial" w:cs="Arial" w:eastAsia="Arial" w:hAnsi="Arial"/>
                <w:sz w:val="18"/>
                <w:szCs w:val="18"/>
                <w:color w:val="auto"/>
              </w:rPr>
              <w:t>Convertible bonds due 2017</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7"/>
        </w:trPr>
        <w:tc>
          <w:tcPr>
            <w:tcW w:w="540" w:type="dxa"/>
            <w:vAlign w:val="bottom"/>
            <w:gridSpan w:val="2"/>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3.45%</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 w:type="dxa"/>
            <w:vAlign w:val="bottom"/>
            <w:gridSpan w:val="2"/>
          </w:tcPr>
          <w:p>
            <w:pPr>
              <w:ind w:left="60"/>
              <w:spacing w:after="0"/>
              <w:rPr>
                <w:sz w:val="20"/>
                <w:szCs w:val="20"/>
                <w:color w:val="auto"/>
              </w:rPr>
            </w:pPr>
            <w:r>
              <w:rPr>
                <w:rFonts w:ascii="Arial" w:cs="Arial" w:eastAsia="Arial" w:hAnsi="Arial"/>
                <w:sz w:val="18"/>
                <w:szCs w:val="18"/>
                <w:color w:val="auto"/>
                <w:w w:val="90"/>
              </w:rPr>
              <w:t>5.00%</w:t>
            </w:r>
          </w:p>
        </w:tc>
        <w:tc>
          <w:tcPr>
            <w:tcW w:w="8020" w:type="dxa"/>
            <w:vAlign w:val="bottom"/>
          </w:tcPr>
          <w:p>
            <w:pPr>
              <w:ind w:left="40"/>
              <w:spacing w:after="0"/>
              <w:rPr>
                <w:sz w:val="20"/>
                <w:szCs w:val="20"/>
                <w:color w:val="auto"/>
              </w:rPr>
            </w:pPr>
            <w:r>
              <w:rPr>
                <w:rFonts w:ascii="Arial" w:cs="Arial" w:eastAsia="Arial" w:hAnsi="Arial"/>
                <w:sz w:val="18"/>
                <w:szCs w:val="18"/>
                <w:color w:val="auto"/>
              </w:rPr>
              <w:t>Notes due 2020</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540" w:type="dxa"/>
            <w:vAlign w:val="bottom"/>
            <w:gridSpan w:val="2"/>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3.40%</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43"/>
        </w:trPr>
        <w:tc>
          <w:tcPr>
            <w:tcW w:w="540" w:type="dxa"/>
            <w:vAlign w:val="bottom"/>
            <w:gridSpan w:val="2"/>
          </w:tcPr>
          <w:p>
            <w:pPr>
              <w:ind w:left="60"/>
              <w:spacing w:after="0"/>
              <w:rPr>
                <w:sz w:val="20"/>
                <w:szCs w:val="20"/>
                <w:color w:val="auto"/>
              </w:rPr>
            </w:pPr>
            <w:r>
              <w:rPr>
                <w:rFonts w:ascii="Arial" w:cs="Arial" w:eastAsia="Arial" w:hAnsi="Arial"/>
                <w:sz w:val="18"/>
                <w:szCs w:val="18"/>
                <w:color w:val="auto"/>
                <w:w w:val="90"/>
              </w:rPr>
              <w:t>3.15%</w:t>
            </w:r>
          </w:p>
        </w:tc>
        <w:tc>
          <w:tcPr>
            <w:tcW w:w="8020" w:type="dxa"/>
            <w:vAlign w:val="bottom"/>
          </w:tcPr>
          <w:p>
            <w:pPr>
              <w:ind w:left="40"/>
              <w:spacing w:after="0"/>
              <w:rPr>
                <w:sz w:val="20"/>
                <w:szCs w:val="20"/>
                <w:color w:val="auto"/>
              </w:rPr>
            </w:pPr>
            <w:r>
              <w:rPr>
                <w:rFonts w:ascii="Arial" w:cs="Arial" w:eastAsia="Arial" w:hAnsi="Arial"/>
                <w:sz w:val="18"/>
                <w:szCs w:val="18"/>
                <w:color w:val="auto"/>
              </w:rPr>
              <w:t>Notes due 2023</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540" w:type="dxa"/>
            <w:vAlign w:val="bottom"/>
            <w:gridSpan w:val="2"/>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3.15%</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43"/>
        </w:trPr>
        <w:tc>
          <w:tcPr>
            <w:tcW w:w="540" w:type="dxa"/>
            <w:vAlign w:val="bottom"/>
            <w:gridSpan w:val="2"/>
          </w:tcPr>
          <w:p>
            <w:pPr>
              <w:ind w:left="60"/>
              <w:spacing w:after="0"/>
              <w:rPr>
                <w:sz w:val="20"/>
                <w:szCs w:val="20"/>
                <w:color w:val="auto"/>
              </w:rPr>
            </w:pPr>
            <w:r>
              <w:rPr>
                <w:rFonts w:ascii="Arial" w:cs="Arial" w:eastAsia="Arial" w:hAnsi="Arial"/>
                <w:sz w:val="18"/>
                <w:szCs w:val="18"/>
                <w:color w:val="auto"/>
                <w:w w:val="90"/>
              </w:rPr>
              <w:t>4.00%</w:t>
            </w:r>
          </w:p>
        </w:tc>
        <w:tc>
          <w:tcPr>
            <w:tcW w:w="8020" w:type="dxa"/>
            <w:vAlign w:val="bottom"/>
          </w:tcPr>
          <w:p>
            <w:pPr>
              <w:ind w:left="40"/>
              <w:spacing w:after="0"/>
              <w:rPr>
                <w:sz w:val="20"/>
                <w:szCs w:val="20"/>
                <w:color w:val="auto"/>
              </w:rPr>
            </w:pPr>
            <w:r>
              <w:rPr>
                <w:rFonts w:ascii="Arial" w:cs="Arial" w:eastAsia="Arial" w:hAnsi="Arial"/>
                <w:sz w:val="18"/>
                <w:szCs w:val="18"/>
                <w:color w:val="auto"/>
              </w:rPr>
              <w:t>Notes due 2027</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540" w:type="dxa"/>
            <w:vAlign w:val="bottom"/>
            <w:gridSpan w:val="2"/>
          </w:tcPr>
          <w:p>
            <w:pPr>
              <w:spacing w:after="0"/>
              <w:rPr>
                <w:sz w:val="2"/>
                <w:szCs w:val="2"/>
                <w:color w:val="auto"/>
              </w:rPr>
            </w:pPr>
          </w:p>
        </w:tc>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4.00%</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2032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540" w:type="dxa"/>
            <w:vAlign w:val="bottom"/>
            <w:gridSpan w:val="2"/>
          </w:tcPr>
          <w:p>
            <w:pPr>
              <w:ind w:left="60"/>
              <w:spacing w:after="0"/>
              <w:rPr>
                <w:sz w:val="20"/>
                <w:szCs w:val="20"/>
                <w:color w:val="auto"/>
              </w:rPr>
            </w:pPr>
            <w:r>
              <w:rPr>
                <w:rFonts w:ascii="Arial" w:cs="Arial" w:eastAsia="Arial" w:hAnsi="Arial"/>
                <w:sz w:val="18"/>
                <w:szCs w:val="18"/>
                <w:color w:val="auto"/>
                <w:w w:val="90"/>
              </w:rPr>
              <w:t>3.75%</w:t>
            </w:r>
          </w:p>
        </w:tc>
        <w:tc>
          <w:tcPr>
            <w:tcW w:w="8020" w:type="dxa"/>
            <w:vAlign w:val="bottom"/>
          </w:tcPr>
          <w:p>
            <w:pPr>
              <w:ind w:left="40"/>
              <w:spacing w:after="0"/>
              <w:rPr>
                <w:sz w:val="20"/>
                <w:szCs w:val="20"/>
                <w:color w:val="auto"/>
              </w:rPr>
            </w:pPr>
            <w:r>
              <w:rPr>
                <w:rFonts w:ascii="Arial" w:cs="Arial" w:eastAsia="Arial" w:hAnsi="Arial"/>
                <w:sz w:val="18"/>
                <w:szCs w:val="18"/>
                <w:color w:val="auto"/>
              </w:rPr>
              <w:t>Notes due 2033</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Other</w:t>
            </w:r>
          </w:p>
        </w:tc>
        <w:tc>
          <w:tcPr>
            <w:tcW w:w="8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2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3,855.0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2,552.9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borrowings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20" w:type="dxa"/>
            <w:vAlign w:val="bottom"/>
            <w:gridSpan w:val="2"/>
          </w:tcPr>
          <w:p>
            <w:pPr>
              <w:ind w:left="380"/>
              <w:spacing w:after="0"/>
              <w:rPr>
                <w:sz w:val="20"/>
                <w:szCs w:val="20"/>
                <w:color w:val="auto"/>
              </w:rPr>
            </w:pPr>
            <w:r>
              <w:rPr>
                <w:rFonts w:ascii="Arial" w:cs="Arial" w:eastAsia="Arial" w:hAnsi="Arial"/>
                <w:sz w:val="18"/>
                <w:szCs w:val="18"/>
                <w:color w:val="auto"/>
              </w:rPr>
              <w:t>Long-term debt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3,777.9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0"/>
        </w:trPr>
        <w:tc>
          <w:tcPr>
            <w:tcW w:w="8560" w:type="dxa"/>
            <w:vAlign w:val="bottom"/>
            <w:gridSpan w:val="3"/>
            <w:vMerge w:val="restart"/>
          </w:tcPr>
          <w:p>
            <w:pPr>
              <w:jc w:val="right"/>
              <w:ind w:right="6390"/>
              <w:spacing w:after="0"/>
              <w:rPr>
                <w:sz w:val="20"/>
                <w:szCs w:val="20"/>
                <w:color w:val="auto"/>
              </w:rPr>
            </w:pPr>
            <w:r>
              <w:rPr>
                <w:rFonts w:ascii="Arial" w:cs="Arial" w:eastAsia="Arial" w:hAnsi="Arial"/>
                <w:sz w:val="18"/>
                <w:szCs w:val="18"/>
                <w:b w:val="1"/>
                <w:bCs w:val="1"/>
                <w:color w:val="auto"/>
                <w:w w:val="89"/>
              </w:rPr>
              <w:t>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right="40" w:hanging="652"/>
        <w:spacing w:after="0" w:line="215"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At December 31, 2017 and 2016, committed credit available under our revolving credit facility provided the ability to refinance our commercial paper obligations on a long-term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debt as of December 31, 2017, are payable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Payments Due by Period</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3"/>
                <w:szCs w:val="13"/>
                <w:color w:val="auto"/>
              </w:rPr>
            </w:pPr>
          </w:p>
        </w:tc>
        <w:tc>
          <w:tcPr>
            <w:tcW w:w="118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center"/>
              <w:ind w:right="262"/>
              <w:spacing w:after="0" w:line="153" w:lineRule="exact"/>
              <w:rPr>
                <w:sz w:val="20"/>
                <w:szCs w:val="20"/>
                <w:color w:val="auto"/>
              </w:rPr>
            </w:pPr>
            <w:r>
              <w:rPr>
                <w:rFonts w:ascii="Arial" w:cs="Arial" w:eastAsia="Arial" w:hAnsi="Arial"/>
                <w:sz w:val="14"/>
                <w:szCs w:val="14"/>
                <w:b w:val="1"/>
                <w:bCs w:val="1"/>
                <w:color w:val="auto"/>
                <w:w w:val="88"/>
              </w:rPr>
              <w:t>1-3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62"/>
              <w:spacing w:after="0" w:line="15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right="242"/>
              <w:spacing w:after="0" w:line="153"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8"/>
              </w:rPr>
              <w:t>payments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3,855.0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77.1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1,972.9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1,179.0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right="80"/>
        <w:spacing w:after="0" w:line="305"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21"/>
          <w:szCs w:val="21"/>
          <w:color w:val="auto"/>
        </w:rPr>
        <w:t>—</w:t>
      </w:r>
      <w:r>
        <w:rPr>
          <w:rFonts w:ascii="Arial" w:cs="Arial" w:eastAsia="Arial" w:hAnsi="Arial"/>
          <w:sz w:val="18"/>
          <w:szCs w:val="18"/>
          <w:color w:val="auto"/>
        </w:rPr>
        <w:t>On January 17, 2017, we acceded to a new $2.5 billion senior unsecured revolving credit facility agreement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FMC Technologies, Inc. and Technip Eurocash SNC (the “Borrowers”) with JPMorgan Chase Bank, National Association, as agent and an arranger, SG Americas Securities LLC as an arranger, and the lenders party thereto.</w:t>
      </w:r>
    </w:p>
    <w:p>
      <w:pPr>
        <w:spacing w:after="0" w:line="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17" w:lineRule="exact"/>
        <w:rPr>
          <w:sz w:val="20"/>
          <w:szCs w:val="20"/>
          <w:color w:val="auto"/>
        </w:rPr>
      </w:pPr>
    </w:p>
    <w:p>
      <w:pPr>
        <w:ind w:left="660" w:right="2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1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692" w:right="259" w:bottom="1440" w:gutter="0" w:footer="0" w:header="0"/>
        </w:sectPr>
      </w:pPr>
    </w:p>
    <w:bookmarkStart w:id="78" w:name="page79"/>
    <w:bookmarkEnd w:id="78"/>
    <w:p>
      <w:pPr>
        <w:spacing w:after="0" w:line="312" w:lineRule="auto"/>
        <w:rPr>
          <w:sz w:val="20"/>
          <w:szCs w:val="20"/>
          <w:color w:val="auto"/>
        </w:rPr>
      </w:pPr>
      <w:r>
        <w:rPr>
          <w:rFonts w:ascii="Arial" w:cs="Arial" w:eastAsia="Arial" w:hAnsi="Arial"/>
          <w:sz w:val="16"/>
          <w:szCs w:val="16"/>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make certain investments.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Bilateral credit facilities</w:t>
      </w:r>
      <w:r>
        <w:rPr>
          <w:rFonts w:ascii="Arial" w:cs="Arial" w:eastAsia="Arial" w:hAnsi="Arial"/>
          <w:sz w:val="20"/>
          <w:szCs w:val="20"/>
          <w:color w:val="auto"/>
        </w:rPr>
        <w:t>—</w:t>
      </w:r>
      <w:r>
        <w:rPr>
          <w:rFonts w:ascii="Arial" w:cs="Arial" w:eastAsia="Arial" w:hAnsi="Arial"/>
          <w:sz w:val="17"/>
          <w:szCs w:val="17"/>
          <w:color w:val="auto"/>
        </w:rPr>
        <w:t>We have access to four bilateral credit facilities in the aggregate of €340.0 million. The bilateral credit facilities consist of:</w:t>
      </w:r>
    </w:p>
    <w:p>
      <w:pPr>
        <w:spacing w:after="0" w:line="14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credit facility of €80.0 million expiring in June 2019;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Each bilateral credit facility contains usual and customary covenants, representations and warranties and events of default for credit facilities of this type.</w:t>
      </w:r>
    </w:p>
    <w:p>
      <w:pPr>
        <w:spacing w:after="0" w:line="14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Commercial paper</w:t>
      </w:r>
      <w:r>
        <w:rPr>
          <w:rFonts w:ascii="Arial" w:cs="Arial" w:eastAsia="Arial" w:hAnsi="Arial"/>
          <w:sz w:val="16"/>
          <w:szCs w:val="16"/>
          <w:color w:val="auto"/>
        </w:rPr>
        <w:t>—Under our commercial paper program, we have the ability to access $1.5 billion and €1.0 billion of short-term financing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dealers, subject to the limit of unused capacity of our facility agreement. As we have both the ability and intent to refinance these obligations on a long-term basis, our commercial paper borrowings were classified as long-term in the consolidated balance sheets as of December 31, 2017 and December 31, 2016. Commercial paper borrowings are issued at market interest rates. As of December 31, 2017, our commercial paper borrowings had a weighted average interest rate of 1.78% on the U.S. dollar denominated borrowings and (0.27)% on the Euro denominated borrowings.</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Synthetic bonds</w:t>
      </w:r>
      <w:r>
        <w:rPr>
          <w:rFonts w:ascii="Arial" w:cs="Arial" w:eastAsia="Arial" w:hAnsi="Arial"/>
          <w:sz w:val="16"/>
          <w:szCs w:val="16"/>
          <w:color w:val="auto"/>
        </w:rPr>
        <w:t>—On January 25, 2016, we issued €375.0 million principal amount of 0.875% convertible bonds with a maturity date of January 25,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a redemption at par of the bonds which have not been converted. On March 3, 2016, we issued additional convertible bonds for a principal amount of €75.0 million issued on the same terms, fully fungible with and assimilated to the bonds issued on January 25, 2016. The issuance of these non-dilutive cash-settled convertible bonds (“Synthetic Bonds”), which are linked to our ordinary shares were backed simultaneously by the purchase of cash-settled equity call options in order to hedge our economic exposure to the potential exercise of the conversion rights embedded in the Synthetic Bonds. As the Synthetic Bonds will only be cash settled, they will not result in the issuance of new ordinary shares or the delivery of existing ordinary shares upon conversion. Interest on the Synthetic Bonds is payable semi-annually in arrears on January 25 and July 25 of each year, beginning July 26, 2016. Net proceeds from the Synthetic Bonds were used for general corporate purposes and to finance the purchase of the call options. The Synthetic Bonds are our unsecured obligations. The Synthetic Bonds will rank equally in right of payment with all of our existing and future unsubordinated debt.</w:t>
      </w:r>
    </w:p>
    <w:p>
      <w:pPr>
        <w:spacing w:after="0" w:line="5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Synthetic Bonds issued on January 25, 2016 were issued at par. The Synthetic Bonds issued on March 3, 2016 were issued at a premium of 112.43802% resulting from an adjustment over the 3-day trading period following the issuance resulting in a share reference price of €48.8355.</w:t>
      </w:r>
    </w:p>
    <w:p>
      <w:pPr>
        <w:spacing w:after="0" w:line="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40.0% conversion premium was applied to the share reference price of €40.7940. The share reference price was computed using the average of the daily volume weighted average price of our ordinary shares on the Euronext Paris market over the 10 consecutive trading days from January 21 to February 3, 2016. The initial conversion price of the bonds was then fixed at €57.1116.</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Synthetic Bonds each have a nominal value of €100.0 thousand with a conversion ratio of 3,464.6193 and a conversion price of €28.8632. Any bondholder may, at its sole option, request the conversion in cash of all or part of the bonds it owns, beginning November 15, 2020 to the 38th business day before the maturity date.</w:t>
      </w:r>
    </w:p>
    <w:p>
      <w:pPr>
        <w:spacing w:after="0" w:line="7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Convertible bonds</w:t>
      </w:r>
      <w:r>
        <w:rPr>
          <w:rFonts w:ascii="Arial" w:cs="Arial" w:eastAsia="Arial" w:hAnsi="Arial"/>
          <w:sz w:val="16"/>
          <w:szCs w:val="16"/>
          <w:color w:val="auto"/>
        </w:rPr>
        <w:t>—On December 15, 2011, we issued 5,178,455 bonds convertible (the “2011-2017 Convertible Bonds”) into and/or exchangeable for new</w:t>
      </w:r>
      <w:r>
        <w:rPr>
          <w:rFonts w:ascii="Arial" w:cs="Arial" w:eastAsia="Arial" w:hAnsi="Arial"/>
          <w:sz w:val="16"/>
          <w:szCs w:val="16"/>
          <w:i w:val="1"/>
          <w:iCs w:val="1"/>
          <w:color w:val="auto"/>
        </w:rPr>
        <w:t xml:space="preserve"> </w:t>
      </w:r>
      <w:r>
        <w:rPr>
          <w:rFonts w:ascii="Arial" w:cs="Arial" w:eastAsia="Arial" w:hAnsi="Arial"/>
          <w:sz w:val="16"/>
          <w:szCs w:val="16"/>
          <w:color w:val="auto"/>
        </w:rPr>
        <w:t>or existing shares (“OCEANE”) for approximately €497.6 million with a maturity date of January 1, 2017. Net proceeds from the issuance were used to partially restore our cash balance position following the acquisition of Global Industries, Ltd. in December 2011 for a cash consideration of $936.4 million.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2011-2017 Convertible Bonds were repaid.</w:t>
      </w:r>
    </w:p>
    <w:p>
      <w:pPr>
        <w:spacing w:after="0" w:line="124"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21"/>
          <w:szCs w:val="21"/>
          <w:color w:val="auto"/>
        </w:rPr>
        <w:t>—</w:t>
      </w:r>
      <w:r>
        <w:rPr>
          <w:rFonts w:ascii="Arial" w:cs="Arial" w:eastAsia="Arial" w:hAnsi="Arial"/>
          <w:sz w:val="18"/>
          <w:szCs w:val="18"/>
          <w:color w:val="auto"/>
        </w:rPr>
        <w:t>On February 28, 2017, we commenced offers to exchange any and all outstanding notes issued by FMC Technologies for up to $800.0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new notes issued by TechnipFMC and cash. In conjunction with the offers to exchange, FMC Technologies solicited consents to adopt certain proposed amendments to each of the indentures governing the previously issued notes to eliminate certain covenants, restrictive provisions and events of defaults from such indentures.</w:t>
      </w:r>
    </w:p>
    <w:p>
      <w:pPr>
        <w:spacing w:after="0" w:line="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March 29, 2017, we settled the offers to exchange and consent solicitations (the “Exchange Offers”) for (i) any and all 2.00% senior notes due October 1, 2017 (the “2017 FMC Notes”) issued by FMC Technologies for up to an aggregate principal amount of $300.0 million of new 2.00% senior notes due October 1, 2017 (the “2017 Senior Notes’) issued by TechnipFMC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692" w:right="259" w:bottom="1440" w:gutter="0" w:footer="0" w:header="0"/>
        </w:sectPr>
      </w:pPr>
    </w:p>
    <w:bookmarkStart w:id="79" w:name="page80"/>
    <w:bookmarkEnd w:id="79"/>
    <w:p>
      <w:pPr>
        <w:ind w:right="60"/>
        <w:spacing w:after="0" w:line="297" w:lineRule="auto"/>
        <w:rPr>
          <w:sz w:val="20"/>
          <w:szCs w:val="20"/>
          <w:color w:val="auto"/>
        </w:rPr>
      </w:pPr>
      <w:r>
        <w:rPr>
          <w:rFonts w:ascii="Arial" w:cs="Arial" w:eastAsia="Arial" w:hAnsi="Arial"/>
          <w:sz w:val="16"/>
          <w:szCs w:val="16"/>
          <w:color w:val="auto"/>
        </w:rPr>
        <w:t>and cash, and (ii) any and all 3.45% senior notes due October 1, 2022 (the “2022 FMC Notes”) issued by FMC Technologies for up to an aggregate principal amount of $500.0 million in new 3.45% senior notes due October 1, 2022 (the “2022 Senior Notes”) issued by TechnipFMC with registration rights and cash. Pursuant to the Exchange Offers, we issued approximately $215.4 million in aggregate principal amount of 2017 Senior Notes and $459.8 million in aggregate principal amount of 2022 Senior Notes (collectively the “Senior Notes”). Interest on the 2017 Senior Notes is payable on October 1, 2017. Interest on the 2022 Senior Notes is payable semi-annually in arrears on April 1 and October 1 of each year, beginning October 1, 2017.</w:t>
      </w:r>
    </w:p>
    <w:p>
      <w:pPr>
        <w:spacing w:after="0" w:line="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terms of the Senior Notes are governed by the indenture, dated as of March 29, 2017 between TechnipFMC and U.S. Bank National Association, as trustee (the “Trustee”), as amended and supplemented by the First Supplemental Indenture between TechnipFMC and the Trustee (the “First Supplemental Indenture”) relating to the issuance of the 2017 Notes and the Second Supplemental Indenture between TechnipFMC and the Trustee (the “Second Supplemental Indenture”) relating to the issuance of the 2022 Notes.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maturity, all outstanding amounts under the 2017 Senior Notes were repaid.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any time prior to July 1, 2022, in the case of the 2022 Notes, we may redeem some or all of the Senior Notes at the redemption prices specified in the First Supplemental Indenture and Second Supplemental Indenture, respectively. At any time on or after July 1, 2022, we may redeem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87" w:lineRule="exact"/>
        <w:rPr>
          <w:sz w:val="20"/>
          <w:szCs w:val="20"/>
          <w:color w:val="auto"/>
        </w:rPr>
      </w:pPr>
    </w:p>
    <w:p>
      <w:pPr>
        <w:ind w:right="40"/>
        <w:spacing w:after="0" w:line="320" w:lineRule="auto"/>
        <w:rPr>
          <w:sz w:val="20"/>
          <w:szCs w:val="20"/>
          <w:color w:val="auto"/>
        </w:rPr>
      </w:pPr>
      <w:r>
        <w:rPr>
          <w:rFonts w:ascii="Arial" w:cs="Arial" w:eastAsia="Arial" w:hAnsi="Arial"/>
          <w:sz w:val="17"/>
          <w:szCs w:val="17"/>
          <w:i w:val="1"/>
          <w:iCs w:val="1"/>
          <w:color w:val="auto"/>
        </w:rPr>
        <w:t>Private Placement Notes</w:t>
      </w:r>
      <w:r>
        <w:rPr>
          <w:rFonts w:ascii="Arial" w:cs="Arial" w:eastAsia="Arial" w:hAnsi="Arial"/>
          <w:sz w:val="20"/>
          <w:szCs w:val="20"/>
          <w:color w:val="auto"/>
        </w:rPr>
        <w:t>—</w:t>
      </w:r>
      <w:r>
        <w:rPr>
          <w:rFonts w:ascii="Arial" w:cs="Arial" w:eastAsia="Arial" w:hAnsi="Arial"/>
          <w:sz w:val="17"/>
          <w:szCs w:val="17"/>
          <w:color w:val="auto"/>
        </w:rPr>
        <w:t>On July 27, 2010, we completed the private placement of €200.0 million aggregate principal amount of 5.0% notes due July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Interest on the 2020 Notes is payable annually in arrears on July 27 of each year, beginning July 27, 2011. Net proceeds of the 2020 Notes were used to partially finance the 2004-2011 bond issue, which was repaid at its maturity date on May 26, 2011. The 2020 Notes contain contains usual and customary covenants and events of default for notes of this type. In the event of a change of control resulting in a downgrade in the rating of the notes below BBB-, the 2020 Notes may be redeemed early by any bondholder, at its sole discretion. The 2020 Notes are our unsecured obligations. The 2020 Notes will rank equally in right of payment with all of our existing and future unsubordinated debt.</w:t>
      </w:r>
    </w:p>
    <w:p>
      <w:pPr>
        <w:spacing w:after="0" w:line="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June 2012, we completed the private placement of €325.0 million aggregate principal amount of notes. The notes were issued in three tranches with €150.0 million bearing interest at 3.40% and due June 2022 (the “Tranche A 2022 Notes”), €75.0 million bearing interest of 4.0% and due June 2027 (the “Tranche B 2027 Notes”) and €100.0 million bearing interest of 4.0% and due June 2032 (the “Tranche C 2032 Notes” and, collectively with the “Tranche A 2022 Notes and the “Tranche B 2027 Notes”, the “2012 Private Placement Notes”). Interest on the Tranche A 2022 Notes and the Tranche C 2032 Notes is payable annually in arrears on June 14 of each year beginning June 14, 2013. Interest on the Tranche B 2027 Notes is payable annually in arrears on June 15 of each year, beginning June 15, 2013. Net proceeds of the 2012 Private Placement Notes were used for general corporate purposes. The 2012 Private Placement Notes contain usual and customary covenants and events of default for notes of this type. In the event of a change of control resulting in a downgrade in the rating of the notes below BBB-, the 2012 Private Placement Notes may be redeemed early by any bondholder, at its sole discretion. The 2012 Private Placement Notes are our unsecured obligations. The 2012 Private Placement Notes will rank equally in right of payment with all of our existing and future unsubordinated debt.</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2013, we completed the private placement of €355.0 million aggregate principal amount of senior notes. The notes were issued in three tranches with €100.0 million bearing interest at 3.75% and due October 2033 (the “Tranche A 2033 Notes”), €130.0 million bearing interest of 3.15% and due October 2023 (the “Tranche B 2023 Notes) and €125.0 million bearing interest of 3.15% and due October 2023 (the “Tranche C 2023 Notes” and, collectively with the “Tranche A 2033 Notes and the “Tranche B 2023 Notes”, the “2013 Private Placement Notes”). Interest on the Tranche A 2033 Notes is payable annually in arrears on October 7 each year, beginning October 7, 2014. Interest on the Tranche B 2023 Notes is payable annually in arrears on October 16 of each year beginning October 16, 2014. Interest on the Tranche C 2023 Notes is payable annually in arrears on October 18 of each year, beginning October 18, 2014. Net proceeds of the 2013 Private Placement Notes were used for general corporate purposes. The 2013 Private Placement Notes contain contains usual and customary covenants and events of default for notes of this type. In the event of a change of control resulting in a downgrade in the rating of the notes below BBB-, the 2013 Private Placement Notes may be redeemed early by any bondholder, at its sole discretion. The 2013 Private Placement Notes are our unsecured obligations. The 2013 Private Placement Notes will rank equally in right of payment with all of our existing and future unsubordinated debt.</w:t>
      </w:r>
    </w:p>
    <w:p>
      <w:pPr>
        <w:spacing w:after="0" w:line="6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—In December 2016, we entered into a £160.0 million term loan agreement to finance the Deep Explorer, a diving support vessel (“DSV”),</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December 2028. Under the loan agreement, interest accrues at an annual rate of 2.813%. This loan agreement contains usual and customary covenants and events of default for loans of this type.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92" w:right="239" w:bottom="1440" w:gutter="0" w:footer="0" w:header="0"/>
        </w:sectPr>
      </w:pPr>
    </w:p>
    <w:bookmarkStart w:id="80" w:name="page81"/>
    <w:bookmarkEnd w:id="80"/>
    <w:p>
      <w:pPr>
        <w:ind w:right="260"/>
        <w:spacing w:after="0" w:line="342" w:lineRule="auto"/>
        <w:rPr>
          <w:sz w:val="20"/>
          <w:szCs w:val="20"/>
          <w:color w:val="auto"/>
        </w:rPr>
      </w:pPr>
      <w:r>
        <w:rPr>
          <w:rFonts w:ascii="Arial" w:cs="Arial" w:eastAsia="Arial" w:hAnsi="Arial"/>
          <w:sz w:val="16"/>
          <w:szCs w:val="16"/>
          <w:i w:val="1"/>
          <w:iCs w:val="1"/>
          <w:color w:val="auto"/>
        </w:rPr>
        <w:t>Foreign committed credit</w:t>
      </w:r>
      <w:r>
        <w:rPr>
          <w:rFonts w:ascii="Arial" w:cs="Arial" w:eastAsia="Arial" w:hAnsi="Arial"/>
          <w:sz w:val="16"/>
          <w:szCs w:val="16"/>
          <w:color w:val="auto"/>
        </w:rPr>
        <w:t>—We have committed credit lines at many of our international subsidiaries for immaterial amounts. We utilize these facilities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asset financing and to provide a more efficient daily source of liquidity. The effective interest rates depend upon the local national market.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LIABILITIES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2016, we obtained voting control interests in legal onshore/offshore contract entities which own and account for the design, engineering and construction of the Yamal LNG plant. Prior to the amendments of the contractual terms that provided us with voting interest control, we accounted for these entities under the equity method of accounting based on our previously held interests in each of these entities. Since nearly all substantive processes to perform and execute the obligations of the underlying contract are conducted by TechnipFMC and the noncontrolling interest holders, we accounted for these entities as an acquisition upon our obtaining control and recognized a net gain of $7.7 million during 2016. As of December 31, 2016, total assets, liabilities and equity related to these entities were consolidated onto our balance sheet and our results of operations for the year ended December 31, 2017 reflect the consolidated results of operations related to these entities. Refer to Note 8 for further information regarding the acquisition and consolidation of these entities.</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mandatorily redeemable financial liability of $174.8 million was recognized as of December 31, 2016 to account for the fair value of the non-controlling interests, for which $33.7 million was recorded as other current liabilities. During the year ended December 31, 2017 we revalued the liability to reflect current expectations about the obligation which resulted in the recognition of a loss of $293.7 million for the year ended December 31, 2017. Changes in the fair value of the financial liability are recorded as interest expense on the consolidated statements of income. Refer to Note 12 for further information regarding our other current liabilities. Refer to Note 21 for further information regarding the fair value measurement assumptions of the mandatorily redeemable financial liability and related changes in its fair value.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CONTINGENT LIABILITIES</w:t>
      </w:r>
    </w:p>
    <w:p>
      <w:pPr>
        <w:spacing w:after="0" w:line="12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i w:val="1"/>
          <w:iCs w:val="1"/>
          <w:color w:val="auto"/>
        </w:rPr>
        <w:t>Commitments associated with leases—</w:t>
      </w:r>
      <w:r>
        <w:rPr>
          <w:rFonts w:ascii="Arial" w:cs="Arial" w:eastAsia="Arial" w:hAnsi="Arial"/>
          <w:sz w:val="16"/>
          <w:szCs w:val="16"/>
          <w:color w:val="auto"/>
        </w:rPr>
        <w:t>We lease office space, manufacturing facilities and various types of manufacturing and data processing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Leases of real estate generally provide for payment of property taxes, insurance and repairs by us. Substantially all of our leases are classified as operating leases. Rent expense under operating leases amounted to $369.2 million, $313.5 million and $381.6 million in 2017, 2016 and 2015, respectively.</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March 2014, we entered into construction and operating lease agreements to finance the construction of manufacturing and office facilities located in Houston, TX. In January 2016, construction of the facilities was completed and the operating lease commenced. Upon expiration of the operating lease in September 2021, we have the option to renew the lease, purchase the facilities or re-market the facilities on behalf of the lessor, including certain guarantees of residual value under the re-marketing option.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future minimum rental payments under noncancellable operating leases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290.2</w:t>
            </w:r>
          </w:p>
        </w:tc>
      </w:tr>
      <w:tr>
        <w:trPr>
          <w:trHeight w:val="27"/>
        </w:trPr>
        <w:tc>
          <w:tcPr>
            <w:tcW w:w="9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266.2</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178.2</w:t>
            </w:r>
          </w:p>
        </w:tc>
      </w:tr>
      <w:tr>
        <w:trPr>
          <w:trHeight w:val="27"/>
        </w:trPr>
        <w:tc>
          <w:tcPr>
            <w:tcW w:w="9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577.1</w:t>
            </w:r>
          </w:p>
        </w:tc>
      </w:tr>
      <w:tr>
        <w:trPr>
          <w:trHeight w:val="27"/>
        </w:trPr>
        <w:tc>
          <w:tcPr>
            <w:tcW w:w="98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1,783.6</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Less income from sub-leases</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98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minimum operating lease payments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Contingent liabilities associated with guarantees—</w:t>
      </w:r>
      <w:r>
        <w:rPr>
          <w:rFonts w:ascii="Arial" w:cs="Arial" w:eastAsia="Arial" w:hAnsi="Arial"/>
          <w:sz w:val="18"/>
          <w:szCs w:val="18"/>
          <w:color w:val="auto"/>
        </w:rPr>
        <w:t>In the ordinary course of business, we enter into standby letters of credit, performance bonds, 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692"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Guarantees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Financial guarantees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Performance guarantees </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3,670.3</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potential undiscounted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4,603.6</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00" w:right="20" w:hanging="492"/>
        <w:spacing w:after="0" w:line="255" w:lineRule="auto"/>
        <w:tabs>
          <w:tab w:leader="none" w:pos="50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 w:lineRule="exact"/>
        <w:rPr>
          <w:rFonts w:ascii="Arial" w:cs="Arial" w:eastAsia="Arial" w:hAnsi="Arial"/>
          <w:sz w:val="18"/>
          <w:szCs w:val="18"/>
          <w:color w:val="auto"/>
          <w:vertAlign w:val="superscript"/>
        </w:rPr>
      </w:pPr>
    </w:p>
    <w:p>
      <w:pPr>
        <w:ind w:left="500" w:right="240" w:hanging="492"/>
        <w:spacing w:after="0" w:line="221" w:lineRule="auto"/>
        <w:tabs>
          <w:tab w:leader="none" w:pos="50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Performance guarantees represent contracts that contingently require a guarantor to make payments to a guaranteed party based on another entity's failure to perform under a nonfinancial obligating agreement. Events that trigger payment are performance related, such as failure to ship a product or provide a service.</w:t>
      </w:r>
    </w:p>
    <w:p>
      <w:pPr>
        <w:spacing w:after="0" w:line="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Contingent liabilities associated with legal matters—</w:t>
      </w:r>
      <w:r>
        <w:rPr>
          <w:rFonts w:ascii="Arial" w:cs="Arial" w:eastAsia="Arial" w:hAnsi="Arial"/>
          <w:sz w:val="18"/>
          <w:szCs w:val="18"/>
          <w:color w:val="auto"/>
        </w:rPr>
        <w:t>We are involved in various pending or potential legal actions or disputes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and have also contacted the Brazilian authorities and are cooperating with their investigation concerning the projects in Brazil.</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Certain of the government investigations have identified issues relating to potential non-compliance with applicable laws and regulations, including the FCPA and Brazilian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Contingent liabilities associated with liquidated damages—</w:t>
      </w:r>
      <w:r>
        <w:rPr>
          <w:rFonts w:ascii="Arial" w:cs="Arial" w:eastAsia="Arial" w:hAnsi="Arial"/>
          <w:sz w:val="16"/>
          <w:szCs w:val="16"/>
          <w:color w:val="auto"/>
        </w:rPr>
        <w:t>Some of our contracts contain provisions that require us to pay liquidated damages if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December 31, 2017 and 2016,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692"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and paid during the year ended December 31, 2017 were $60.6 million.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Dividends declared and paid during the year ended December 31, 2016 based on the results of the year ended December 31, 2015 were €236.6 million. The dividends were paid in cash and shares in the amount of €100.8 million and €135.8 million, respectively.</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Dividends declared and paid during the year ended December 31, 2015 based on the results of the year ended December 31, 2014 were €225.8 million. The dividends were paid in cash and shares in the amount of €88.9 million and €136.9 million, respectively.</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As of December 31, 2017 we had distributable reserves in excess of $10.1 billion.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capital stock activity for the years ended December 31, 2017,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Ordinary Shares</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Ordinary</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Held in</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 of shares in millions)</w:t>
            </w: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Employee</w:t>
            </w:r>
          </w:p>
        </w:tc>
        <w:tc>
          <w:tcPr>
            <w:tcW w:w="14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Shares Issued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Benefit Trust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 increase reserved for employees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acquired pursuant to liquidity contract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Shares sold pursuant to liquidity contract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payment in shares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awards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payment in shares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Shares acquired pursuant to liquidity contract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sold pursuant to liquidity contract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Cancellation of treasury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capital increases due to the merger of FMC Technologies and Technip</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awards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8"/>
              </w:rPr>
              <w:t>Treasury stock cancellation due to the merger of FMC Technologies and Technip</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Treasury stock cancellations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stock purchased for employee benefit trust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plan administrator of the Non-Qualified Plan purchases shares of our ordinary shares on the open market. Such shares are placed in a trust owned by FMC Technologies.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2017, the Board of Directors authorized the repurchase of $500.0 million in ordinary shares under our share repurchase program. We implemented our share repurchase plan in September 2017. We repurchased $58.5 million of ordinary shares during the year ended December 31, 2017, under our authorized share repurchase program. We intend to cancel repurchased shares and not hold them in treasury. Canceled treasury shares are accounted for using the constructive retirement method.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Defined Pension</w:t>
            </w: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4"/>
                <w:szCs w:val="14"/>
                <w:color w:val="auto"/>
              </w:rPr>
            </w:pPr>
          </w:p>
        </w:tc>
        <w:tc>
          <w:tcPr>
            <w:tcW w:w="170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Foreign Currency</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Comprehensive Loss</w:t>
            </w:r>
          </w:p>
        </w:tc>
        <w:tc>
          <w:tcPr>
            <w:tcW w:w="240" w:type="dxa"/>
            <w:vAlign w:val="bottom"/>
          </w:tcPr>
          <w:p>
            <w:pPr>
              <w:spacing w:after="0"/>
              <w:rPr>
                <w:sz w:val="12"/>
                <w:szCs w:val="12"/>
                <w:color w:val="auto"/>
              </w:rPr>
            </w:pPr>
          </w:p>
        </w:tc>
        <w:tc>
          <w:tcPr>
            <w:tcW w:w="17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Comprehensive Loss</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Hedging</w:t>
            </w:r>
          </w:p>
        </w:tc>
        <w:tc>
          <w:tcPr>
            <w:tcW w:w="2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Attributable to</w:t>
            </w:r>
          </w:p>
        </w:tc>
        <w:tc>
          <w:tcPr>
            <w:tcW w:w="240" w:type="dxa"/>
            <w:vAlign w:val="bottom"/>
          </w:tcPr>
          <w:p>
            <w:pPr>
              <w:spacing w:after="0"/>
              <w:rPr>
                <w:sz w:val="12"/>
                <w:szCs w:val="12"/>
                <w:color w:val="auto"/>
              </w:rPr>
            </w:pPr>
          </w:p>
        </w:tc>
        <w:tc>
          <w:tcPr>
            <w:tcW w:w="17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Attributable to Non-</w:t>
            </w: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Post-Retirement Benefits</w:t>
            </w: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TechnipFMC plc</w:t>
            </w:r>
          </w:p>
        </w:tc>
        <w:tc>
          <w:tcPr>
            <w:tcW w:w="240" w:type="dxa"/>
            <w:vAlign w:val="bottom"/>
          </w:tcPr>
          <w:p>
            <w:pPr>
              <w:spacing w:after="0"/>
              <w:rPr>
                <w:sz w:val="16"/>
                <w:szCs w:val="16"/>
                <w:color w:val="auto"/>
              </w:rPr>
            </w:pPr>
          </w:p>
        </w:tc>
        <w:tc>
          <w:tcPr>
            <w:tcW w:w="170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controlling interest</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w w:val="92"/>
              </w:rPr>
              <w:t>(loss) before reclassifications, net</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(gains) losses included in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(loss), net of tax</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w w:val="92"/>
              </w:rPr>
              <w:t>(loss) before reclassifications, net</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(gains) losses included in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52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(loss), net of tax</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84" w:name="page85"/>
    <w:bookmarkEnd w:id="84"/>
    <w:p>
      <w:pPr>
        <w:ind w:right="100"/>
        <w:spacing w:after="0" w:line="277" w:lineRule="auto"/>
        <w:rPr>
          <w:sz w:val="20"/>
          <w:szCs w:val="20"/>
          <w:color w:val="auto"/>
        </w:rPr>
      </w:pPr>
      <w:r>
        <w:rPr>
          <w:rFonts w:ascii="Arial" w:cs="Arial" w:eastAsia="Arial" w:hAnsi="Arial"/>
          <w:sz w:val="18"/>
          <w:szCs w:val="18"/>
          <w:i w:val="1"/>
          <w:iCs w:val="1"/>
          <w:color w:val="auto"/>
        </w:rPr>
        <w:t>Reclassifications out of accumulated other comprehensive income (loss)</w:t>
      </w:r>
      <w:r>
        <w:rPr>
          <w:rFonts w:ascii="Arial" w:cs="Arial" w:eastAsia="Arial" w:hAnsi="Arial"/>
          <w:sz w:val="18"/>
          <w:szCs w:val="18"/>
          <w:color w:val="auto"/>
        </w:rPr>
        <w:t>—Reclassifications out of accumulated other comprehensive income (loss)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6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62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w w:val="98"/>
              </w:rPr>
              <w:t>Details about Accumulated Other Comprehensive Loss</w:t>
            </w:r>
          </w:p>
        </w:tc>
        <w:tc>
          <w:tcPr>
            <w:tcW w:w="4000" w:type="dxa"/>
            <w:vAlign w:val="bottom"/>
            <w:gridSpan w:val="8"/>
          </w:tcPr>
          <w:p>
            <w:pPr>
              <w:jc w:val="center"/>
              <w:spacing w:after="0" w:line="153" w:lineRule="exact"/>
              <w:rPr>
                <w:sz w:val="20"/>
                <w:szCs w:val="20"/>
                <w:color w:val="auto"/>
              </w:rPr>
            </w:pPr>
            <w:r>
              <w:rPr>
                <w:rFonts w:ascii="Arial" w:cs="Arial" w:eastAsia="Arial" w:hAnsi="Arial"/>
                <w:sz w:val="14"/>
                <w:szCs w:val="14"/>
                <w:b w:val="1"/>
                <w:bCs w:val="1"/>
                <w:color w:val="auto"/>
                <w:w w:val="92"/>
              </w:rPr>
              <w:t>Amount Reclassified out of Accumulated Other Comprehensive</w:t>
            </w:r>
          </w:p>
        </w:tc>
        <w:tc>
          <w:tcPr>
            <w:tcW w:w="120" w:type="dxa"/>
            <w:vAlign w:val="bottom"/>
          </w:tcPr>
          <w:p>
            <w:pPr>
              <w:spacing w:after="0"/>
              <w:rPr>
                <w:sz w:val="13"/>
                <w:szCs w:val="13"/>
                <w:color w:val="auto"/>
              </w:rPr>
            </w:pPr>
          </w:p>
        </w:tc>
        <w:tc>
          <w:tcPr>
            <w:tcW w:w="36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Affected Line Item in the Consolidated Statement of</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Components</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6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Gains (losses) on hedging instruments</w:t>
            </w: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Foreign exchange contracts:</w:t>
            </w:r>
          </w:p>
        </w:tc>
        <w:tc>
          <w:tcPr>
            <w:tcW w:w="880" w:type="dxa"/>
            <w:vAlign w:val="bottom"/>
            <w:tcBorders>
              <w:top w:val="single" w:sz="8" w:color="CCEEFF"/>
            </w:tcBorders>
            <w:gridSpan w:val="2"/>
          </w:tcPr>
          <w:p>
            <w:pPr>
              <w:spacing w:after="0"/>
              <w:rPr>
                <w:sz w:val="21"/>
                <w:szCs w:val="21"/>
                <w:color w:val="auto"/>
              </w:rPr>
            </w:pPr>
          </w:p>
        </w:tc>
        <w:tc>
          <w:tcPr>
            <w:tcW w:w="420" w:type="dxa"/>
            <w:vAlign w:val="bottom"/>
            <w:tcBorders>
              <w:top w:val="single" w:sz="8" w:color="CCEEFF"/>
            </w:tcBorders>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1"/>
                <w:szCs w:val="21"/>
                <w:color w:val="auto"/>
              </w:rPr>
            </w:pPr>
          </w:p>
        </w:tc>
        <w:tc>
          <w:tcPr>
            <w:tcW w:w="36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of sales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tcPr>
          <w:p>
            <w:pPr>
              <w:spacing w:after="0"/>
              <w:rPr>
                <w:sz w:val="24"/>
                <w:szCs w:val="24"/>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4"/>
          </w:tcPr>
          <w:p>
            <w:pPr>
              <w:spacing w:after="0" w:line="202" w:lineRule="exact"/>
              <w:rPr>
                <w:sz w:val="20"/>
                <w:szCs w:val="20"/>
                <w:color w:val="auto"/>
              </w:rPr>
            </w:pPr>
            <w:r>
              <w:rPr>
                <w:rFonts w:ascii="Arial" w:cs="Arial" w:eastAsia="Arial" w:hAnsi="Arial"/>
                <w:sz w:val="18"/>
                <w:szCs w:val="18"/>
                <w:color w:val="auto"/>
              </w:rPr>
              <w:t>Defined pension and other post-retirement</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4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benefits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Settlements and curtailments</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gridSpan w:val="4"/>
          </w:tcPr>
          <w:p>
            <w:pPr>
              <w:spacing w:after="0"/>
              <w:rPr>
                <w:sz w:val="20"/>
                <w:szCs w:val="20"/>
                <w:color w:val="auto"/>
              </w:rPr>
            </w:pPr>
            <w:r>
              <w:rPr>
                <w:rFonts w:ascii="Arial" w:cs="Arial" w:eastAsia="Arial" w:hAnsi="Arial"/>
                <w:sz w:val="18"/>
                <w:szCs w:val="18"/>
                <w:color w:val="auto"/>
              </w:rPr>
              <w:t>Amortization of actuarial gain (loss)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Amortization of prior service credit (cost)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jc w:val="right"/>
              <w:ind w:right="700"/>
              <w:spacing w:after="0"/>
              <w:rPr>
                <w:sz w:val="20"/>
                <w:szCs w:val="20"/>
                <w:color w:val="auto"/>
              </w:rPr>
            </w:pPr>
            <w:r>
              <w:rPr>
                <w:rFonts w:ascii="Arial" w:cs="Arial" w:eastAsia="Arial" w:hAnsi="Arial"/>
                <w:sz w:val="18"/>
                <w:szCs w:val="18"/>
                <w:b w:val="1"/>
                <w:bCs w:val="1"/>
                <w:color w:val="auto"/>
                <w:w w:val="89"/>
              </w:rPr>
              <w:t>_______________________</w:t>
            </w:r>
          </w:p>
        </w:tc>
        <w:tc>
          <w:tcPr>
            <w:tcW w:w="3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These accumulated other comprehensive income components are included in the computation of net periodic pension cost (see Note 18 for additional details).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income (loss) before income taxes</w:t>
      </w:r>
      <w:r>
        <w:rPr>
          <w:rFonts w:ascii="Arial" w:cs="Arial" w:eastAsia="Arial" w:hAnsi="Arial"/>
          <w:sz w:val="18"/>
          <w:szCs w:val="18"/>
          <w:color w:val="auto"/>
        </w:rPr>
        <w:t>—U.S. and outside U.S. components of income (loss) before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7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Outside United States</w:t>
            </w:r>
          </w:p>
        </w:tc>
        <w:tc>
          <w:tcPr>
            <w:tcW w:w="2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85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Provision for income tax</w:t>
      </w:r>
      <w:r>
        <w:rPr>
          <w:rFonts w:ascii="Arial" w:cs="Arial" w:eastAsia="Arial" w:hAnsi="Arial"/>
          <w:sz w:val="18"/>
          <w:szCs w:val="18"/>
          <w:color w:val="auto"/>
        </w:rPr>
        <w:t>—The provision for income taxes consisted of:</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United States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373.7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current</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403.9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United States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9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141.6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545.5</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260" w:type="dxa"/>
            <w:vAlign w:val="bottom"/>
            <w:gridSpan w:val="3"/>
          </w:tcPr>
          <w:p>
            <w:pPr>
              <w:spacing w:after="0"/>
              <w:rPr>
                <w:sz w:val="20"/>
                <w:szCs w:val="20"/>
                <w:color w:val="auto"/>
              </w:rPr>
            </w:pPr>
            <w:r>
              <w:rPr>
                <w:rFonts w:ascii="Arial" w:cs="Arial" w:eastAsia="Arial" w:hAnsi="Arial"/>
                <w:sz w:val="18"/>
                <w:szCs w:val="18"/>
                <w:i w:val="1"/>
                <w:iCs w:val="1"/>
                <w:color w:val="auto"/>
                <w:w w:val="92"/>
              </w:rPr>
              <w:t>Deferred tax assets and liabilities</w:t>
            </w:r>
            <w:r>
              <w:rPr>
                <w:rFonts w:ascii="Arial" w:cs="Arial" w:eastAsia="Arial" w:hAnsi="Arial"/>
                <w:sz w:val="18"/>
                <w:szCs w:val="18"/>
                <w:color w:val="auto"/>
                <w:w w:val="92"/>
              </w:rPr>
              <w:t>—Significant components of deferred tax assets and liabilities were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2"/>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attributable to:</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Non-deductible interest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 tax credit carryforwards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credit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Provisions for pensions and other long-term employee benefits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Contingencies related to contracts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contingencies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losses/gains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(172.7)</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528.3</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 attributable to:</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770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7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0"/>
              </w:rPr>
              <w:t>Revenue in excess of billings on contracts accounted for under the percentage of completion method</w:t>
            </w: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w w:val="98"/>
              </w:rPr>
              <w:t>U.S. tax on foreign subsidiaries’ undistributed earnings not indefinitely reinvested</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plant and equipment, intangibles and other assets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Margin recognition on construction contracts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2017 and 2016, the carrying amount of net deferred tax assets and the related valuation allowance included the impact of foreign currency translation adjustments.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Non-deductible interest. </w:t>
      </w:r>
      <w:r>
        <w:rPr>
          <w:rFonts w:ascii="Arial" w:cs="Arial" w:eastAsia="Arial" w:hAnsi="Arial"/>
          <w:sz w:val="18"/>
          <w:szCs w:val="18"/>
          <w:color w:val="auto"/>
        </w:rPr>
        <w:t>At December 31, 2017, deferred tax assets include tax benefits of related to certain intercompany interest costs which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deductible, but which may be deductible in future periods. If not utilized, these costs will become permanently nondeductible beginning in 2025. Management believes that it is more likely than not that we will not be able to deduct these costs before expiration of the carry forward period; therefore, we have established a valuation allowance against the related deferred tax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46" w:right="239" w:bottom="1440" w:gutter="0" w:footer="0" w:header="0"/>
        </w:sectPr>
      </w:pPr>
    </w:p>
    <w:bookmarkStart w:id="86" w:name="page87"/>
    <w:bookmarkEnd w:id="86"/>
    <w:p>
      <w:pPr>
        <w:ind w:right="160"/>
        <w:spacing w:after="0" w:line="255" w:lineRule="auto"/>
        <w:rPr>
          <w:sz w:val="20"/>
          <w:szCs w:val="20"/>
          <w:color w:val="auto"/>
        </w:rPr>
      </w:pPr>
      <w:r>
        <w:rPr>
          <w:rFonts w:ascii="Arial" w:cs="Arial" w:eastAsia="Arial" w:hAnsi="Arial"/>
          <w:sz w:val="18"/>
          <w:szCs w:val="18"/>
          <w:i w:val="1"/>
          <w:iCs w:val="1"/>
          <w:color w:val="auto"/>
        </w:rPr>
        <w:t xml:space="preserve">Foreign tax credit carryforwards. </w:t>
      </w:r>
      <w:r>
        <w:rPr>
          <w:rFonts w:ascii="Arial" w:cs="Arial" w:eastAsia="Arial" w:hAnsi="Arial"/>
          <w:sz w:val="18"/>
          <w:szCs w:val="18"/>
          <w:color w:val="auto"/>
        </w:rPr>
        <w:t>At December 31, 2017, deferred tax assets included U.S. foreign tax credit carryforwards of $34.9 million, which, if not</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will begin to expire in 2024. Realization of these deferred tax assets is dependent on the generation of sufficient U.S. taxable income prior to the above date. Based on long-term forecasts of operating results, management believes that it is more likely than not that our U.S. earnings over the forecast period will not result in sufficient U.S. taxable income to fully realize these deferred tax assets; therefore, we have established a valuation allowance against the related deferred tax assets. In its analysis, management has considered the effect of deemed dividends and other expected adjustments to U.S. earnings that are required in determining U.S. taxable income. Non-U.S. earnings subject to U.S. tax, including deemed dividends for U.S. tax purposes, were $1.4 billion in 2017 and nil in both 2016 and 2015.</w:t>
      </w:r>
    </w:p>
    <w:p>
      <w:pPr>
        <w:spacing w:after="0" w:line="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 xml:space="preserve">Net operating loss carryforwards. </w:t>
      </w:r>
      <w:r>
        <w:rPr>
          <w:rFonts w:ascii="Arial" w:cs="Arial" w:eastAsia="Arial" w:hAnsi="Arial"/>
          <w:sz w:val="16"/>
          <w:szCs w:val="16"/>
          <w:color w:val="auto"/>
        </w:rPr>
        <w:t>As of December 31, 2017, deferred tax assets included tax benefits related to net operating loss carryforwards. If not</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these net operating loss carryforwards will begin to expire in 2018. Management believes it is more likely than not that we will not be able to utilize certain of these operating loss carryforwards before expiration; therefore, we have established a valuation allowance against the related deferred tax assets.</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majority of the net operating loss carryforwards came from a Brazil entity for $315.6 million, a Saudi Arabia entity for $196.8 million, a Mexico entity for $127.0 million, a France entity for $93.2 million, a U.K. entity for $121.0 million, and a Finland entity for $57.7 million. Except where there is a statutory carryforward loss time limit (i.e. Finland and Mexico), all of these tax loss carryforwards extend indefinitely.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r>
        <w:rPr>
          <w:rFonts w:ascii="Arial" w:cs="Arial" w:eastAsia="Arial" w:hAnsi="Arial"/>
          <w:sz w:val="16"/>
          <w:szCs w:val="16"/>
          <w:color w:val="auto"/>
        </w:rPr>
        <w:t>—The following table presents a summary of changes in our unrecognized tax benefits and associated interest and penalties</w:t>
      </w:r>
      <w:r>
        <w:rPr>
          <w:rFonts w:ascii="Arial" w:cs="Arial" w:eastAsia="Arial" w:hAnsi="Arial"/>
          <w:sz w:val="22"/>
          <w:szCs w:val="22"/>
          <w:color w:val="auto"/>
          <w:vertAlign w:val="superscript"/>
        </w:rPr>
        <w:t>(1)</w:t>
      </w:r>
      <w:r>
        <w:rPr>
          <w:rFonts w:ascii="Arial" w:cs="Arial" w:eastAsia="Arial" w:hAnsi="Arial"/>
          <w:sz w:val="16"/>
          <w:szCs w:val="16"/>
          <w:color w:val="auto"/>
        </w:rPr>
        <w:t>:</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2015</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Additions for tax positions related to prior years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Additions for tax positions related to current year</w:t>
      </w:r>
    </w:p>
    <w:p>
      <w:pPr>
        <w:spacing w:after="0" w:line="63" w:lineRule="exact"/>
        <w:rPr>
          <w:sz w:val="20"/>
          <w:szCs w:val="20"/>
          <w:color w:val="auto"/>
        </w:rPr>
      </w:pPr>
    </w:p>
    <w:p>
      <w:pPr>
        <w:ind w:left="40" w:right="2620"/>
        <w:spacing w:after="0" w:line="348" w:lineRule="auto"/>
        <w:rPr>
          <w:sz w:val="20"/>
          <w:szCs w:val="20"/>
          <w:color w:val="auto"/>
        </w:rPr>
      </w:pPr>
      <w:r>
        <w:rPr>
          <w:rFonts w:ascii="Arial" w:cs="Arial" w:eastAsia="Arial" w:hAnsi="Arial"/>
          <w:sz w:val="17"/>
          <w:szCs w:val="17"/>
          <w:color w:val="auto"/>
        </w:rPr>
        <w:t>Reductions for tax positions due to settlements Balance at December 31, 2016</w:t>
      </w:r>
    </w:p>
    <w:p>
      <w:pPr>
        <w:ind w:left="40"/>
        <w:spacing w:after="0"/>
        <w:rPr>
          <w:sz w:val="20"/>
          <w:szCs w:val="20"/>
          <w:color w:val="auto"/>
        </w:rPr>
      </w:pPr>
      <w:r>
        <w:rPr>
          <w:rFonts w:ascii="Arial" w:cs="Arial" w:eastAsia="Arial" w:hAnsi="Arial"/>
          <w:sz w:val="18"/>
          <w:szCs w:val="18"/>
          <w:color w:val="auto"/>
        </w:rPr>
        <w:t>Reductions for tax positions related to prior years</w:t>
      </w:r>
    </w:p>
    <w:p>
      <w:pPr>
        <w:spacing w:after="0" w:line="90" w:lineRule="exact"/>
        <w:rPr>
          <w:sz w:val="20"/>
          <w:szCs w:val="20"/>
          <w:color w:val="auto"/>
        </w:rPr>
      </w:pPr>
    </w:p>
    <w:p>
      <w:pPr>
        <w:ind w:left="40" w:right="1820"/>
        <w:spacing w:after="0" w:line="322" w:lineRule="auto"/>
        <w:rPr>
          <w:sz w:val="20"/>
          <w:szCs w:val="20"/>
          <w:color w:val="auto"/>
        </w:rPr>
      </w:pPr>
      <w:r>
        <w:rPr>
          <w:rFonts w:ascii="Arial" w:cs="Arial" w:eastAsia="Arial" w:hAnsi="Arial"/>
          <w:sz w:val="18"/>
          <w:szCs w:val="18"/>
          <w:color w:val="auto"/>
        </w:rPr>
        <w:t>Additions for tax positions related to current year Reductions for tax positions due to settlements Additions for tax positions related to purchase accounting Balance at December 31, 2017</w:t>
      </w:r>
    </w:p>
    <w:p>
      <w:pPr>
        <w:spacing w:after="0" w:line="6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2"/>
          <w:szCs w:val="12"/>
          <w:color w:val="auto"/>
        </w:rPr>
        <w:t>We did not have any unrecognized tax benefits prior to 2016.</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Federal,</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4"/>
                <w:szCs w:val="14"/>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Total Gross</w:t>
            </w:r>
          </w:p>
        </w:tc>
      </w:tr>
      <w:tr>
        <w:trPr>
          <w:trHeight w:val="149"/>
        </w:trPr>
        <w:tc>
          <w:tcPr>
            <w:tcW w:w="3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State and</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2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Unrecognized</w:t>
            </w:r>
          </w:p>
        </w:tc>
      </w:tr>
      <w:tr>
        <w:trPr>
          <w:trHeight w:val="149"/>
        </w:trPr>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2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Income Tax</w:t>
            </w:r>
          </w:p>
        </w:tc>
      </w:tr>
      <w:tr>
        <w:trPr>
          <w:trHeight w:val="192"/>
        </w:trPr>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1"/>
              </w:rPr>
              <w:t>Penalties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0"/>
              </w:rPr>
              <w:t>Benefits</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16.6</w:t>
            </w:r>
          </w:p>
        </w:tc>
      </w:tr>
      <w:tr>
        <w:trPr>
          <w:trHeight w:val="270"/>
        </w:trPr>
        <w:tc>
          <w:tcPr>
            <w:tcW w:w="3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16.6</w:t>
            </w:r>
          </w:p>
        </w:tc>
      </w:tr>
      <w:tr>
        <w:trPr>
          <w:trHeight w:val="27"/>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30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43.3</w:t>
            </w:r>
          </w:p>
        </w:tc>
      </w:tr>
      <w:tr>
        <w:trPr>
          <w:trHeight w:val="270"/>
        </w:trPr>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300" w:type="dxa"/>
            <w:vAlign w:val="bottom"/>
          </w:tcPr>
          <w:p>
            <w:pPr>
              <w:spacing w:after="0"/>
              <w:rPr>
                <w:sz w:val="23"/>
                <w:szCs w:val="23"/>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50.2</w:t>
            </w:r>
          </w:p>
        </w:tc>
      </w:tr>
      <w:tr>
        <w:trPr>
          <w:trHeight w:val="27"/>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96.3</w:t>
            </w:r>
          </w:p>
        </w:tc>
      </w:tr>
      <w:tr>
        <w:trPr>
          <w:trHeight w:val="27"/>
        </w:trPr>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-1817370</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-1440180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-1097280</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-719455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-376555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6020" w:space="720"/>
            <w:col w:w="4680"/>
          </w:cols>
          <w:pgMar w:left="240" w:top="692" w:right="239" w:bottom="1440" w:gutter="0" w:footer="0" w:header="0"/>
          <w:type w:val="continuous"/>
        </w:sectPr>
      </w:pPr>
    </w:p>
    <w:p>
      <w:pPr>
        <w:ind w:right="280"/>
        <w:spacing w:after="0" w:line="272" w:lineRule="auto"/>
        <w:rPr>
          <w:sz w:val="20"/>
          <w:szCs w:val="20"/>
          <w:color w:val="auto"/>
        </w:rPr>
      </w:pPr>
      <w:r>
        <w:rPr>
          <w:rFonts w:ascii="Arial" w:cs="Arial" w:eastAsia="Arial" w:hAnsi="Arial"/>
          <w:sz w:val="18"/>
          <w:szCs w:val="18"/>
          <w:color w:val="auto"/>
        </w:rPr>
        <w:t>At December 31, 2017, 2016 and 2015, there were $96.3 million, $16.6 million and nil, respectively, of unrecognized tax benefits that if recognized would affect the annual effective tax rate.</w:t>
      </w:r>
    </w:p>
    <w:p>
      <w:pPr>
        <w:spacing w:after="0" w:line="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It is reasonably possible that within twelve months, a significant portion of the above unrecognized tax benefits related to certain tax reporting positions taken in prior periods could decrease due to either the expiration of the statute of limitations in certain jurisdictions, or the resolution of current income tax examinations, or both.</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Included in additions for tax positions related to purchase accounting is $45.2 million for potential adjustments for intercompany interest expense pertaining to a financing structure in Norway.</w:t>
      </w:r>
    </w:p>
    <w:p>
      <w:pPr>
        <w:spacing w:after="0" w:line="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operate in numerous jurisdictions around the world and could be subject to multiple tax audits at any given time. Most notably, the following tax years and thereafter remain subject to examination: 2006 for Norway, 2013 for Nigeria, 2012 for Brazil and 2014 for the United States.</w:t>
      </w:r>
    </w:p>
    <w:p>
      <w:pPr>
        <w:spacing w:after="0" w:line="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the Merger, TechnipFMC plc is a public limited company incorporated under the laws of England and Wales. Therefore, our earnings are subject to the United Kingdom statutory rate of 19.3% beginning on the effective date of the Merger. Previously these earnings were subject to the French statutory rate of 34.4%. Our consolidated effective income tax rate information has been presented accordingly. The Merger transaction was generally a non-taxable event for the significant jurisdictions in which we operate. As of the date of the Merger, the Company recorded $306.3 million of deferred tax liability related to purchase accounting.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692" w:right="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i w:val="1"/>
          <w:iCs w:val="1"/>
          <w:color w:val="auto"/>
        </w:rPr>
        <w:t>Effective income tax rate reconciliation</w:t>
      </w:r>
      <w:r>
        <w:rPr>
          <w:rFonts w:ascii="Arial" w:cs="Arial" w:eastAsia="Arial" w:hAnsi="Arial"/>
          <w:sz w:val="17"/>
          <w:szCs w:val="17"/>
          <w:color w:val="auto"/>
        </w:rPr>
        <w:t>—The effective income tax rate was different from the statutory federal income tax rate due to the following:</w:t>
      </w:r>
    </w:p>
    <w:p>
      <w:pPr>
        <w:spacing w:after="0" w:line="17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31299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gridSpan w:val="2"/>
          </w:tcPr>
          <w:p>
            <w:pPr>
              <w:ind w:left="7140"/>
              <w:spacing w:after="0"/>
              <w:rPr>
                <w:sz w:val="20"/>
                <w:szCs w:val="20"/>
                <w:color w:val="auto"/>
              </w:rPr>
            </w:pPr>
            <w:r>
              <w:rPr>
                <w:rFonts w:ascii="Arial" w:cs="Arial" w:eastAsia="Arial" w:hAnsi="Arial"/>
                <w:sz w:val="14"/>
                <w:szCs w:val="14"/>
                <w:b w:val="1"/>
                <w:bCs w:val="1"/>
                <w:color w:val="auto"/>
                <w:w w:val="96"/>
              </w:rPr>
              <w:t>2017</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19.3 %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Net difference resulting from:</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earnings subject to different tax rates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Net change in unrecognized tax benefits</w:t>
            </w:r>
          </w:p>
        </w:tc>
        <w:tc>
          <w:tcPr>
            <w:tcW w:w="60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on prior year taxes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600" w:type="dxa"/>
            <w:vAlign w:val="bottom"/>
          </w:tcPr>
          <w:p>
            <w:pPr>
              <w:jc w:val="right"/>
              <w:spacing w:after="0"/>
              <w:rPr>
                <w:sz w:val="20"/>
                <w:szCs w:val="20"/>
                <w:color w:val="auto"/>
              </w:rPr>
            </w:pPr>
            <w:r>
              <w:rPr>
                <w:rFonts w:ascii="Arial" w:cs="Arial" w:eastAsia="Arial" w:hAnsi="Arial"/>
                <w:sz w:val="18"/>
                <w:szCs w:val="18"/>
                <w:color w:val="auto"/>
                <w:w w:val="92"/>
              </w:rPr>
              <w:t>19.3 %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36.9 %</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asset/liability revaluation for tax rate change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U.S. transition tax</w:t>
            </w:r>
          </w:p>
        </w:tc>
        <w:tc>
          <w:tcPr>
            <w:tcW w:w="600" w:type="dxa"/>
            <w:vAlign w:val="bottom"/>
          </w:tcPr>
          <w:p>
            <w:pPr>
              <w:jc w:val="right"/>
              <w:spacing w:after="0"/>
              <w:rPr>
                <w:sz w:val="20"/>
                <w:szCs w:val="20"/>
                <w:color w:val="auto"/>
              </w:rPr>
            </w:pPr>
            <w:r>
              <w:rPr>
                <w:rFonts w:ascii="Arial" w:cs="Arial" w:eastAsia="Arial" w:hAnsi="Arial"/>
                <w:sz w:val="18"/>
                <w:szCs w:val="18"/>
                <w:color w:val="auto"/>
                <w:w w:val="92"/>
              </w:rPr>
              <w:t>17.1 %</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6500" w:type="dxa"/>
            <w:vAlign w:val="bottom"/>
          </w:tcPr>
          <w:p>
            <w:pPr>
              <w:ind w:left="300"/>
              <w:spacing w:after="0"/>
              <w:rPr>
                <w:sz w:val="20"/>
                <w:szCs w:val="20"/>
                <w:color w:val="auto"/>
              </w:rPr>
            </w:pPr>
            <w:r>
              <w:rPr>
                <w:rFonts w:ascii="Arial" w:cs="Arial" w:eastAsia="Arial" w:hAnsi="Arial"/>
                <w:sz w:val="18"/>
                <w:szCs w:val="18"/>
                <w:color w:val="auto"/>
              </w:rPr>
              <w:t>Effective income tax rate</w:t>
            </w: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80.3 %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90.6 %</w:t>
            </w:r>
          </w:p>
        </w:tc>
      </w:tr>
      <w:tr>
        <w:trPr>
          <w:trHeight w:val="27"/>
        </w:trPr>
        <w:tc>
          <w:tcPr>
            <w:tcW w:w="6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U.S. Tax Cuts and Jobs Act (TCJA</w:t>
      </w:r>
      <w:r>
        <w:rPr>
          <w:rFonts w:ascii="Arial" w:cs="Arial" w:eastAsia="Arial" w:hAnsi="Arial"/>
          <w:sz w:val="18"/>
          <w:szCs w:val="18"/>
          <w:color w:val="auto"/>
        </w:rPr>
        <w:t>)</w:t>
      </w:r>
      <w:r>
        <w:rPr>
          <w:rFonts w:ascii="Arial" w:cs="Arial" w:eastAsia="Arial" w:hAnsi="Arial"/>
          <w:sz w:val="18"/>
          <w:szCs w:val="18"/>
          <w:i w:val="1"/>
          <w:iCs w:val="1"/>
          <w:color w:val="auto"/>
        </w:rPr>
        <w:t xml:space="preserve"> and Other Jurisdictional Tax Reform. </w:t>
      </w:r>
      <w:r>
        <w:rPr>
          <w:rFonts w:ascii="Arial" w:cs="Arial" w:eastAsia="Arial" w:hAnsi="Arial"/>
          <w:sz w:val="18"/>
          <w:szCs w:val="18"/>
          <w:color w:val="auto"/>
        </w:rPr>
        <w:t>Included in the 2017 provision for income taxes are taxes related to the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repatriation to the United States of foreign earnings. The Tax Cuts and Jobs Act (TCJA), signed into U.S. law on December 22, 2017, made significant changes to the U.S. federal income taxation of non-U.S. corporate subsidiaries that are controlled by one or more U.S. shareholders. As part of these changes, the TCJA required a onetime deemed repatriation of all accumulated non-U.S. earnings.</w:t>
      </w:r>
    </w:p>
    <w:p>
      <w:pPr>
        <w:spacing w:after="0" w:line="187" w:lineRule="exact"/>
        <w:rPr>
          <w:sz w:val="20"/>
          <w:szCs w:val="20"/>
          <w:color w:val="auto"/>
        </w:rPr>
      </w:pPr>
    </w:p>
    <w:p>
      <w:pPr>
        <w:ind w:right="720"/>
        <w:spacing w:after="0" w:line="258" w:lineRule="auto"/>
        <w:rPr>
          <w:sz w:val="20"/>
          <w:szCs w:val="20"/>
          <w:color w:val="auto"/>
        </w:rPr>
      </w:pPr>
      <w:r>
        <w:rPr>
          <w:rFonts w:ascii="Arial" w:cs="Arial" w:eastAsia="Arial" w:hAnsi="Arial"/>
          <w:sz w:val="18"/>
          <w:szCs w:val="18"/>
          <w:color w:val="auto"/>
        </w:rPr>
        <w:t>The TCJA generally requires that, for the last taxable year of a non-U.S. corporation beginning before January 1, 2018, all U.S. shareholders of such corporation that is at least 10-percent U.S.-owned must include in income their pro rata share of the</w:t>
      </w:r>
    </w:p>
    <w:p>
      <w:pPr>
        <w:spacing w:after="0" w:line="1"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corporation’s accumulated post-1986 deferred foreign income that was not previously subject to U.S. tax. Accordingly, the Company recorded income tax expense of approximately $148.7 million in 2017 associated with the deemed repatriation of approximately $2.9 billion of non-U.S. earnings that were not previously subject to U.S. tax. The company has recorded no current tax payable associated with the deemed repatriation.</w:t>
      </w:r>
    </w:p>
    <w:p>
      <w:pPr>
        <w:spacing w:after="0" w:line="6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Also included in the 2017 provision for income taxes is the result of the revaluation of deferred tax attributes as a result of changes in corporate tax rates as part of jurisdictional tax reform. The tax expense from the revaluation of U.S. deferred tax attributes is $18.9 million. The tax benefit from the revaluation of deferred tax attributes in other foreign jurisdictions is $9.7 million.</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January 17, 2017, the Company had recorded a deferred tax asset of $77.7 million related to the carryforward of U.S.foreign tax credits. This deferred tax asset was offset by a valuation allowance of $77.7 million, resulting in a net carrying value of the deferred tax asset related to the carryforward of U.S. foreign tax credits of zero as of January 17, 2017. The deemed repatriation allowed for the utilization of $32.1 million of these foreign tax credit carryforwards. Accordingly, the Company recorded a tax benefit of $32.1 million in the fourth quarter of 2017 related to the utilization of these tax assets. As of December 31, 2017, the Company has recorded a deferred tax asset of $34.9 million related to the carryforward of U.S. foreign tax credits. This deferred tax asset is offset by a valuation allowance of $34.9 million, resulting in a net carrying value of the deferred tax asset associated with the carryforward of the U.S. foreign tax credits of zero as of December 31, 2017.</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deemed repatriation, U.S. income tax has been provided on all undistributed earnings of non-U.S. subsidiaries of the Company’s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affiliates as of December 31, 2017. The cumulative balance of these undistributed earnings was approximately $2.9 billion as of December 31, 2017.</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currently evaluating provisions of United States tax reform enacted in December 2017. In the fourth quarter of 2017, we recorded a provision to income taxes for our preliminary assessment of the impact of tax reform. As we do not have all the necessary information to analyze all income tax effects of tax reform, this is a provisional amount which we believe represents a reasonable estimate of the accounting implications of this tax reform. We will continue to evaluate tax reform and adjust the provisional amounts as additional information is obtained. The ultimate impact of tax reform may differ from our provisional amounts due to changes in our interpretations and assumptions, as well as additional regulatory guidance that may be issued. We expect to complete our detailed analysis no later than the fourth quarter of 2018.</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the date of the Merger, the cumulative balance of legacy FMC Technologies foreign earnings with respect to which no provision for U.S. income taxes has been recorded was $2.3 billion. Although the parent company of TechnipFMC has since changed jurisdictions, the undistributed foreign earnings previously reported would still be liable for U.S. income taxes. In light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92" w:right="239" w:bottom="1440" w:gutter="0" w:footer="0" w:header="0"/>
        </w:sectPr>
      </w:pPr>
    </w:p>
    <w:bookmarkStart w:id="88" w:name="page89"/>
    <w:bookmarkEnd w:id="88"/>
    <w:p>
      <w:pPr>
        <w:ind w:right="280"/>
        <w:spacing w:after="0" w:line="277" w:lineRule="auto"/>
        <w:rPr>
          <w:sz w:val="20"/>
          <w:szCs w:val="20"/>
          <w:color w:val="auto"/>
        </w:rPr>
      </w:pPr>
      <w:r>
        <w:rPr>
          <w:rFonts w:ascii="Arial" w:cs="Arial" w:eastAsia="Arial" w:hAnsi="Arial"/>
          <w:sz w:val="18"/>
          <w:szCs w:val="18"/>
          <w:color w:val="auto"/>
        </w:rPr>
        <w:t>of 2017’s tax reform, the entirety of the previously untaxed foreign earnings have been taxed via the deemed repatriation accounted for and included in the transition tax which eliminates the company’s liability on such earnings.</w:t>
      </w:r>
    </w:p>
    <w:p>
      <w:pPr>
        <w:spacing w:after="0" w:line="6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Income tax holidays. </w:t>
      </w:r>
      <w:r>
        <w:rPr>
          <w:rFonts w:ascii="Arial" w:cs="Arial" w:eastAsia="Arial" w:hAnsi="Arial"/>
          <w:sz w:val="16"/>
          <w:szCs w:val="16"/>
          <w:color w:val="auto"/>
        </w:rPr>
        <w:t>We benefit from income tax holidays in Singapore and Malaysia which will expire after 2018 for Singapore and 2020 for Malaysia.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2017, these tax holidays reduced our provision for income taxes by $4.4 million, or $0.01 per share on a diluted basis.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funded and unfunded defined benefit pension plans which provide defined benefits based on years of service and final average salary.</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31, 2017, we amended the retirement plans (the “Plans”) to freeze benefit accruals for all participants of the Plans as of December 31, 2017. After that date, participants in the Plans will no longer accrue any further benefits and participants’ benefits under the Plans will be determined based on credited service and eligible earnings as of December 31, 2017.</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Foreign-based employees are eligible to participate in TechnipFMC-sponsored or government-sponsored benefit plans to which we contribute. Several of the foreign defined benefit pension plans sponsored by us provide for employee contributions; the remaining plans are noncontributory. The most significant of these plans are in the Netherlands, France, Norway and the United Kingdom.</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other post-retirement benefit plans covering substantially all of our U.S. employees who were hired prior to January 1, 2003. The post-retirement health care plans are contributory; the post-retirement life insurance plans are noncontributory.</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required to recognize the funded status of defined benefit post-retirement plans as an asset or liability in the consolidated balance sheet and recognize changes in that funded status in comprehensive income in the year in which the changes occur. Further, we are required to measure the plan’s assets and its obligations that determine its funded status as of the date of the consolidated balance sheet. We have applied this guidance to our domestic pension and other post-retirement benefit plans as well as for many of our non-U.S. plans, including those in the United Kingdom, Norway, Germany, France and Canada. Pension expense measured in compliance with GAAP for the other non-U.S. pension plans is not materially different from the locally reported pension expense.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92" w:right="239" w:bottom="1440" w:gutter="0" w:footer="0" w:header="0"/>
        </w:sectPr>
      </w:pPr>
    </w:p>
    <w:bookmarkStart w:id="89" w:name="page90"/>
    <w:bookmarkEnd w:id="89"/>
    <w:p>
      <w:pPr>
        <w:ind w:right="80"/>
        <w:spacing w:after="0" w:line="308" w:lineRule="auto"/>
        <w:rPr>
          <w:sz w:val="20"/>
          <w:szCs w:val="20"/>
          <w:color w:val="auto"/>
        </w:rPr>
      </w:pPr>
      <w:r>
        <w:rPr>
          <w:rFonts w:ascii="Arial" w:cs="Arial" w:eastAsia="Arial" w:hAnsi="Arial"/>
          <w:sz w:val="17"/>
          <w:szCs w:val="17"/>
          <w:color w:val="auto"/>
        </w:rPr>
        <w:t>The funded status of our U.S. Pension Plans, certain foreign pension plans and U.S. post-retirement health care and life insurance benefit plans, together with the associated balances recognized in our consolidated balance sheets as of December 31, 2017 and 2016,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6"/>
              </w:rPr>
              <w:t>Benefits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3"/>
              </w:rPr>
              <w:t>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benefit obligation</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659.8</w:t>
            </w:r>
          </w:p>
        </w:tc>
        <w:tc>
          <w:tcPr>
            <w:tcW w:w="4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769.9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Projected benefit obligation at January 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vMerge w:val="continue"/>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399.6</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457.2</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(gain) loss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Amendments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Curtailments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Plan participants’ contributions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Acquisition/Business Combination/Divestiture</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432.3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Projected benefit obligation at December 31</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898.1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399.6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January 1</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229.7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Company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Plan participants’ contributions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Acquisition/Business Combination/Divestiture</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361.4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Fair value of plan assets at December 31</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576.4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699.2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Funded status of the plans (liability) at December 31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4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86"/>
              </w:rPr>
              <w:t>Benefits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3"/>
              </w:rPr>
              <w:t>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Current portion of accrued pension and other post-</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retirement benefits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Accrued pension and other post-retirement benefits, net of</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0"/>
              </w:rPr>
              <w:t>Funded status recognized in the consolidated balance sheets</w:t>
            </w: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(83.4)</w:t>
            </w:r>
          </w:p>
        </w:tc>
        <w:tc>
          <w:tcPr>
            <w:tcW w:w="6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6"/>
                <w:szCs w:val="16"/>
                <w:color w:val="auto"/>
              </w:rPr>
              <w:t>at December 31</w:t>
            </w:r>
          </w:p>
        </w:tc>
        <w:tc>
          <w:tcPr>
            <w:tcW w:w="2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692" w:right="239" w:bottom="1440" w:gutter="0" w:footer="0" w:header="0"/>
        </w:sectPr>
      </w:pPr>
    </w:p>
    <w:bookmarkStart w:id="90" w:name="page91"/>
    <w:bookmarkEnd w:id="90"/>
    <w:p>
      <w:pPr>
        <w:ind w:right="200"/>
        <w:spacing w:after="0" w:line="277" w:lineRule="auto"/>
        <w:rPr>
          <w:sz w:val="20"/>
          <w:szCs w:val="20"/>
          <w:color w:val="auto"/>
        </w:rPr>
      </w:pPr>
      <w:r>
        <w:rPr>
          <w:rFonts w:ascii="Arial" w:cs="Arial" w:eastAsia="Arial" w:hAnsi="Arial"/>
          <w:sz w:val="18"/>
          <w:szCs w:val="18"/>
          <w:color w:val="auto"/>
        </w:rPr>
        <w:t>The following table summarizes the pre-tax amounts in accumulated other comprehensive (income) loss at December 31, 2017 and 2016 that have not been recognized as components of net periodic benefit cost: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jc w:val="center"/>
              <w:ind w:right="242"/>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42"/>
              <w:spacing w:after="0"/>
              <w:rPr>
                <w:sz w:val="20"/>
                <w:szCs w:val="20"/>
                <w:color w:val="auto"/>
              </w:rPr>
            </w:pPr>
            <w:r>
              <w:rPr>
                <w:rFonts w:ascii="Arial" w:cs="Arial" w:eastAsia="Arial" w:hAnsi="Arial"/>
                <w:sz w:val="14"/>
                <w:szCs w:val="14"/>
                <w:b w:val="1"/>
                <w:bCs w:val="1"/>
                <w:color w:val="auto"/>
                <w:w w:val="86"/>
              </w:rPr>
              <w:t>Benefits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amounts recognized in accumulated other</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Unrecognized actuarial (gain)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700" w:type="dxa"/>
            <w:vAlign w:val="bottom"/>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Unrecognized prior service (credit) cost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Unrecognized transition asset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 at</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3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w:t>
            </w:r>
          </w:p>
        </w:tc>
        <w:tc>
          <w:tcPr>
            <w:tcW w:w="2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summarize the projected and accumulated benefit obligations and fair values of plan assets where the projected or accumulated benefit obligation exceeds the fair value of plan assets at December 31, 2017 and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jc w:val="center"/>
              <w:ind w:right="242"/>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42"/>
              <w:spacing w:after="0"/>
              <w:rPr>
                <w:sz w:val="20"/>
                <w:szCs w:val="20"/>
                <w:color w:val="auto"/>
              </w:rPr>
            </w:pPr>
            <w:r>
              <w:rPr>
                <w:rFonts w:ascii="Arial" w:cs="Arial" w:eastAsia="Arial" w:hAnsi="Arial"/>
                <w:sz w:val="14"/>
                <w:szCs w:val="14"/>
                <w:b w:val="1"/>
                <w:bCs w:val="1"/>
                <w:color w:val="auto"/>
                <w:w w:val="86"/>
              </w:rPr>
              <w:t>Benefits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Plans with underfunded or non-funded projected benefit</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Aggregate projected benefit obligation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659.8</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744.3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399.6</w:t>
            </w:r>
          </w:p>
        </w:tc>
        <w:tc>
          <w:tcPr>
            <w:tcW w:w="82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4"/>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Aggregate fair value of plan assets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229.7</w:t>
            </w:r>
          </w:p>
        </w:tc>
        <w:tc>
          <w:tcPr>
            <w:tcW w:w="820" w:type="dxa"/>
            <w:vAlign w:val="bottom"/>
            <w:tcBorders>
              <w:bottom w:val="single" w:sz="8" w:color="CCEEFF"/>
            </w:tcBorders>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3"/>
          </w:tcPr>
          <w:p>
            <w:pPr>
              <w:jc w:val="center"/>
              <w:ind w:right="242"/>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242"/>
              <w:spacing w:after="0"/>
              <w:rPr>
                <w:sz w:val="20"/>
                <w:szCs w:val="20"/>
                <w:color w:val="auto"/>
              </w:rPr>
            </w:pPr>
            <w:r>
              <w:rPr>
                <w:rFonts w:ascii="Arial" w:cs="Arial" w:eastAsia="Arial" w:hAnsi="Arial"/>
                <w:sz w:val="14"/>
                <w:szCs w:val="14"/>
                <w:b w:val="1"/>
                <w:bCs w:val="1"/>
                <w:color w:val="auto"/>
                <w:w w:val="86"/>
              </w:rPr>
              <w:t>Benefits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Plans with underfunded or non-funded accumulated benefit</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Aggregate accumulated benefit obligation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659.8</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360.9</w:t>
            </w:r>
          </w:p>
        </w:tc>
        <w:tc>
          <w:tcPr>
            <w:tcW w:w="82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Aggregate fair value of plan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229.7</w:t>
            </w:r>
          </w:p>
        </w:tc>
        <w:tc>
          <w:tcPr>
            <w:tcW w:w="820" w:type="dxa"/>
            <w:vAlign w:val="bottom"/>
            <w:gridSpan w:val="2"/>
            <w:shd w:val="clear" w:color="auto" w:fill="CCEEFF"/>
          </w:tcPr>
          <w:p>
            <w:pPr>
              <w:jc w:val="right"/>
              <w:ind w:right="52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73"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following table summarizes the components of net periodic benefit cost (income) for the years ended December 31, 2017,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w w:val="96"/>
              </w:rPr>
              <w:t>Pensions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center"/>
              <w:ind w:left="401"/>
              <w:spacing w:after="0"/>
              <w:rPr>
                <w:sz w:val="20"/>
                <w:szCs w:val="20"/>
                <w:color w:val="auto"/>
              </w:rPr>
            </w:pPr>
            <w:r>
              <w:rPr>
                <w:rFonts w:ascii="Arial" w:cs="Arial" w:eastAsia="Arial" w:hAnsi="Arial"/>
                <w:sz w:val="14"/>
                <w:szCs w:val="14"/>
                <w:b w:val="1"/>
                <w:bCs w:val="1"/>
                <w:color w:val="auto"/>
                <w:w w:val="95"/>
              </w:rPr>
              <w:t>Other Post-retirement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2016</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Components of net periodic</w:t>
            </w: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cost (income):</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Expected return on plan</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 cost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Curtailment benefit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Amortization of net actuarial</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Amortization of prior</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service cost (credit)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7"/>
              </w:rPr>
              <w:t>Net periodic benefit cost (income)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plan assets and benefit obligations recognized in other comprehensive income (loss)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w w:val="96"/>
              </w:rPr>
              <w:t>Pensions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center"/>
              <w:ind w:left="401"/>
              <w:spacing w:after="0"/>
              <w:rPr>
                <w:sz w:val="20"/>
                <w:szCs w:val="20"/>
                <w:color w:val="auto"/>
              </w:rPr>
            </w:pPr>
            <w:r>
              <w:rPr>
                <w:rFonts w:ascii="Arial" w:cs="Arial" w:eastAsia="Arial" w:hAnsi="Arial"/>
                <w:sz w:val="14"/>
                <w:szCs w:val="14"/>
                <w:b w:val="1"/>
                <w:bCs w:val="1"/>
                <w:color w:val="auto"/>
                <w:w w:val="95"/>
              </w:rPr>
              <w:t>Other Post-retirement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w w:val="96"/>
              </w:rPr>
              <w:t>2016</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89"/>
              </w:rPr>
              <w:t>2015</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Changes in plan assets and benefit</w:t>
            </w: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obligations recognized in other</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arising during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26.7</w:t>
            </w:r>
          </w:p>
        </w:tc>
        <w:tc>
          <w:tcPr>
            <w:tcW w:w="4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service (cost) credit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arising during period</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w w:val="92"/>
              </w:rPr>
              <w:t>Settlements and curtailments</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Amortization of net actuarial</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Amortization of prior</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service cost (credit)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Total recognized in other</w:t>
            </w: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vMerge w:val="restart"/>
          </w:tcPr>
          <w:p>
            <w:pPr>
              <w:ind w:left="420"/>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ind w:left="42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Included in accumulated other comprehensive income (loss) at December 31, 2017, are noncash, pre-tax charges which have not yet been recognized in net periodic benefit cost (income). The estimated amounts expected to be amortized from the portion of each component of accumulated other comprehensive income (loss) as a component of net period benefit cost (income), during the next fiscal year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0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Pensions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Post-retirement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losses (gains)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Prior service cost (credit)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69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Key assumptions—</w:t>
      </w:r>
      <w:r>
        <w:rPr>
          <w:rFonts w:ascii="Arial" w:cs="Arial" w:eastAsia="Arial" w:hAnsi="Arial"/>
          <w:sz w:val="18"/>
          <w:szCs w:val="18"/>
          <w:color w:val="auto"/>
        </w:rPr>
        <w:t>The following weighted-average assumptions were used to determine the benefit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6"/>
              </w:rPr>
              <w:t>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9"/>
              </w:rPr>
              <w:t>Pensions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w w:val="90"/>
              </w:rPr>
              <w:t>Benefits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87"/>
              </w:rPr>
              <w:t>U.S.</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8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ind w:left="500"/>
              <w:spacing w:after="0"/>
              <w:rPr>
                <w:sz w:val="20"/>
                <w:szCs w:val="20"/>
                <w:color w:val="auto"/>
              </w:rPr>
            </w:pPr>
            <w:r>
              <w:rPr>
                <w:rFonts w:ascii="Arial" w:cs="Arial" w:eastAsia="Arial" w:hAnsi="Arial"/>
                <w:sz w:val="16"/>
                <w:szCs w:val="16"/>
                <w:color w:val="auto"/>
              </w:rPr>
              <w:t>N/A</w:t>
            </w:r>
          </w:p>
        </w:tc>
        <w:tc>
          <w:tcPr>
            <w:tcW w:w="900" w:type="dxa"/>
            <w:vAlign w:val="bottom"/>
          </w:tcPr>
          <w:p>
            <w:pPr>
              <w:jc w:val="right"/>
              <w:spacing w:after="0"/>
              <w:rPr>
                <w:sz w:val="20"/>
                <w:szCs w:val="20"/>
                <w:color w:val="auto"/>
              </w:rPr>
            </w:pPr>
            <w:r>
              <w:rPr>
                <w:rFonts w:ascii="Arial" w:cs="Arial" w:eastAsia="Arial" w:hAnsi="Arial"/>
                <w:sz w:val="16"/>
                <w:szCs w:val="16"/>
                <w:color w:val="auto"/>
              </w:rPr>
              <w:t>2.80%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jc w:val="right"/>
              <w:ind w:right="7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net periodic benefit cost: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left="583"/>
              <w:spacing w:after="0"/>
              <w:rPr>
                <w:sz w:val="20"/>
                <w:szCs w:val="20"/>
                <w:color w:val="auto"/>
              </w:rPr>
            </w:pPr>
            <w:r>
              <w:rPr>
                <w:rFonts w:ascii="Arial" w:cs="Arial" w:eastAsia="Arial" w:hAnsi="Arial"/>
                <w:sz w:val="14"/>
                <w:szCs w:val="14"/>
                <w:b w:val="1"/>
                <w:bCs w:val="1"/>
                <w:color w:val="auto"/>
                <w:w w:val="86"/>
              </w:rPr>
              <w:t>Pensions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Benefits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22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w w:val="96"/>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2"/>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2"/>
              </w:rPr>
              <w:t>1.90%</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6"/>
                <w:szCs w:val="16"/>
                <w:color w:val="auto"/>
                <w:w w:val="97"/>
              </w:rPr>
              <w:t>Rate of compensation increase</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1280" w:type="dxa"/>
            <w:vAlign w:val="bottom"/>
            <w:gridSpan w:val="3"/>
          </w:tcPr>
          <w:p>
            <w:pPr>
              <w:ind w:left="580"/>
              <w:spacing w:after="0"/>
              <w:rPr>
                <w:sz w:val="20"/>
                <w:szCs w:val="20"/>
                <w:color w:val="auto"/>
              </w:rPr>
            </w:pPr>
            <w:r>
              <w:rPr>
                <w:rFonts w:ascii="Arial" w:cs="Arial" w:eastAsia="Arial" w:hAnsi="Arial"/>
                <w:sz w:val="16"/>
                <w:szCs w:val="16"/>
                <w:color w:val="auto"/>
              </w:rPr>
              <w:t>N/A</w:t>
            </w:r>
          </w:p>
        </w:tc>
        <w:tc>
          <w:tcPr>
            <w:tcW w:w="6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1220" w:type="dxa"/>
            <w:vAlign w:val="bottom"/>
            <w:gridSpan w:val="3"/>
          </w:tcPr>
          <w:p>
            <w:pPr>
              <w:ind w:left="58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2.60%</w:t>
            </w:r>
          </w:p>
        </w:tc>
        <w:tc>
          <w:tcPr>
            <w:tcW w:w="1060" w:type="dxa"/>
            <w:vAlign w:val="bottom"/>
            <w:gridSpan w:val="2"/>
          </w:tcPr>
          <w:p>
            <w:pPr>
              <w:ind w:left="600"/>
              <w:spacing w:after="0"/>
              <w:rPr>
                <w:sz w:val="20"/>
                <w:szCs w:val="20"/>
                <w:color w:val="auto"/>
              </w:rPr>
            </w:pPr>
            <w:r>
              <w:rPr>
                <w:rFonts w:ascii="Arial" w:cs="Arial" w:eastAsia="Arial" w:hAnsi="Arial"/>
                <w:sz w:val="16"/>
                <w:szCs w:val="16"/>
                <w:color w:val="auto"/>
                <w:w w:val="96"/>
              </w:rPr>
              <w:t>4.00%</w:t>
            </w:r>
          </w:p>
        </w:tc>
        <w:tc>
          <w:tcPr>
            <w:tcW w:w="10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w w:val="92"/>
              </w:rPr>
              <w:t>3.00%</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w w:val="92"/>
              </w:rPr>
              <w:t>3.00%</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Expected rate of return on plan</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estimate of expected rate of return on plan assets is primarily based on the historical performance of plan assets, current market conditions, our asset allocation and long-term growth expectations.</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Plan assets</w:t>
      </w:r>
      <w:r>
        <w:rPr>
          <w:rFonts w:ascii="Arial" w:cs="Arial" w:eastAsia="Arial" w:hAnsi="Arial"/>
          <w:sz w:val="16"/>
          <w:szCs w:val="16"/>
          <w:color w:val="auto"/>
        </w:rPr>
        <w:t>—Our pension investment strategy emphasizes maximizing returns consistent with balancing risk. Excluding our international plans with</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insurance-based investments, 98% of our total pension plan assets represent the U.S. qualified plan, the U.K. plan, the Norway plan and the Netherlands plan. These plans are primarily invested in equity securities to maximize the long-term returns of the plans. The investment managers of these assets, including the hedge funds and limited partnerships, use Graham and Dodd fundamental investment analysis to select securities that have a margin of safety between the price of the security and the estimated value of the security. This value-oriented approach tends to mitigate the risk of a large equity allocation.</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description of the valuation methodologies used for the pension plan assets. There have been no changes in the methodologies used at December 31, 2017 and 2016.</w:t>
      </w:r>
    </w:p>
    <w:p>
      <w:pPr>
        <w:spacing w:after="0" w:line="6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is valued at cost, which approximates fair value.</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securities are comprised of common stock and preferred stock. The fair values of equity securities are valued at the closing price reported on the active market on which the securities are traded.</w:t>
      </w:r>
    </w:p>
    <w:p>
      <w:pPr>
        <w:spacing w:after="0" w:line="62"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Fair values of registered investment companies and common/collective trusts are valued based on quoted market prices, which represent the net asset value (“NAV”) of shares held. Registered investment companies primarily include investments in emerging market bonds. Common/collective trusts primarily includes money market instruments with short maturities.</w:t>
      </w:r>
    </w:p>
    <w:p>
      <w:pPr>
        <w:spacing w:after="0" w:line="7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Insurance contracts are valued at book value, which approximates fair value, and is calculated using the prior-year balance plus or minus investment returns and changes in cash flows.</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values of hedge funds are valued using the NAV as determined by the administrator or custodian of the fund. The funds primarily invest in U.S. and international equities, debt securities and other hedge funds.</w:t>
      </w:r>
    </w:p>
    <w:p>
      <w:pPr>
        <w:spacing w:after="0" w:line="62"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fair values of limited partnerships are valued using the NAV as determined by the administrator or custodian of the fund. The partnerships primarily invest in U.S. and international equities and debt securities.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Real estate and other investments primarily consists of real estate investment trusts and other investments. These investments are measured at quoted market prices, which represent the NAV of the securities held in such funds at year end.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692" w:right="239" w:bottom="1440" w:gutter="0" w:footer="0" w:header="0"/>
        </w:sectPr>
      </w:pPr>
    </w:p>
    <w:bookmarkStart w:id="93" w:name="page94"/>
    <w:bookmarkEnd w:id="93"/>
    <w:p>
      <w:pPr>
        <w:ind w:right="360"/>
        <w:spacing w:after="0" w:line="277" w:lineRule="auto"/>
        <w:rPr>
          <w:sz w:val="20"/>
          <w:szCs w:val="20"/>
          <w:color w:val="auto"/>
        </w:rPr>
      </w:pPr>
      <w:r>
        <w:rPr>
          <w:rFonts w:ascii="Arial" w:cs="Arial" w:eastAsia="Arial" w:hAnsi="Arial"/>
          <w:sz w:val="18"/>
          <w:szCs w:val="18"/>
          <w:color w:val="auto"/>
        </w:rPr>
        <w:t>Our pension plan assets measured at fair value on a recurring basis are as follows at December 31, 2017 and 2016. Refer to “Fair value measurements” in Note 1 to these consolidated financial statements for a description of the levels.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U.S.</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4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2"/>
                <w:szCs w:val="12"/>
                <w:color w:val="auto"/>
              </w:rPr>
            </w:pPr>
          </w:p>
        </w:tc>
        <w:tc>
          <w:tcPr>
            <w:tcW w:w="7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companies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International companies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Registered investment companies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Common/collective trusts </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Hedge funds </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Limited partnerships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Real estate and other investments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line="147" w:lineRule="exact"/>
              <w:rPr>
                <w:sz w:val="20"/>
                <w:szCs w:val="20"/>
                <w:color w:val="auto"/>
              </w:rPr>
            </w:pPr>
            <w:r>
              <w:rPr>
                <w:rFonts w:ascii="Arial" w:cs="Arial" w:eastAsia="Arial" w:hAnsi="Arial"/>
                <w:sz w:val="14"/>
                <w:szCs w:val="14"/>
                <w:b w:val="1"/>
                <w:bCs w:val="1"/>
                <w:color w:val="auto"/>
              </w:rPr>
              <w:t>December 31,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3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companies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International companies</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Registered investment companies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Common/collective trusts </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6"/>
                <w:szCs w:val="16"/>
                <w:color w:val="auto"/>
              </w:rPr>
              <w:t xml:space="preserve">Hedge funds </w:t>
            </w:r>
            <w:r>
              <w:rPr>
                <w:rFonts w:ascii="Arial" w:cs="Arial" w:eastAsia="Arial" w:hAnsi="Arial"/>
                <w:sz w:val="21"/>
                <w:szCs w:val="21"/>
                <w:color w:val="auto"/>
                <w:vertAlign w:val="superscript"/>
              </w:rPr>
              <w:t>(1)</w:t>
            </w: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Limited partnerships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Real estate and other investments</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Contributions—</w:t>
      </w:r>
      <w:r>
        <w:rPr>
          <w:rFonts w:ascii="Arial" w:cs="Arial" w:eastAsia="Arial" w:hAnsi="Arial"/>
          <w:sz w:val="18"/>
          <w:szCs w:val="18"/>
          <w:color w:val="auto"/>
        </w:rPr>
        <w:t>We expect to contribute approximately $19.9 million to our international pension plans, representing primarily the U.K. qualified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approximately $5.3 million to our U.S. Non-Qualified Defined Benefit Pension Plan in 2018. We do not expect to make any contributions to our U.S. Qualified Pension Plan in 2018. All of the contributions are expected to be in the form of cash. In 2017 and 2016, we contributed $19.1 million and $3.0 million to all pension plans, respectively.</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Estimated future benefit payments—</w:t>
      </w:r>
      <w:r>
        <w:rPr>
          <w:rFonts w:ascii="Arial" w:cs="Arial" w:eastAsia="Arial" w:hAnsi="Arial"/>
          <w:sz w:val="18"/>
          <w:szCs w:val="18"/>
          <w:color w:val="auto"/>
        </w:rPr>
        <w:t>The following table summarizes expected benefit payments from our various pension and post-retirement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2025. Actual benefit payments may differ from expected benefit payments.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5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2019</w:t>
            </w:r>
          </w:p>
        </w:tc>
        <w:tc>
          <w:tcPr>
            <w:tcW w:w="3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2021</w:t>
            </w:r>
          </w:p>
        </w:tc>
        <w:tc>
          <w:tcPr>
            <w:tcW w:w="3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2023-2027</w:t>
            </w:r>
          </w:p>
        </w:tc>
        <w:tc>
          <w:tcPr>
            <w:tcW w:w="3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86"/>
        </w:trPr>
        <w:tc>
          <w:tcPr>
            <w:tcW w:w="3220" w:type="dxa"/>
            <w:vAlign w:val="bottom"/>
          </w:tcPr>
          <w:p>
            <w:pPr>
              <w:spacing w:after="0"/>
              <w:rPr>
                <w:sz w:val="24"/>
                <w:szCs w:val="24"/>
                <w:color w:val="auto"/>
              </w:rPr>
            </w:pPr>
          </w:p>
        </w:tc>
        <w:tc>
          <w:tcPr>
            <w:tcW w:w="3520" w:type="dxa"/>
            <w:vAlign w:val="bottom"/>
          </w:tcPr>
          <w:p>
            <w:pPr>
              <w:jc w:val="right"/>
              <w:ind w:right="850"/>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4" w:name="page95"/>
    <w:bookmarkEnd w:id="94"/>
    <w:p>
      <w:pPr>
        <w:ind w:right="260"/>
        <w:spacing w:after="0" w:line="279" w:lineRule="auto"/>
        <w:rPr>
          <w:sz w:val="20"/>
          <w:szCs w:val="20"/>
          <w:color w:val="auto"/>
        </w:rPr>
      </w:pPr>
      <w:r>
        <w:rPr>
          <w:rFonts w:ascii="Arial" w:cs="Arial" w:eastAsia="Arial" w:hAnsi="Arial"/>
          <w:sz w:val="17"/>
          <w:szCs w:val="17"/>
          <w:i w:val="1"/>
          <w:iCs w:val="1"/>
          <w:color w:val="auto"/>
        </w:rPr>
        <w:t>Savings plans—</w:t>
      </w:r>
      <w:r>
        <w:rPr>
          <w:rFonts w:ascii="Arial" w:cs="Arial" w:eastAsia="Arial" w:hAnsi="Arial"/>
          <w:sz w:val="17"/>
          <w:szCs w:val="17"/>
          <w:color w:val="auto"/>
        </w:rPr>
        <w:t>The FMC Technologies, Inc. Savings and Investment Plan (“Qualified Plan”), a qualified salary reduction plan under Section 401(k)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Revenue Code, is a defined contribution plan. Additionally, we have a non-qualified deferred compensation plan, the Non-Qualified Plan, which allows certain highly compensated employees the option to defer the receipt of a portion of their salary. We match a portion of the participants’ deferrals to both plans. Both plans relate to FMC Technologies, Inc and therefore only 2017 amounts are presented below.</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Participants in the Non-Qualified Plan earn a return based on hypothetical investments in the same options as our 401(k) plan, including TehnipFMC plc stock. Changes in the market value of these participant investments are reflected as an adjustment to the deferred compensation liability with an offset to other income (expense), net. As of December 31, 2017, our liability for the Non-Qualified Plan was $29.4 million and was recorded in other non-current liabilities. We hedge the financial impact of changes in the participants’ hypothetical investments by purchasing the investments that the participants have chosen. With the exception of TechnipFMC plc stock, which is maintained at its cost basis, changes in the fair value of these investments are recognized as an offset to other income (expense), net. As of December 31, 2017, we had investments for the Non-Qualified Plan totaling $25.1 million at fair market value and TechnipFMC stock held in trust of $4.8 million at its cost basis. Refer to Note 18 to these consolidated financial statements for fair value disclosure of the Non-Qualified Plan investments.</w:t>
      </w:r>
    </w:p>
    <w:p>
      <w:pPr>
        <w:spacing w:after="0" w:line="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recognized expense of $20.3 million for matching contributions to these plans in 2017. Additionally, we recognized expense of $12.5 million for non-elective contributions in 2017.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SHARE-BASED COMPENSATION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Incentive compensation and award plan—</w:t>
      </w:r>
      <w:r>
        <w:rPr>
          <w:rFonts w:ascii="Arial" w:cs="Arial" w:eastAsia="Arial" w:hAnsi="Arial"/>
          <w:sz w:val="18"/>
          <w:szCs w:val="18"/>
          <w:color w:val="auto"/>
        </w:rPr>
        <w:t>On January 11, 2017, we adopted the TechnipFMC plc Incentive Award Plan (the “Plan”). The Plan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incentives and awards to officers, employees, non-employee directors and consultants of TechnipFMC and its subsidiaries. The Plan allows our Board of Directors to make various types of awards to non-employee directors and the Compensation Committee (the “Committee”) of the Board of Directors to make various types of awards to other eligible individuals. Awards may include share options, share appreciation rights, performance share units, restricted share units, restricted shares or other awards authorized under the Plan. All awards are subject to the Plan’s provisions, including all share-based grants previously issued by FMC Technologies and Technip prior to consummation of the Merger. Under the Plan, 24.1 million ordinary shares were authorized for awards.</w:t>
      </w:r>
    </w:p>
    <w:p>
      <w:pPr>
        <w:spacing w:after="0" w:line="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exercise price for options is determined by the Committee but cannot be less than the fair market value of our ordinary shares at the grant date. Restricted share and performance share unit grants generally vest after three years of service.</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the Plan, our Board of Directors has the authority to grant non-employee directors share options, restricted shares, restricted share units and performance shares. Unless otherwise determined by our Board of Directors, awards to non-employee directors generally vest on the date of our annual shareholder meeting following the date of grant. Restricted share units are settled when a director ceases services to the Board of Directors. At December 31, 2017, outstanding awards to active and retired non-employee directors included 64.9 thousand share units.</w:t>
      </w:r>
    </w:p>
    <w:p>
      <w:pPr>
        <w:spacing w:after="0" w:line="6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measurement of share-based compensation expense on restricted share awards and performance share awards is based on the market price at the grant date and the number of shares awarded. We used the Cox Ross Rubinstein binomial model to measure the fair value of stock options granted prior to December 31, 2016 and Black-Scholes options pricing model to measure the fair value of stock options granted on or after January 1, 2017.</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share-based compensation expense for each award is recognized ratably over the applicable service period or the period beginning at the start of the service period and ending when an employee becomes eligible for retirement (currently age 62 under the plan), after taking into account estimated forfeitures.We recognize compensation expense and the corresponding tax benefits for awards under the Plan. The compensation expense for nonvested share units under the Plan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benefits related to share-based compensation expense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the portion of share-based compensation expense related to outstanding awards to be recognized in future periods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Share-based compensation expense not yet recognized (in millions)</w:t>
            </w:r>
          </w:p>
        </w:tc>
        <w:tc>
          <w:tcPr>
            <w:tcW w:w="4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Weighted-average recognition period (in years)</w:t>
            </w: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2.2</w:t>
            </w:r>
          </w:p>
        </w:tc>
      </w:tr>
      <w:tr>
        <w:trPr>
          <w:trHeight w:val="486"/>
        </w:trPr>
        <w:tc>
          <w:tcPr>
            <w:tcW w:w="5260" w:type="dxa"/>
            <w:vAlign w:val="bottom"/>
          </w:tcPr>
          <w:p>
            <w:pPr>
              <w:spacing w:after="0"/>
              <w:rPr>
                <w:sz w:val="24"/>
                <w:szCs w:val="24"/>
                <w:color w:val="auto"/>
              </w:rPr>
            </w:pPr>
          </w:p>
        </w:tc>
        <w:tc>
          <w:tcPr>
            <w:tcW w:w="4680" w:type="dxa"/>
            <w:vAlign w:val="bottom"/>
          </w:tcPr>
          <w:p>
            <w:pPr>
              <w:jc w:val="right"/>
              <w:ind w:right="405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95" w:name="page96"/>
    <w:bookmarkEnd w:id="95"/>
    <w:p>
      <w:pPr>
        <w:ind w:right="360"/>
        <w:spacing w:after="0" w:line="277" w:lineRule="auto"/>
        <w:rPr>
          <w:sz w:val="20"/>
          <w:szCs w:val="20"/>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A summary of the nonvested restricted share units awarded to employees as of December 31, 2017, and changes during the year 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Assumed in the FMC Technologies Merger</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213.1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1,516.9</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1,722.3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The following summarizes values for restricted share unit activity to employees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restricted share units granted</w:t>
            </w:r>
          </w:p>
        </w:tc>
        <w:tc>
          <w:tcPr>
            <w:tcW w:w="1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Vest date fair value of restricted share units vested (in millions)</w:t>
            </w:r>
          </w:p>
        </w:tc>
        <w:tc>
          <w:tcPr>
            <w:tcW w:w="1500" w:type="dxa"/>
            <w:vAlign w:val="bottom"/>
          </w:tcPr>
          <w:p>
            <w:pPr>
              <w:spacing w:after="0"/>
              <w:rPr>
                <w:sz w:val="21"/>
                <w:szCs w:val="21"/>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2"/>
          <w:szCs w:val="12"/>
          <w:color w:val="auto"/>
        </w:rPr>
        <w:t>We began issuing restricted share units in 2017.</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i w:val="1"/>
          <w:iCs w:val="1"/>
          <w:color w:val="auto"/>
        </w:rPr>
        <w:t xml:space="preserve">Performance Shares. </w:t>
      </w:r>
      <w:r>
        <w:rPr>
          <w:rFonts w:ascii="Arial" w:cs="Arial" w:eastAsia="Arial" w:hAnsi="Arial"/>
          <w:sz w:val="17"/>
          <w:szCs w:val="17"/>
          <w:color w:val="auto"/>
        </w:rPr>
        <w:t>The Board of Directors has granted certain employees, senior executives and Directors or Officers shares subject to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satisfactory performances. For performance shares issued prior to December 31, 2016, performance is based on results in terms of health/safety/environment, operating income from recurring activities, and treasury generated from operating activities or total shareholder return. For performance shares issued on or after January 1, 2017, performance is based on results of return on investment or shareholder value.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nonvested performance share units awarded to employees as of December 31, 2017, and changes during the year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4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83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1,314.6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70"/>
        </w:trPr>
        <w:tc>
          <w:tcPr>
            <w:tcW w:w="83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Adjustment due to FMC Technologies transaction </w:t>
            </w:r>
            <w:r>
              <w:rPr>
                <w:rFonts w:ascii="Arial" w:cs="Arial" w:eastAsia="Arial" w:hAnsi="Arial"/>
                <w:sz w:val="25"/>
                <w:szCs w:val="25"/>
                <w:color w:val="auto"/>
                <w:vertAlign w:val="superscript"/>
              </w:rPr>
              <w:t>(1)</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1,306.0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(642.0)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57"/>
        </w:trPr>
        <w:tc>
          <w:tcPr>
            <w:tcW w:w="830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2,748.8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60" w:firstLine="8"/>
        <w:spacing w:after="0" w:line="237" w:lineRule="auto"/>
        <w:tabs>
          <w:tab w:leader="none" w:pos="192" w:val="left"/>
        </w:tabs>
        <w:numPr>
          <w:ilvl w:val="0"/>
          <w:numId w:val="40"/>
        </w:numPr>
        <w:rPr>
          <w:rFonts w:ascii="Arial" w:cs="Arial" w:eastAsia="Arial" w:hAnsi="Arial"/>
          <w:sz w:val="22"/>
          <w:szCs w:val="22"/>
          <w:color w:val="auto"/>
          <w:vertAlign w:val="superscript"/>
        </w:rPr>
      </w:pPr>
      <w:r>
        <w:rPr>
          <w:rFonts w:ascii="Arial" w:cs="Arial" w:eastAsia="Arial" w:hAnsi="Arial"/>
          <w:sz w:val="13"/>
          <w:szCs w:val="13"/>
          <w:color w:val="auto"/>
        </w:rPr>
        <w:t>The Weighted-Average Grant Date Fair Value for the increase in shares due to the merger remains at $0.00 in order to recalculate the new weighted average for the December 31, 2016 nonvested shares (see Note 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values for performance share activity to employees: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performance shares granted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31.65</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43.16</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Vest date fair value of performance shares vested (in millions)</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18.60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29.01</w:t>
            </w:r>
          </w:p>
        </w:tc>
      </w:tr>
    </w:tbl>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Share Option Awards. </w:t>
      </w:r>
      <w:r>
        <w:rPr>
          <w:rFonts w:ascii="Arial" w:cs="Arial" w:eastAsia="Arial" w:hAnsi="Arial"/>
          <w:sz w:val="17"/>
          <w:szCs w:val="17"/>
          <w:color w:val="auto"/>
        </w:rPr>
        <w:t>The fair value of each option award is estimated as of the date of grant using the Black-Scholes options pricing model or the Cox Ross</w:t>
      </w:r>
      <w:r>
        <w:rPr>
          <w:rFonts w:ascii="Arial" w:cs="Arial" w:eastAsia="Arial" w:hAnsi="Arial"/>
          <w:sz w:val="17"/>
          <w:szCs w:val="17"/>
          <w:i w:val="1"/>
          <w:iCs w:val="1"/>
          <w:color w:val="auto"/>
        </w:rPr>
        <w:t xml:space="preserve"> </w:t>
      </w:r>
      <w:r>
        <w:rPr>
          <w:rFonts w:ascii="Arial" w:cs="Arial" w:eastAsia="Arial" w:hAnsi="Arial"/>
          <w:sz w:val="17"/>
          <w:szCs w:val="17"/>
          <w:color w:val="auto"/>
        </w:rPr>
        <w:t>Rubinstein binomial model. Expected volatility is based on normalized historical volatility of our shares over a preceding period commensurate with the expected term of the option. From 2017, the risk-free rate for the expected term of the option is based on the U.S. Treasury yield curve in effect at the time of grant. Prior to 2017, the risk free rate was based on the bond yields from the European Central Bank. Share options awarded prior to 2017 were valued using an expected dividend yield of between 2.0% and 4.5% while those awarded in 2017 used 2.0%.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692" w:right="239" w:bottom="1440" w:gutter="0" w:footer="0" w:header="0"/>
        </w:sectPr>
      </w:pPr>
    </w:p>
    <w:bookmarkStart w:id="96" w:name="page97"/>
    <w:bookmarkEnd w:id="96"/>
    <w:p>
      <w:pPr>
        <w:ind w:right="40"/>
        <w:spacing w:after="0" w:line="342" w:lineRule="auto"/>
        <w:rPr>
          <w:sz w:val="20"/>
          <w:szCs w:val="20"/>
          <w:color w:val="auto"/>
        </w:rPr>
      </w:pPr>
      <w:r>
        <w:rPr>
          <w:rFonts w:ascii="Arial" w:cs="Arial" w:eastAsia="Arial" w:hAnsi="Arial"/>
          <w:sz w:val="16"/>
          <w:szCs w:val="16"/>
          <w:color w:val="auto"/>
        </w:rPr>
        <w:t>Share options awarded prior to 2017 were granted subject to performance criteria based upon certain targets, such as total shareholder return, return on capital employed, and operating income from recurring activities. Subsequent share options granted are time based awards vesting over a three year period.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for the option awards granted in the years ended December 31, 2017, 2016 and 2015 are as follows:</w:t>
      </w:r>
    </w:p>
    <w:p>
      <w:pPr>
        <w:spacing w:after="0" w:line="230"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4.2</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years ended December 31, 2017, 2016 and 2015, we granted 798.4 thousand, 595.1 thousand and 568.6 thousand options, respectively, and the weighted average grant-date fair value of options granted during years ended December 31, 2017, 2016 and 2015 was $8.79, €7.70 and €6.01,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option transactions during years ended December 31, 2017,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life</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5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(801.3)</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341"/>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Adjustment due to FMC Technologies transaction </w:t>
            </w:r>
            <w:r>
              <w:rPr>
                <w:rFonts w:ascii="Arial" w:cs="Arial" w:eastAsia="Arial" w:hAnsi="Arial"/>
                <w:sz w:val="25"/>
                <w:szCs w:val="25"/>
                <w:color w:val="auto"/>
                <w:vertAlign w:val="superscript"/>
              </w:rPr>
              <w:t>(1)</w:t>
            </w:r>
          </w:p>
        </w:tc>
        <w:tc>
          <w:tcPr>
            <w:tcW w:w="1500" w:type="dxa"/>
            <w:vAlign w:val="bottom"/>
            <w:vMerge w:val="restart"/>
          </w:tcPr>
          <w:p>
            <w:pPr>
              <w:jc w:val="right"/>
              <w:ind w:right="31"/>
              <w:spacing w:after="0"/>
              <w:rPr>
                <w:sz w:val="20"/>
                <w:szCs w:val="20"/>
                <w:color w:val="auto"/>
              </w:rPr>
            </w:pPr>
            <w:r>
              <w:rPr>
                <w:rFonts w:ascii="Arial" w:cs="Arial" w:eastAsia="Arial" w:hAnsi="Arial"/>
                <w:sz w:val="18"/>
                <w:szCs w:val="18"/>
                <w:color w:val="auto"/>
              </w:rPr>
              <w:t>2,188.8</w:t>
            </w:r>
          </w:p>
        </w:tc>
        <w:tc>
          <w:tcPr>
            <w:tcW w:w="120" w:type="dxa"/>
            <w:vAlign w:val="bottom"/>
          </w:tcPr>
          <w:p>
            <w:pPr>
              <w:spacing w:after="0"/>
              <w:rPr>
                <w:sz w:val="24"/>
                <w:szCs w:val="24"/>
                <w:color w:val="auto"/>
              </w:rPr>
            </w:pP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74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2017</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4,883.8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right="20" w:hanging="4"/>
        <w:spacing w:after="0" w:line="218" w:lineRule="auto"/>
        <w:tabs>
          <w:tab w:leader="none" w:pos="852" w:val="left"/>
        </w:tabs>
        <w:numPr>
          <w:ilvl w:val="0"/>
          <w:numId w:val="41"/>
        </w:numPr>
        <w:rPr>
          <w:rFonts w:ascii="Arial" w:cs="Arial" w:eastAsia="Arial" w:hAnsi="Arial"/>
          <w:sz w:val="24"/>
          <w:szCs w:val="24"/>
          <w:color w:val="auto"/>
          <w:vertAlign w:val="superscript"/>
        </w:rPr>
      </w:pPr>
      <w:r>
        <w:rPr>
          <w:rFonts w:ascii="Arial" w:cs="Arial" w:eastAsia="Arial" w:hAnsi="Arial"/>
          <w:sz w:val="14"/>
          <w:szCs w:val="14"/>
          <w:color w:val="auto"/>
        </w:rPr>
        <w:t>The Weighted-Average Grant Date Fair Value for the increase in shares due to the merger remains at $0.00 in order to recalculate the new weighted average for the December 31, 2016 nonvested shares (see Note 2)</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stock options outstanding and stock options exercisable as of December 31, 2017 was $12.5 million and nil, respectively.</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There were nil, 25.5 thousand and 561.7 thousand options exercised during the years ended December 31, 2017, 2016 and 2015, respectively. Cash received from the option exercises was nil, €1.5 million and €21.3 million during years ended December 31, 2017, 2016 and 2015, respectively. The total intrinsic value of options exercised during the years ended December 31, 2017, 2016 and 2015 was nil, nil and €12.9 million, respectively. To exercise stock options, an employee may choose (1) to pay, either directly or by way of the group savings plan, the stock option strike price to obtain shares, or (2) to sell the shares immediately after having exercised the stock option (in this case, the employee does not pay the strike price but instead receives the intrinsic value of the stock options in cash).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69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The following summarizes additional information concerning outstanding and exercisable options at December 31, 2017 :</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Options Outstanding</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5"/>
              </w:rPr>
              <w:t>Options Exercisable</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 Range</w:t>
            </w:r>
          </w:p>
        </w:tc>
        <w:tc>
          <w:tcPr>
            <w:tcW w:w="172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3"/>
                <w:szCs w:val="13"/>
                <w:color w:val="auto"/>
              </w:rPr>
            </w:pPr>
          </w:p>
        </w:tc>
        <w:tc>
          <w:tcPr>
            <w:tcW w:w="2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 average remaining life</w:t>
            </w:r>
          </w:p>
        </w:tc>
        <w:tc>
          <w:tcPr>
            <w:tcW w:w="18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6"/>
              </w:rPr>
              <w:t>Weighted average exercise</w:t>
            </w:r>
          </w:p>
        </w:tc>
        <w:tc>
          <w:tcPr>
            <w:tcW w:w="1720" w:type="dxa"/>
            <w:vAlign w:val="bottom"/>
          </w:tcPr>
          <w:p>
            <w:pPr>
              <w:jc w:val="right"/>
              <w:ind w:right="198"/>
              <w:spacing w:after="0" w:line="153" w:lineRule="exact"/>
              <w:rPr>
                <w:sz w:val="20"/>
                <w:szCs w:val="20"/>
                <w:color w:val="auto"/>
              </w:rPr>
            </w:pPr>
            <w:r>
              <w:rPr>
                <w:rFonts w:ascii="Arial" w:cs="Arial" w:eastAsia="Arial" w:hAnsi="Arial"/>
                <w:sz w:val="14"/>
                <w:szCs w:val="14"/>
                <w:b w:val="1"/>
                <w:bCs w:val="1"/>
                <w:color w:val="auto"/>
              </w:rPr>
              <w:t>Number of options</w:t>
            </w:r>
          </w:p>
        </w:tc>
        <w:tc>
          <w:tcPr>
            <w:tcW w:w="100" w:type="dxa"/>
            <w:vAlign w:val="bottom"/>
          </w:tcPr>
          <w:p>
            <w:pPr>
              <w:spacing w:after="0"/>
              <w:rPr>
                <w:sz w:val="13"/>
                <w:szCs w:val="13"/>
                <w:color w:val="auto"/>
              </w:rPr>
            </w:pPr>
          </w:p>
        </w:tc>
        <w:tc>
          <w:tcPr>
            <w:tcW w:w="17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$26.00 - $33.00</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3,061.9</w:t>
            </w:r>
          </w:p>
        </w:tc>
        <w:tc>
          <w:tcPr>
            <w:tcW w:w="2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tcPr>
          <w:p>
            <w:pPr>
              <w:jc w:val="center"/>
              <w:spacing w:after="0"/>
              <w:rPr>
                <w:sz w:val="20"/>
                <w:szCs w:val="20"/>
                <w:color w:val="auto"/>
              </w:rPr>
            </w:pPr>
            <w:r>
              <w:rPr>
                <w:rFonts w:ascii="Arial" w:cs="Arial" w:eastAsia="Arial" w:hAnsi="Arial"/>
                <w:sz w:val="18"/>
                <w:szCs w:val="18"/>
                <w:color w:val="auto"/>
                <w:w w:val="90"/>
              </w:rPr>
              <w:t>$45.00 - $51.00</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1,277.0</w:t>
            </w:r>
          </w:p>
        </w:tc>
        <w:tc>
          <w:tcPr>
            <w:tcW w:w="23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1,244.0</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$55.00 - $57.00</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544.9</w:t>
            </w:r>
          </w:p>
        </w:tc>
        <w:tc>
          <w:tcPr>
            <w:tcW w:w="2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544.9</w:t>
            </w: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57"/>
        </w:trPr>
        <w:tc>
          <w:tcPr>
            <w:tcW w:w="1960" w:type="dxa"/>
            <w:vAlign w:val="bottom"/>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4,883.8</w:t>
            </w:r>
          </w:p>
        </w:tc>
        <w:tc>
          <w:tcPr>
            <w:tcW w:w="230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1,788.9</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DERIVATIVE FINANCIAL INSTRUMENTS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Foreign exchange rate forward contracts</w:t>
      </w:r>
      <w:r>
        <w:rPr>
          <w:rFonts w:ascii="Arial" w:cs="Arial" w:eastAsia="Arial" w:hAnsi="Arial"/>
          <w:sz w:val="18"/>
          <w:szCs w:val="18"/>
          <w:color w:val="auto"/>
        </w:rPr>
        <w:t xml:space="preserve"> – The purpose of these instruments is to hedge the risk of changes in future cash flows of anticipated purchase or sale commitments denominated in foreign currencies and recorded assets and liabilities in our consolidated balance sheets. At December 31, 2017, we held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360" w:type="dxa"/>
            <w:vAlign w:val="bottom"/>
            <w:gridSpan w:val="2"/>
          </w:tcPr>
          <w:p>
            <w:pPr>
              <w:jc w:val="center"/>
              <w:ind w:left="674"/>
              <w:spacing w:after="0"/>
              <w:rPr>
                <w:sz w:val="20"/>
                <w:szCs w:val="20"/>
                <w:color w:val="auto"/>
              </w:rPr>
            </w:pPr>
            <w:r>
              <w:rPr>
                <w:rFonts w:ascii="Arial" w:cs="Arial" w:eastAsia="Arial" w:hAnsi="Arial"/>
                <w:sz w:val="14"/>
                <w:szCs w:val="14"/>
                <w:b w:val="1"/>
                <w:bCs w:val="1"/>
                <w:color w:val="auto"/>
                <w:w w:val="94"/>
              </w:rPr>
              <w:t>Net Notional Amount</w:t>
            </w:r>
          </w:p>
        </w:tc>
        <w:tc>
          <w:tcPr>
            <w:tcW w:w="72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2360" w:type="dxa"/>
            <w:vAlign w:val="bottom"/>
            <w:tcBorders>
              <w:bottom w:val="single" w:sz="8" w:color="auto"/>
            </w:tcBorders>
            <w:gridSpan w:val="2"/>
          </w:tcPr>
          <w:p>
            <w:pPr>
              <w:jc w:val="center"/>
              <w:ind w:left="654"/>
              <w:spacing w:after="0"/>
              <w:rPr>
                <w:sz w:val="20"/>
                <w:szCs w:val="20"/>
                <w:color w:val="auto"/>
              </w:rPr>
            </w:pPr>
            <w:r>
              <w:rPr>
                <w:rFonts w:ascii="Arial" w:cs="Arial" w:eastAsia="Arial" w:hAnsi="Arial"/>
                <w:sz w:val="14"/>
                <w:szCs w:val="14"/>
                <w:b w:val="1"/>
                <w:bCs w:val="1"/>
                <w:color w:val="auto"/>
                <w:w w:val="92"/>
              </w:rPr>
              <w:t>Bought (Sold)</w:t>
            </w:r>
          </w:p>
        </w:tc>
        <w:tc>
          <w:tcPr>
            <w:tcW w:w="7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156.5</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783.1</w:t>
            </w:r>
          </w:p>
        </w:tc>
        <w:tc>
          <w:tcPr>
            <w:tcW w:w="7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236.7</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142.0</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(181.9)</w:t>
            </w: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354.9</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(1,857.5)</w:t>
            </w:r>
          </w:p>
        </w:tc>
        <w:tc>
          <w:tcPr>
            <w:tcW w:w="7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226.3</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dollar</w:t>
            </w: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116.2</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dollar</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(647.6)</w:t>
            </w: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(647.6)</w:t>
            </w:r>
          </w:p>
        </w:tc>
      </w:tr>
    </w:tbl>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Foreign exchange rate instruments embedded in purchase and sale contracts</w:t>
      </w:r>
      <w:r>
        <w:rPr>
          <w:rFonts w:ascii="Arial" w:cs="Arial" w:eastAsia="Arial" w:hAnsi="Arial"/>
          <w:sz w:val="18"/>
          <w:szCs w:val="18"/>
          <w:color w:val="auto"/>
        </w:rPr>
        <w:t xml:space="preserve"> – The purpose of these instruments is to match offsetting currency payments and receipts for particular projects or conduct business in internationally recognized and traded currencies. At December 31, 2017, our portfolio of these instruments included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0" w:type="dxa"/>
            <w:vAlign w:val="bottom"/>
            <w:gridSpan w:val="2"/>
          </w:tcPr>
          <w:p>
            <w:pPr>
              <w:jc w:val="center"/>
              <w:ind w:left="639"/>
              <w:spacing w:after="0"/>
              <w:rPr>
                <w:sz w:val="20"/>
                <w:szCs w:val="20"/>
                <w:color w:val="auto"/>
              </w:rPr>
            </w:pPr>
            <w:r>
              <w:rPr>
                <w:rFonts w:ascii="Arial" w:cs="Arial" w:eastAsia="Arial" w:hAnsi="Arial"/>
                <w:sz w:val="14"/>
                <w:szCs w:val="14"/>
                <w:b w:val="1"/>
                <w:bCs w:val="1"/>
                <w:color w:val="auto"/>
                <w:w w:val="94"/>
              </w:rPr>
              <w:t>Net Notional Amount</w:t>
            </w:r>
          </w:p>
        </w:tc>
        <w:tc>
          <w:tcPr>
            <w:tcW w:w="68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240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4"/>
                <w:szCs w:val="14"/>
                <w:b w:val="1"/>
                <w:bCs w:val="1"/>
                <w:color w:val="auto"/>
                <w:w w:val="92"/>
              </w:rPr>
              <w:t>Bought (Sold)</w:t>
            </w:r>
          </w:p>
        </w:tc>
        <w:tc>
          <w:tcPr>
            <w:tcW w:w="6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Norwegian krone</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(290.1)</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dollar</w:t>
            </w: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32.8</w:t>
            </w:r>
          </w:p>
        </w:tc>
        <w:tc>
          <w:tcPr>
            <w:tcW w:w="8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32.8</w:t>
            </w:r>
          </w:p>
        </w:tc>
      </w:tr>
    </w:tbl>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21 to these consolidated financial statements for further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692" w:right="239" w:bottom="1440" w:gutter="0" w:footer="0" w:header="0"/>
        </w:sectPr>
      </w:pPr>
    </w:p>
    <w:bookmarkStart w:id="98" w:name="page99"/>
    <w:bookmarkEnd w:id="98"/>
    <w:p>
      <w:pPr>
        <w:ind w:right="100"/>
        <w:spacing w:after="0" w:line="308" w:lineRule="auto"/>
        <w:rPr>
          <w:sz w:val="20"/>
          <w:szCs w:val="20"/>
          <w:color w:val="auto"/>
        </w:rPr>
      </w:pPr>
      <w:r>
        <w:rPr>
          <w:rFonts w:ascii="Arial" w:cs="Arial" w:eastAsia="Arial" w:hAnsi="Arial"/>
          <w:sz w:val="17"/>
          <w:szCs w:val="17"/>
          <w:color w:val="auto"/>
        </w:rPr>
        <w:t>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47.6</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Long-term – Derivative financial instruments – Synthetic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Bonds – Call Option Premium</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720"/>
              <w:spacing w:after="0"/>
              <w:rPr>
                <w:sz w:val="20"/>
                <w:szCs w:val="20"/>
                <w:color w:val="auto"/>
              </w:rPr>
            </w:pPr>
            <w:r>
              <w:rPr>
                <w:rFonts w:ascii="Arial" w:cs="Arial" w:eastAsia="Arial" w:hAnsi="Arial"/>
                <w:sz w:val="18"/>
                <w:szCs w:val="18"/>
                <w:color w:val="auto"/>
                <w:w w:val="99"/>
              </w:rPr>
              <w:t>Long-term – Derivative financial instruments – Synthetic</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720"/>
              <w:spacing w:after="0"/>
              <w:rPr>
                <w:sz w:val="20"/>
                <w:szCs w:val="20"/>
                <w:color w:val="auto"/>
              </w:rPr>
            </w:pPr>
            <w:r>
              <w:rPr>
                <w:rFonts w:ascii="Arial" w:cs="Arial" w:eastAsia="Arial" w:hAnsi="Arial"/>
                <w:sz w:val="18"/>
                <w:szCs w:val="18"/>
                <w:color w:val="auto"/>
              </w:rPr>
              <w:t>Bonds – Embedded Derivatives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180.1</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410.7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recognized a gain of $25.3 million and losses of $10.3 million and $9.0 million on cash flow hedges for the years ended December 31, 2017, 2016 and 2015, respectively, due to hedge ineffectiveness as it was probable that the original forecasted transaction would not occur. Cash flow hedges of forecasted transactions, net of tax, resulted in accumulated other comprehensive income of $28.5 million and accumulated comprehensive loss $126.5 million at December 31, 2017 and 2016, respectively. We expect to transfer approximately $23.0 million income from accumulated OCI to earnings during the next 12 months when the anticipated transactions actually occur. All anticipated transactions currently being hedged are expected to occur by the second half of 2020.</w:t>
      </w:r>
    </w:p>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0"/>
              </w:rPr>
              <w:t>Location of Fair Value Hedge Gain (Loss) Recognized in Income</w:t>
            </w:r>
          </w:p>
        </w:tc>
        <w:tc>
          <w:tcPr>
            <w:tcW w:w="2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Gain (Loss) Recognized in Income</w:t>
            </w: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gridSpan w:val="5"/>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90"/>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left="282"/>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8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243"/>
        </w:trPr>
        <w:tc>
          <w:tcPr>
            <w:tcW w:w="6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following tables present the location of gains (losses) on the consolidated statements of income related to derivative instruments designated as cash flow hedges.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Gain (Loss) Recognized in OCI (Effective Portion)</w:t>
            </w:r>
          </w:p>
        </w:tc>
      </w:tr>
      <w:tr>
        <w:trPr>
          <w:trHeight w:val="196"/>
        </w:trPr>
        <w:tc>
          <w:tcPr>
            <w:tcW w:w="38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9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92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459"/>
        </w:trPr>
        <w:tc>
          <w:tcPr>
            <w:tcW w:w="3820" w:type="dxa"/>
            <w:vAlign w:val="bottom"/>
          </w:tcPr>
          <w:p>
            <w:pPr>
              <w:spacing w:after="0"/>
              <w:rPr>
                <w:sz w:val="24"/>
                <w:szCs w:val="24"/>
                <w:color w:val="auto"/>
              </w:rPr>
            </w:pPr>
          </w:p>
        </w:tc>
        <w:tc>
          <w:tcPr>
            <w:tcW w:w="2920" w:type="dxa"/>
            <w:vAlign w:val="bottom"/>
          </w:tcPr>
          <w:p>
            <w:pPr>
              <w:jc w:val="right"/>
              <w:ind w:right="850"/>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99" w:name="page100"/>
    <w:bookmarkEnd w:id="99"/>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Location of Cash Flow Hedge Gain (Loss) Reclassified from Accumulated OCI into Income</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4"/>
          <w:szCs w:val="14"/>
          <w:b w:val="1"/>
          <w:bCs w:val="1"/>
          <w:color w:val="auto"/>
        </w:rPr>
        <w:t>Gain (Loss) Reclassified From Accumulated</w:t>
      </w:r>
    </w:p>
    <w:p>
      <w:pPr>
        <w:spacing w:after="0" w:line="4"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OCI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13335</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23495</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80" w:val="left"/>
          <w:tab w:leader="none" w:pos="3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333" w:lineRule="exact"/>
        <w:rPr>
          <w:sz w:val="20"/>
          <w:szCs w:val="20"/>
          <w:color w:val="auto"/>
        </w:rPr>
      </w:pPr>
    </w:p>
    <w:p>
      <w:pPr>
        <w:sectPr>
          <w:pgSz w:w="11900" w:h="16838" w:orient="portrait"/>
          <w:cols w:equalWidth="0" w:num="2">
            <w:col w:w="6640" w:space="720"/>
            <w:col w:w="4060"/>
          </w:cols>
          <w:pgMar w:left="240" w:top="738" w:right="239" w:bottom="1440" w:gutter="0" w:footer="0" w:header="0"/>
        </w:sect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ectPr>
          <w:pgSz w:w="11900" w:h="16838" w:orient="portrait"/>
          <w:cols w:equalWidth="0" w:num="1">
            <w:col w:w="11420"/>
          </w:cols>
          <w:pgMar w:left="240" w:top="738" w:right="239" w:bottom="1440" w:gutter="0" w:footer="0" w:header="0"/>
          <w:type w:val="continuous"/>
        </w:sectPr>
      </w:pPr>
    </w:p>
    <w:p>
      <w:pPr>
        <w:spacing w:after="0" w:line="10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Location of Cash Flow Hedge Gain (Loss) Recognized in Income</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600"/>
        <w:spacing w:after="0"/>
        <w:rPr>
          <w:sz w:val="20"/>
          <w:szCs w:val="20"/>
          <w:color w:val="auto"/>
        </w:rPr>
      </w:pPr>
      <w:r>
        <w:rPr>
          <w:rFonts w:ascii="Arial" w:cs="Arial" w:eastAsia="Arial" w:hAnsi="Arial"/>
          <w:sz w:val="13"/>
          <w:szCs w:val="13"/>
          <w:b w:val="1"/>
          <w:bCs w:val="1"/>
          <w:color w:val="auto"/>
        </w:rPr>
        <w:t>Gain (Loss) Recognized in Income (Ineffective Portion</w:t>
      </w:r>
    </w:p>
    <w:p>
      <w:pPr>
        <w:spacing w:after="0" w:line="15"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and Amount Excluded from Effectiveness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13335</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9"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23495</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80" w:val="left"/>
          <w:tab w:leader="none" w:pos="3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63" w:lineRule="exact"/>
        <w:rPr>
          <w:sz w:val="20"/>
          <w:szCs w:val="20"/>
          <w:color w:val="auto"/>
        </w:rPr>
      </w:pPr>
    </w:p>
    <w:p>
      <w:pPr>
        <w:sectPr>
          <w:pgSz w:w="11900" w:h="16838" w:orient="portrait"/>
          <w:cols w:equalWidth="0" w:num="2">
            <w:col w:w="6640" w:space="720"/>
            <w:col w:w="4060"/>
          </w:cols>
          <w:pgMar w:left="240" w:top="738"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6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2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91"/>
              </w:rPr>
              <w:t>Gain (Loss) Recognized in Income on</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200" w:type="dxa"/>
            <w:vAlign w:val="bottom"/>
            <w:vMerge w:val="restart"/>
          </w:tcPr>
          <w:p>
            <w:pPr>
              <w:spacing w:after="0"/>
              <w:rPr>
                <w:sz w:val="20"/>
                <w:szCs w:val="20"/>
                <w:color w:val="auto"/>
              </w:rPr>
            </w:pPr>
            <w:r>
              <w:rPr>
                <w:rFonts w:ascii="Arial" w:cs="Arial" w:eastAsia="Arial" w:hAnsi="Arial"/>
                <w:sz w:val="16"/>
                <w:szCs w:val="16"/>
                <w:b w:val="1"/>
                <w:bCs w:val="1"/>
                <w:color w:val="auto"/>
                <w:w w:val="90"/>
              </w:rPr>
              <w:t>Location of Gain (Loss) Recognized in Income</w:t>
            </w:r>
          </w:p>
        </w:tc>
        <w:tc>
          <w:tcPr>
            <w:tcW w:w="3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20" w:type="dxa"/>
            <w:vAlign w:val="bottom"/>
            <w:gridSpan w:val="6"/>
          </w:tcPr>
          <w:p>
            <w:pPr>
              <w:jc w:val="center"/>
              <w:ind w:left="558"/>
              <w:spacing w:after="0" w:line="149" w:lineRule="exact"/>
              <w:rPr>
                <w:sz w:val="20"/>
                <w:szCs w:val="20"/>
                <w:color w:val="auto"/>
              </w:rPr>
            </w:pPr>
            <w:r>
              <w:rPr>
                <w:rFonts w:ascii="Arial" w:cs="Arial" w:eastAsia="Arial" w:hAnsi="Arial"/>
                <w:sz w:val="14"/>
                <w:szCs w:val="14"/>
                <w:b w:val="1"/>
                <w:bCs w:val="1"/>
                <w:color w:val="auto"/>
                <w:w w:val="93"/>
              </w:rPr>
              <w:t>Derivatives (Instruments Not Designated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200" w:type="dxa"/>
            <w:vAlign w:val="bottom"/>
            <w:tcBorders>
              <w:bottom w:val="single" w:sz="8" w:color="auto"/>
            </w:tcBorders>
            <w:vMerge w:val="continue"/>
          </w:tcPr>
          <w:p>
            <w:pPr>
              <w:spacing w:after="0"/>
              <w:rPr>
                <w:sz w:val="11"/>
                <w:szCs w:val="11"/>
                <w:color w:val="auto"/>
              </w:rPr>
            </w:pPr>
          </w:p>
        </w:tc>
        <w:tc>
          <w:tcPr>
            <w:tcW w:w="3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80" w:type="dxa"/>
            <w:vAlign w:val="bottom"/>
            <w:gridSpan w:val="4"/>
          </w:tcPr>
          <w:p>
            <w:pPr>
              <w:jc w:val="center"/>
              <w:spacing w:after="0" w:line="125" w:lineRule="exact"/>
              <w:rPr>
                <w:sz w:val="20"/>
                <w:szCs w:val="20"/>
                <w:color w:val="auto"/>
              </w:rPr>
            </w:pPr>
            <w:r>
              <w:rPr>
                <w:rFonts w:ascii="Arial" w:cs="Arial" w:eastAsia="Arial" w:hAnsi="Arial"/>
                <w:sz w:val="14"/>
                <w:szCs w:val="14"/>
                <w:b w:val="1"/>
                <w:bCs w:val="1"/>
                <w:color w:val="auto"/>
                <w:w w:val="92"/>
              </w:rPr>
              <w:t>as Hedging Instruments)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4"/>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0.9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Balance Sheet Offsetting</w:t>
      </w:r>
      <w:r>
        <w:rPr>
          <w:rFonts w:ascii="Arial" w:cs="Arial" w:eastAsia="Arial" w:hAnsi="Arial"/>
          <w:sz w:val="18"/>
          <w:szCs w:val="18"/>
          <w:color w:val="auto"/>
        </w:rPr>
        <w:t>—We execute derivative contracts with counterparties that consent to a master netting agreement which permits net settlement of the gross derivative assets against gross derivative liabilities. Each instrument is accounted for individually and assets and liabilities are not offset. As of December 31, 2017 and 2016, we had no collateralized derivative contracts. The following tables present both gross information and net information of recognized derivative instruments: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2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40" w:type="dxa"/>
            <w:vAlign w:val="bottom"/>
          </w:tcPr>
          <w:p>
            <w:pPr>
              <w:spacing w:after="0"/>
              <w:rPr>
                <w:sz w:val="12"/>
                <w:szCs w:val="12"/>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Netting Agreements</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173.2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238.0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38" w:right="2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2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40" w:type="dxa"/>
            <w:vAlign w:val="bottom"/>
          </w:tcPr>
          <w:p>
            <w:pPr>
              <w:spacing w:after="0"/>
              <w:rPr>
                <w:sz w:val="12"/>
                <w:szCs w:val="12"/>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Netting Agreements</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137.1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410.7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Nonqualified Plan: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70"/>
        </w:trPr>
        <w:tc>
          <w:tcPr>
            <w:tcW w:w="33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Traded securities </w:t>
            </w:r>
            <w:r>
              <w:rPr>
                <w:rFonts w:ascii="Arial" w:cs="Arial" w:eastAsia="Arial" w:hAnsi="Arial"/>
                <w:sz w:val="25"/>
                <w:szCs w:val="25"/>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Stable value fund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33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Synthetic bonds - call option premium</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31"/>
        </w:trPr>
        <w:tc>
          <w:tcPr>
            <w:tcW w:w="3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Redeemable financial 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174.8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w w:val="91"/>
              </w:rPr>
              <w:t>Synthetic bonds - embedded derivatives</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Liabilities held for sale</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61"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Includes equity securities, fixed income and other investments measured at fair value.</w:t>
      </w:r>
    </w:p>
    <w:p>
      <w:pPr>
        <w:spacing w:after="0" w:line="74" w:lineRule="exact"/>
        <w:rPr>
          <w:rFonts w:ascii="Arial" w:cs="Arial" w:eastAsia="Arial" w:hAnsi="Arial"/>
          <w:sz w:val="22"/>
          <w:szCs w:val="22"/>
          <w:color w:val="auto"/>
          <w:vertAlign w:val="superscript"/>
        </w:rPr>
      </w:pPr>
    </w:p>
    <w:p>
      <w:pPr>
        <w:ind w:left="500" w:hanging="492"/>
        <w:spacing w:after="0" w:line="211"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Non-qualified plan—</w:t>
      </w:r>
      <w:r>
        <w:rPr>
          <w:rFonts w:ascii="Arial" w:cs="Arial" w:eastAsia="Arial" w:hAnsi="Arial"/>
          <w:sz w:val="18"/>
          <w:szCs w:val="18"/>
          <w:color w:val="auto"/>
        </w:rPr>
        <w:t>The fair value measurement of our traded securities is based on quoted prices that we have the ability to access in public markets. Our</w:t>
      </w:r>
      <w:r>
        <w:rPr>
          <w:rFonts w:ascii="Arial" w:cs="Arial" w:eastAsia="Arial" w:hAnsi="Arial"/>
          <w:sz w:val="18"/>
          <w:szCs w:val="18"/>
          <w:i w:val="1"/>
          <w:iCs w:val="1"/>
          <w:color w:val="auto"/>
        </w:rPr>
        <w:t xml:space="preserve"> </w:t>
      </w:r>
      <w:r>
        <w:rPr>
          <w:rFonts w:ascii="Arial" w:cs="Arial" w:eastAsia="Arial" w:hAnsi="Arial"/>
          <w:sz w:val="18"/>
          <w:szCs w:val="18"/>
          <w:color w:val="auto"/>
        </w:rPr>
        <w:t>stable value fund and money market fund are valued at the net asset value of the shares held at the end of the quarter, which is based on the fair value of the underlying investments using information reported by our investment adviser at quarter-end.</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Available-for-sale investments—</w:t>
      </w:r>
      <w:r>
        <w:rPr>
          <w:rFonts w:ascii="Arial" w:cs="Arial" w:eastAsia="Arial" w:hAnsi="Arial"/>
          <w:sz w:val="18"/>
          <w:szCs w:val="18"/>
          <w:color w:val="auto"/>
        </w:rPr>
        <w:t>The fair value measurement of our available-for-sale investments is based on quoted prices that we have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in public markets.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investments—</w:t>
      </w:r>
      <w:r>
        <w:rPr>
          <w:rFonts w:ascii="Arial" w:cs="Arial" w:eastAsia="Arial" w:hAnsi="Arial"/>
          <w:sz w:val="17"/>
          <w:szCs w:val="17"/>
          <w:color w:val="auto"/>
        </w:rPr>
        <w:t>Held-to-maturity investments included in the investments line item on the consolidated balance sheet are carried at amortized cost.</w:t>
      </w:r>
    </w:p>
    <w:p>
      <w:pPr>
        <w:spacing w:after="0" w:line="1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i w:val="1"/>
          <w:iCs w:val="1"/>
          <w:color w:val="auto"/>
        </w:rPr>
        <w:t>Assets and liabilities held for sale—</w:t>
      </w:r>
      <w:r>
        <w:rPr>
          <w:rFonts w:ascii="Arial" w:cs="Arial" w:eastAsia="Arial" w:hAnsi="Arial"/>
          <w:sz w:val="18"/>
          <w:szCs w:val="18"/>
          <w:color w:val="auto"/>
        </w:rPr>
        <w:t>The fair value of our assets and liabilities held for sale was determined using a market approach that took into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the expected sales price as of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06" w:right="239" w:bottom="1440" w:gutter="0" w:footer="0" w:header="0"/>
        </w:sectPr>
      </w:pPr>
    </w:p>
    <w:bookmarkStart w:id="101" w:name="page102"/>
    <w:bookmarkEnd w:id="101"/>
    <w:p>
      <w:pPr>
        <w:ind w:right="160"/>
        <w:spacing w:after="0" w:line="293" w:lineRule="auto"/>
        <w:rPr>
          <w:sz w:val="20"/>
          <w:szCs w:val="20"/>
          <w:color w:val="auto"/>
        </w:rPr>
      </w:pPr>
      <w:r>
        <w:rPr>
          <w:rFonts w:ascii="Arial" w:cs="Arial" w:eastAsia="Arial" w:hAnsi="Arial"/>
          <w:sz w:val="16"/>
          <w:szCs w:val="16"/>
          <w:i w:val="1"/>
          <w:iCs w:val="1"/>
          <w:color w:val="auto"/>
        </w:rPr>
        <w:t>Mandatorily redeemable financial liability—</w:t>
      </w:r>
      <w:r>
        <w:rPr>
          <w:rFonts w:ascii="Arial" w:cs="Arial" w:eastAsia="Arial" w:hAnsi="Arial"/>
          <w:sz w:val="16"/>
          <w:szCs w:val="16"/>
          <w:color w:val="auto"/>
        </w:rPr>
        <w:t>We determined the fair value of the mandatorily redeemable financial liability using a discounted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model. Refer to Note 14 for further information related to this liability. The key assumption used in applying the income approach is the selected discount rates and the expected dividends to be distributed in the future to the noncontrolling interest holders. Expected dividends to be distributed is based on the noncontrolling interests’ share of the expected profitability of the underlying contract, the selected discount rate, and the overall timing of completion of the project. A decrease of one percentage point in the discount rate would have increased the liability by $6.6 million as of December 31, 2017. The fair value measurement is based upon significant unobservable inputs not observable in the market and is consequently classified as a Level 3 fair value measurement.</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fair value of our Level 3 mandatorily redeemable financial liability is presented below. Since the liability was created during the three months ended December 31, 2016, no changes in fair value are presented for the prior period.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Gains (losses) recognized in interest expense</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Settlements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We use the income approach as the valuation technique to measure the fair value of foreign currency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this time, we have no credit-risk-related contingent features in our agreements with the financial institutions that would require us to post collateral for derivative positions in a liability position.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20 to these consolidated financial statements for additional disclosure related to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were as follows: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Fair value of long-lived, non-financial assets—</w:t>
      </w:r>
      <w:r>
        <w:rPr>
          <w:rFonts w:ascii="Arial" w:cs="Arial" w:eastAsia="Arial" w:hAnsi="Arial"/>
          <w:sz w:val="17"/>
          <w:szCs w:val="17"/>
          <w:color w:val="auto"/>
        </w:rPr>
        <w:t>Long-lived, non-financial assets are measured at fair value on a non-recurring basis for the purposes of</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calculating impairment, when the recoverable amount of the assets has been determined to be less than the book value of the assets. The fair value measurements of our long-lived, non-financial assets measured by estimating the amount and timing of net future cash flows, which are Level 3 unobservable inputs, and discounting them using a risk-adjusted rate of interest. Significant increases or decreases in actual or estimated cash flows may result in changes to the fair value of long-lived non-financial assets. Refer to Note 5 for additional disclosure related to these asset impairments.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Other fair value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r>
        <w:rPr>
          <w:rFonts w:ascii="Arial" w:cs="Arial" w:eastAsia="Arial" w:hAnsi="Arial"/>
          <w:sz w:val="18"/>
          <w:szCs w:val="18"/>
          <w:color w:val="auto"/>
        </w:rPr>
        <w:t>—The fair value of our Synthetic Bonds, Senior Notes and private placement notes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December 31, 2016</w:t>
            </w:r>
          </w:p>
        </w:tc>
      </w:tr>
      <w:tr>
        <w:trPr>
          <w:trHeight w:val="304"/>
        </w:trPr>
        <w:tc>
          <w:tcPr>
            <w:tcW w:w="44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8"/>
                <w:szCs w:val="8"/>
                <w:b w:val="1"/>
                <w:bCs w:val="1"/>
                <w:color w:val="auto"/>
              </w:rPr>
              <w:t>(1)</w:t>
            </w:r>
          </w:p>
        </w:tc>
        <w:tc>
          <w:tcPr>
            <w:tcW w:w="260" w:type="dxa"/>
            <w:vAlign w:val="bottom"/>
          </w:tcPr>
          <w:p>
            <w:pPr>
              <w:spacing w:after="0"/>
              <w:rPr>
                <w:sz w:val="24"/>
                <w:szCs w:val="24"/>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(2)</w:t>
            </w:r>
          </w:p>
        </w:tc>
      </w:tr>
      <w:tr>
        <w:trPr>
          <w:trHeight w:val="250"/>
        </w:trPr>
        <w:tc>
          <w:tcPr>
            <w:tcW w:w="4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Synthetic bonds due 2021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661.5</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3.45%</w:t>
            </w:r>
          </w:p>
        </w:tc>
        <w:tc>
          <w:tcPr>
            <w:tcW w:w="39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5.00%</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2020</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239.0</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3.40%</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2022</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177.8</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3.15%</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2023</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3.15%</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142.8</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4.00%</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2027</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w:t>
            </w: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4.00%</w:t>
            </w:r>
          </w:p>
        </w:tc>
        <w:tc>
          <w:tcPr>
            <w:tcW w:w="3940" w:type="dxa"/>
            <w:vAlign w:val="bottom"/>
          </w:tcPr>
          <w:p>
            <w:pPr>
              <w:ind w:left="20"/>
              <w:spacing w:after="0"/>
              <w:rPr>
                <w:sz w:val="20"/>
                <w:szCs w:val="20"/>
                <w:color w:val="auto"/>
              </w:rPr>
            </w:pPr>
            <w:r>
              <w:rPr>
                <w:rFonts w:ascii="Arial" w:cs="Arial" w:eastAsia="Arial" w:hAnsi="Arial"/>
                <w:sz w:val="18"/>
                <w:szCs w:val="18"/>
                <w:color w:val="auto"/>
              </w:rPr>
              <w:t>Notes due 2032</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127.3</w:t>
            </w:r>
          </w:p>
        </w:tc>
      </w:tr>
      <w:tr>
        <w:trPr>
          <w:trHeight w:val="27"/>
        </w:trPr>
        <w:tc>
          <w:tcPr>
            <w:tcW w:w="5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3.75%</w:t>
            </w: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2033</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w:t>
            </w:r>
          </w:p>
        </w:tc>
      </w:tr>
      <w:tr>
        <w:trPr>
          <w:trHeight w:val="234"/>
        </w:trPr>
        <w:tc>
          <w:tcPr>
            <w:tcW w:w="4460" w:type="dxa"/>
            <w:vAlign w:val="bottom"/>
            <w:gridSpan w:val="2"/>
          </w:tcPr>
          <w:p>
            <w:pPr>
              <w:ind w:left="60"/>
              <w:spacing w:after="0"/>
              <w:rPr>
                <w:sz w:val="20"/>
                <w:szCs w:val="20"/>
                <w:color w:val="auto"/>
              </w:rPr>
            </w:pPr>
            <w:r>
              <w:rPr>
                <w:rFonts w:ascii="Arial" w:cs="Arial" w:eastAsia="Arial" w:hAnsi="Arial"/>
                <w:sz w:val="18"/>
                <w:szCs w:val="18"/>
                <w:b w:val="1"/>
                <w:bCs w:val="1"/>
                <w:color w:val="auto"/>
              </w:rPr>
              <w:t>_______________________</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22"/>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2" w:name="page103"/>
    <w:bookmarkEnd w:id="102"/>
    <w:p>
      <w:pPr>
        <w:ind w:left="500" w:right="200" w:hanging="492"/>
        <w:spacing w:after="0" w:line="217"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Carrying amounts are shown net of unamortized debt discounts and premiums and unamortized debt issuance costs of $13.8 million and $14.2 million as of 2017 and 2016, respectively.</w:t>
      </w:r>
    </w:p>
    <w:p>
      <w:pPr>
        <w:spacing w:after="0" w:line="44"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Fair values are based on Level 2 quoted market rates.</w:t>
      </w:r>
    </w:p>
    <w:p>
      <w:pPr>
        <w:spacing w:after="0" w:line="8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Other fair value disclosures—</w:t>
      </w:r>
      <w:r>
        <w:rPr>
          <w:rFonts w:ascii="Arial" w:cs="Arial" w:eastAsia="Arial" w:hAnsi="Arial"/>
          <w:sz w:val="18"/>
          <w:szCs w:val="18"/>
          <w:color w:val="auto"/>
        </w:rPr>
        <w:t>The carrying amounts of cash and cash equivalents, trade receivables, accounts payable, short-term debt,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debt associated with our bank borrowings, credit facilities, convertible bonds, as well as amounts included in other current assets and other current liabilities that meet the definition of financial instruments, approximate fair value.</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By their nature, financial instruments involve risk, including credit risk, for non-performance by counterparties. Financial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BUSINESS SEGMENTS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17"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Subsea</w:t>
      </w:r>
      <w:r>
        <w:rPr>
          <w:rFonts w:ascii="Arial" w:cs="Arial" w:eastAsia="Arial" w:hAnsi="Arial"/>
          <w:sz w:val="18"/>
          <w:szCs w:val="18"/>
          <w:i w:val="1"/>
          <w:iCs w:val="1"/>
          <w:color w:val="auto"/>
        </w:rPr>
        <w:t>—</w:t>
      </w:r>
      <w:r>
        <w:rPr>
          <w:rFonts w:ascii="Arial" w:cs="Arial" w:eastAsia="Arial" w:hAnsi="Arial"/>
          <w:sz w:val="18"/>
          <w:szCs w:val="18"/>
          <w:color w:val="auto"/>
        </w:rPr>
        <w:t>manufactures and designs products and systems, performs engineering, procurement and project management and provides services used by oil and gas companies involved in deepwater exploration and production of crude oil and natural gas.</w:t>
      </w:r>
    </w:p>
    <w:p>
      <w:pPr>
        <w:spacing w:after="0" w:line="62"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Onshore/Offshore</w:t>
      </w:r>
      <w:r>
        <w:rPr>
          <w:rFonts w:ascii="Arial" w:cs="Arial" w:eastAsia="Arial" w:hAnsi="Arial"/>
          <w:sz w:val="18"/>
          <w:szCs w:val="18"/>
          <w:i w:val="1"/>
          <w:iCs w:val="1"/>
          <w:color w:val="auto"/>
        </w:rPr>
        <w:t>—</w:t>
      </w:r>
      <w:r>
        <w:rPr>
          <w:rFonts w:ascii="Arial" w:cs="Arial" w:eastAsia="Arial" w:hAnsi="Arial"/>
          <w:sz w:val="18"/>
          <w:szCs w:val="18"/>
          <w:color w:val="auto"/>
        </w:rPr>
        <w:t>designs and builds onshore facilities related to the production, treatment and transportation of oil and gas; and designs, manufactures and installs fixed and floating platforms for the production and processing of oil and gas reserves for companies in the oil and gas industry.</w:t>
      </w:r>
    </w:p>
    <w:p>
      <w:pPr>
        <w:spacing w:after="0" w:line="73" w:lineRule="exact"/>
        <w:rPr>
          <w:rFonts w:ascii="Arial" w:cs="Arial" w:eastAsia="Arial" w:hAnsi="Arial"/>
          <w:sz w:val="18"/>
          <w:szCs w:val="18"/>
          <w:i w:val="1"/>
          <w:iCs w:val="1"/>
          <w:color w:val="auto"/>
        </w:rPr>
      </w:pPr>
    </w:p>
    <w:p>
      <w:pPr>
        <w:ind w:left="660" w:right="300" w:hanging="328"/>
        <w:spacing w:after="0" w:line="312" w:lineRule="auto"/>
        <w:tabs>
          <w:tab w:leader="none" w:pos="660" w:val="left"/>
        </w:tabs>
        <w:numPr>
          <w:ilvl w:val="0"/>
          <w:numId w:val="44"/>
        </w:numPr>
        <w:rPr>
          <w:rFonts w:ascii="Arial" w:cs="Arial" w:eastAsia="Arial" w:hAnsi="Arial"/>
          <w:sz w:val="16"/>
          <w:szCs w:val="16"/>
          <w:i w:val="1"/>
          <w:iCs w:val="1"/>
          <w:color w:val="auto"/>
        </w:rPr>
      </w:pPr>
      <w:r>
        <w:rPr>
          <w:rFonts w:ascii="Arial" w:cs="Arial" w:eastAsia="Arial" w:hAnsi="Arial"/>
          <w:sz w:val="16"/>
          <w:szCs w:val="16"/>
          <w:color w:val="auto"/>
        </w:rPr>
        <w:t>Surface Technologies</w:t>
      </w:r>
      <w:r>
        <w:rPr>
          <w:rFonts w:ascii="Arial" w:cs="Arial" w:eastAsia="Arial" w:hAnsi="Arial"/>
          <w:sz w:val="16"/>
          <w:szCs w:val="16"/>
          <w:i w:val="1"/>
          <w:iCs w:val="1"/>
          <w:color w:val="auto"/>
        </w:rPr>
        <w:t>—</w:t>
      </w:r>
      <w:r>
        <w:rPr>
          <w:rFonts w:ascii="Arial" w:cs="Arial" w:eastAsia="Arial" w:hAnsi="Arial"/>
          <w:sz w:val="16"/>
          <w:szCs w:val="16"/>
          <w:color w:val="auto"/>
        </w:rPr>
        <w:t>designs and manufactures systems and provides services used by oil and gas companies involved in land and offshore exploration and production of crude oil and natural gas; designs, manufactures and supplies technologically advanced high pressure valves and fittings for oilfield service companies; and also provides flowback and well testing services for exploration companies in the oil and gas industry.</w:t>
      </w:r>
    </w:p>
    <w:p>
      <w:pPr>
        <w:spacing w:after="0" w:line="3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Total revenue by segment includes intersegment sales, which are made at prices approximating those that the selling entity is able to obtain on external sales. Segment operating profit is defined as total segment revenue less segment operating expenses. Income (loss) from equity method investments is included in computing segment operating profit. Refer to Note 8 for additional information. The following items have been excluded in computing segment operating profit: corporate staff expense, net interest income (expense) associated with corporate debt facilities, income taxes, and other revenue and other expense, net.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697"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Segment revenue and segment operating profit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5,877.4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6,520.6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4,951.3</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revenue and intercompany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0" w:type="dxa"/>
            <w:vAlign w:val="bottom"/>
            <w:tcBorders>
              <w:bottom w:val="single" w:sz="8" w:color="CCEEFF"/>
            </w:tcBorders>
          </w:tcPr>
          <w:p>
            <w:pPr>
              <w:spacing w:after="0"/>
              <w:rPr>
                <w:sz w:val="24"/>
                <w:szCs w:val="24"/>
                <w:color w:val="auto"/>
              </w:rPr>
            </w:pPr>
          </w:p>
        </w:tc>
        <w:tc>
          <w:tcPr>
            <w:tcW w:w="670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15,056.9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9,199.6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11,471.9</w:t>
            </w:r>
          </w:p>
        </w:tc>
      </w:tr>
      <w:tr>
        <w:trPr>
          <w:trHeight w:val="237"/>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Segment operating profit (loss):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866.9</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Onshore/Offshore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 segment operating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67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items:</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70"/>
        </w:trPr>
        <w:tc>
          <w:tcPr>
            <w:tcW w:w="67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(331.9)</w:t>
            </w: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corporate items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r>
      <w:tr>
        <w:trPr>
          <w:trHeight w:val="264"/>
        </w:trPr>
        <w:tc>
          <w:tcPr>
            <w:tcW w:w="6740" w:type="dxa"/>
            <w:vAlign w:val="bottom"/>
            <w:gridSpan w:val="4"/>
          </w:tcPr>
          <w:p>
            <w:pPr>
              <w:ind w:left="40"/>
              <w:spacing w:after="0" w:line="264" w:lineRule="exact"/>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25"/>
                <w:szCs w:val="25"/>
                <w:color w:val="auto"/>
                <w:vertAlign w:val="superscript"/>
              </w:rPr>
              <w:t>(2)</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35" w:lineRule="exact"/>
        <w:rPr>
          <w:sz w:val="20"/>
          <w:szCs w:val="20"/>
          <w:color w:val="auto"/>
        </w:rPr>
      </w:pPr>
    </w:p>
    <w:p>
      <w:pPr>
        <w:ind w:left="660" w:right="340" w:hanging="652"/>
        <w:spacing w:after="0" w:line="215"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Corporate expense primarily includes corporate staff expenses, stock-based compensation expenses, other employee benefits, certain foreign exchange gains and losses, and merger-related transaction expenses.</w:t>
      </w:r>
    </w:p>
    <w:p>
      <w:pPr>
        <w:spacing w:after="0" w:line="57"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noncontrolling interests.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Subsea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12,944.4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7,823.1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Onshore/Offshore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3,229.3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Surface Technologies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2,453.3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30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19,978.2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11,052.4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(3)</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8,285.5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7,626.9</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30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28,263.7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5572"/>
              <w:spacing w:after="0"/>
              <w:rPr>
                <w:sz w:val="20"/>
                <w:szCs w:val="20"/>
                <w:color w:val="auto"/>
              </w:rPr>
            </w:pPr>
            <w:r>
              <w:rPr>
                <w:rFonts w:ascii="Arial" w:cs="Arial" w:eastAsia="Arial" w:hAnsi="Arial"/>
                <w:sz w:val="18"/>
                <w:szCs w:val="18"/>
                <w:color w:val="auto"/>
                <w:w w:val="89"/>
              </w:rPr>
              <w:t>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60" w:hanging="652"/>
        <w:spacing w:after="0" w:line="232" w:lineRule="auto"/>
        <w:tabs>
          <w:tab w:leader="none" w:pos="66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Corporate includes cash, LIFO adjustments, deferred income tax balances, property, plant and equipment not associated with a specific segment, pension assets and the fair value of derivative financial instruments.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692" w:right="239"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i w:val="1"/>
          <w:iCs w:val="1"/>
          <w:color w:val="auto"/>
        </w:rPr>
        <w:t>Geographic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Geographic segment sales were identified based on the location where our products and services were delivered.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center"/>
              <w:ind w:right="491"/>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Russia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4,894.2</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1,402.5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Angola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89"/>
              </w:rPr>
              <w:t>1,013.7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971.2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1,293.3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911.1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1,006.9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89"/>
              </w:rPr>
              <w:t>1,102.3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953.9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1,044.8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465.9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761.5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89"/>
              </w:rPr>
              <w:t>1,155.4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4,309.7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3,827.9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4,459.9</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15,056.9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9,199.6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11,471.9</w:t>
            </w:r>
          </w:p>
        </w:tc>
        <w:tc>
          <w:tcPr>
            <w:tcW w:w="0" w:type="dxa"/>
            <w:vAlign w:val="bottom"/>
          </w:tcPr>
          <w:p>
            <w:pPr>
              <w:spacing w:after="0"/>
              <w:rPr>
                <w:sz w:val="1"/>
                <w:szCs w:val="1"/>
                <w:color w:val="auto"/>
              </w:rPr>
            </w:pPr>
          </w:p>
        </w:tc>
      </w:tr>
      <w:tr>
        <w:trPr>
          <w:trHeight w:val="20"/>
        </w:trPr>
        <w:tc>
          <w:tcPr>
            <w:tcW w:w="6100" w:type="dxa"/>
            <w:vAlign w:val="bottom"/>
            <w:gridSpan w:val="10"/>
            <w:vMerge w:val="restart"/>
          </w:tcPr>
          <w:p>
            <w:pPr>
              <w:spacing w:after="0"/>
              <w:rPr>
                <w:sz w:val="20"/>
                <w:szCs w:val="20"/>
                <w:color w:val="auto"/>
              </w:rPr>
            </w:pPr>
            <w:r>
              <w:rPr>
                <w:rFonts w:ascii="Arial" w:cs="Arial" w:eastAsia="Arial" w:hAnsi="Arial"/>
                <w:sz w:val="18"/>
                <w:szCs w:val="18"/>
                <w:color w:val="auto"/>
                <w:w w:val="90"/>
              </w:rPr>
              <w:t>Geographic segment long-lived assets represent property, plant and equipment, net.</w:t>
            </w: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100" w:type="dxa"/>
            <w:vAlign w:val="bottom"/>
            <w:gridSpan w:val="10"/>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567.1</w:t>
            </w:r>
          </w:p>
        </w:tc>
        <w:tc>
          <w:tcPr>
            <w:tcW w:w="680" w:type="dxa"/>
            <w:vAlign w:val="bottom"/>
            <w:gridSpan w:val="3"/>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321.4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Malaysia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408.3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6"/>
          </w:tcPr>
          <w:p>
            <w:pPr>
              <w:jc w:val="right"/>
              <w:ind w:right="20"/>
              <w:spacing w:after="0"/>
              <w:rPr>
                <w:sz w:val="20"/>
                <w:szCs w:val="20"/>
                <w:color w:val="auto"/>
              </w:rPr>
            </w:pPr>
            <w:r>
              <w:rPr>
                <w:rFonts w:ascii="Arial" w:cs="Arial" w:eastAsia="Arial" w:hAnsi="Arial"/>
                <w:sz w:val="18"/>
                <w:szCs w:val="18"/>
                <w:color w:val="auto"/>
              </w:rPr>
              <w:t>1,190.1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89"/>
              </w:rPr>
              <w:t>1,078.2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1,127.5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 long-lived assets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3,871.5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2,620.1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i w:val="1"/>
                <w:iCs w:val="1"/>
                <w:color w:val="auto"/>
              </w:rPr>
              <w:t>Other business segment information</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vMerge w:val="restart"/>
          </w:tcPr>
          <w:p>
            <w:pPr>
              <w:jc w:val="center"/>
              <w:ind w:left="377"/>
              <w:spacing w:after="0"/>
              <w:rPr>
                <w:sz w:val="20"/>
                <w:szCs w:val="20"/>
                <w:color w:val="auto"/>
              </w:rPr>
            </w:pPr>
            <w:r>
              <w:rPr>
                <w:rFonts w:ascii="Arial" w:cs="Arial" w:eastAsia="Arial" w:hAnsi="Arial"/>
                <w:sz w:val="14"/>
                <w:szCs w:val="14"/>
                <w:b w:val="1"/>
                <w:bCs w:val="1"/>
                <w:color w:val="auto"/>
                <w:w w:val="94"/>
              </w:rPr>
              <w:t>Capital Expenditures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9"/>
              </w:rPr>
              <w:t>Research and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9"/>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Development Expense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6"/>
                <w:szCs w:val="16"/>
                <w:color w:val="auto"/>
              </w:rPr>
            </w:pPr>
          </w:p>
        </w:tc>
        <w:tc>
          <w:tcPr>
            <w:tcW w:w="2360" w:type="dxa"/>
            <w:vAlign w:val="bottom"/>
            <w:gridSpan w:val="1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9"/>
          </w:tcPr>
          <w:p>
            <w:pPr>
              <w:jc w:val="center"/>
              <w:ind w:right="21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507.2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295.9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Onshore/Offshore</w:t>
            </w:r>
          </w:p>
        </w:tc>
        <w:tc>
          <w:tcPr>
            <w:tcW w:w="180" w:type="dxa"/>
            <w:vAlign w:val="bottom"/>
          </w:tcPr>
          <w:p>
            <w:pPr>
              <w:spacing w:after="0"/>
              <w:rPr>
                <w:sz w:val="21"/>
                <w:szCs w:val="21"/>
                <w:color w:val="auto"/>
              </w:rPr>
            </w:pPr>
          </w:p>
        </w:tc>
        <w:tc>
          <w:tcPr>
            <w:tcW w:w="640" w:type="dxa"/>
            <w:vAlign w:val="bottom"/>
          </w:tcPr>
          <w:p>
            <w:pPr>
              <w:jc w:val="right"/>
              <w:ind w:right="37"/>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42.8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640" w:type="dxa"/>
            <w:vAlign w:val="bottom"/>
          </w:tcPr>
          <w:p>
            <w:pPr>
              <w:jc w:val="right"/>
              <w:ind w:right="37"/>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614.7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338.7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105.4</w:t>
            </w: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years ended December 31, 2017, 2016 and 2015, revenue from JSC Yamal LNG exceeded 10% of our consolidated revenue. During the year ended December 31, 2016, revenue from Total exceeded 10% of our consolidated revenue.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69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23. QUARTERLY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3"/>
              </w:rPr>
              <w:t>2017</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2016</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millions, except per share</w:t>
            </w:r>
          </w:p>
        </w:tc>
        <w:tc>
          <w:tcPr>
            <w:tcW w:w="200" w:type="dxa"/>
            <w:vAlign w:val="bottom"/>
          </w:tcPr>
          <w:p>
            <w:pPr>
              <w:spacing w:after="0"/>
              <w:rPr>
                <w:sz w:val="12"/>
                <w:szCs w:val="12"/>
                <w:color w:val="auto"/>
              </w:rPr>
            </w:pPr>
          </w:p>
        </w:tc>
        <w:tc>
          <w:tcPr>
            <w:tcW w:w="8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4th Qtr.</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2nd Qtr.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1st Qtr.</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4th Qtr.</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2nd Qtr.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1st Qtr.</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data)</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2,405.7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3,162.0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2,980.3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2,005.7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TechnipFMC plc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121.0</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302.4</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Basic earnings (loss)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w w:val="93"/>
              </w:rPr>
              <w:t>Diluted earnings (loss) per share $</w:t>
            </w: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2017, and under the direction of our Chief Executive Officer and Chief Financial Officer, we have evaluated the effectiveness of our disclosure controls and procedures, as defined in Rules 13a-15(e) under the Exchange Act. Based upon this evaluation, our Chief Executive Officer and Chief Financial Officer have concluded as of December 31, 2017, that our disclosure controls and procedures were not effective because of the material weaknesses in our internal control over financial reporting described below.</w:t>
      </w:r>
    </w:p>
    <w:p>
      <w:pPr>
        <w:spacing w:after="0" w:line="7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response to the identification of the material weaknesses described below, the Company performed additional analysis and other post-closing procedures. Based upon the work performed, management believes that the Company’s consolidated financial statements for the periods covered by and included in this Annual Report on Form 10-K fairly present in all material respects the Company’s financial position, results of operations and cash flows, in conformity with U.S. generally accepted accounting principles.</w:t>
      </w:r>
    </w:p>
    <w:p>
      <w:pPr>
        <w:spacing w:after="0" w:line="75" w:lineRule="exact"/>
        <w:rPr>
          <w:sz w:val="20"/>
          <w:szCs w:val="20"/>
          <w:color w:val="auto"/>
        </w:rPr>
      </w:pPr>
    </w:p>
    <w:p>
      <w:pPr>
        <w:ind w:right="5560"/>
        <w:spacing w:after="0" w:line="440" w:lineRule="auto"/>
        <w:rPr>
          <w:sz w:val="20"/>
          <w:szCs w:val="20"/>
          <w:color w:val="auto"/>
        </w:rPr>
      </w:pPr>
      <w:r>
        <w:rPr>
          <w:rFonts w:ascii="Arial" w:cs="Arial" w:eastAsia="Arial" w:hAnsi="Arial"/>
          <w:sz w:val="18"/>
          <w:szCs w:val="18"/>
          <w:b w:val="1"/>
          <w:bCs w:val="1"/>
          <w:color w:val="auto"/>
        </w:rPr>
        <w:t xml:space="preserve">Management’s Annual Report on Internal Control over Financial Reporting </w:t>
      </w:r>
      <w:r>
        <w:rPr>
          <w:rFonts w:ascii="Arial" w:cs="Arial" w:eastAsia="Arial" w:hAnsi="Arial"/>
          <w:sz w:val="18"/>
          <w:szCs w:val="18"/>
          <w:i w:val="1"/>
          <w:iCs w:val="1"/>
          <w:color w:val="auto"/>
        </w:rPr>
        <w:t>Overview</w:t>
      </w:r>
    </w:p>
    <w:p>
      <w:pPr>
        <w:spacing w:after="0" w:line="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evaluated the effectiveness of our internal control over financial reporting as of December 31, 2017 based on the framework in Internal Control-Integrated Framework (2013) issued by the Committee of Sponsoring Organizations of the Treadway Commission (COSO). As a result of this evaluation, management identified material weaknesses in our internal control, as further described below. As a result of these material weaknesses, management has concluded that our internal control over financial reporting was not effective as of December 31, 2017.</w:t>
      </w:r>
    </w:p>
    <w:p>
      <w:pPr>
        <w:spacing w:after="0" w:line="13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concluded that we had not maintained effective internal control over financial reporting in the following areas that are discussed more fully below: (i) controls relating to the calculation of temporary gains and losses from natural hedges on certain of our projects and related foreign exchange adjustments; (ii) controls over the period-end financial reporting process specifically related to journal entries and account reconciliation in certain regions and locations; and (iii) controls relating to certain information technology systems.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Material Weaknesses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4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auto"/>
        </w:rPr>
        <w:t>Foreign Exchange Adjustments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previously reported, we did not maintain effective controls relating to the calculation of temporary gains and losses from natural hedges on certain of our projects and related foreign exchange adjustments, and this control deficiency resulted in the restatement of our interim Condensed Consolidated Financial Statements as of, and for, the three-month period ended March 31, 2017. Additionally, this control deficiency could result in misstatements of the annual or interim consolidated financial statements or disclosures that would not be prevented or detected. Accordingly, management determined that this control deficiency constitutes a material weakness.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Technology General Controls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did not design and maintain effective controls over certain information technology (IT) general controls for information systems that are relevant to the preparation of our consolidated financial statements. Specifically, we did not design and maintain: (i) user access controls to ensure appropriate segregation of duties that adequately restrict user and privileged access to certain financial applications, programs, and data to appropriate Company personnel, including direct access to data, and (ii) program change management controls due to privileged access.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These IT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financial statement accounts and disclosures that would not be prevented or detected. Accordingly, our management has determined these deficiencies, in the aggregate, constitute a material weakness.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Period End Financial Reporting—Journal Entries and Account Reconciliation in Certain Regions and Locations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certain regions and locations, we did not design and maintain effective controls over the period-end financial reporting process. We have ineffective controls over the documentation, authorization, and review of journal entries and account reconciliations in certain regions and locations. These deficiencies did not result in a material misstatement of the financial statements; however, the deficiencies, when aggregated, could result in material misstatements to the consolidated financial statements and disclosures that would not be prevented or detected. Accordingly, our management has determined these deficiencies, in the aggregate, constitute a material weakness.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has implemented, and continues to design and implement, certain remediation measures to address the above-described material weaknesses and enhance our system of internal control over financial reporting. Management will not make a final determination that we have completed our remediation of these material weaknesses until we have completed designing and testing of our newly implemented internal controls. Management believes the remediation measures described below will remediate the identified deficiencies and strengthen our internal control over financial reporting. As management continues to evaluate and work to enhance our internal control over financial reporting, it may be determined that additional measures must be taken to address deficiencies or it may be determined that we need to modify or otherwise adjust the remediation measures described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Remediation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Adjustments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has implemented controls designed to ensure the accurate remeasurement of gains and losses due to foreign currency impact for the purpose of external reporting. Management has also revised the internal system for recording and tracking foreign currency gains and losses and for recording asset/liability project positions to ensure that proper remeasurement procedures are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Technology General Controls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Management is taking corrective actions to address the material weakness as listed below:</w:t>
      </w:r>
    </w:p>
    <w:p>
      <w:pPr>
        <w:spacing w:after="0" w:line="198" w:lineRule="exact"/>
        <w:rPr>
          <w:sz w:val="20"/>
          <w:szCs w:val="20"/>
          <w:color w:val="auto"/>
        </w:rPr>
      </w:pPr>
    </w:p>
    <w:p>
      <w:pPr>
        <w:ind w:left="720" w:hanging="46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the control activities and procedures associated with user and privilege access to certain systems;</w:t>
      </w:r>
    </w:p>
    <w:p>
      <w:pPr>
        <w:spacing w:after="0" w:line="211" w:lineRule="exact"/>
        <w:rPr>
          <w:rFonts w:ascii="Arial" w:cs="Arial" w:eastAsia="Arial" w:hAnsi="Arial"/>
          <w:sz w:val="18"/>
          <w:szCs w:val="18"/>
          <w:color w:val="auto"/>
        </w:rPr>
      </w:pPr>
    </w:p>
    <w:p>
      <w:pPr>
        <w:ind w:left="5580" w:right="3080" w:hanging="5329"/>
        <w:spacing w:after="0" w:line="575"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the control activities relating to proper segregation of duties related to the affected IT systems; 107</w:t>
      </w:r>
    </w:p>
    <w:p>
      <w:pPr>
        <w:sectPr>
          <w:pgSz w:w="11900" w:h="16838" w:orient="portrait"/>
          <w:cols w:equalWidth="0" w:num="1">
            <w:col w:w="11400"/>
          </w:cols>
          <w:pgMar w:left="240" w:top="746" w:right="259" w:bottom="1440" w:gutter="0" w:footer="0" w:header="0"/>
        </w:sectPr>
      </w:pPr>
    </w:p>
    <w:bookmarkStart w:id="107" w:name="page108"/>
    <w:bookmarkEnd w:id="107"/>
    <w:p>
      <w:pPr>
        <w:ind w:left="260" w:right="300" w:hanging="9"/>
        <w:spacing w:after="0" w:line="324" w:lineRule="auto"/>
        <w:tabs>
          <w:tab w:leader="none" w:pos="7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additional business process controls or improving existing business process controls, as needed, to address the risks related to the financial reports and data generated from the affected IT systems; and</w:t>
      </w:r>
    </w:p>
    <w:p>
      <w:pPr>
        <w:spacing w:after="0" w:line="116" w:lineRule="exact"/>
        <w:rPr>
          <w:rFonts w:ascii="Arial" w:cs="Arial" w:eastAsia="Arial" w:hAnsi="Arial"/>
          <w:sz w:val="18"/>
          <w:szCs w:val="18"/>
          <w:color w:val="auto"/>
        </w:rPr>
      </w:pPr>
    </w:p>
    <w:p>
      <w:pPr>
        <w:ind w:left="260" w:right="120" w:hanging="9"/>
        <w:spacing w:after="0" w:line="324" w:lineRule="auto"/>
        <w:tabs>
          <w:tab w:leader="none" w:pos="7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policies, procedures and training for control owners regarding internal control processes to mitigate identified risks and maintaining adequate documentation to evidence effective design and operation of such processes.</w:t>
      </w:r>
    </w:p>
    <w:p>
      <w:pPr>
        <w:spacing w:after="0" w:line="89" w:lineRule="exact"/>
        <w:rPr>
          <w:sz w:val="20"/>
          <w:szCs w:val="20"/>
          <w:color w:val="auto"/>
        </w:rPr>
      </w:pPr>
    </w:p>
    <w:p>
      <w:pPr>
        <w:ind w:right="3320"/>
        <w:spacing w:after="0" w:line="454" w:lineRule="auto"/>
        <w:rPr>
          <w:sz w:val="20"/>
          <w:szCs w:val="20"/>
          <w:color w:val="auto"/>
        </w:rPr>
      </w:pPr>
      <w:r>
        <w:rPr>
          <w:rFonts w:ascii="Arial" w:cs="Arial" w:eastAsia="Arial" w:hAnsi="Arial"/>
          <w:sz w:val="18"/>
          <w:szCs w:val="18"/>
          <w:u w:val="single" w:color="auto"/>
          <w:color w:val="auto"/>
        </w:rPr>
        <w:t xml:space="preserve">Period End Financial Reporting—Journal Entries and Account Reconciliation in Certain Regions and Locations </w:t>
      </w:r>
      <w:r>
        <w:rPr>
          <w:rFonts w:ascii="Arial" w:cs="Arial" w:eastAsia="Arial" w:hAnsi="Arial"/>
          <w:sz w:val="18"/>
          <w:szCs w:val="18"/>
          <w:color w:val="auto"/>
        </w:rPr>
        <w:t>Management is taking corrective actions to address the material weakness as listed below:</w:t>
      </w:r>
    </w:p>
    <w:p>
      <w:pPr>
        <w:ind w:left="260" w:right="40" w:hanging="9"/>
        <w:spacing w:after="0" w:line="324" w:lineRule="auto"/>
        <w:tabs>
          <w:tab w:leader="none" w:pos="7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Implementing specific policies and procedures with detailed instructions in order to adequately communicate the requirements around journal entry and account reconciliation processes and controls;</w:t>
      </w:r>
    </w:p>
    <w:p>
      <w:pPr>
        <w:spacing w:after="0" w:line="116" w:lineRule="exact"/>
        <w:rPr>
          <w:rFonts w:ascii="Arial" w:cs="Arial" w:eastAsia="Arial" w:hAnsi="Arial"/>
          <w:sz w:val="18"/>
          <w:szCs w:val="18"/>
          <w:color w:val="auto"/>
        </w:rPr>
      </w:pPr>
    </w:p>
    <w:p>
      <w:pPr>
        <w:ind w:left="260" w:right="80" w:hanging="9"/>
        <w:spacing w:after="0" w:line="324" w:lineRule="auto"/>
        <w:tabs>
          <w:tab w:leader="none" w:pos="7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Implementing controls over manual journal entries and account reconciliations, including improving the timeliness and effectiveness of our review and approval procedures,</w:t>
      </w:r>
    </w:p>
    <w:p>
      <w:pPr>
        <w:spacing w:after="0" w:line="116" w:lineRule="exact"/>
        <w:rPr>
          <w:rFonts w:ascii="Arial" w:cs="Arial" w:eastAsia="Arial" w:hAnsi="Arial"/>
          <w:sz w:val="18"/>
          <w:szCs w:val="18"/>
          <w:color w:val="auto"/>
        </w:rPr>
      </w:pPr>
    </w:p>
    <w:p>
      <w:pPr>
        <w:ind w:left="260" w:right="200" w:hanging="9"/>
        <w:spacing w:after="0" w:line="324" w:lineRule="auto"/>
        <w:tabs>
          <w:tab w:leader="none" w:pos="7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Communicating the requirements of journal entry and account reconciliation controls to the global accounting and finance organization as part of our global accounting and finance organization training and communication; and</w:t>
      </w:r>
    </w:p>
    <w:p>
      <w:pPr>
        <w:spacing w:after="0" w:line="116" w:lineRule="exact"/>
        <w:rPr>
          <w:rFonts w:ascii="Arial" w:cs="Arial" w:eastAsia="Arial" w:hAnsi="Arial"/>
          <w:sz w:val="18"/>
          <w:szCs w:val="18"/>
          <w:color w:val="auto"/>
        </w:rPr>
      </w:pPr>
    </w:p>
    <w:p>
      <w:pPr>
        <w:ind w:left="260" w:right="180" w:hanging="9"/>
        <w:spacing w:after="0" w:line="324" w:lineRule="auto"/>
        <w:tabs>
          <w:tab w:leader="none" w:pos="7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Improving the control activities relating to account reconciliation and journal entry processes by issuing guidance regarding adequate retention of evidence of control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2017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pursuant to Section 13(r) of the Securities Exchange Act</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section 13(r) of the Exchange Act, two of our non-U.S. subsidiaries have contracts with entities in Iran. We have prepared a feasibility study related to improvements to an olefins plant in Iran. We are also providing engineering and design services for the construction of an ethylene plant in Iran, which is expected to be completed by the end of 2018. All activities were conducted, and will be conducted, outside the United States by non-U.S. entities in compliance with applicable law. We received no revenue under either contract for the three and twelve months ended December 31, 2017. The expected gross revenue from the olefins plant and the ethylene plant is 250,000 Euros and 8,000,000 Euros, respectively, which is less than 0.1% of our pro forma revenues for the fiscal year ended December 31, 2016. Net profit from the two contracts is unknown at this time.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773" w:right="27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CORPORATE GOVERNANCE AND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required by this item regarding our directors and corporate governance is hereby incorporated by reference to the material appearing in our Proxy Statement for the 2018 Annual Meeting of Shareholders under the caption “Corporate Governance.” The information required by this item regarding our executive officers is incorporated herein by reference to “Executive Officers of the Registrant” in Part I, Item 1 of this Annual Report on Form 10-K. The information required by this item regarding compliance by our Information regarding compliance by our directors and executive officers with Section 16(a) of the Securities and Exchange Act of 1934, as amended, is incorporated herein by reference from the section entitled “Section 16(a) Beneficial Ownership Reporting Compliance” of our Proxy Statement for the 2018 Annual Meeting of Shareholders.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adopted a Code of Business Conduct, which is applicable to our principal executive officer and other senior financial officers, who include our principal financial officer, principal accounting officer or controller, and persons performing similar functions. The Code of Business Conduct may be found on our website at www.technipfmc.com under “Who we are</w:t>
      </w:r>
      <w:r>
        <w:rPr>
          <w:rFonts w:ascii="Arial" w:cs="Arial" w:eastAsia="Arial" w:hAnsi="Arial"/>
          <w:sz w:val="18"/>
          <w:szCs w:val="18"/>
          <w:i w:val="1"/>
          <w:iCs w:val="1"/>
          <w:color w:val="auto"/>
        </w:rPr>
        <w:t>—</w:t>
      </w:r>
      <w:r>
        <w:rPr>
          <w:rFonts w:ascii="Arial" w:cs="Arial" w:eastAsia="Arial" w:hAnsi="Arial"/>
          <w:sz w:val="18"/>
          <w:szCs w:val="18"/>
          <w:color w:val="auto"/>
        </w:rPr>
        <w:t>Governance” and is available in print to shareholders without charge by submitting a request to the address set forth above. To the extent required by SEC rules, we intend to disclose any amendments to the Code of Business Conduct and any waiver of a provision thereof for the benefit of our principal executive officer, principal financial officer, principal accounting officer or controller, or persons performing similar functions, on our website within four business days following any such amendment of waiver, or within any other period that may be required under SEC rules from time to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Information required by this item is incorporated herein by reference from the sections entitled “Non-Executive Director Compensation,” “Corporate Governance</w:t>
      </w:r>
      <w:r>
        <w:rPr>
          <w:rFonts w:ascii="Arial" w:cs="Arial" w:eastAsia="Arial" w:hAnsi="Arial"/>
          <w:sz w:val="18"/>
          <w:szCs w:val="18"/>
          <w:i w:val="1"/>
          <w:iCs w:val="1"/>
          <w:color w:val="auto"/>
        </w:rPr>
        <w:t>—</w:t>
      </w:r>
      <w:r>
        <w:rPr>
          <w:rFonts w:ascii="Arial" w:cs="Arial" w:eastAsia="Arial" w:hAnsi="Arial"/>
          <w:sz w:val="18"/>
          <w:szCs w:val="18"/>
          <w:color w:val="auto"/>
        </w:rPr>
        <w:t>Compensation Committee Interlocks and Insider Participation in Compensation Decisions” and “Executive Compensation Discussion and Analysis” of our Proxy Statement for the 2018 Annual Meeting of Shareholders.</w:t>
      </w:r>
    </w:p>
    <w:p>
      <w:pPr>
        <w:spacing w:after="0" w:line="123"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Information required by this item is incorporated herein by reference from the section entitled “Security Ownership of Our Management and Holders of More Than 5% of Outstanding Shares of Ordinary Shares” of our Proxy Statement for the 2018 Annual Meeting of Shareholders. Additionally, Equity Plan Compensation Information is incorporated herein by reference from Part II, Item 5 of this Annual Report on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Information required by this item is incorporated herein by reference from the sections entitled “Transactions with Related Persons” and “Corporate Governance—Director Independence” of our Proxy Statement for the 2018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Information required by this item is incorporated herein by reference from the sections entitled “Proposal 5 - Ratification of U.S. Auditor” of our Proxy Statement for the 2018 Annual Meeting of Shareholders.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80"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TechnipFMC plc and subsidiaries are filed as part of this Annual Report on Form 10-K under Part II, Item 8:</w:t>
      </w:r>
    </w:p>
    <w:p>
      <w:pPr>
        <w:spacing w:after="0" w:line="62" w:lineRule="exact"/>
        <w:rPr>
          <w:rFonts w:ascii="Arial" w:cs="Arial" w:eastAsia="Arial" w:hAnsi="Arial"/>
          <w:sz w:val="18"/>
          <w:szCs w:val="18"/>
          <w:color w:val="auto"/>
        </w:rPr>
      </w:pPr>
    </w:p>
    <w:p>
      <w:pPr>
        <w:ind w:left="1300" w:right="2240"/>
        <w:spacing w:after="0" w:line="375" w:lineRule="auto"/>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Consolidated Financial Statements Consolidated Statements of Income for the Years Ended December 31, 2017, 2016 and 2015 Consolidated Statements of Comprehensive Income for the Years Ended December 31, 2017, 2016, and 2015 Consolidated Balance Sheets as of December 31, 2017 and 2016</w:t>
      </w:r>
    </w:p>
    <w:p>
      <w:pPr>
        <w:spacing w:after="0" w:line="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2017, 2016 and 2015</w:t>
      </w:r>
    </w:p>
    <w:p>
      <w:pPr>
        <w:spacing w:after="0" w:line="117" w:lineRule="exact"/>
        <w:rPr>
          <w:rFonts w:ascii="Arial" w:cs="Arial" w:eastAsia="Arial" w:hAnsi="Arial"/>
          <w:sz w:val="18"/>
          <w:szCs w:val="18"/>
          <w:color w:val="auto"/>
        </w:rPr>
      </w:pPr>
    </w:p>
    <w:p>
      <w:pPr>
        <w:ind w:left="1300" w:right="1620"/>
        <w:spacing w:after="0" w:line="375" w:lineRule="auto"/>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Years Ended December 31, 2017, 2016 and 2015 Notes to Consolidated Financial Statements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 Schedule and related Report of Independent Registered Public Accounting Firm:</w:t>
      </w:r>
    </w:p>
    <w:p>
      <w:pPr>
        <w:spacing w:after="0" w:line="117" w:lineRule="exact"/>
        <w:rPr>
          <w:rFonts w:ascii="Arial" w:cs="Arial" w:eastAsia="Arial" w:hAnsi="Arial"/>
          <w:sz w:val="18"/>
          <w:szCs w:val="18"/>
          <w:color w:val="auto"/>
        </w:rPr>
      </w:pPr>
    </w:p>
    <w:p>
      <w:pPr>
        <w:jc w:val="both"/>
        <w:ind w:left="1300"/>
        <w:spacing w:after="0" w:line="312" w:lineRule="auto"/>
        <w:rPr>
          <w:rFonts w:ascii="Arial" w:cs="Arial" w:eastAsia="Arial" w:hAnsi="Arial"/>
          <w:sz w:val="18"/>
          <w:szCs w:val="18"/>
          <w:color w:val="auto"/>
        </w:rPr>
      </w:pPr>
      <w:r>
        <w:rPr>
          <w:rFonts w:ascii="Arial" w:cs="Arial" w:eastAsia="Arial" w:hAnsi="Arial"/>
          <w:sz w:val="16"/>
          <w:szCs w:val="16"/>
          <w:color w:val="auto"/>
        </w:rPr>
        <w:t>See “Schedule II—Valuation and Qualifying Accounts” and the related Report of Independent Registered Public Accounting Firm included herein. All other schedules are omitted because of the absence of conditions under which they are required or because information called for is shown in the consolidated financial statements and notes thereto in Part II, Item 8 of this Annual Report on Form 10-K.</w:t>
      </w:r>
    </w:p>
    <w:p>
      <w:pPr>
        <w:spacing w:after="0" w:line="38" w:lineRule="exact"/>
        <w:rPr>
          <w:rFonts w:ascii="Arial" w:cs="Arial" w:eastAsia="Arial" w:hAnsi="Arial"/>
          <w:sz w:val="18"/>
          <w:szCs w:val="18"/>
          <w:color w:val="auto"/>
        </w:rPr>
      </w:pPr>
    </w:p>
    <w:p>
      <w:pPr>
        <w:ind w:left="1300" w:hanging="644"/>
        <w:spacing w:after="0"/>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See “Index of Exhibits” filed as part of this Annual Report on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u w:val="single" w:color="auto"/>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Charged to</w:t>
            </w:r>
          </w:p>
        </w:tc>
        <w:tc>
          <w:tcPr>
            <w:tcW w:w="340" w:type="dxa"/>
            <w:vAlign w:val="bottom"/>
          </w:tcPr>
          <w:p>
            <w:pPr>
              <w:spacing w:after="0"/>
              <w:rPr>
                <w:sz w:val="13"/>
                <w:szCs w:val="13"/>
                <w:color w:val="auto"/>
              </w:rPr>
            </w:pPr>
          </w:p>
        </w:tc>
        <w:tc>
          <w:tcPr>
            <w:tcW w:w="12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4"/>
              </w:rPr>
              <w:t>Charged to</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Deductions</w:t>
            </w:r>
          </w:p>
        </w:tc>
        <w:tc>
          <w:tcPr>
            <w:tcW w:w="180" w:type="dxa"/>
            <w:vAlign w:val="bottom"/>
          </w:tcPr>
          <w:p>
            <w:pPr>
              <w:spacing w:after="0"/>
              <w:rPr>
                <w:sz w:val="13"/>
                <w:szCs w:val="13"/>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Costs</w:t>
            </w:r>
          </w:p>
        </w:tc>
        <w:tc>
          <w:tcPr>
            <w:tcW w:w="34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and Expenses</w:t>
            </w:r>
          </w:p>
        </w:tc>
        <w:tc>
          <w:tcPr>
            <w:tcW w:w="340" w:type="dxa"/>
            <w:vAlign w:val="bottom"/>
          </w:tcPr>
          <w:p>
            <w:pPr>
              <w:spacing w:after="0"/>
              <w:rPr>
                <w:sz w:val="13"/>
                <w:szCs w:val="13"/>
                <w:color w:val="auto"/>
              </w:rPr>
            </w:pPr>
          </w:p>
        </w:tc>
        <w:tc>
          <w:tcPr>
            <w:tcW w:w="12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 xml:space="preserve">Accounts </w:t>
            </w:r>
            <w:r>
              <w:rPr>
                <w:rFonts w:ascii="Arial" w:cs="Arial" w:eastAsia="Arial" w:hAnsi="Arial"/>
                <w:sz w:val="8"/>
                <w:szCs w:val="8"/>
                <w:b w:val="1"/>
                <w:bCs w:val="1"/>
                <w:color w:val="auto"/>
                <w:w w:val="90"/>
              </w:rPr>
              <w:t>(a)</w:t>
            </w:r>
          </w:p>
        </w:tc>
        <w:tc>
          <w:tcPr>
            <w:tcW w:w="160" w:type="dxa"/>
            <w:vAlign w:val="bottom"/>
          </w:tcPr>
          <w:p>
            <w:pPr>
              <w:spacing w:after="0"/>
              <w:rPr>
                <w:sz w:val="13"/>
                <w:szCs w:val="13"/>
                <w:color w:val="auto"/>
              </w:rPr>
            </w:pPr>
          </w:p>
        </w:tc>
        <w:tc>
          <w:tcPr>
            <w:tcW w:w="15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 xml:space="preserve">and Adjustments </w:t>
            </w:r>
            <w:r>
              <w:rPr>
                <w:rFonts w:ascii="Arial" w:cs="Arial" w:eastAsia="Arial" w:hAnsi="Arial"/>
                <w:sz w:val="8"/>
                <w:szCs w:val="8"/>
                <w:b w:val="1"/>
                <w:bCs w:val="1"/>
                <w:color w:val="auto"/>
                <w:w w:val="92"/>
              </w:rPr>
              <w:t>(b)</w:t>
            </w:r>
          </w:p>
        </w:tc>
        <w:tc>
          <w:tcPr>
            <w:tcW w:w="180" w:type="dxa"/>
            <w:vAlign w:val="bottom"/>
          </w:tcPr>
          <w:p>
            <w:pPr>
              <w:spacing w:after="0"/>
              <w:rPr>
                <w:sz w:val="13"/>
                <w:szCs w:val="13"/>
                <w:color w:val="auto"/>
              </w:rPr>
            </w:pPr>
          </w:p>
        </w:tc>
        <w:tc>
          <w:tcPr>
            <w:tcW w:w="118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w w:val="98"/>
              </w:rPr>
              <w:t>End of Period</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8"/>
              </w:rPr>
              <w:t>Valuation allowance for 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Year Ended December 31, 2016:</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w w:val="98"/>
              </w:rPr>
              <w:t>Valuation allowance for deferred tax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8"/>
              </w:rPr>
              <w:t>Valuation allowance for 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______________________________</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“Additions charged to other accounts” includes translation adjustments.</w:t>
      </w:r>
    </w:p>
    <w:p>
      <w:pPr>
        <w:spacing w:after="0" w:line="104" w:lineRule="exact"/>
        <w:rPr>
          <w:rFonts w:ascii="Arial" w:cs="Arial" w:eastAsia="Arial" w:hAnsi="Arial"/>
          <w:sz w:val="25"/>
          <w:szCs w:val="25"/>
          <w:color w:val="auto"/>
          <w:vertAlign w:val="superscript"/>
        </w:rPr>
      </w:pPr>
    </w:p>
    <w:p>
      <w:pPr>
        <w:ind w:left="660" w:hanging="652"/>
        <w:spacing w:after="0" w:line="183" w:lineRule="auto"/>
        <w:tabs>
          <w:tab w:leader="none" w:pos="66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“Deductions and adjustments” includes write-offs, net of recoveries, and reductions in the allowances credited to expense.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16.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219"/>
          </w:cols>
          <w:pgMar w:left="240" w:top="742" w:right="1440" w:bottom="1440" w:gutter="0" w:footer="0" w:header="0"/>
        </w:sectPr>
      </w:pPr>
    </w:p>
    <w:bookmarkStart w:id="112" w:name="page113"/>
    <w:bookmarkEnd w:id="1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gridSpan w:val="15"/>
          </w:tcPr>
          <w:p>
            <w:pPr>
              <w:ind w:left="320"/>
              <w:spacing w:after="0"/>
              <w:rPr>
                <w:sz w:val="20"/>
                <w:szCs w:val="20"/>
                <w:color w:val="auto"/>
              </w:rPr>
            </w:pPr>
            <w:r>
              <w:rPr>
                <w:rFonts w:ascii="Arial" w:cs="Arial" w:eastAsia="Arial" w:hAnsi="Arial"/>
                <w:sz w:val="18"/>
                <w:szCs w:val="18"/>
                <w:b w:val="1"/>
                <w:bCs w:val="1"/>
                <w:color w:val="auto"/>
              </w:rPr>
              <w:t>INDEX OF EXHIBITS</w:t>
            </w:r>
          </w:p>
        </w:tc>
      </w:tr>
      <w:tr>
        <w:trPr>
          <w:trHeight w:val="288"/>
        </w:trPr>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6"/>
        </w:trPr>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900" w:type="dxa"/>
            <w:vAlign w:val="bottom"/>
            <w:gridSpan w:val="20"/>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2"/>
        </w:trPr>
        <w:tc>
          <w:tcPr>
            <w:tcW w:w="116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w:t>
            </w: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auto"/>
              <w:right w:val="single" w:sz="8" w:color="CCEEFF"/>
            </w:tcBorders>
            <w:gridSpan w:val="20"/>
            <w:shd w:val="clear" w:color="auto" w:fill="CCEEFF"/>
          </w:tcPr>
          <w:p>
            <w:pPr>
              <w:spacing w:after="0" w:line="202"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Business Combination Agreement, dated as of June 14, 2016, by and among FMC Technologies, Inc., TechnipFMC plc (f/k/a FMC</w:t>
              </w:r>
            </w:hyperlink>
          </w:p>
        </w:tc>
      </w:tr>
      <w:tr>
        <w:trPr>
          <w:trHeight w:val="20"/>
        </w:trPr>
        <w:tc>
          <w:tcPr>
            <w:tcW w:w="11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Technologies SIS Limited) and Technip S.A. (incorporated by reference from Annex A-1 to the Registration Statement on Form S-4, as</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amended, filed on October 21, 2016) (File No. 333-213067)</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5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2.1.a</w:t>
            </w:r>
          </w:p>
        </w:tc>
        <w:tc>
          <w:tcPr>
            <w:tcW w:w="9900" w:type="dxa"/>
            <w:vAlign w:val="bottom"/>
            <w:tcBorders>
              <w:bottom w:val="single" w:sz="8" w:color="0000FF"/>
            </w:tcBorders>
            <w:gridSpan w:val="20"/>
          </w:tcPr>
          <w:p>
            <w:pPr>
              <w:spacing w:after="0" w:line="202"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Amendment No. 1 to Business Combination Agreement, dated as of December 14, 2016, by and among FMC Technologies, Inc.,</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19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TechnipFMC plc (f/k/a TechnipFMC Limited) and Technip S.A. (incorporated by reference from Exhibit 2.1 to the Current Report on</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Form 8-K filed on December 14, 2016) (File No. 333-213067)</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2.3</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Joinder Agreement, dated as of December 14, 2016, by and among FMC Technologies, Inc., TechnipFMC plc (f/k/a TechnipFMC</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Limited), Technip S.A., TechnipFMC Holdings Limited, TechnipFMC US Holdings LLC and TechnipFMC US Merger Sub LLC</w:t>
              </w:r>
            </w:hyperlink>
          </w:p>
        </w:tc>
      </w:tr>
      <w:tr>
        <w:trPr>
          <w:trHeight w:val="20"/>
        </w:trPr>
        <w:tc>
          <w:tcPr>
            <w:tcW w:w="11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9900" w:type="dxa"/>
            <w:vAlign w:val="bottom"/>
            <w:tcBorders>
              <w:bottom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w w:val="95"/>
              </w:rPr>
            </w:pPr>
            <w:hyperlink r:id="rId65">
              <w:r>
                <w:rPr>
                  <w:rFonts w:ascii="Arial" w:cs="Arial" w:eastAsia="Arial" w:hAnsi="Arial"/>
                  <w:sz w:val="18"/>
                  <w:szCs w:val="18"/>
                  <w:color w:val="0000FF"/>
                  <w:w w:val="95"/>
                </w:rPr>
                <w:t>(incorporated by reference from Exhibit 2.2 to the Current Report on Form 8-K filed on December 14, 2016) (File No. 333-213067)</w:t>
              </w:r>
            </w:hyperlink>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Articles of Association of TechnipFMC plc (incorporated by reference from Exhibit 3.1 to the Current Report on Form 8-K filed on</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January 17, 2017) (File No. 001-37983)</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202"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Indenture, dated March 29, 2017, between TechnipFMC plc and U.S. Bank National Association, as trustee (incorporated by reference</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from Exhibit 4.1 to the Current Report on Form 8-K filed on March 30, 2017) (File No. 001-37983)</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5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4.1.a</w:t>
            </w:r>
          </w:p>
        </w:tc>
        <w:tc>
          <w:tcPr>
            <w:tcW w:w="9900" w:type="dxa"/>
            <w:vAlign w:val="bottom"/>
            <w:gridSpan w:val="20"/>
          </w:tcPr>
          <w:p>
            <w:pPr>
              <w:spacing w:after="0" w:line="202" w:lineRule="exact"/>
              <w:rPr>
                <w:rFonts w:ascii="Arial" w:cs="Arial" w:eastAsia="Arial" w:hAnsi="Arial"/>
                <w:sz w:val="18"/>
                <w:szCs w:val="18"/>
                <w:color w:val="0000FF"/>
                <w:w w:val="97"/>
              </w:rPr>
            </w:pPr>
            <w:hyperlink r:id="rId68">
              <w:r>
                <w:rPr>
                  <w:rFonts w:ascii="Arial" w:cs="Arial" w:eastAsia="Arial" w:hAnsi="Arial"/>
                  <w:sz w:val="18"/>
                  <w:szCs w:val="18"/>
                  <w:color w:val="0000FF"/>
                  <w:w w:val="97"/>
                </w:rPr>
                <w:t>First Supplemental Indenture, dated March 29, 2017, between TechnipFMC plc and U.S. Bank National Association, as trustee</w:t>
              </w:r>
            </w:hyperlink>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(including the form of 2.00% Senior Notes due 2017) (incorporated by reference from Exhibit 4.2 to the Current Report on Form 8-K</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filed on March 30, 2017) (File No. 001-37983)</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520" w:type="dxa"/>
            <w:vAlign w:val="bottom"/>
            <w:tcBorders>
              <w:bottom w:val="single" w:sz="8" w:color="CCEEFF"/>
              <w:right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4.1.b</w:t>
            </w: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5"/>
              </w:rPr>
            </w:pPr>
            <w:hyperlink r:id="rId69">
              <w:r>
                <w:rPr>
                  <w:rFonts w:ascii="Arial" w:cs="Arial" w:eastAsia="Arial" w:hAnsi="Arial"/>
                  <w:sz w:val="18"/>
                  <w:szCs w:val="18"/>
                  <w:color w:val="0000FF"/>
                  <w:w w:val="95"/>
                </w:rPr>
                <w:t>Second Supplemental Indenture, dated March 29, 2017, between TechnipFMC plc and U.S. Bank National Association, as trustee</w:t>
              </w:r>
            </w:hyperlink>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(including the form of 3.45% Senior Notes due 2022) (incorporated by reference from Exhibit 4.3 to the Current Report on Form 8-K</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filed on March 30, 2017) (File No. 001-37983)</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202"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Registration Rights Agreement, dated March 29, 2017, between TechnipFMC plc, and each of Merrill Lynch, Pierce, Fenner &amp; Smith</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Incorporated and Wells Fargo Securities, LLC, as dealer managers (incorporated by reference from Exhibit 4.4 to the Current Report on</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Form 8-K filed on March 30, 2017) (File No. 001-37983)</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Amended and Restated FMC Technologies, Inc. Non-Qualified Savings and Investment Plan, dated July 31, 2008 (incorporated by</w:t>
              </w:r>
            </w:hyperlink>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w w:val="96"/>
              </w:rPr>
            </w:pPr>
            <w:hyperlink r:id="rId71">
              <w:r>
                <w:rPr>
                  <w:rFonts w:ascii="Arial" w:cs="Arial" w:eastAsia="Arial" w:hAnsi="Arial"/>
                  <w:sz w:val="18"/>
                  <w:szCs w:val="18"/>
                  <w:color w:val="0000FF"/>
                  <w:w w:val="96"/>
                </w:rPr>
                <w:t>reference from Exhibit 10.9 to the Annual Report on Form 10-K of FMC Technologies, Inc. filed on March 1, 2010) (File No. 001-</w:t>
              </w:r>
            </w:hyperlink>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52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9"/>
              </w:rPr>
            </w:pPr>
            <w:hyperlink r:id="rId71">
              <w:r>
                <w:rPr>
                  <w:rFonts w:ascii="Arial" w:cs="Arial" w:eastAsia="Arial" w:hAnsi="Arial"/>
                  <w:sz w:val="18"/>
                  <w:szCs w:val="18"/>
                  <w:color w:val="0000FF"/>
                  <w:w w:val="89"/>
                </w:rPr>
                <w:t>16489)</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r>
      <w:tr>
        <w:trPr>
          <w:trHeight w:val="203"/>
        </w:trPr>
        <w:tc>
          <w:tcPr>
            <w:tcW w:w="15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10.1.a*</w:t>
            </w:r>
          </w:p>
        </w:tc>
        <w:tc>
          <w:tcPr>
            <w:tcW w:w="9900" w:type="dxa"/>
            <w:vAlign w:val="bottom"/>
            <w:tcBorders>
              <w:bottom w:val="single" w:sz="8" w:color="0000FF"/>
            </w:tcBorders>
            <w:gridSpan w:val="20"/>
          </w:tcPr>
          <w:p>
            <w:pPr>
              <w:spacing w:after="0" w:line="202"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First Amendment of FMC Technologies, Inc. Non-Qualified Savings and Investment Plan, dated October 29, 2009 (incorporated by</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5"/>
              </w:rPr>
            </w:pPr>
            <w:hyperlink r:id="rId72">
              <w:r>
                <w:rPr>
                  <w:rFonts w:ascii="Arial" w:cs="Arial" w:eastAsia="Arial" w:hAnsi="Arial"/>
                  <w:sz w:val="18"/>
                  <w:szCs w:val="18"/>
                  <w:color w:val="0000FF"/>
                  <w:w w:val="95"/>
                </w:rPr>
                <w:t>reference from Exhibit 10.9 to the Quarterly Report on Form 10-Q of FMC Technologies, Inc. filed on November 3, 2009) (File No.</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001-16489)</w:t>
              </w:r>
            </w:hyperlink>
          </w:p>
        </w:tc>
        <w:tc>
          <w:tcPr>
            <w:tcW w:w="1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520" w:type="dxa"/>
            <w:vAlign w:val="bottom"/>
            <w:tcBorders>
              <w:bottom w:val="single" w:sz="8" w:color="CCEEFF"/>
              <w:right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10.1.b*</w:t>
            </w: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Second Amendment of FMC Technologies, Inc. Non-Qualified Savings and Investment Plan, dated December 18, 2015 (incorporated by</w:t>
              </w:r>
            </w:hyperlink>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reference from Exhibit 10.14.b to the Annual Report on Form 10-K of FMC Technologies, Inc. filed on February 24, 2016) (File No.</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880" w:type="dxa"/>
            <w:vAlign w:val="bottom"/>
            <w:gridSpan w:val="4"/>
            <w:shd w:val="clear" w:color="auto" w:fill="CCEEFF"/>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001-16489)</w:t>
              </w:r>
            </w:hyperlink>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10.2*</w:t>
            </w:r>
          </w:p>
        </w:tc>
        <w:tc>
          <w:tcPr>
            <w:tcW w:w="36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8"/>
              </w:rPr>
            </w:pPr>
            <w:hyperlink r:id="rId74">
              <w:r>
                <w:rPr>
                  <w:rFonts w:ascii="Arial" w:cs="Arial" w:eastAsia="Arial" w:hAnsi="Arial"/>
                  <w:sz w:val="18"/>
                  <w:szCs w:val="18"/>
                  <w:color w:val="0000FF"/>
                  <w:w w:val="98"/>
                </w:rPr>
                <w:t>TechnipFMC plc Incentive Award Plan (incorporated by reference from Exhibit 10.1 to the Current Report on Form 8-K filed on</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January 17, 2017) (File No. 001-37983)</w:t>
              </w:r>
            </w:hyperlink>
          </w:p>
        </w:tc>
        <w:tc>
          <w:tcPr>
            <w:tcW w:w="640" w:type="dxa"/>
            <w:vAlign w:val="bottom"/>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Form of Restricted Stock Unit Agreement pursuant to the TechnipFMC plc Incentive Award Plan (Employee) (incorporated by reference</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from Exhibit 10.1 to the Quarterly Report on Form 10-Q filed on August 4, 2017) (File No. 001-37983)</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10.4*</w:t>
            </w:r>
          </w:p>
        </w:tc>
        <w:tc>
          <w:tcPr>
            <w:tcW w:w="360" w:type="dxa"/>
            <w:vAlign w:val="bottom"/>
          </w:tcPr>
          <w:p>
            <w:pPr>
              <w:spacing w:after="0"/>
              <w:rPr>
                <w:sz w:val="17"/>
                <w:szCs w:val="17"/>
                <w:color w:val="auto"/>
              </w:rPr>
            </w:pPr>
          </w:p>
        </w:tc>
        <w:tc>
          <w:tcPr>
            <w:tcW w:w="8920" w:type="dxa"/>
            <w:vAlign w:val="bottom"/>
            <w:tcBorders>
              <w:bottom w:val="single" w:sz="8" w:color="0000FF"/>
            </w:tcBorders>
            <w:gridSpan w:val="16"/>
          </w:tcPr>
          <w:p>
            <w:pPr>
              <w:spacing w:after="0" w:line="202"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Form of Restricted Stock Unit Agreement pursuant to the TechnipFMC plc Incentive Award Plan (Non-Employee Director)</w:t>
              </w:r>
            </w:hyperlink>
          </w:p>
        </w:tc>
        <w:tc>
          <w:tcPr>
            <w:tcW w:w="98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6"/>
              </w:rPr>
            </w:pPr>
            <w:hyperlink r:id="rId76">
              <w:r>
                <w:rPr>
                  <w:rFonts w:ascii="Arial" w:cs="Arial" w:eastAsia="Arial" w:hAnsi="Arial"/>
                  <w:sz w:val="18"/>
                  <w:szCs w:val="18"/>
                  <w:color w:val="0000FF"/>
                  <w:w w:val="96"/>
                </w:rPr>
                <w:t>(incorporated by reference from Exhibit 10.2 to the Quarterly Report on Form 10-Q filed on August 4, 2017) (File No. 001-37983)</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10.5*</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Form of Performance Stock Unit Agreement pursuant to the TechnipFMC plc Incentive Award Plan (Employee) (incorporated by</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reference from Exhibit 10.3 to the Quarterly Report on Form 10-Q filed on August 4, 2017) (File No. 001-37983)</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10.6*</w:t>
            </w:r>
          </w:p>
        </w:tc>
        <w:tc>
          <w:tcPr>
            <w:tcW w:w="36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202" w:lineRule="exact"/>
              <w:rPr>
                <w:rFonts w:ascii="Arial" w:cs="Arial" w:eastAsia="Arial" w:hAnsi="Arial"/>
                <w:sz w:val="18"/>
                <w:szCs w:val="18"/>
                <w:color w:val="0000FF"/>
                <w:w w:val="96"/>
              </w:rPr>
            </w:pPr>
            <w:hyperlink r:id="rId78">
              <w:r>
                <w:rPr>
                  <w:rFonts w:ascii="Arial" w:cs="Arial" w:eastAsia="Arial" w:hAnsi="Arial"/>
                  <w:sz w:val="18"/>
                  <w:szCs w:val="18"/>
                  <w:color w:val="0000FF"/>
                  <w:w w:val="96"/>
                </w:rPr>
                <w:t>Performance Stock Unit Agreement pursuant to the TechnipFMC plc Incentive Award Plan, dated as of August 9, 2017, between</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7"/>
              </w:rPr>
            </w:pPr>
            <w:hyperlink r:id="rId78">
              <w:r>
                <w:rPr>
                  <w:rFonts w:ascii="Arial" w:cs="Arial" w:eastAsia="Arial" w:hAnsi="Arial"/>
                  <w:sz w:val="18"/>
                  <w:szCs w:val="18"/>
                  <w:color w:val="0000FF"/>
                  <w:w w:val="97"/>
                </w:rPr>
                <w:t>TechnipFMC plc and Thierry Pilenko (incorporated by reference from Exhibit 10.4 to the Quarterly Report on Form 10-Q filed on</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November 9, 2017) (File No. 001-37983)</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5"/>
              </w:rPr>
            </w:pPr>
            <w:hyperlink r:id="rId79">
              <w:r>
                <w:rPr>
                  <w:rFonts w:ascii="Arial" w:cs="Arial" w:eastAsia="Arial" w:hAnsi="Arial"/>
                  <w:sz w:val="18"/>
                  <w:szCs w:val="18"/>
                  <w:color w:val="0000FF"/>
                  <w:w w:val="95"/>
                </w:rPr>
                <w:t>Form of Nonqualified Stock Option Agreement pursuant to the TechnipFMC plc Incentive Award Plan (Employee) (incorporated by</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reference from Exhibit 10.4 to the Quarterly Report on Form 10-Q filed on August 4, 2017) (File No. 001-37983)</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10.8*</w:t>
            </w:r>
          </w:p>
        </w:tc>
        <w:tc>
          <w:tcPr>
            <w:tcW w:w="36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2011 Technip Incentive Reward Plan (Stock Option Plan Rules) June 17, 2011 allocation (incorporated by reference from Exhibit 99.2 to</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the Registration Statement on Form S-8 of TechnipFMC plc, filed on February 27, 2017) (File No. 333-216289)</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10.9*</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2012 Technip Incentive and Reward Plan (Stock Option Plan Rules) June 15, 2011 allocation (incorporated by reference from Exhibit</w:t>
              </w:r>
            </w:hyperlink>
          </w:p>
        </w:tc>
      </w:tr>
      <w:tr>
        <w:trPr>
          <w:trHeight w:val="244"/>
        </w:trPr>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862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3</w:t>
              </w:r>
              <w:r>
                <w:rPr>
                  <w:rFonts w:ascii="Arial" w:cs="Arial" w:eastAsia="Arial" w:hAnsi="Arial"/>
                  <w:sz w:val="18"/>
                  <w:szCs w:val="18"/>
                  <w:color w:val="0000FF"/>
                  <w:w w:val="91"/>
                </w:rPr>
                <w:t xml:space="preserve"> to the Registration Statement on Form S-8 of TechnipFMC plc, filed on February 27, 2017) (File No. 333-216289)</w:t>
              </w:r>
            </w:hyperlink>
          </w:p>
        </w:tc>
        <w:tc>
          <w:tcPr>
            <w:tcW w:w="1280" w:type="dxa"/>
            <w:vAlign w:val="bottom"/>
            <w:tcBorders>
              <w:bottom w:val="single" w:sz="8" w:color="CCEEFF"/>
              <w:right w:val="single" w:sz="8" w:color="CCEEFF"/>
            </w:tcBorders>
            <w:gridSpan w:val="5"/>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10.10*</w:t>
            </w:r>
          </w:p>
        </w:tc>
        <w:tc>
          <w:tcPr>
            <w:tcW w:w="36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rPr>
            </w:pPr>
            <w:hyperlink w:anchor="page116">
              <w:r>
                <w:rPr>
                  <w:rFonts w:ascii="Arial" w:cs="Arial" w:eastAsia="Arial" w:hAnsi="Arial"/>
                  <w:sz w:val="18"/>
                  <w:szCs w:val="18"/>
                  <w:color w:val="0000FF"/>
                </w:rPr>
                <w:t>2012 Technip Incentive and Reward Plan (Stock Option Plan Rules) December 14, 2011 allocation.</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10.11*</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2013 Technip Incentive and Reward Plan (Rules of the Performance Shares Plan) June 14, 2013 allocation (incorporated by reference</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w w:val="94"/>
              </w:rPr>
            </w:pPr>
            <w:hyperlink r:id="rId82">
              <w:r>
                <w:rPr>
                  <w:rFonts w:ascii="Arial" w:cs="Arial" w:eastAsia="Arial" w:hAnsi="Arial"/>
                  <w:sz w:val="18"/>
                  <w:szCs w:val="18"/>
                  <w:color w:val="0000FF"/>
                  <w:w w:val="94"/>
                </w:rPr>
                <w:t>from Exhibit 99.4 to the Registration Statement on Form S-8 of TechnipFMC plc, filed on February 27, 2017) (File No. 333-216289)</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10.12*</w:t>
            </w:r>
          </w:p>
        </w:tc>
        <w:tc>
          <w:tcPr>
            <w:tcW w:w="36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2013 Technip Incentive and Reward Plan (Stock Option Plan Rules) June 14, 2013 allocation (incorporated by reference from Exhibit</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99.</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Registration Statement on Form S-8 of TechnipFMC plc, filed on February 27, 2017) (File No. 333-216289)</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10.13*</w:t>
            </w: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202"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2013 Technip Incentive and Reward Plan (Rules of the Performance Shares Plan) January 10, 2014 allocation (incorporated by reference</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20"/>
            <w:shd w:val="clear" w:color="auto" w:fill="CCEEFF"/>
          </w:tcPr>
          <w:p>
            <w:pPr>
              <w:spacing w:after="0" w:line="19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from Exhibit 99.6 to the Registration Statement on Form S-8 of TechnipFMC plc, filed on February 27, 2017) (File No. 333-216289)</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6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10.14*</w:t>
            </w:r>
          </w:p>
        </w:tc>
        <w:tc>
          <w:tcPr>
            <w:tcW w:w="36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2013 Technip Incentive and Reward Plan (Stock Option Plan Rules) January 10, 2014 allocation (incorporated by reference from Exhibit</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99.</w:t>
              </w:r>
              <w:r>
                <w:rPr>
                  <w:rFonts w:ascii="Arial" w:cs="Arial" w:eastAsia="Arial" w:hAnsi="Arial"/>
                  <w:sz w:val="18"/>
                  <w:szCs w:val="18"/>
                  <w:u w:val="single" w:color="auto"/>
                  <w:color w:val="0000FF"/>
                </w:rPr>
                <w:t>7</w:t>
              </w:r>
              <w:r>
                <w:rPr>
                  <w:rFonts w:ascii="Arial" w:cs="Arial" w:eastAsia="Arial" w:hAnsi="Arial"/>
                  <w:sz w:val="18"/>
                  <w:szCs w:val="18"/>
                  <w:color w:val="0000FF"/>
                </w:rPr>
                <w:t xml:space="preserve"> to the Registration Statement on Form S-8 of TechnipFMC plc, filed on February 27, 2017) (File No. 333-216289)</w:t>
              </w:r>
            </w:hyperlink>
          </w:p>
        </w:tc>
      </w:tr>
      <w:tr>
        <w:trPr>
          <w:trHeight w:val="48"/>
        </w:trPr>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6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10.15*</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20"/>
            <w:shd w:val="clear" w:color="auto" w:fill="CCEEFF"/>
          </w:tcPr>
          <w:p>
            <w:pPr>
              <w:spacing w:after="0" w:line="202" w:lineRule="exact"/>
              <w:rPr>
                <w:rFonts w:ascii="Arial" w:cs="Arial" w:eastAsia="Arial" w:hAnsi="Arial"/>
                <w:sz w:val="18"/>
                <w:szCs w:val="18"/>
                <w:color w:val="0000FF"/>
                <w:w w:val="95"/>
              </w:rPr>
            </w:pPr>
            <w:hyperlink r:id="rId86">
              <w:r>
                <w:rPr>
                  <w:rFonts w:ascii="Arial" w:cs="Arial" w:eastAsia="Arial" w:hAnsi="Arial"/>
                  <w:sz w:val="18"/>
                  <w:szCs w:val="18"/>
                  <w:color w:val="0000FF"/>
                  <w:w w:val="95"/>
                </w:rPr>
                <w:t>2014 Technip Incentive and Reward Plan (Rules of the Performance Shares Plan) December 10, 2014 allocation (incorporated by</w:t>
              </w:r>
            </w:hyperlink>
          </w:p>
        </w:tc>
      </w:tr>
      <w:tr>
        <w:trPr>
          <w:trHeight w:val="196"/>
        </w:trPr>
        <w:tc>
          <w:tcPr>
            <w:tcW w:w="11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20"/>
            <w:shd w:val="clear" w:color="auto" w:fill="CCEEFF"/>
          </w:tcPr>
          <w:p>
            <w:pPr>
              <w:spacing w:after="0" w:line="196"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reference from Exhibit 99.8 to the Registration Statement on Form S-8 of TechnipFMC plc, filed on February 27, 2017) (File No. 333-</w:t>
              </w:r>
            </w:hyperlink>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84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216289)</w:t>
              </w:r>
            </w:hyperlink>
          </w:p>
        </w:tc>
        <w:tc>
          <w:tcPr>
            <w:tcW w:w="2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26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0000FF"/>
              <w:right w:val="single" w:sz="8" w:color="CCEEFF"/>
            </w:tcBorders>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10.16*</w:t>
            </w:r>
          </w:p>
        </w:tc>
        <w:tc>
          <w:tcPr>
            <w:tcW w:w="36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202"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2015 Technip Incentive and Reward Plan (Stock Option Plan Rules) September 7, 2015 allocation (incorporated by reference from</w:t>
              </w:r>
            </w:hyperlink>
          </w:p>
        </w:tc>
      </w:tr>
      <w:tr>
        <w:trPr>
          <w:trHeight w:val="196"/>
        </w:trPr>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8"/>
              </w:rPr>
            </w:pPr>
            <w:hyperlink r:id="rId87">
              <w:r>
                <w:rPr>
                  <w:rFonts w:ascii="Arial" w:cs="Arial" w:eastAsia="Arial" w:hAnsi="Arial"/>
                  <w:sz w:val="18"/>
                  <w:szCs w:val="18"/>
                  <w:color w:val="0000FF"/>
                  <w:w w:val="98"/>
                </w:rPr>
                <w:t>Exhibit 99.9 to the Registration Statement on Form S-8 of TechnipFMC plc, filed on February 27, 2017) (File No. 333-216289)</w:t>
              </w:r>
            </w:hyperlink>
          </w:p>
        </w:tc>
      </w:tr>
      <w:tr>
        <w:trPr>
          <w:trHeight w:val="57"/>
        </w:trPr>
        <w:tc>
          <w:tcPr>
            <w:tcW w:w="1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2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2040" w:type="dxa"/>
            <w:vAlign w:val="bottom"/>
            <w:tcBorders>
              <w:top w:val="single" w:sz="8" w:color="0000FF"/>
              <w:bottom w:val="single" w:sz="8" w:color="CCEEFF"/>
            </w:tcBorders>
          </w:tcPr>
          <w:p>
            <w:pPr>
              <w:spacing w:after="0"/>
              <w:rPr>
                <w:sz w:val="4"/>
                <w:szCs w:val="4"/>
                <w:color w:val="auto"/>
              </w:rPr>
            </w:pPr>
          </w:p>
        </w:tc>
        <w:tc>
          <w:tcPr>
            <w:tcW w:w="100" w:type="dxa"/>
            <w:vAlign w:val="bottom"/>
            <w:tcBorders>
              <w:top w:val="single" w:sz="8" w:color="0000FF"/>
              <w:bottom w:val="single" w:sz="8" w:color="CCEEFF"/>
            </w:tcBorders>
          </w:tcPr>
          <w:p>
            <w:pPr>
              <w:spacing w:after="0"/>
              <w:rPr>
                <w:sz w:val="4"/>
                <w:szCs w:val="4"/>
                <w:color w:val="auto"/>
              </w:rPr>
            </w:pPr>
          </w:p>
        </w:tc>
        <w:tc>
          <w:tcPr>
            <w:tcW w:w="400" w:type="dxa"/>
            <w:vAlign w:val="bottom"/>
            <w:tcBorders>
              <w:top w:val="single" w:sz="8" w:color="0000FF"/>
              <w:bottom w:val="single" w:sz="8" w:color="CCEEFF"/>
            </w:tcBorders>
          </w:tcPr>
          <w:p>
            <w:pPr>
              <w:spacing w:after="0"/>
              <w:rPr>
                <w:sz w:val="4"/>
                <w:szCs w:val="4"/>
                <w:color w:val="auto"/>
              </w:rPr>
            </w:pPr>
          </w:p>
        </w:tc>
        <w:tc>
          <w:tcPr>
            <w:tcW w:w="760" w:type="dxa"/>
            <w:vAlign w:val="bottom"/>
            <w:tcBorders>
              <w:top w:val="single" w:sz="8" w:color="0000FF"/>
              <w:bottom w:val="single" w:sz="8" w:color="CCEEFF"/>
            </w:tcBorders>
          </w:tcPr>
          <w:p>
            <w:pPr>
              <w:spacing w:after="0"/>
              <w:rPr>
                <w:sz w:val="4"/>
                <w:szCs w:val="4"/>
                <w:color w:val="auto"/>
              </w:rPr>
            </w:pPr>
          </w:p>
        </w:tc>
        <w:tc>
          <w:tcPr>
            <w:tcW w:w="180" w:type="dxa"/>
            <w:vAlign w:val="bottom"/>
            <w:tcBorders>
              <w:top w:val="single" w:sz="8" w:color="0000FF"/>
              <w:bottom w:val="single" w:sz="8" w:color="CCEEFF"/>
            </w:tcBorders>
          </w:tcPr>
          <w:p>
            <w:pPr>
              <w:spacing w:after="0"/>
              <w:rPr>
                <w:sz w:val="4"/>
                <w:szCs w:val="4"/>
                <w:color w:val="auto"/>
              </w:rPr>
            </w:pPr>
          </w:p>
        </w:tc>
        <w:tc>
          <w:tcPr>
            <w:tcW w:w="180" w:type="dxa"/>
            <w:vAlign w:val="bottom"/>
            <w:tcBorders>
              <w:top w:val="single" w:sz="8" w:color="0000FF"/>
              <w:bottom w:val="single" w:sz="8" w:color="CCEEFF"/>
            </w:tcBorders>
          </w:tcPr>
          <w:p>
            <w:pPr>
              <w:spacing w:after="0"/>
              <w:rPr>
                <w:sz w:val="4"/>
                <w:szCs w:val="4"/>
                <w:color w:val="auto"/>
              </w:rPr>
            </w:pPr>
          </w:p>
        </w:tc>
        <w:tc>
          <w:tcPr>
            <w:tcW w:w="266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280" w:type="dxa"/>
            <w:vAlign w:val="bottom"/>
            <w:tcBorders>
              <w:top w:val="single" w:sz="8" w:color="0000FF"/>
              <w:bottom w:val="single" w:sz="8" w:color="CCEEFF"/>
            </w:tcBorders>
          </w:tcPr>
          <w:p>
            <w:pPr>
              <w:spacing w:after="0"/>
              <w:rPr>
                <w:sz w:val="4"/>
                <w:szCs w:val="4"/>
                <w:color w:val="auto"/>
              </w:rPr>
            </w:pPr>
          </w:p>
        </w:tc>
        <w:tc>
          <w:tcPr>
            <w:tcW w:w="620" w:type="dxa"/>
            <w:vAlign w:val="bottom"/>
            <w:tcBorders>
              <w:top w:val="single" w:sz="8" w:color="0000FF"/>
              <w:bottom w:val="single" w:sz="8" w:color="CCEEFF"/>
            </w:tcBorders>
          </w:tcPr>
          <w:p>
            <w:pPr>
              <w:spacing w:after="0"/>
              <w:rPr>
                <w:sz w:val="4"/>
                <w:szCs w:val="4"/>
                <w:color w:val="auto"/>
              </w:rPr>
            </w:pPr>
          </w:p>
        </w:tc>
        <w:tc>
          <w:tcPr>
            <w:tcW w:w="100" w:type="dxa"/>
            <w:vAlign w:val="bottom"/>
            <w:tcBorders>
              <w:top w:val="single" w:sz="8" w:color="0000FF"/>
              <w:bottom w:val="single" w:sz="8" w:color="CCEEFF"/>
            </w:tcBorders>
          </w:tcPr>
          <w:p>
            <w:pPr>
              <w:spacing w:after="0"/>
              <w:rPr>
                <w:sz w:val="4"/>
                <w:szCs w:val="4"/>
                <w:color w:val="auto"/>
              </w:rPr>
            </w:pPr>
          </w:p>
        </w:tc>
        <w:tc>
          <w:tcPr>
            <w:tcW w:w="440" w:type="dxa"/>
            <w:vAlign w:val="bottom"/>
            <w:tcBorders>
              <w:top w:val="single" w:sz="8" w:color="0000FF"/>
              <w:bottom w:val="single" w:sz="8" w:color="CCEEFF"/>
            </w:tcBorders>
          </w:tcPr>
          <w:p>
            <w:pPr>
              <w:spacing w:after="0"/>
              <w:rPr>
                <w:sz w:val="4"/>
                <w:szCs w:val="4"/>
                <w:color w:val="auto"/>
              </w:rPr>
            </w:pPr>
          </w:p>
        </w:tc>
        <w:tc>
          <w:tcPr>
            <w:tcW w:w="300" w:type="dxa"/>
            <w:vAlign w:val="bottom"/>
            <w:tcBorders>
              <w:top w:val="single" w:sz="8" w:color="0000FF"/>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r>
    </w:tbl>
    <w:p>
      <w:pPr>
        <w:sectPr>
          <w:pgSz w:w="11900" w:h="16900" w:orient="portrait"/>
          <w:cols w:equalWidth="0" w:num="1">
            <w:col w:w="11420"/>
          </w:cols>
          <w:pgMar w:left="240" w:top="1121" w:right="239" w:bottom="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10.17*</w:t>
            </w:r>
          </w:p>
        </w:tc>
        <w:tc>
          <w:tcPr>
            <w:tcW w:w="9500" w:type="dxa"/>
            <w:vAlign w:val="bottom"/>
            <w:tcBorders>
              <w:bottom w:val="single" w:sz="8" w:color="0000FF"/>
            </w:tcBorders>
            <w:gridSpan w:val="26"/>
            <w:shd w:val="clear" w:color="auto" w:fill="CCEEFF"/>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2016 Technip Incentive and Reward Plan (Rules of the Performance Shares Plan) July 1, 2016 allocation (incorporated by reference</w:t>
              </w:r>
            </w:hyperlink>
          </w:p>
        </w:tc>
        <w:tc>
          <w:tcPr>
            <w:tcW w:w="400" w:type="dxa"/>
            <w:vAlign w:val="bottom"/>
            <w:tcBorders>
              <w:bottom w:val="single" w:sz="8" w:color="CCEEFF"/>
            </w:tcBorders>
            <w:gridSpan w:val="9"/>
            <w:shd w:val="clear" w:color="auto" w:fill="CCEEFF"/>
          </w:tcPr>
          <w:p>
            <w:pPr>
              <w:spacing w:after="0"/>
              <w:rPr>
                <w:sz w:val="17"/>
                <w:szCs w:val="17"/>
                <w:color w:val="auto"/>
              </w:rPr>
            </w:pPr>
          </w:p>
        </w:tc>
      </w:tr>
      <w:tr>
        <w:trPr>
          <w:trHeight w:val="244"/>
        </w:trPr>
        <w:tc>
          <w:tcPr>
            <w:tcW w:w="1520" w:type="dxa"/>
            <w:vAlign w:val="bottom"/>
            <w:tcBorders>
              <w:bottom w:val="single" w:sz="8" w:color="CCEEFF"/>
            </w:tcBorders>
            <w:shd w:val="clear" w:color="auto" w:fill="CCEEFF"/>
          </w:tcPr>
          <w:p>
            <w:pPr>
              <w:spacing w:after="0"/>
              <w:rPr>
                <w:sz w:val="21"/>
                <w:szCs w:val="21"/>
                <w:color w:val="auto"/>
              </w:rPr>
            </w:pPr>
          </w:p>
        </w:tc>
        <w:tc>
          <w:tcPr>
            <w:tcW w:w="9680" w:type="dxa"/>
            <w:vAlign w:val="bottom"/>
            <w:tcBorders>
              <w:bottom w:val="single" w:sz="8" w:color="0000FF"/>
            </w:tcBorders>
            <w:gridSpan w:val="30"/>
            <w:shd w:val="clear" w:color="auto" w:fill="CCEEFF"/>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from Exhibit 99.10 to the Registration Statement on Form S-8 of TechnipFMC plc, filed on February 27, 2017) (File No. 333-216289)</w:t>
              </w:r>
            </w:hyperlink>
          </w:p>
        </w:tc>
        <w:tc>
          <w:tcPr>
            <w:tcW w:w="22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10.18*</w:t>
            </w:r>
          </w:p>
        </w:tc>
        <w:tc>
          <w:tcPr>
            <w:tcW w:w="9900" w:type="dxa"/>
            <w:vAlign w:val="bottom"/>
            <w:gridSpan w:val="35"/>
          </w:tcPr>
          <w:p>
            <w:pPr>
              <w:spacing w:after="0" w:line="202"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2016 Technip Incentive and Reward Plan (Stock Option Plan Rules) July 1, 2016 allocation (incorporated by reference from Exhibit</w:t>
              </w:r>
            </w:hyperlink>
          </w:p>
        </w:tc>
      </w:tr>
      <w:tr>
        <w:trPr>
          <w:trHeight w:val="196"/>
        </w:trPr>
        <w:tc>
          <w:tcPr>
            <w:tcW w:w="1520" w:type="dxa"/>
            <w:vAlign w:val="bottom"/>
          </w:tcPr>
          <w:p>
            <w:pPr>
              <w:spacing w:after="0"/>
              <w:rPr>
                <w:sz w:val="17"/>
                <w:szCs w:val="17"/>
                <w:color w:val="auto"/>
              </w:rPr>
            </w:pPr>
          </w:p>
        </w:tc>
        <w:tc>
          <w:tcPr>
            <w:tcW w:w="9520" w:type="dxa"/>
            <w:vAlign w:val="bottom"/>
            <w:tcBorders>
              <w:top w:val="single" w:sz="8" w:color="0000FF"/>
            </w:tcBorders>
            <w:gridSpan w:val="27"/>
          </w:tcPr>
          <w:p>
            <w:pPr>
              <w:spacing w:after="0" w:line="196" w:lineRule="exact"/>
              <w:rPr>
                <w:rFonts w:ascii="Arial" w:cs="Arial" w:eastAsia="Arial" w:hAnsi="Arial"/>
                <w:sz w:val="18"/>
                <w:szCs w:val="18"/>
                <w:color w:val="0000FF"/>
                <w:w w:val="99"/>
              </w:rPr>
            </w:pPr>
            <w:hyperlink r:id="rId89">
              <w:r>
                <w:rPr>
                  <w:rFonts w:ascii="Arial" w:cs="Arial" w:eastAsia="Arial" w:hAnsi="Arial"/>
                  <w:sz w:val="18"/>
                  <w:szCs w:val="18"/>
                  <w:color w:val="0000FF"/>
                  <w:w w:val="99"/>
                </w:rPr>
                <w:t>99.</w:t>
              </w:r>
              <w:r>
                <w:rPr>
                  <w:rFonts w:ascii="Arial" w:cs="Arial" w:eastAsia="Arial" w:hAnsi="Arial"/>
                  <w:sz w:val="18"/>
                  <w:szCs w:val="18"/>
                  <w:u w:val="single" w:color="auto"/>
                  <w:color w:val="0000FF"/>
                  <w:w w:val="99"/>
                </w:rPr>
                <w:t>11</w:t>
              </w:r>
              <w:r>
                <w:rPr>
                  <w:rFonts w:ascii="Arial" w:cs="Arial" w:eastAsia="Arial" w:hAnsi="Arial"/>
                  <w:sz w:val="18"/>
                  <w:szCs w:val="18"/>
                  <w:color w:val="0000FF"/>
                  <w:w w:val="99"/>
                </w:rPr>
                <w:t xml:space="preserve"> to the Registration Statement on Form S-8 of TechnipFMC plc, filed on February 27, 2017) (File No. 333-216289)</w:t>
              </w:r>
            </w:hyperlink>
          </w:p>
        </w:tc>
        <w:tc>
          <w:tcPr>
            <w:tcW w:w="380" w:type="dxa"/>
            <w:vAlign w:val="bottom"/>
            <w:gridSpan w:val="8"/>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10.19*</w:t>
            </w: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6"/>
              </w:rPr>
            </w:pPr>
            <w:hyperlink r:id="rId90">
              <w:r>
                <w:rPr>
                  <w:rFonts w:ascii="Arial" w:cs="Arial" w:eastAsia="Arial" w:hAnsi="Arial"/>
                  <w:sz w:val="18"/>
                  <w:szCs w:val="18"/>
                  <w:color w:val="0000FF"/>
                  <w:w w:val="96"/>
                </w:rPr>
                <w:t>2016 Technip Incentive and Reward Plan (Rules of the Performance Shares Plan) December 6, 2016 allocation (incorporated by</w:t>
              </w:r>
            </w:hyperlink>
          </w:p>
        </w:tc>
      </w:tr>
      <w:tr>
        <w:trPr>
          <w:trHeight w:val="20"/>
        </w:trPr>
        <w:tc>
          <w:tcPr>
            <w:tcW w:w="152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1520" w:type="dxa"/>
            <w:vAlign w:val="bottom"/>
            <w:shd w:val="clear" w:color="auto" w:fill="CCEEFF"/>
          </w:tcPr>
          <w:p>
            <w:pPr>
              <w:spacing w:after="0"/>
              <w:rPr>
                <w:sz w:val="17"/>
                <w:szCs w:val="17"/>
                <w:color w:val="auto"/>
              </w:rPr>
            </w:pPr>
          </w:p>
        </w:tc>
        <w:tc>
          <w:tcPr>
            <w:tcW w:w="9900" w:type="dxa"/>
            <w:vAlign w:val="bottom"/>
            <w:gridSpan w:val="35"/>
            <w:shd w:val="clear" w:color="auto" w:fill="CCEEFF"/>
          </w:tcPr>
          <w:p>
            <w:pPr>
              <w:spacing w:after="0" w:line="196" w:lineRule="exact"/>
              <w:rPr>
                <w:rFonts w:ascii="Arial" w:cs="Arial" w:eastAsia="Arial" w:hAnsi="Arial"/>
                <w:sz w:val="18"/>
                <w:szCs w:val="18"/>
                <w:color w:val="0000FF"/>
                <w:w w:val="92"/>
              </w:rPr>
            </w:pPr>
            <w:hyperlink r:id="rId90">
              <w:r>
                <w:rPr>
                  <w:rFonts w:ascii="Arial" w:cs="Arial" w:eastAsia="Arial" w:hAnsi="Arial"/>
                  <w:sz w:val="18"/>
                  <w:szCs w:val="18"/>
                  <w:color w:val="0000FF"/>
                  <w:w w:val="92"/>
                </w:rPr>
                <w:t>reference from Exhibit 99.12 to the Registration Statement on Form S-8 of TechnipFMC plc, filed on February 27, 2017) (File No. 333-</w:t>
              </w:r>
            </w:hyperlink>
          </w:p>
        </w:tc>
      </w:tr>
      <w:tr>
        <w:trPr>
          <w:trHeight w:val="196"/>
        </w:trPr>
        <w:tc>
          <w:tcPr>
            <w:tcW w:w="15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216289)</w:t>
              </w:r>
            </w:hyperlink>
          </w:p>
        </w:tc>
        <w:tc>
          <w:tcPr>
            <w:tcW w:w="3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3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3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210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48"/>
        </w:trPr>
        <w:tc>
          <w:tcPr>
            <w:tcW w:w="1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10.20*</w:t>
            </w:r>
          </w:p>
        </w:tc>
        <w:tc>
          <w:tcPr>
            <w:tcW w:w="9480" w:type="dxa"/>
            <w:vAlign w:val="bottom"/>
            <w:tcBorders>
              <w:bottom w:val="single" w:sz="8" w:color="0000FF"/>
            </w:tcBorders>
            <w:gridSpan w:val="25"/>
          </w:tcPr>
          <w:p>
            <w:pPr>
              <w:spacing w:after="0" w:line="202"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Form of TechnipFMC plc Executive Severance Agreement (incorporated by reference from Exhibit 10.5 to the Quarterly Report on</w:t>
              </w:r>
            </w:hyperlink>
          </w:p>
        </w:tc>
        <w:tc>
          <w:tcPr>
            <w:tcW w:w="420" w:type="dxa"/>
            <w:vAlign w:val="bottom"/>
            <w:gridSpan w:val="10"/>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Form 10-Q filed on August 4, 2017) (File No. 001-37983)</w:t>
              </w:r>
            </w:hyperlink>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10.21*</w:t>
            </w:r>
          </w:p>
        </w:tc>
        <w:tc>
          <w:tcPr>
            <w:tcW w:w="650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0"/>
              </w:rPr>
            </w:pPr>
            <w:hyperlink w:anchor="page124">
              <w:r>
                <w:rPr>
                  <w:rFonts w:ascii="Arial" w:cs="Arial" w:eastAsia="Arial" w:hAnsi="Arial"/>
                  <w:sz w:val="18"/>
                  <w:szCs w:val="18"/>
                  <w:color w:val="0000FF"/>
                  <w:w w:val="90"/>
                </w:rPr>
                <w:t>Service Agreement between TechnipFMC plc and Thierry Pilenko dated January 16, 2017</w:t>
              </w:r>
            </w:hyperlink>
          </w:p>
        </w:tc>
        <w:tc>
          <w:tcPr>
            <w:tcW w:w="3400" w:type="dxa"/>
            <w:vAlign w:val="bottom"/>
            <w:tcBorders>
              <w:bottom w:val="single" w:sz="8" w:color="CCEEFF"/>
            </w:tcBorders>
            <w:gridSpan w:val="15"/>
            <w:shd w:val="clear" w:color="auto" w:fill="CCEEFF"/>
          </w:tcPr>
          <w:p>
            <w:pPr>
              <w:spacing w:after="0"/>
              <w:rPr>
                <w:sz w:val="21"/>
                <w:szCs w:val="21"/>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10.22*</w:t>
            </w:r>
          </w:p>
        </w:tc>
        <w:tc>
          <w:tcPr>
            <w:tcW w:w="9900" w:type="dxa"/>
            <w:vAlign w:val="bottom"/>
            <w:gridSpan w:val="35"/>
          </w:tcPr>
          <w:p>
            <w:pPr>
              <w:spacing w:after="0" w:line="202" w:lineRule="exact"/>
              <w:rPr>
                <w:rFonts w:ascii="Arial" w:cs="Arial" w:eastAsia="Arial" w:hAnsi="Arial"/>
                <w:sz w:val="18"/>
                <w:szCs w:val="18"/>
                <w:color w:val="0000FF"/>
              </w:rPr>
            </w:pPr>
            <w:hyperlink w:anchor="page133">
              <w:r>
                <w:rPr>
                  <w:rFonts w:ascii="Arial" w:cs="Arial" w:eastAsia="Arial" w:hAnsi="Arial"/>
                  <w:sz w:val="18"/>
                  <w:szCs w:val="18"/>
                  <w:color w:val="0000FF"/>
                </w:rPr>
                <w:t>Letter Agreement between TechnipFMC plc and Thierry Pilenko dated September 20, 2017</w:t>
              </w:r>
            </w:hyperlink>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10.23</w:t>
            </w:r>
          </w:p>
        </w:tc>
        <w:tc>
          <w:tcPr>
            <w:tcW w:w="970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2"/>
              </w:rPr>
            </w:pPr>
            <w:hyperlink r:id="rId92">
              <w:r>
                <w:rPr>
                  <w:rFonts w:ascii="Arial" w:cs="Arial" w:eastAsia="Arial" w:hAnsi="Arial"/>
                  <w:sz w:val="18"/>
                  <w:szCs w:val="18"/>
                  <w:color w:val="0000FF"/>
                  <w:w w:val="92"/>
                </w:rPr>
                <w:t>Form of Executive Director Appointment Letter (incorporated by reference from Exhibit 10.2 to the Current Report on Form 8-K filed</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9900" w:type="dxa"/>
            <w:vAlign w:val="bottom"/>
            <w:gridSpan w:val="35"/>
            <w:shd w:val="clear" w:color="auto" w:fill="CCEEFF"/>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on January 17, 2017) (File No. 001-37983)</w:t>
              </w:r>
            </w:hyperlink>
          </w:p>
        </w:tc>
      </w:tr>
      <w:tr>
        <w:trPr>
          <w:trHeight w:val="48"/>
        </w:trPr>
        <w:tc>
          <w:tcPr>
            <w:tcW w:w="1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10.24</w:t>
            </w:r>
          </w:p>
        </w:tc>
        <w:tc>
          <w:tcPr>
            <w:tcW w:w="9900" w:type="dxa"/>
            <w:vAlign w:val="bottom"/>
            <w:gridSpan w:val="35"/>
          </w:tcPr>
          <w:p>
            <w:pPr>
              <w:spacing w:after="0" w:line="202" w:lineRule="exact"/>
              <w:rPr>
                <w:rFonts w:ascii="Arial" w:cs="Arial" w:eastAsia="Arial" w:hAnsi="Arial"/>
                <w:sz w:val="18"/>
                <w:szCs w:val="18"/>
                <w:color w:val="0000FF"/>
                <w:w w:val="94"/>
              </w:rPr>
            </w:pPr>
            <w:hyperlink r:id="rId93">
              <w:r>
                <w:rPr>
                  <w:rFonts w:ascii="Arial" w:cs="Arial" w:eastAsia="Arial" w:hAnsi="Arial"/>
                  <w:sz w:val="18"/>
                  <w:szCs w:val="18"/>
                  <w:color w:val="0000FF"/>
                  <w:w w:val="94"/>
                </w:rPr>
                <w:t>Form of Non-Executive Director Appointment Letter (incorporated by reference from Exhibit 10.3 to the Current Report on Form 8-K</w:t>
              </w:r>
            </w:hyperlink>
          </w:p>
        </w:tc>
      </w:tr>
      <w:tr>
        <w:trPr>
          <w:trHeight w:val="196"/>
        </w:trPr>
        <w:tc>
          <w:tcPr>
            <w:tcW w:w="1520" w:type="dxa"/>
            <w:vAlign w:val="bottom"/>
          </w:tcPr>
          <w:p>
            <w:pPr>
              <w:spacing w:after="0"/>
              <w:rPr>
                <w:sz w:val="17"/>
                <w:szCs w:val="17"/>
                <w:color w:val="auto"/>
              </w:rPr>
            </w:pPr>
          </w:p>
        </w:tc>
        <w:tc>
          <w:tcPr>
            <w:tcW w:w="968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filed on January 17, 2017) (File No. 001-37983)</w:t>
              </w:r>
            </w:hyperlink>
          </w:p>
        </w:tc>
        <w:tc>
          <w:tcPr>
            <w:tcW w:w="220" w:type="dxa"/>
            <w:vAlign w:val="bottom"/>
            <w:gridSpan w:val="5"/>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10.25</w:t>
            </w:r>
          </w:p>
        </w:tc>
        <w:tc>
          <w:tcPr>
            <w:tcW w:w="9700" w:type="dxa"/>
            <w:vAlign w:val="bottom"/>
            <w:tcBorders>
              <w:bottom w:val="single" w:sz="8" w:color="0000FF"/>
            </w:tcBorders>
            <w:gridSpan w:val="31"/>
            <w:shd w:val="clear" w:color="auto" w:fill="CCEEFF"/>
          </w:tcPr>
          <w:p>
            <w:pPr>
              <w:spacing w:after="0" w:line="202"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Form of Director Deed of Indemnity (Directors) (incorporated by reference from Exhibit 10.2 to the Current Report on Form 8-K filed</w:t>
              </w:r>
            </w:hyperlink>
          </w:p>
        </w:tc>
        <w:tc>
          <w:tcPr>
            <w:tcW w:w="2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9900" w:type="dxa"/>
            <w:vAlign w:val="bottom"/>
            <w:gridSpan w:val="35"/>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on January 17, 2017) (File No. 001-37983)</w:t>
              </w:r>
            </w:hyperlink>
          </w:p>
        </w:tc>
      </w:tr>
      <w:tr>
        <w:trPr>
          <w:trHeight w:val="48"/>
        </w:trPr>
        <w:tc>
          <w:tcPr>
            <w:tcW w:w="1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10.26</w:t>
            </w:r>
          </w:p>
        </w:tc>
        <w:tc>
          <w:tcPr>
            <w:tcW w:w="9900" w:type="dxa"/>
            <w:vAlign w:val="bottom"/>
            <w:gridSpan w:val="35"/>
          </w:tcPr>
          <w:p>
            <w:pPr>
              <w:spacing w:after="0" w:line="202" w:lineRule="exact"/>
              <w:rPr>
                <w:rFonts w:ascii="Arial" w:cs="Arial" w:eastAsia="Arial" w:hAnsi="Arial"/>
                <w:sz w:val="18"/>
                <w:szCs w:val="18"/>
                <w:color w:val="0000FF"/>
                <w:w w:val="94"/>
              </w:rPr>
            </w:pPr>
            <w:hyperlink r:id="rId95">
              <w:r>
                <w:rPr>
                  <w:rFonts w:ascii="Arial" w:cs="Arial" w:eastAsia="Arial" w:hAnsi="Arial"/>
                  <w:sz w:val="18"/>
                  <w:szCs w:val="18"/>
                  <w:color w:val="0000FF"/>
                  <w:w w:val="94"/>
                </w:rPr>
                <w:t>Form of Deed of Indemnity (Executive Officers) (incorporated by reference from Exhibit 10.3 to the Current Report on Form 8-K filed</w:t>
              </w:r>
            </w:hyperlink>
          </w:p>
        </w:tc>
      </w:tr>
      <w:tr>
        <w:trPr>
          <w:trHeight w:val="196"/>
        </w:trPr>
        <w:tc>
          <w:tcPr>
            <w:tcW w:w="1520" w:type="dxa"/>
            <w:vAlign w:val="bottom"/>
          </w:tcPr>
          <w:p>
            <w:pPr>
              <w:spacing w:after="0"/>
              <w:rPr>
                <w:sz w:val="17"/>
                <w:szCs w:val="17"/>
                <w:color w:val="auto"/>
              </w:rPr>
            </w:pPr>
          </w:p>
        </w:tc>
        <w:tc>
          <w:tcPr>
            <w:tcW w:w="9720" w:type="dxa"/>
            <w:vAlign w:val="bottom"/>
            <w:tcBorders>
              <w:top w:val="single" w:sz="8" w:color="0000FF"/>
            </w:tcBorders>
            <w:gridSpan w:val="32"/>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on January 17, 2017) (File No. 001-37983)</w:t>
              </w:r>
            </w:hyperlink>
          </w:p>
        </w:tc>
        <w:tc>
          <w:tcPr>
            <w:tcW w:w="180" w:type="dxa"/>
            <w:vAlign w:val="bottom"/>
            <w:gridSpan w:val="3"/>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10.27</w:t>
            </w:r>
          </w:p>
        </w:tc>
        <w:tc>
          <w:tcPr>
            <w:tcW w:w="9760" w:type="dxa"/>
            <w:vAlign w:val="bottom"/>
            <w:tcBorders>
              <w:bottom w:val="single" w:sz="8" w:color="0000FF"/>
            </w:tcBorders>
            <w:gridSpan w:val="33"/>
            <w:shd w:val="clear" w:color="auto" w:fill="CCEEFF"/>
          </w:tcPr>
          <w:p>
            <w:pPr>
              <w:spacing w:after="0" w:line="202"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Form of Director Deed of Indemnity (Executive Directors) (incorporated by reference from Exhibit 10.4 to the Current Report on Form</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15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8-K filed on January 17, 2017) (File No. 001-37983)</w:t>
              </w:r>
            </w:hyperlink>
          </w:p>
        </w:tc>
        <w:tc>
          <w:tcPr>
            <w:tcW w:w="6100" w:type="dxa"/>
            <w:vAlign w:val="bottom"/>
            <w:tcBorders>
              <w:bottom w:val="single" w:sz="8" w:color="CCEEFF"/>
            </w:tcBorders>
            <w:gridSpan w:val="21"/>
            <w:shd w:val="clear" w:color="auto" w:fill="CCEEFF"/>
          </w:tcPr>
          <w:p>
            <w:pPr>
              <w:spacing w:after="0"/>
              <w:rPr>
                <w:sz w:val="21"/>
                <w:szCs w:val="21"/>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10.28</w:t>
            </w:r>
          </w:p>
        </w:tc>
        <w:tc>
          <w:tcPr>
            <w:tcW w:w="9540" w:type="dxa"/>
            <w:vAlign w:val="bottom"/>
            <w:tcBorders>
              <w:bottom w:val="single" w:sz="8" w:color="0000FF"/>
            </w:tcBorders>
            <w:gridSpan w:val="28"/>
          </w:tcPr>
          <w:p>
            <w:pPr>
              <w:spacing w:after="0" w:line="202" w:lineRule="exact"/>
              <w:rPr>
                <w:rFonts w:ascii="Arial" w:cs="Arial" w:eastAsia="Arial" w:hAnsi="Arial"/>
                <w:sz w:val="18"/>
                <w:szCs w:val="18"/>
                <w:color w:val="0000FF"/>
                <w:w w:val="90"/>
              </w:rPr>
            </w:pPr>
            <w:hyperlink r:id="rId97">
              <w:r>
                <w:rPr>
                  <w:rFonts w:ascii="Arial" w:cs="Arial" w:eastAsia="Arial" w:hAnsi="Arial"/>
                  <w:sz w:val="18"/>
                  <w:szCs w:val="18"/>
                  <w:u w:val="single" w:color="auto"/>
                  <w:color w:val="0000FF"/>
                  <w:w w:val="90"/>
                </w:rPr>
                <w:t>US$</w:t>
              </w:r>
              <w:r>
                <w:rPr>
                  <w:rFonts w:ascii="Arial" w:cs="Arial" w:eastAsia="Arial" w:hAnsi="Arial"/>
                  <w:sz w:val="18"/>
                  <w:szCs w:val="18"/>
                  <w:color w:val="0000FF"/>
                  <w:w w:val="90"/>
                </w:rPr>
                <w:t>2,500,000,000 Facility Agreement, dated January 12, 2017, by and among FMC Technologies, Inc., Technip Eurocash SNC and</w:t>
              </w:r>
            </w:hyperlink>
          </w:p>
        </w:tc>
        <w:tc>
          <w:tcPr>
            <w:tcW w:w="360" w:type="dxa"/>
            <w:vAlign w:val="bottom"/>
            <w:gridSpan w:val="7"/>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TechnipFMC plc, as borrowers; JPMorgan Chase Bank, N.A., as agent; SG Americas Securities, LLC as syndication agent; and the</w:t>
              </w:r>
            </w:hyperlink>
          </w:p>
        </w:tc>
      </w:tr>
      <w:tr>
        <w:trPr>
          <w:trHeight w:val="20"/>
        </w:trPr>
        <w:tc>
          <w:tcPr>
            <w:tcW w:w="152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FF"/>
                <w:w w:val="93"/>
              </w:rPr>
            </w:pPr>
            <w:hyperlink r:id="rId97">
              <w:r>
                <w:rPr>
                  <w:rFonts w:ascii="Arial" w:cs="Arial" w:eastAsia="Arial" w:hAnsi="Arial"/>
                  <w:sz w:val="18"/>
                  <w:szCs w:val="18"/>
                  <w:color w:val="0000FF"/>
                  <w:w w:val="93"/>
                </w:rPr>
                <w:t>other lenders party thereto (incorporated by reference from Exhibit 10.1 to the Current Report on Form 8-K filed on January 17, 2017)</w:t>
              </w:r>
            </w:hyperlink>
          </w:p>
        </w:tc>
      </w:tr>
      <w:tr>
        <w:trPr>
          <w:trHeight w:val="196"/>
        </w:trPr>
        <w:tc>
          <w:tcPr>
            <w:tcW w:w="1520" w:type="dxa"/>
            <w:vAlign w:val="bottom"/>
          </w:tcPr>
          <w:p>
            <w:pPr>
              <w:spacing w:after="0"/>
              <w:rPr>
                <w:sz w:val="17"/>
                <w:szCs w:val="17"/>
                <w:color w:val="auto"/>
              </w:rPr>
            </w:pPr>
          </w:p>
        </w:tc>
        <w:tc>
          <w:tcPr>
            <w:tcW w:w="968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(File No. 001-37983)</w:t>
              </w:r>
            </w:hyperlink>
          </w:p>
        </w:tc>
        <w:tc>
          <w:tcPr>
            <w:tcW w:w="220" w:type="dxa"/>
            <w:vAlign w:val="bottom"/>
            <w:gridSpan w:val="5"/>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10.29</w:t>
            </w:r>
          </w:p>
        </w:tc>
        <w:tc>
          <w:tcPr>
            <w:tcW w:w="9900" w:type="dxa"/>
            <w:vAlign w:val="bottom"/>
            <w:gridSpan w:val="35"/>
            <w:shd w:val="clear" w:color="auto" w:fill="CCEEFF"/>
          </w:tcPr>
          <w:p>
            <w:pPr>
              <w:spacing w:after="0" w:line="202"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Form of Commercial Paper Dealer Agreement, by and among FMC Technologies, Inc., as Issuer, TechnipFMC plc, as Guarantor, and</w:t>
              </w:r>
            </w:hyperlink>
          </w:p>
        </w:tc>
      </w:tr>
      <w:tr>
        <w:trPr>
          <w:trHeight w:val="20"/>
        </w:trPr>
        <w:tc>
          <w:tcPr>
            <w:tcW w:w="1520" w:type="dxa"/>
            <w:vAlign w:val="bottom"/>
            <w:shd w:val="clear" w:color="auto" w:fill="CCEE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320" w:type="dxa"/>
            <w:vAlign w:val="bottom"/>
            <w:gridSpan w:val="10"/>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r>
      <w:tr>
        <w:trPr>
          <w:trHeight w:val="196"/>
        </w:trPr>
        <w:tc>
          <w:tcPr>
            <w:tcW w:w="1520" w:type="dxa"/>
            <w:vAlign w:val="bottom"/>
            <w:shd w:val="clear" w:color="auto" w:fill="CCEEFF"/>
          </w:tcPr>
          <w:p>
            <w:pPr>
              <w:spacing w:after="0"/>
              <w:rPr>
                <w:sz w:val="17"/>
                <w:szCs w:val="17"/>
                <w:color w:val="auto"/>
              </w:rPr>
            </w:pPr>
          </w:p>
        </w:tc>
        <w:tc>
          <w:tcPr>
            <w:tcW w:w="9900" w:type="dxa"/>
            <w:vAlign w:val="bottom"/>
            <w:gridSpan w:val="35"/>
            <w:shd w:val="clear" w:color="auto" w:fill="CCEEFF"/>
          </w:tcPr>
          <w:p>
            <w:pPr>
              <w:spacing w:after="0" w:line="19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the Dealer party thereto (incorporated by reference from Exhibit 10.1 to the Current Report on Form 8-K filed on September 20, 2017)</w:t>
              </w:r>
            </w:hyperlink>
          </w:p>
        </w:tc>
      </w:tr>
      <w:tr>
        <w:trPr>
          <w:trHeight w:val="244"/>
        </w:trPr>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(File No. 001-37983)</w:t>
              </w:r>
            </w:hyperlink>
          </w:p>
        </w:tc>
        <w:tc>
          <w:tcPr>
            <w:tcW w:w="8160" w:type="dxa"/>
            <w:vAlign w:val="bottom"/>
            <w:tcBorders>
              <w:top w:val="single" w:sz="8" w:color="0000FF"/>
              <w:bottom w:val="single" w:sz="8" w:color="CCEEFF"/>
            </w:tcBorders>
            <w:gridSpan w:val="29"/>
            <w:shd w:val="clear" w:color="auto" w:fill="CCEEFF"/>
          </w:tcPr>
          <w:p>
            <w:pPr>
              <w:spacing w:after="0"/>
              <w:rPr>
                <w:sz w:val="21"/>
                <w:szCs w:val="21"/>
                <w:color w:val="auto"/>
              </w:rPr>
            </w:pPr>
          </w:p>
        </w:tc>
        <w:tc>
          <w:tcPr>
            <w:tcW w:w="20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21.1</w:t>
            </w:r>
          </w:p>
        </w:tc>
        <w:tc>
          <w:tcPr>
            <w:tcW w:w="9900" w:type="dxa"/>
            <w:vAlign w:val="bottom"/>
            <w:gridSpan w:val="35"/>
          </w:tcPr>
          <w:p>
            <w:pPr>
              <w:spacing w:after="0" w:line="202" w:lineRule="exact"/>
              <w:rPr>
                <w:rFonts w:ascii="Arial" w:cs="Arial" w:eastAsia="Arial" w:hAnsi="Arial"/>
                <w:sz w:val="18"/>
                <w:szCs w:val="18"/>
                <w:color w:val="0000FF"/>
              </w:rPr>
            </w:pPr>
            <w:hyperlink w:anchor="page135">
              <w:r>
                <w:rPr>
                  <w:rFonts w:ascii="Arial" w:cs="Arial" w:eastAsia="Arial" w:hAnsi="Arial"/>
                  <w:sz w:val="18"/>
                  <w:szCs w:val="18"/>
                  <w:color w:val="0000FF"/>
                </w:rPr>
                <w:t>List of Significant Subsidiaries</w:t>
              </w:r>
            </w:hyperlink>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23.1</w:t>
            </w:r>
          </w:p>
        </w:tc>
        <w:tc>
          <w:tcPr>
            <w:tcW w:w="9900" w:type="dxa"/>
            <w:vAlign w:val="bottom"/>
            <w:gridSpan w:val="35"/>
            <w:shd w:val="clear" w:color="auto" w:fill="CCEEFF"/>
          </w:tcPr>
          <w:p>
            <w:pPr>
              <w:spacing w:after="0" w:line="202" w:lineRule="exact"/>
              <w:rPr>
                <w:rFonts w:ascii="Arial" w:cs="Arial" w:eastAsia="Arial" w:hAnsi="Arial"/>
                <w:sz w:val="18"/>
                <w:szCs w:val="18"/>
                <w:color w:val="0000FF"/>
              </w:rPr>
            </w:pPr>
            <w:hyperlink w:anchor="page136">
              <w:r>
                <w:rPr>
                  <w:rFonts w:ascii="Arial" w:cs="Arial" w:eastAsia="Arial" w:hAnsi="Arial"/>
                  <w:sz w:val="18"/>
                  <w:szCs w:val="18"/>
                  <w:color w:val="0000FF"/>
                </w:rPr>
                <w:t>Consent of PricewaterhouseCoopers LLP</w:t>
              </w:r>
            </w:hyperlink>
          </w:p>
        </w:tc>
      </w:tr>
      <w:tr>
        <w:trPr>
          <w:trHeight w:val="48"/>
        </w:trPr>
        <w:tc>
          <w:tcPr>
            <w:tcW w:w="15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23.2</w:t>
            </w:r>
          </w:p>
        </w:tc>
        <w:tc>
          <w:tcPr>
            <w:tcW w:w="9900" w:type="dxa"/>
            <w:vAlign w:val="bottom"/>
            <w:gridSpan w:val="35"/>
          </w:tcPr>
          <w:p>
            <w:pPr>
              <w:spacing w:after="0" w:line="202" w:lineRule="exact"/>
              <w:rPr>
                <w:rFonts w:ascii="Arial" w:cs="Arial" w:eastAsia="Arial" w:hAnsi="Arial"/>
                <w:sz w:val="18"/>
                <w:szCs w:val="18"/>
                <w:color w:val="0000FF"/>
              </w:rPr>
            </w:pPr>
            <w:hyperlink w:anchor="page137">
              <w:r>
                <w:rPr>
                  <w:rFonts w:ascii="Arial" w:cs="Arial" w:eastAsia="Arial" w:hAnsi="Arial"/>
                  <w:sz w:val="18"/>
                  <w:szCs w:val="18"/>
                  <w:color w:val="0000FF"/>
                </w:rPr>
                <w:t>Consent of PricewaterhouseCoopers Audit</w:t>
              </w:r>
            </w:hyperlink>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9900" w:type="dxa"/>
            <w:vAlign w:val="bottom"/>
            <w:gridSpan w:val="35"/>
            <w:shd w:val="clear" w:color="auto" w:fill="CCEEFF"/>
          </w:tcPr>
          <w:p>
            <w:pPr>
              <w:spacing w:after="0" w:line="202" w:lineRule="exact"/>
              <w:rPr>
                <w:rFonts w:ascii="Arial" w:cs="Arial" w:eastAsia="Arial" w:hAnsi="Arial"/>
                <w:sz w:val="18"/>
                <w:szCs w:val="18"/>
                <w:color w:val="0000FF"/>
              </w:rPr>
            </w:pPr>
            <w:hyperlink w:anchor="page138">
              <w:r>
                <w:rPr>
                  <w:rFonts w:ascii="Arial" w:cs="Arial" w:eastAsia="Arial" w:hAnsi="Arial"/>
                  <w:sz w:val="18"/>
                  <w:szCs w:val="18"/>
                  <w:color w:val="0000FF"/>
                </w:rPr>
                <w:t>Certification of Chief Executive Officer pursuant to Rule 13a-14(a) and Rule 15d-14(a)</w:t>
              </w:r>
            </w:hyperlink>
          </w:p>
        </w:tc>
      </w:tr>
      <w:tr>
        <w:trPr>
          <w:trHeight w:val="203"/>
        </w:trPr>
        <w:tc>
          <w:tcPr>
            <w:tcW w:w="15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31.2</w:t>
            </w:r>
          </w:p>
        </w:tc>
        <w:tc>
          <w:tcPr>
            <w:tcW w:w="6300" w:type="dxa"/>
            <w:vAlign w:val="bottom"/>
            <w:tcBorders>
              <w:top w:val="single" w:sz="8" w:color="0000FF"/>
            </w:tcBorders>
            <w:gridSpan w:val="19"/>
          </w:tcPr>
          <w:p>
            <w:pPr>
              <w:spacing w:after="0" w:line="202" w:lineRule="exact"/>
              <w:rPr>
                <w:rFonts w:ascii="Arial" w:cs="Arial" w:eastAsia="Arial" w:hAnsi="Arial"/>
                <w:sz w:val="18"/>
                <w:szCs w:val="18"/>
                <w:color w:val="0000FF"/>
                <w:w w:val="92"/>
              </w:rPr>
            </w:pPr>
            <w:hyperlink w:anchor="page139">
              <w:r>
                <w:rPr>
                  <w:rFonts w:ascii="Arial" w:cs="Arial" w:eastAsia="Arial" w:hAnsi="Arial"/>
                  <w:sz w:val="18"/>
                  <w:szCs w:val="18"/>
                  <w:color w:val="0000FF"/>
                  <w:w w:val="92"/>
                </w:rPr>
                <w:t>Certification of Chief Financial Officer pursuant to Rule 13a-14(a) and Rule 15d-14(a)</w:t>
              </w:r>
            </w:hyperlink>
          </w:p>
        </w:tc>
        <w:tc>
          <w:tcPr>
            <w:tcW w:w="3600" w:type="dxa"/>
            <w:vAlign w:val="bottom"/>
            <w:tcBorders>
              <w:top w:val="single" w:sz="8" w:color="CCEEFF"/>
            </w:tcBorders>
            <w:gridSpan w:val="16"/>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9900" w:type="dxa"/>
            <w:vAlign w:val="bottom"/>
            <w:gridSpan w:val="35"/>
            <w:shd w:val="clear" w:color="auto" w:fill="CCEEFF"/>
          </w:tcPr>
          <w:p>
            <w:pPr>
              <w:spacing w:after="0" w:line="202" w:lineRule="exact"/>
              <w:rPr>
                <w:rFonts w:ascii="Arial" w:cs="Arial" w:eastAsia="Arial" w:hAnsi="Arial"/>
                <w:sz w:val="18"/>
                <w:szCs w:val="18"/>
                <w:color w:val="0000FF"/>
              </w:rPr>
            </w:pPr>
            <w:hyperlink w:anchor="page140">
              <w:r>
                <w:rPr>
                  <w:rFonts w:ascii="Arial" w:cs="Arial" w:eastAsia="Arial" w:hAnsi="Arial"/>
                  <w:sz w:val="18"/>
                  <w:szCs w:val="18"/>
                  <w:color w:val="0000FF"/>
                </w:rPr>
                <w:t>Certification of Chief Executive Officer pursuant to 18 U.S.C. 1350</w:t>
              </w:r>
            </w:hyperlink>
          </w:p>
        </w:tc>
      </w:tr>
      <w:tr>
        <w:trPr>
          <w:trHeight w:val="203"/>
        </w:trPr>
        <w:tc>
          <w:tcPr>
            <w:tcW w:w="15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32.2**</w:t>
            </w:r>
          </w:p>
        </w:tc>
        <w:tc>
          <w:tcPr>
            <w:tcW w:w="4880" w:type="dxa"/>
            <w:vAlign w:val="bottom"/>
            <w:tcBorders>
              <w:top w:val="single" w:sz="8" w:color="0000FF"/>
            </w:tcBorders>
            <w:gridSpan w:val="17"/>
          </w:tcPr>
          <w:p>
            <w:pPr>
              <w:spacing w:after="0" w:line="202" w:lineRule="exact"/>
              <w:rPr>
                <w:rFonts w:ascii="Arial" w:cs="Arial" w:eastAsia="Arial" w:hAnsi="Arial"/>
                <w:sz w:val="18"/>
                <w:szCs w:val="18"/>
                <w:color w:val="0000FF"/>
                <w:w w:val="93"/>
              </w:rPr>
            </w:pPr>
            <w:hyperlink w:anchor="page141">
              <w:r>
                <w:rPr>
                  <w:rFonts w:ascii="Arial" w:cs="Arial" w:eastAsia="Arial" w:hAnsi="Arial"/>
                  <w:sz w:val="18"/>
                  <w:szCs w:val="18"/>
                  <w:color w:val="0000FF"/>
                  <w:w w:val="93"/>
                </w:rPr>
                <w:t>Certification of Chief Financial Officer pursuant to 18 U.S.C. 1350</w:t>
              </w:r>
            </w:hyperlink>
          </w:p>
        </w:tc>
        <w:tc>
          <w:tcPr>
            <w:tcW w:w="5020" w:type="dxa"/>
            <w:vAlign w:val="bottom"/>
            <w:tcBorders>
              <w:top w:val="single" w:sz="8" w:color="CCEEFF"/>
            </w:tcBorders>
            <w:gridSpan w:val="18"/>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5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101.INS</w:t>
            </w:r>
          </w:p>
        </w:tc>
        <w:tc>
          <w:tcPr>
            <w:tcW w:w="9900" w:type="dxa"/>
            <w:vAlign w:val="bottom"/>
            <w:gridSpan w:val="35"/>
            <w:shd w:val="clear" w:color="auto" w:fill="CCEEFF"/>
          </w:tcPr>
          <w:p>
            <w:pPr>
              <w:spacing w:after="0" w:line="202" w:lineRule="exact"/>
              <w:rPr>
                <w:sz w:val="20"/>
                <w:szCs w:val="20"/>
                <w:color w:val="auto"/>
              </w:rPr>
            </w:pPr>
            <w:r>
              <w:rPr>
                <w:rFonts w:ascii="Arial" w:cs="Arial" w:eastAsia="Arial" w:hAnsi="Arial"/>
                <w:sz w:val="18"/>
                <w:szCs w:val="18"/>
                <w:color w:val="0000FF"/>
              </w:rPr>
              <w:t>XBRL Instance Document</w:t>
            </w:r>
          </w:p>
        </w:tc>
      </w:tr>
      <w:tr>
        <w:trPr>
          <w:trHeight w:val="203"/>
        </w:trPr>
        <w:tc>
          <w:tcPr>
            <w:tcW w:w="15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101.SCH</w:t>
            </w:r>
          </w:p>
        </w:tc>
        <w:tc>
          <w:tcPr>
            <w:tcW w:w="1920" w:type="dxa"/>
            <w:vAlign w:val="bottom"/>
            <w:tcBorders>
              <w:top w:val="single" w:sz="8" w:color="0000FF"/>
            </w:tcBorders>
            <w:gridSpan w:val="4"/>
          </w:tcPr>
          <w:p>
            <w:pPr>
              <w:spacing w:after="0" w:line="202" w:lineRule="exact"/>
              <w:rPr>
                <w:sz w:val="20"/>
                <w:szCs w:val="20"/>
                <w:color w:val="auto"/>
              </w:rPr>
            </w:pPr>
            <w:r>
              <w:rPr>
                <w:rFonts w:ascii="Arial" w:cs="Arial" w:eastAsia="Arial" w:hAnsi="Arial"/>
                <w:sz w:val="18"/>
                <w:szCs w:val="18"/>
                <w:color w:val="0000FF"/>
                <w:w w:val="92"/>
              </w:rPr>
              <w:t>XBRL Schema Document</w:t>
            </w:r>
          </w:p>
        </w:tc>
        <w:tc>
          <w:tcPr>
            <w:tcW w:w="7980" w:type="dxa"/>
            <w:vAlign w:val="bottom"/>
            <w:tcBorders>
              <w:top w:val="single" w:sz="8" w:color="CCEEFF"/>
            </w:tcBorders>
            <w:gridSpan w:val="31"/>
          </w:tcPr>
          <w:p>
            <w:pPr>
              <w:spacing w:after="0"/>
              <w:rPr>
                <w:sz w:val="17"/>
                <w:szCs w:val="17"/>
                <w:color w:val="auto"/>
              </w:rPr>
            </w:pP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101.CAL</w:t>
            </w:r>
          </w:p>
        </w:tc>
        <w:tc>
          <w:tcPr>
            <w:tcW w:w="2860" w:type="dxa"/>
            <w:vAlign w:val="bottom"/>
            <w:tcBorders>
              <w:bottom w:val="single" w:sz="8" w:color="0000FF"/>
            </w:tcBorders>
            <w:gridSpan w:val="8"/>
            <w:shd w:val="clear" w:color="auto" w:fill="CCEEFF"/>
          </w:tcPr>
          <w:p>
            <w:pPr>
              <w:spacing w:after="0" w:line="202" w:lineRule="exact"/>
              <w:rPr>
                <w:sz w:val="20"/>
                <w:szCs w:val="20"/>
                <w:color w:val="auto"/>
              </w:rPr>
            </w:pPr>
            <w:r>
              <w:rPr>
                <w:rFonts w:ascii="Arial" w:cs="Arial" w:eastAsia="Arial" w:hAnsi="Arial"/>
                <w:sz w:val="18"/>
                <w:szCs w:val="18"/>
                <w:color w:val="0000FF"/>
                <w:w w:val="93"/>
              </w:rPr>
              <w:t>XBRL Calculation Linkbase Document</w:t>
            </w:r>
          </w:p>
        </w:tc>
        <w:tc>
          <w:tcPr>
            <w:tcW w:w="7040" w:type="dxa"/>
            <w:vAlign w:val="bottom"/>
            <w:tcBorders>
              <w:bottom w:val="single" w:sz="8" w:color="CCEEFF"/>
            </w:tcBorders>
            <w:gridSpan w:val="27"/>
            <w:shd w:val="clear" w:color="auto" w:fill="CCEEFF"/>
          </w:tcPr>
          <w:p>
            <w:pPr>
              <w:spacing w:after="0"/>
              <w:rPr>
                <w:sz w:val="21"/>
                <w:szCs w:val="21"/>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101.DEF</w:t>
            </w:r>
          </w:p>
        </w:tc>
        <w:tc>
          <w:tcPr>
            <w:tcW w:w="9900" w:type="dxa"/>
            <w:vAlign w:val="bottom"/>
            <w:gridSpan w:val="35"/>
          </w:tcPr>
          <w:p>
            <w:pPr>
              <w:spacing w:after="0" w:line="202" w:lineRule="exact"/>
              <w:rPr>
                <w:sz w:val="20"/>
                <w:szCs w:val="20"/>
                <w:color w:val="auto"/>
              </w:rPr>
            </w:pPr>
            <w:r>
              <w:rPr>
                <w:rFonts w:ascii="Arial" w:cs="Arial" w:eastAsia="Arial" w:hAnsi="Arial"/>
                <w:sz w:val="18"/>
                <w:szCs w:val="18"/>
                <w:color w:val="0000FF"/>
              </w:rPr>
              <w:t>XBRL Definition Linkbase Document</w:t>
            </w:r>
          </w:p>
        </w:tc>
      </w:tr>
      <w:tr>
        <w:trPr>
          <w:trHeight w:val="48"/>
        </w:trPr>
        <w:tc>
          <w:tcPr>
            <w:tcW w:w="15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1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101.LAB</w:t>
            </w:r>
          </w:p>
        </w:tc>
        <w:tc>
          <w:tcPr>
            <w:tcW w:w="2440" w:type="dxa"/>
            <w:vAlign w:val="bottom"/>
            <w:tcBorders>
              <w:bottom w:val="single" w:sz="8" w:color="0000FF"/>
            </w:tcBorders>
            <w:gridSpan w:val="6"/>
            <w:shd w:val="clear" w:color="auto" w:fill="CCEEFF"/>
          </w:tcPr>
          <w:p>
            <w:pPr>
              <w:spacing w:after="0" w:line="202" w:lineRule="exact"/>
              <w:rPr>
                <w:sz w:val="20"/>
                <w:szCs w:val="20"/>
                <w:color w:val="auto"/>
              </w:rPr>
            </w:pPr>
            <w:r>
              <w:rPr>
                <w:rFonts w:ascii="Arial" w:cs="Arial" w:eastAsia="Arial" w:hAnsi="Arial"/>
                <w:sz w:val="18"/>
                <w:szCs w:val="18"/>
                <w:color w:val="0000FF"/>
                <w:w w:val="93"/>
              </w:rPr>
              <w:t>XBRL Label Linkbase Document</w:t>
            </w:r>
          </w:p>
        </w:tc>
        <w:tc>
          <w:tcPr>
            <w:tcW w:w="7460" w:type="dxa"/>
            <w:vAlign w:val="bottom"/>
            <w:tcBorders>
              <w:bottom w:val="single" w:sz="8" w:color="CCEEFF"/>
            </w:tcBorders>
            <w:gridSpan w:val="29"/>
            <w:shd w:val="clear" w:color="auto" w:fill="CCEEFF"/>
          </w:tcPr>
          <w:p>
            <w:pPr>
              <w:spacing w:after="0"/>
              <w:rPr>
                <w:sz w:val="21"/>
                <w:szCs w:val="21"/>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101.PRE</w:t>
            </w:r>
          </w:p>
        </w:tc>
        <w:tc>
          <w:tcPr>
            <w:tcW w:w="2920" w:type="dxa"/>
            <w:vAlign w:val="bottom"/>
            <w:tcBorders>
              <w:bottom w:val="single" w:sz="8" w:color="0000FF"/>
            </w:tcBorders>
            <w:gridSpan w:val="9"/>
          </w:tcPr>
          <w:p>
            <w:pPr>
              <w:spacing w:after="0" w:line="202" w:lineRule="exact"/>
              <w:rPr>
                <w:sz w:val="20"/>
                <w:szCs w:val="20"/>
                <w:color w:val="auto"/>
              </w:rPr>
            </w:pPr>
            <w:r>
              <w:rPr>
                <w:rFonts w:ascii="Arial" w:cs="Arial" w:eastAsia="Arial" w:hAnsi="Arial"/>
                <w:sz w:val="18"/>
                <w:szCs w:val="18"/>
                <w:color w:val="0000FF"/>
                <w:w w:val="91"/>
              </w:rPr>
              <w:t>XBRL Presentation Linkbase Document</w:t>
            </w:r>
          </w:p>
        </w:tc>
        <w:tc>
          <w:tcPr>
            <w:tcW w:w="6980" w:type="dxa"/>
            <w:vAlign w:val="bottom"/>
            <w:gridSpan w:val="26"/>
          </w:tcPr>
          <w:p>
            <w:pPr>
              <w:spacing w:after="0"/>
              <w:rPr>
                <w:sz w:val="17"/>
                <w:szCs w:val="17"/>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right="6160" w:firstLine="8"/>
        <w:spacing w:after="0" w:line="261" w:lineRule="auto"/>
        <w:tabs>
          <w:tab w:leader="none" w:pos="1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 Furnished with this Form 10-K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08"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65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ARYANN</w:t>
      </w:r>
      <w:r>
        <w:rPr>
          <w:rFonts w:ascii="Arial" w:cs="Arial" w:eastAsia="Arial" w:hAnsi="Arial"/>
          <w:sz w:val="18"/>
          <w:szCs w:val="18"/>
          <w:color w:val="auto"/>
        </w:rPr>
        <w:t xml:space="preserve"> T. M</w:t>
      </w:r>
      <w:r>
        <w:rPr>
          <w:rFonts w:ascii="Arial" w:cs="Arial" w:eastAsia="Arial" w:hAnsi="Arial"/>
          <w:sz w:val="14"/>
          <w:szCs w:val="14"/>
          <w:color w:val="auto"/>
        </w:rPr>
        <w:t>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8"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Maryann T. Mannen</w:t>
      </w:r>
    </w:p>
    <w:p>
      <w:pPr>
        <w:jc w:val="center"/>
        <w:ind w:left="6980"/>
        <w:spacing w:after="0" w:line="226" w:lineRule="auto"/>
        <w:rPr>
          <w:sz w:val="20"/>
          <w:szCs w:val="20"/>
          <w:color w:val="auto"/>
        </w:rPr>
      </w:pPr>
      <w:r>
        <w:rPr>
          <w:rFonts w:ascii="Arial" w:cs="Arial" w:eastAsia="Arial" w:hAnsi="Arial"/>
          <w:sz w:val="14"/>
          <w:szCs w:val="14"/>
          <w:b w:val="1"/>
          <w:bCs w:val="1"/>
          <w:color w:val="auto"/>
        </w:rPr>
        <w:t>Executive Vice President and Chief Financial Officer</w:t>
      </w:r>
    </w:p>
    <w:p>
      <w:pPr>
        <w:spacing w:after="0" w:line="1"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(Principal Financial Officer and a Duly Authorized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2018</w:t>
      </w:r>
    </w:p>
    <w:p>
      <w:pPr>
        <w:spacing w:after="0" w:line="17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24" w:lineRule="exact"/>
        <w:rPr>
          <w:sz w:val="20"/>
          <w:szCs w:val="20"/>
          <w:color w:val="auto"/>
        </w:rPr>
      </w:pPr>
    </w:p>
    <w:p>
      <w:pPr>
        <w:ind w:left="1920"/>
        <w:spacing w:after="0"/>
        <w:tabs>
          <w:tab w:leader="none" w:pos="786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7"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440" w:type="dxa"/>
            <w:vAlign w:val="bottom"/>
          </w:tcPr>
          <w:p>
            <w:pPr>
              <w:ind w:left="2160"/>
              <w:spacing w:after="0"/>
              <w:rPr>
                <w:sz w:val="20"/>
                <w:szCs w:val="20"/>
                <w:color w:val="auto"/>
              </w:rPr>
            </w:pPr>
            <w:r>
              <w:rPr>
                <w:rFonts w:ascii="Arial" w:cs="Arial" w:eastAsia="Arial" w:hAnsi="Arial"/>
                <w:sz w:val="18"/>
                <w:szCs w:val="18"/>
                <w:color w:val="auto"/>
              </w:rPr>
              <w:t>/S/</w:t>
            </w:r>
          </w:p>
        </w:tc>
        <w:tc>
          <w:tcPr>
            <w:tcW w:w="4060" w:type="dxa"/>
            <w:vAlign w:val="bottom"/>
            <w:gridSpan w:val="2"/>
          </w:tcPr>
          <w:p>
            <w:pPr>
              <w:jc w:val="center"/>
              <w:ind w:right="1982"/>
              <w:spacing w:after="0"/>
              <w:rPr>
                <w:sz w:val="20"/>
                <w:szCs w:val="20"/>
                <w:color w:val="auto"/>
              </w:rPr>
            </w:pPr>
            <w:r>
              <w:rPr>
                <w:rFonts w:ascii="Arial" w:cs="Arial" w:eastAsia="Arial" w:hAnsi="Arial"/>
                <w:sz w:val="18"/>
                <w:szCs w:val="18"/>
                <w:color w:val="auto"/>
                <w:w w:val="95"/>
              </w:rPr>
              <w:t>D</w:t>
            </w:r>
            <w:r>
              <w:rPr>
                <w:rFonts w:ascii="Arial" w:cs="Arial" w:eastAsia="Arial" w:hAnsi="Arial"/>
                <w:sz w:val="14"/>
                <w:szCs w:val="14"/>
                <w:color w:val="auto"/>
                <w:w w:val="95"/>
              </w:rPr>
              <w:t>OUGLAS</w:t>
            </w:r>
            <w:r>
              <w:rPr>
                <w:rFonts w:ascii="Arial" w:cs="Arial" w:eastAsia="Arial" w:hAnsi="Arial"/>
                <w:sz w:val="18"/>
                <w:szCs w:val="18"/>
                <w:color w:val="auto"/>
                <w:w w:val="95"/>
              </w:rPr>
              <w:t xml:space="preserve"> J. P</w:t>
            </w:r>
            <w:r>
              <w:rPr>
                <w:rFonts w:ascii="Arial" w:cs="Arial" w:eastAsia="Arial" w:hAnsi="Arial"/>
                <w:sz w:val="14"/>
                <w:szCs w:val="14"/>
                <w:color w:val="auto"/>
                <w:w w:val="95"/>
              </w:rPr>
              <w:t>FERDEHIRT</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60" w:type="dxa"/>
            <w:vAlign w:val="bottom"/>
            <w:gridSpan w:val="2"/>
          </w:tcPr>
          <w:p>
            <w:pPr>
              <w:jc w:val="center"/>
              <w:ind w:right="2362"/>
              <w:spacing w:after="0" w:line="147" w:lineRule="exact"/>
              <w:rPr>
                <w:sz w:val="20"/>
                <w:szCs w:val="20"/>
                <w:color w:val="auto"/>
              </w:rPr>
            </w:pPr>
            <w:r>
              <w:rPr>
                <w:rFonts w:ascii="Arial" w:cs="Arial" w:eastAsia="Arial" w:hAnsi="Arial"/>
                <w:sz w:val="14"/>
                <w:szCs w:val="14"/>
                <w:b w:val="1"/>
                <w:bCs w:val="1"/>
                <w:color w:val="auto"/>
                <w:w w:val="92"/>
              </w:rPr>
              <w:t>Douglas J. Pferdehirt</w:t>
            </w:r>
          </w:p>
        </w:tc>
      </w:tr>
      <w:tr>
        <w:trPr>
          <w:trHeight w:val="149"/>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60" w:type="dxa"/>
            <w:vAlign w:val="bottom"/>
            <w:gridSpan w:val="2"/>
          </w:tcPr>
          <w:p>
            <w:pPr>
              <w:jc w:val="center"/>
              <w:ind w:right="2362"/>
              <w:spacing w:after="0" w:line="149" w:lineRule="exact"/>
              <w:rPr>
                <w:sz w:val="20"/>
                <w:szCs w:val="20"/>
                <w:color w:val="auto"/>
              </w:rPr>
            </w:pPr>
            <w:r>
              <w:rPr>
                <w:rFonts w:ascii="Arial" w:cs="Arial" w:eastAsia="Arial" w:hAnsi="Arial"/>
                <w:sz w:val="14"/>
                <w:szCs w:val="14"/>
                <w:b w:val="1"/>
                <w:bCs w:val="1"/>
                <w:color w:val="auto"/>
                <w:w w:val="95"/>
              </w:rPr>
              <w:t>Chief Executive Officer</w:t>
            </w:r>
          </w:p>
        </w:tc>
      </w:tr>
      <w:tr>
        <w:trPr>
          <w:trHeight w:val="186"/>
        </w:trPr>
        <w:tc>
          <w:tcPr>
            <w:tcW w:w="3340" w:type="dxa"/>
            <w:vAlign w:val="bottom"/>
          </w:tcPr>
          <w:p>
            <w:pPr>
              <w:spacing w:after="0"/>
              <w:rPr>
                <w:sz w:val="16"/>
                <w:szCs w:val="16"/>
                <w:color w:val="auto"/>
              </w:rPr>
            </w:pPr>
          </w:p>
        </w:tc>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440" w:type="dxa"/>
            <w:vAlign w:val="bottom"/>
          </w:tcPr>
          <w:p>
            <w:pPr>
              <w:ind w:left="22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4060" w:type="dxa"/>
            <w:vAlign w:val="bottom"/>
            <w:gridSpan w:val="2"/>
          </w:tcPr>
          <w:p>
            <w:pPr>
              <w:jc w:val="center"/>
              <w:ind w:right="19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ARYANN</w:t>
            </w:r>
            <w:r>
              <w:rPr>
                <w:rFonts w:ascii="Arial" w:cs="Arial" w:eastAsia="Arial" w:hAnsi="Arial"/>
                <w:sz w:val="18"/>
                <w:szCs w:val="18"/>
                <w:color w:val="auto"/>
              </w:rPr>
              <w:t xml:space="preserve"> T. M</w:t>
            </w:r>
            <w:r>
              <w:rPr>
                <w:rFonts w:ascii="Arial" w:cs="Arial" w:eastAsia="Arial" w:hAnsi="Arial"/>
                <w:sz w:val="14"/>
                <w:szCs w:val="14"/>
                <w:color w:val="auto"/>
              </w:rPr>
              <w:t>ANNEN</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60" w:type="dxa"/>
            <w:vAlign w:val="bottom"/>
            <w:gridSpan w:val="2"/>
          </w:tcPr>
          <w:p>
            <w:pPr>
              <w:jc w:val="center"/>
              <w:ind w:right="2342"/>
              <w:spacing w:after="0" w:line="147" w:lineRule="exact"/>
              <w:rPr>
                <w:sz w:val="20"/>
                <w:szCs w:val="20"/>
                <w:color w:val="auto"/>
              </w:rPr>
            </w:pPr>
            <w:r>
              <w:rPr>
                <w:rFonts w:ascii="Arial" w:cs="Arial" w:eastAsia="Arial" w:hAnsi="Arial"/>
                <w:sz w:val="14"/>
                <w:szCs w:val="14"/>
                <w:b w:val="1"/>
                <w:bCs w:val="1"/>
                <w:color w:val="auto"/>
                <w:w w:val="97"/>
              </w:rPr>
              <w:t>Maryann T. Mannen</w:t>
            </w:r>
          </w:p>
        </w:tc>
      </w:tr>
      <w:tr>
        <w:trPr>
          <w:trHeight w:val="149"/>
        </w:trPr>
        <w:tc>
          <w:tcPr>
            <w:tcW w:w="3340" w:type="dxa"/>
            <w:vAlign w:val="bottom"/>
          </w:tcPr>
          <w:p>
            <w:pPr>
              <w:spacing w:after="0"/>
              <w:rPr>
                <w:sz w:val="12"/>
                <w:szCs w:val="12"/>
                <w:color w:val="auto"/>
              </w:rPr>
            </w:pPr>
          </w:p>
        </w:tc>
        <w:tc>
          <w:tcPr>
            <w:tcW w:w="6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Executive Vice President and Chief Financial Officer</w:t>
            </w:r>
          </w:p>
        </w:tc>
      </w:tr>
      <w:tr>
        <w:trPr>
          <w:trHeight w:val="186"/>
        </w:trPr>
        <w:tc>
          <w:tcPr>
            <w:tcW w:w="3340" w:type="dxa"/>
            <w:vAlign w:val="bottom"/>
          </w:tcPr>
          <w:p>
            <w:pPr>
              <w:spacing w:after="0"/>
              <w:rPr>
                <w:sz w:val="16"/>
                <w:szCs w:val="16"/>
                <w:color w:val="auto"/>
              </w:rPr>
            </w:pPr>
          </w:p>
        </w:tc>
        <w:tc>
          <w:tcPr>
            <w:tcW w:w="6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(Principal Financial Officer and a Duly Authorized Officer)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660" w:type="dxa"/>
            <w:vAlign w:val="bottom"/>
            <w:gridSpan w:val="2"/>
          </w:tcPr>
          <w:p>
            <w:pPr>
              <w:ind w:left="2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tcPr>
          <w:p>
            <w:pPr>
              <w:jc w:val="center"/>
              <w:ind w:right="2222"/>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HIERRY</w:t>
            </w:r>
            <w:r>
              <w:rPr>
                <w:rFonts w:ascii="Arial" w:cs="Arial" w:eastAsia="Arial" w:hAnsi="Arial"/>
                <w:sz w:val="18"/>
                <w:szCs w:val="18"/>
                <w:color w:val="auto"/>
                <w:w w:val="98"/>
              </w:rPr>
              <w:t xml:space="preserve"> P</w:t>
            </w:r>
            <w:r>
              <w:rPr>
                <w:rFonts w:ascii="Arial" w:cs="Arial" w:eastAsia="Arial" w:hAnsi="Arial"/>
                <w:sz w:val="14"/>
                <w:szCs w:val="14"/>
                <w:color w:val="auto"/>
                <w:w w:val="98"/>
              </w:rPr>
              <w:t>ILENKO</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Pr>
          <w:p>
            <w:pPr>
              <w:jc w:val="center"/>
              <w:ind w:right="2582"/>
              <w:spacing w:after="0" w:line="147" w:lineRule="exact"/>
              <w:rPr>
                <w:sz w:val="20"/>
                <w:szCs w:val="20"/>
                <w:color w:val="auto"/>
              </w:rPr>
            </w:pPr>
            <w:r>
              <w:rPr>
                <w:rFonts w:ascii="Arial" w:cs="Arial" w:eastAsia="Arial" w:hAnsi="Arial"/>
                <w:sz w:val="14"/>
                <w:szCs w:val="14"/>
                <w:b w:val="1"/>
                <w:bCs w:val="1"/>
                <w:color w:val="auto"/>
                <w:w w:val="96"/>
              </w:rPr>
              <w:t>Thierry Pilenko</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60" w:type="dxa"/>
            <w:vAlign w:val="bottom"/>
            <w:gridSpan w:val="2"/>
          </w:tcPr>
          <w:p>
            <w:pPr>
              <w:jc w:val="center"/>
              <w:ind w:right="2362"/>
              <w:spacing w:after="0"/>
              <w:rPr>
                <w:sz w:val="20"/>
                <w:szCs w:val="20"/>
                <w:color w:val="auto"/>
              </w:rPr>
            </w:pPr>
            <w:r>
              <w:rPr>
                <w:rFonts w:ascii="Arial" w:cs="Arial" w:eastAsia="Arial" w:hAnsi="Arial"/>
                <w:sz w:val="14"/>
                <w:szCs w:val="14"/>
                <w:b w:val="1"/>
                <w:bCs w:val="1"/>
                <w:color w:val="auto"/>
                <w:w w:val="94"/>
              </w:rPr>
              <w:t>Executive Chairman</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660" w:type="dxa"/>
            <w:vAlign w:val="bottom"/>
            <w:gridSpan w:val="2"/>
          </w:tcPr>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tcPr>
          <w:p>
            <w:pPr>
              <w:jc w:val="center"/>
              <w:ind w:right="222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RNAUD</w:t>
            </w:r>
            <w:r>
              <w:rPr>
                <w:rFonts w:ascii="Arial" w:cs="Arial" w:eastAsia="Arial" w:hAnsi="Arial"/>
                <w:sz w:val="18"/>
                <w:szCs w:val="18"/>
                <w:color w:val="auto"/>
              </w:rPr>
              <w:t xml:space="preserve"> C</w:t>
            </w:r>
            <w:r>
              <w:rPr>
                <w:rFonts w:ascii="Arial" w:cs="Arial" w:eastAsia="Arial" w:hAnsi="Arial"/>
                <w:sz w:val="14"/>
                <w:szCs w:val="14"/>
                <w:color w:val="auto"/>
              </w:rPr>
              <w:t>AUDOUX</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Pr>
          <w:p>
            <w:pPr>
              <w:jc w:val="center"/>
              <w:ind w:right="2582"/>
              <w:spacing w:after="0" w:line="147" w:lineRule="exact"/>
              <w:rPr>
                <w:sz w:val="20"/>
                <w:szCs w:val="20"/>
                <w:color w:val="auto"/>
              </w:rPr>
            </w:pPr>
            <w:r>
              <w:rPr>
                <w:rFonts w:ascii="Arial" w:cs="Arial" w:eastAsia="Arial" w:hAnsi="Arial"/>
                <w:sz w:val="14"/>
                <w:szCs w:val="14"/>
                <w:b w:val="1"/>
                <w:bCs w:val="1"/>
                <w:color w:val="auto"/>
                <w:w w:val="94"/>
              </w:rPr>
              <w:t>Arnaud Caudox,</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tcPr>
          <w:p>
            <w:pPr>
              <w:jc w:val="center"/>
              <w:ind w:right="2562"/>
              <w:spacing w:after="0"/>
              <w:rPr>
                <w:sz w:val="20"/>
                <w:szCs w:val="20"/>
                <w:color w:val="auto"/>
              </w:rPr>
            </w:pPr>
            <w:r>
              <w:rPr>
                <w:rFonts w:ascii="Arial" w:cs="Arial" w:eastAsia="Arial" w:hAnsi="Arial"/>
                <w:sz w:val="14"/>
                <w:szCs w:val="14"/>
                <w:b w:val="1"/>
                <w:bCs w:val="1"/>
                <w:color w:val="auto"/>
                <w:w w:val="96"/>
              </w:rPr>
              <w:t>Director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660" w:type="dxa"/>
            <w:vAlign w:val="bottom"/>
            <w:gridSpan w:val="2"/>
          </w:tcPr>
          <w:p>
            <w:pPr>
              <w:ind w:left="2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tcPr>
          <w:p>
            <w:pPr>
              <w:jc w:val="center"/>
              <w:ind w:right="222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ARIE</w:t>
            </w:r>
            <w:r>
              <w:rPr>
                <w:rFonts w:ascii="Arial" w:cs="Arial" w:eastAsia="Arial" w:hAnsi="Arial"/>
                <w:sz w:val="18"/>
                <w:szCs w:val="18"/>
                <w:color w:val="auto"/>
              </w:rPr>
              <w:t>-A</w:t>
            </w:r>
            <w:r>
              <w:rPr>
                <w:rFonts w:ascii="Arial" w:cs="Arial" w:eastAsia="Arial" w:hAnsi="Arial"/>
                <w:sz w:val="14"/>
                <w:szCs w:val="14"/>
                <w:color w:val="auto"/>
              </w:rPr>
              <w:t>NGE</w:t>
            </w:r>
            <w:r>
              <w:rPr>
                <w:rFonts w:ascii="Arial" w:cs="Arial" w:eastAsia="Arial" w:hAnsi="Arial"/>
                <w:sz w:val="18"/>
                <w:szCs w:val="18"/>
                <w:color w:val="auto"/>
              </w:rPr>
              <w:t xml:space="preserve"> D</w:t>
            </w:r>
            <w:r>
              <w:rPr>
                <w:rFonts w:ascii="Arial" w:cs="Arial" w:eastAsia="Arial" w:hAnsi="Arial"/>
                <w:sz w:val="14"/>
                <w:szCs w:val="14"/>
                <w:color w:val="auto"/>
              </w:rPr>
              <w:t>EBON</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60" w:type="dxa"/>
            <w:vAlign w:val="bottom"/>
            <w:gridSpan w:val="2"/>
          </w:tcPr>
          <w:p>
            <w:pPr>
              <w:jc w:val="center"/>
              <w:ind w:right="2362"/>
              <w:spacing w:after="0" w:line="147" w:lineRule="exact"/>
              <w:rPr>
                <w:sz w:val="20"/>
                <w:szCs w:val="20"/>
                <w:color w:val="auto"/>
              </w:rPr>
            </w:pPr>
            <w:r>
              <w:rPr>
                <w:rFonts w:ascii="Arial" w:cs="Arial" w:eastAsia="Arial" w:hAnsi="Arial"/>
                <w:sz w:val="14"/>
                <w:szCs w:val="14"/>
                <w:b w:val="1"/>
                <w:bCs w:val="1"/>
                <w:color w:val="auto"/>
                <w:w w:val="95"/>
              </w:rPr>
              <w:t>Marie-Ange Debon,</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tcPr>
          <w:p>
            <w:pPr>
              <w:jc w:val="center"/>
              <w:ind w:right="2562"/>
              <w:spacing w:after="0"/>
              <w:rPr>
                <w:sz w:val="20"/>
                <w:szCs w:val="20"/>
                <w:color w:val="auto"/>
              </w:rPr>
            </w:pPr>
            <w:r>
              <w:rPr>
                <w:rFonts w:ascii="Arial" w:cs="Arial" w:eastAsia="Arial" w:hAnsi="Arial"/>
                <w:sz w:val="14"/>
                <w:szCs w:val="14"/>
                <w:b w:val="1"/>
                <w:bCs w:val="1"/>
                <w:color w:val="auto"/>
                <w:w w:val="96"/>
              </w:rPr>
              <w:t>Director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650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LEAZAR</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 xml:space="preserve"> C</w:t>
            </w:r>
            <w:r>
              <w:rPr>
                <w:rFonts w:ascii="Arial" w:cs="Arial" w:eastAsia="Arial" w:hAnsi="Arial"/>
                <w:sz w:val="14"/>
                <w:szCs w:val="14"/>
                <w:color w:val="auto"/>
              </w:rPr>
              <w:t>ARVALHO</w:t>
            </w:r>
            <w:r>
              <w:rPr>
                <w:rFonts w:ascii="Arial" w:cs="Arial" w:eastAsia="Arial" w:hAnsi="Arial"/>
                <w:sz w:val="18"/>
                <w:szCs w:val="18"/>
                <w:color w:val="auto"/>
              </w:rPr>
              <w:t xml:space="preserve"> F</w:t>
            </w:r>
            <w:r>
              <w:rPr>
                <w:rFonts w:ascii="Arial" w:cs="Arial" w:eastAsia="Arial" w:hAnsi="Arial"/>
                <w:sz w:val="14"/>
                <w:szCs w:val="14"/>
                <w:color w:val="auto"/>
              </w:rPr>
              <w:t>ILHO</w:t>
            </w:r>
          </w:p>
        </w:tc>
      </w:tr>
      <w:tr>
        <w:trPr>
          <w:trHeight w:val="27"/>
        </w:trPr>
        <w:tc>
          <w:tcPr>
            <w:tcW w:w="3340" w:type="dxa"/>
            <w:vAlign w:val="bottom"/>
          </w:tcPr>
          <w:p>
            <w:pPr>
              <w:spacing w:after="0"/>
              <w:rPr>
                <w:sz w:val="2"/>
                <w:szCs w:val="2"/>
                <w:color w:val="auto"/>
              </w:rPr>
            </w:pPr>
          </w:p>
        </w:tc>
        <w:tc>
          <w:tcPr>
            <w:tcW w:w="6500" w:type="dxa"/>
            <w:vAlign w:val="bottom"/>
            <w:tcBorders>
              <w:bottom w:val="single" w:sz="8" w:color="auto"/>
            </w:tcBorders>
            <w:gridSpan w:val="3"/>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650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5"/>
              </w:rPr>
              <w:t>Eleazar De Carvalho Filho,</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tcPr>
          <w:p>
            <w:pPr>
              <w:jc w:val="center"/>
              <w:ind w:right="2562"/>
              <w:spacing w:after="0"/>
              <w:rPr>
                <w:sz w:val="20"/>
                <w:szCs w:val="20"/>
                <w:color w:val="auto"/>
              </w:rPr>
            </w:pPr>
            <w:r>
              <w:rPr>
                <w:rFonts w:ascii="Arial" w:cs="Arial" w:eastAsia="Arial" w:hAnsi="Arial"/>
                <w:sz w:val="14"/>
                <w:szCs w:val="14"/>
                <w:b w:val="1"/>
                <w:bCs w:val="1"/>
                <w:color w:val="auto"/>
                <w:w w:val="96"/>
              </w:rPr>
              <w:t>Director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4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/S/</w:t>
            </w:r>
          </w:p>
        </w:tc>
        <w:tc>
          <w:tcPr>
            <w:tcW w:w="3840" w:type="dxa"/>
            <w:vAlign w:val="bottom"/>
          </w:tcPr>
          <w:p>
            <w:pPr>
              <w:jc w:val="center"/>
              <w:ind w:right="2242"/>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AY</w:t>
            </w:r>
            <w:r>
              <w:rPr>
                <w:rFonts w:ascii="Arial" w:cs="Arial" w:eastAsia="Arial" w:hAnsi="Arial"/>
                <w:sz w:val="18"/>
                <w:szCs w:val="18"/>
                <w:color w:val="auto"/>
                <w:w w:val="98"/>
              </w:rPr>
              <w:t xml:space="preserve"> G. P</w:t>
            </w:r>
            <w:r>
              <w:rPr>
                <w:rFonts w:ascii="Arial" w:cs="Arial" w:eastAsia="Arial" w:hAnsi="Arial"/>
                <w:sz w:val="14"/>
                <w:szCs w:val="14"/>
                <w:color w:val="auto"/>
                <w:w w:val="98"/>
              </w:rPr>
              <w:t>RIESTLY</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Pr>
          <w:p>
            <w:pPr>
              <w:jc w:val="center"/>
              <w:ind w:right="2582"/>
              <w:spacing w:after="0" w:line="147" w:lineRule="exact"/>
              <w:rPr>
                <w:sz w:val="20"/>
                <w:szCs w:val="20"/>
                <w:color w:val="auto"/>
              </w:rPr>
            </w:pPr>
            <w:r>
              <w:rPr>
                <w:rFonts w:ascii="Arial" w:cs="Arial" w:eastAsia="Arial" w:hAnsi="Arial"/>
                <w:sz w:val="14"/>
                <w:szCs w:val="14"/>
                <w:b w:val="1"/>
                <w:bCs w:val="1"/>
                <w:color w:val="auto"/>
                <w:w w:val="95"/>
              </w:rPr>
              <w:t>Kay G. Priestly,</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tcPr>
          <w:p>
            <w:pPr>
              <w:jc w:val="center"/>
              <w:ind w:right="2562"/>
              <w:spacing w:after="0"/>
              <w:rPr>
                <w:sz w:val="20"/>
                <w:szCs w:val="20"/>
                <w:color w:val="auto"/>
              </w:rPr>
            </w:pPr>
            <w:r>
              <w:rPr>
                <w:rFonts w:ascii="Arial" w:cs="Arial" w:eastAsia="Arial" w:hAnsi="Arial"/>
                <w:sz w:val="14"/>
                <w:szCs w:val="14"/>
                <w:b w:val="1"/>
                <w:bCs w:val="1"/>
                <w:color w:val="auto"/>
                <w:w w:val="96"/>
              </w:rPr>
              <w:t>Director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44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840" w:type="dxa"/>
            <w:vAlign w:val="bottom"/>
          </w:tcPr>
          <w:p>
            <w:pPr>
              <w:jc w:val="center"/>
              <w:ind w:right="2222"/>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OSEPH</w:t>
            </w:r>
            <w:r>
              <w:rPr>
                <w:rFonts w:ascii="Arial" w:cs="Arial" w:eastAsia="Arial" w:hAnsi="Arial"/>
                <w:sz w:val="18"/>
                <w:szCs w:val="18"/>
                <w:color w:val="auto"/>
                <w:w w:val="97"/>
              </w:rPr>
              <w:t xml:space="preserve"> R</w:t>
            </w:r>
            <w:r>
              <w:rPr>
                <w:rFonts w:ascii="Arial" w:cs="Arial" w:eastAsia="Arial" w:hAnsi="Arial"/>
                <w:sz w:val="14"/>
                <w:szCs w:val="14"/>
                <w:color w:val="auto"/>
                <w:w w:val="97"/>
              </w:rPr>
              <w:t>INALDI</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Pr>
          <w:p>
            <w:pPr>
              <w:jc w:val="center"/>
              <w:ind w:right="2582"/>
              <w:spacing w:after="0" w:line="147" w:lineRule="exact"/>
              <w:rPr>
                <w:sz w:val="20"/>
                <w:szCs w:val="20"/>
                <w:color w:val="auto"/>
              </w:rPr>
            </w:pPr>
            <w:r>
              <w:rPr>
                <w:rFonts w:ascii="Arial" w:cs="Arial" w:eastAsia="Arial" w:hAnsi="Arial"/>
                <w:sz w:val="14"/>
                <w:szCs w:val="14"/>
                <w:b w:val="1"/>
                <w:bCs w:val="1"/>
                <w:color w:val="auto"/>
                <w:w w:val="90"/>
              </w:rPr>
              <w:t>Joseph Rinaldi,</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tcPr>
          <w:p>
            <w:pPr>
              <w:jc w:val="center"/>
              <w:ind w:right="2562"/>
              <w:spacing w:after="0"/>
              <w:rPr>
                <w:sz w:val="20"/>
                <w:szCs w:val="20"/>
                <w:color w:val="auto"/>
              </w:rPr>
            </w:pPr>
            <w:r>
              <w:rPr>
                <w:rFonts w:ascii="Arial" w:cs="Arial" w:eastAsia="Arial" w:hAnsi="Arial"/>
                <w:sz w:val="14"/>
                <w:szCs w:val="14"/>
                <w:b w:val="1"/>
                <w:bCs w:val="1"/>
                <w:color w:val="auto"/>
                <w:w w:val="96"/>
              </w:rPr>
              <w:t>Director</w:t>
            </w:r>
          </w:p>
        </w:tc>
      </w:tr>
      <w:tr>
        <w:trPr>
          <w:trHeight w:val="498"/>
        </w:trPr>
        <w:tc>
          <w:tcPr>
            <w:tcW w:w="3340" w:type="dxa"/>
            <w:vAlign w:val="bottom"/>
          </w:tcPr>
          <w:p>
            <w:pPr>
              <w:spacing w:after="0"/>
              <w:rPr>
                <w:sz w:val="20"/>
                <w:szCs w:val="20"/>
                <w:color w:val="auto"/>
              </w:rPr>
            </w:pPr>
            <w:r>
              <w:rPr>
                <w:rFonts w:ascii="Arial" w:cs="Arial" w:eastAsia="Arial" w:hAnsi="Arial"/>
                <w:sz w:val="18"/>
                <w:szCs w:val="18"/>
                <w:color w:val="auto"/>
              </w:rPr>
              <w:t>April 2, 2018</w:t>
            </w:r>
          </w:p>
        </w:tc>
        <w:tc>
          <w:tcPr>
            <w:tcW w:w="2660" w:type="dxa"/>
            <w:vAlign w:val="bottom"/>
            <w:gridSpan w:val="2"/>
          </w:tcPr>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tcPr>
          <w:p>
            <w:pPr>
              <w:jc w:val="center"/>
              <w:ind w:right="2222"/>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AMES</w:t>
            </w:r>
            <w:r>
              <w:rPr>
                <w:rFonts w:ascii="Arial" w:cs="Arial" w:eastAsia="Arial" w:hAnsi="Arial"/>
                <w:sz w:val="18"/>
                <w:szCs w:val="18"/>
                <w:color w:val="auto"/>
                <w:w w:val="98"/>
              </w:rPr>
              <w:t xml:space="preserve"> M. R</w:t>
            </w:r>
            <w:r>
              <w:rPr>
                <w:rFonts w:ascii="Arial" w:cs="Arial" w:eastAsia="Arial" w:hAnsi="Arial"/>
                <w:sz w:val="14"/>
                <w:szCs w:val="14"/>
                <w:color w:val="auto"/>
                <w:w w:val="98"/>
              </w:rPr>
              <w:t>INGLER</w:t>
            </w:r>
          </w:p>
        </w:tc>
      </w:tr>
      <w:tr>
        <w:trPr>
          <w:trHeight w:val="27"/>
        </w:trPr>
        <w:tc>
          <w:tcPr>
            <w:tcW w:w="33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146"/>
        </w:trPr>
        <w:tc>
          <w:tcPr>
            <w:tcW w:w="3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40" w:type="dxa"/>
            <w:vAlign w:val="bottom"/>
          </w:tcPr>
          <w:p>
            <w:pPr>
              <w:jc w:val="center"/>
              <w:ind w:right="2582"/>
              <w:spacing w:after="0" w:line="147" w:lineRule="exact"/>
              <w:rPr>
                <w:sz w:val="20"/>
                <w:szCs w:val="20"/>
                <w:color w:val="auto"/>
              </w:rPr>
            </w:pPr>
            <w:r>
              <w:rPr>
                <w:rFonts w:ascii="Arial" w:cs="Arial" w:eastAsia="Arial" w:hAnsi="Arial"/>
                <w:sz w:val="14"/>
                <w:szCs w:val="14"/>
                <w:b w:val="1"/>
                <w:bCs w:val="1"/>
                <w:color w:val="auto"/>
                <w:w w:val="92"/>
              </w:rPr>
              <w:t>James M. Ringler,</w:t>
            </w:r>
          </w:p>
        </w:tc>
      </w:tr>
      <w:tr>
        <w:trPr>
          <w:trHeight w:val="186"/>
        </w:trPr>
        <w:tc>
          <w:tcPr>
            <w:tcW w:w="3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40" w:type="dxa"/>
            <w:vAlign w:val="bottom"/>
          </w:tcPr>
          <w:p>
            <w:pPr>
              <w:jc w:val="center"/>
              <w:ind w:right="2562"/>
              <w:spacing w:after="0"/>
              <w:rPr>
                <w:sz w:val="20"/>
                <w:szCs w:val="20"/>
                <w:color w:val="auto"/>
              </w:rPr>
            </w:pPr>
            <w:r>
              <w:rPr>
                <w:rFonts w:ascii="Arial" w:cs="Arial" w:eastAsia="Arial" w:hAnsi="Arial"/>
                <w:sz w:val="14"/>
                <w:szCs w:val="14"/>
                <w:b w:val="1"/>
                <w:bCs w:val="1"/>
                <w:color w:val="auto"/>
                <w:w w:val="96"/>
              </w:rPr>
              <w:t>Director</w:t>
            </w:r>
          </w:p>
        </w:tc>
      </w:tr>
      <w:tr>
        <w:trPr>
          <w:trHeight w:val="471"/>
        </w:trPr>
        <w:tc>
          <w:tcPr>
            <w:tcW w:w="3340" w:type="dxa"/>
            <w:vAlign w:val="bottom"/>
          </w:tcPr>
          <w:p>
            <w:pPr>
              <w:spacing w:after="0"/>
              <w:rPr>
                <w:sz w:val="24"/>
                <w:szCs w:val="24"/>
                <w:color w:val="auto"/>
              </w:rPr>
            </w:pPr>
          </w:p>
        </w:tc>
        <w:tc>
          <w:tcPr>
            <w:tcW w:w="2440" w:type="dxa"/>
            <w:vAlign w:val="bottom"/>
          </w:tcPr>
          <w:p>
            <w:pPr>
              <w:ind w:left="66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15" w:name="page116"/>
    <w:bookmarkEnd w:id="115"/>
    <w:p>
      <w:pPr>
        <w:spacing w:after="0"/>
        <w:rPr>
          <w:sz w:val="20"/>
          <w:szCs w:val="20"/>
          <w:color w:val="auto"/>
        </w:rPr>
      </w:pPr>
      <w:r>
        <w:rPr>
          <w:sz w:val="1"/>
          <w:szCs w:val="1"/>
          <w:color w:val="auto"/>
        </w:rPr>
        <w:drawing>
          <wp:inline distT="0" distB="0" distL="0" distR="0">
            <wp:extent cx="771525" cy="2571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771525" cy="257175"/>
                    </a:xfrm>
                    <a:prstGeom prst="rect">
                      <a:avLst/>
                    </a:prstGeom>
                    <a:noFill/>
                    <a:ln>
                      <a:noFill/>
                    </a:ln>
                  </pic:spPr>
                </pic:pic>
              </a:graphicData>
            </a:graphic>
          </wp:inline>
        </w:drawing>
      </w:r>
      <w:r>
        <w:rPr>
          <w:rFonts w:ascii="Arial" w:cs="Arial" w:eastAsia="Arial" w:hAnsi="Arial"/>
          <w:sz w:val="20"/>
          <w:szCs w:val="20"/>
          <w:color w:val="auto"/>
        </w:rPr>
        <w:t xml:space="preserve"> 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2091055</wp:posOffset>
            </wp:positionV>
            <wp:extent cx="5866130" cy="2975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586613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TECHNIP</w:t>
      </w: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STOCK OPTION PLAN RULES</w:t>
      </w: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Authorization of</w:t>
      </w: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the Extraordinary General Meeting</w:t>
      </w: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of April 28, 2011</w:t>
      </w: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TRANCHE 2</w:t>
      </w:r>
    </w:p>
    <w:p>
      <w:pPr>
        <w:spacing w:after="0" w:line="270"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Board of Directors of December 14, 2011</w:t>
      </w:r>
    </w:p>
    <w:p>
      <w:pPr>
        <w:spacing w:after="0" w:line="316"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Grant of Stock Options</w:t>
      </w:r>
    </w:p>
    <w:p>
      <w:pPr>
        <w:spacing w:after="0" w:line="141"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(Translation for information purpose)</w:t>
      </w:r>
    </w:p>
    <w:p>
      <w:pPr>
        <w:sectPr>
          <w:pgSz w:w="11900" w:h="16838" w:orient="portrait"/>
          <w:cols w:equalWidth="0" w:num="1">
            <w:col w:w="9559"/>
          </w:cols>
          <w:pgMar w:left="900" w:top="680"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color w:val="auto"/>
        </w:rPr>
        <w:t>Exhibit 10.10</w:t>
      </w:r>
    </w:p>
    <w:p>
      <w:pPr>
        <w:spacing w:after="0" w:line="391" w:lineRule="exact"/>
        <w:rPr>
          <w:sz w:val="20"/>
          <w:szCs w:val="20"/>
          <w:color w:val="auto"/>
        </w:rPr>
      </w:pPr>
    </w:p>
    <w:p>
      <w:pPr>
        <w:jc w:val="both"/>
        <w:ind w:left="762"/>
        <w:spacing w:after="0" w:line="230" w:lineRule="auto"/>
        <w:rPr>
          <w:sz w:val="20"/>
          <w:szCs w:val="20"/>
          <w:color w:val="auto"/>
        </w:rPr>
      </w:pPr>
      <w:r>
        <w:rPr>
          <w:rFonts w:ascii="Arial" w:cs="Arial" w:eastAsia="Arial" w:hAnsi="Arial"/>
          <w:sz w:val="20"/>
          <w:szCs w:val="20"/>
          <w:color w:val="auto"/>
        </w:rPr>
        <w:t>This stock option plan (the “Plan”) to subscribe shares of Technip (the “Company”) is established pursuant to the provisions of the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and 19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resolutions of the April 28, 2011 General Shareholders’ Meeting authorizing the Board of Directors, for a period of 24 months, to grant Options giving the right to purchase existing shares or giving the right to subscribe to new shares issued by the Company by capital increase.</w:t>
      </w:r>
    </w:p>
    <w:p>
      <w:pPr>
        <w:spacing w:after="0" w:line="63" w:lineRule="exact"/>
        <w:rPr>
          <w:sz w:val="20"/>
          <w:szCs w:val="20"/>
          <w:color w:val="auto"/>
        </w:rPr>
      </w:pPr>
    </w:p>
    <w:p>
      <w:pPr>
        <w:jc w:val="both"/>
        <w:ind w:left="762"/>
        <w:spacing w:after="0" w:line="260" w:lineRule="auto"/>
        <w:rPr>
          <w:sz w:val="20"/>
          <w:szCs w:val="20"/>
          <w:color w:val="auto"/>
        </w:rPr>
      </w:pPr>
      <w:r>
        <w:rPr>
          <w:rFonts w:ascii="Arial" w:cs="Arial" w:eastAsia="Arial" w:hAnsi="Arial"/>
          <w:sz w:val="20"/>
          <w:szCs w:val="20"/>
          <w:color w:val="auto"/>
        </w:rPr>
        <w:t>The purpose of the Plan is to strengthen the Group’s spirit and its cohesion. Stock Options are a vital tool for the motivation and loyalty of employees and for aligning the interests of employees and shareholders.</w:t>
      </w:r>
    </w:p>
    <w:p>
      <w:pPr>
        <w:spacing w:after="0" w:line="266" w:lineRule="exact"/>
        <w:rPr>
          <w:sz w:val="20"/>
          <w:szCs w:val="20"/>
          <w:color w:val="auto"/>
        </w:rPr>
      </w:pPr>
    </w:p>
    <w:p>
      <w:pPr>
        <w:ind w:left="762" w:hanging="762"/>
        <w:spacing w:after="0"/>
        <w:tabs>
          <w:tab w:leader="none" w:pos="762" w:val="left"/>
        </w:tabs>
        <w:numPr>
          <w:ilvl w:val="0"/>
          <w:numId w:val="53"/>
        </w:numPr>
        <w:rPr>
          <w:rFonts w:ascii="Arial" w:cs="Arial" w:eastAsia="Arial" w:hAnsi="Arial"/>
          <w:sz w:val="18"/>
          <w:szCs w:val="18"/>
          <w:b w:val="1"/>
          <w:bCs w:val="1"/>
          <w:color w:val="auto"/>
        </w:rPr>
      </w:pPr>
      <w:r>
        <w:rPr>
          <w:rFonts w:ascii="Arial" w:cs="Arial" w:eastAsia="Arial" w:hAnsi="Arial"/>
          <w:sz w:val="20"/>
          <w:szCs w:val="20"/>
          <w:b w:val="1"/>
          <w:bCs w:val="1"/>
          <w:color w:val="auto"/>
        </w:rPr>
        <w:t>BENEFICIARIES</w:t>
      </w:r>
    </w:p>
    <w:p>
      <w:pPr>
        <w:spacing w:after="0" w:line="86" w:lineRule="exact"/>
        <w:rPr>
          <w:rFonts w:ascii="Arial" w:cs="Arial" w:eastAsia="Arial" w:hAnsi="Arial"/>
          <w:sz w:val="18"/>
          <w:szCs w:val="18"/>
          <w:b w:val="1"/>
          <w:bCs w:val="1"/>
          <w:color w:val="auto"/>
        </w:rPr>
      </w:pPr>
    </w:p>
    <w:p>
      <w:pPr>
        <w:jc w:val="both"/>
        <w:ind w:left="762"/>
        <w:spacing w:after="0" w:line="234" w:lineRule="exact"/>
        <w:rPr>
          <w:rFonts w:ascii="Arial" w:cs="Arial" w:eastAsia="Arial" w:hAnsi="Arial"/>
          <w:sz w:val="18"/>
          <w:szCs w:val="18"/>
          <w:b w:val="1"/>
          <w:bCs w:val="1"/>
          <w:color w:val="auto"/>
        </w:rPr>
      </w:pPr>
      <w:r>
        <w:rPr>
          <w:rFonts w:ascii="Arial" w:cs="Arial" w:eastAsia="Arial" w:hAnsi="Arial"/>
          <w:sz w:val="19"/>
          <w:szCs w:val="19"/>
          <w:color w:val="auto"/>
        </w:rPr>
        <w:t>The potential Beneficiaries of the Options are the employees and executive officers, eligible pursuant to article L. 225</w:t>
      </w:r>
      <w:r>
        <w:rPr>
          <w:rFonts w:ascii="MS PGothic" w:cs="MS PGothic" w:eastAsia="MS PGothic" w:hAnsi="MS PGothic"/>
          <w:sz w:val="19"/>
          <w:szCs w:val="19"/>
          <w:color w:val="auto"/>
        </w:rPr>
        <w:t>‑</w:t>
      </w:r>
      <w:r>
        <w:rPr>
          <w:rFonts w:ascii="Arial" w:cs="Arial" w:eastAsia="Arial" w:hAnsi="Arial"/>
          <w:sz w:val="19"/>
          <w:szCs w:val="19"/>
          <w:color w:val="auto"/>
        </w:rPr>
        <w:t>185 of the French Code of Commerce, of the Company and its affiliates within the meaning of article L. 225</w:t>
      </w:r>
      <w:r>
        <w:rPr>
          <w:rFonts w:ascii="MS PGothic" w:cs="MS PGothic" w:eastAsia="MS PGothic" w:hAnsi="MS PGothic"/>
          <w:sz w:val="19"/>
          <w:szCs w:val="19"/>
          <w:color w:val="auto"/>
        </w:rPr>
        <w:t>‑</w:t>
      </w:r>
      <w:r>
        <w:rPr>
          <w:rFonts w:ascii="Arial" w:cs="Arial" w:eastAsia="Arial" w:hAnsi="Arial"/>
          <w:sz w:val="19"/>
          <w:szCs w:val="19"/>
          <w:color w:val="auto"/>
        </w:rPr>
        <w:t>180 of the French Commercial Code (the “Technip Group”), as at the date the Options are granted and not working out notice following dismissal or resignation on said date (work on notice in case of resignation followed by an employment contract with an affiliate of the Technip Group as an intra-Group move would not hinder such grant of Options).</w:t>
      </w:r>
    </w:p>
    <w:p>
      <w:pPr>
        <w:spacing w:after="0" w:line="63" w:lineRule="exact"/>
        <w:rPr>
          <w:rFonts w:ascii="Arial" w:cs="Arial" w:eastAsia="Arial" w:hAnsi="Arial"/>
          <w:sz w:val="18"/>
          <w:szCs w:val="18"/>
          <w:b w:val="1"/>
          <w:bCs w:val="1"/>
          <w:color w:val="auto"/>
        </w:rPr>
      </w:pPr>
    </w:p>
    <w:p>
      <w:pPr>
        <w:ind w:left="762"/>
        <w:spacing w:after="0"/>
        <w:rPr>
          <w:rFonts w:ascii="Arial" w:cs="Arial" w:eastAsia="Arial" w:hAnsi="Arial"/>
          <w:sz w:val="18"/>
          <w:szCs w:val="18"/>
          <w:b w:val="1"/>
          <w:bCs w:val="1"/>
          <w:color w:val="auto"/>
        </w:rPr>
      </w:pPr>
      <w:r>
        <w:rPr>
          <w:rFonts w:ascii="Arial" w:cs="Arial" w:eastAsia="Arial" w:hAnsi="Arial"/>
          <w:sz w:val="20"/>
          <w:szCs w:val="20"/>
          <w:color w:val="auto"/>
        </w:rPr>
        <w:t>The Board of Directors decides the Beneficiaries and the respective number of Options on the day of grant.</w:t>
      </w:r>
    </w:p>
    <w:p>
      <w:pPr>
        <w:spacing w:after="0" w:line="304" w:lineRule="exact"/>
        <w:rPr>
          <w:rFonts w:ascii="Arial" w:cs="Arial" w:eastAsia="Arial" w:hAnsi="Arial"/>
          <w:sz w:val="18"/>
          <w:szCs w:val="18"/>
          <w:b w:val="1"/>
          <w:bCs w:val="1"/>
          <w:color w:val="auto"/>
        </w:rPr>
      </w:pPr>
    </w:p>
    <w:p>
      <w:pPr>
        <w:ind w:left="762" w:hanging="762"/>
        <w:spacing w:after="0"/>
        <w:tabs>
          <w:tab w:leader="none" w:pos="762" w:val="left"/>
        </w:tabs>
        <w:numPr>
          <w:ilvl w:val="0"/>
          <w:numId w:val="53"/>
        </w:numPr>
        <w:rPr>
          <w:rFonts w:ascii="Arial" w:cs="Arial" w:eastAsia="Arial" w:hAnsi="Arial"/>
          <w:sz w:val="18"/>
          <w:szCs w:val="18"/>
          <w:b w:val="1"/>
          <w:bCs w:val="1"/>
          <w:color w:val="auto"/>
        </w:rPr>
      </w:pPr>
      <w:r>
        <w:rPr>
          <w:rFonts w:ascii="Arial" w:cs="Arial" w:eastAsia="Arial" w:hAnsi="Arial"/>
          <w:sz w:val="20"/>
          <w:szCs w:val="20"/>
          <w:b w:val="1"/>
          <w:bCs w:val="1"/>
          <w:color w:val="auto"/>
        </w:rPr>
        <w:t>NATURE OF OPTIONS</w:t>
      </w:r>
    </w:p>
    <w:p>
      <w:pPr>
        <w:spacing w:after="0" w:line="86" w:lineRule="exact"/>
        <w:rPr>
          <w:rFonts w:ascii="Arial" w:cs="Arial" w:eastAsia="Arial" w:hAnsi="Arial"/>
          <w:sz w:val="18"/>
          <w:szCs w:val="18"/>
          <w:b w:val="1"/>
          <w:bCs w:val="1"/>
          <w:color w:val="auto"/>
        </w:rPr>
      </w:pPr>
    </w:p>
    <w:p>
      <w:pPr>
        <w:ind w:left="762"/>
        <w:spacing w:after="0"/>
        <w:rPr>
          <w:rFonts w:ascii="Arial" w:cs="Arial" w:eastAsia="Arial" w:hAnsi="Arial"/>
          <w:sz w:val="18"/>
          <w:szCs w:val="18"/>
          <w:b w:val="1"/>
          <w:bCs w:val="1"/>
          <w:color w:val="auto"/>
        </w:rPr>
      </w:pPr>
      <w:r>
        <w:rPr>
          <w:rFonts w:ascii="Arial" w:cs="Arial" w:eastAsia="Arial" w:hAnsi="Arial"/>
          <w:sz w:val="18"/>
          <w:szCs w:val="18"/>
          <w:color w:val="auto"/>
        </w:rPr>
        <w:t>The exercise of granted Options will allow the Beneficiaries to subscribe new shares issued by the Company by capital increase.</w:t>
      </w:r>
    </w:p>
    <w:p>
      <w:pPr>
        <w:spacing w:after="0" w:line="103" w:lineRule="exact"/>
        <w:rPr>
          <w:rFonts w:ascii="Arial" w:cs="Arial" w:eastAsia="Arial" w:hAnsi="Arial"/>
          <w:sz w:val="18"/>
          <w:szCs w:val="18"/>
          <w:b w:val="1"/>
          <w:bCs w:val="1"/>
          <w:color w:val="auto"/>
        </w:rPr>
      </w:pPr>
    </w:p>
    <w:p>
      <w:pPr>
        <w:ind w:left="762"/>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The rights attached to the Options are non-transferable, except in the case of death, in which case the Beneficiary's heirs may exercise the Options within six months from the date of death.</w:t>
      </w:r>
    </w:p>
    <w:p>
      <w:pPr>
        <w:spacing w:after="0" w:line="270" w:lineRule="exact"/>
        <w:rPr>
          <w:rFonts w:ascii="Arial" w:cs="Arial" w:eastAsia="Arial" w:hAnsi="Arial"/>
          <w:sz w:val="18"/>
          <w:szCs w:val="18"/>
          <w:b w:val="1"/>
          <w:bCs w:val="1"/>
          <w:color w:val="auto"/>
        </w:rPr>
      </w:pPr>
    </w:p>
    <w:p>
      <w:pPr>
        <w:ind w:left="762" w:hanging="762"/>
        <w:spacing w:after="0"/>
        <w:tabs>
          <w:tab w:leader="none" w:pos="76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p>
    <w:p>
      <w:pPr>
        <w:spacing w:after="0" w:line="91" w:lineRule="exact"/>
        <w:rPr>
          <w:rFonts w:ascii="Arial" w:cs="Arial" w:eastAsia="Arial" w:hAnsi="Arial"/>
          <w:sz w:val="18"/>
          <w:szCs w:val="18"/>
          <w:b w:val="1"/>
          <w:bCs w:val="1"/>
          <w:color w:val="auto"/>
        </w:rPr>
      </w:pPr>
    </w:p>
    <w:p>
      <w:pPr>
        <w:ind w:left="762"/>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The exercise price of the Options is set by the Board of Directors on the day of grant. This price is without discount and equal to the average share price on the Euronext Paris market, during the twenty trading days preceding the day of grant.</w:t>
      </w:r>
    </w:p>
    <w:p>
      <w:pPr>
        <w:spacing w:after="0" w:line="17" w:lineRule="exact"/>
        <w:rPr>
          <w:rFonts w:ascii="Arial" w:cs="Arial" w:eastAsia="Arial" w:hAnsi="Arial"/>
          <w:sz w:val="18"/>
          <w:szCs w:val="18"/>
          <w:b w:val="1"/>
          <w:bCs w:val="1"/>
          <w:color w:val="auto"/>
        </w:rPr>
      </w:pPr>
    </w:p>
    <w:p>
      <w:pPr>
        <w:ind w:left="762"/>
        <w:spacing w:after="0" w:line="287" w:lineRule="auto"/>
        <w:rPr>
          <w:rFonts w:ascii="Arial" w:cs="Arial" w:eastAsia="Arial" w:hAnsi="Arial"/>
          <w:sz w:val="18"/>
          <w:szCs w:val="18"/>
          <w:b w:val="1"/>
          <w:bCs w:val="1"/>
          <w:color w:val="auto"/>
        </w:rPr>
      </w:pPr>
      <w:r>
        <w:rPr>
          <w:rFonts w:ascii="Arial" w:cs="Arial" w:eastAsia="Arial" w:hAnsi="Arial"/>
          <w:sz w:val="19"/>
          <w:szCs w:val="19"/>
          <w:color w:val="auto"/>
        </w:rPr>
        <w:t>Upon occurrence of decisions having an impact on the capital stock of the Company, the Board of Directors shall make the necessary adjustments in accordance with articles L. 225-181 and L. 225-99 of the French Commercial Code.</w:t>
      </w:r>
    </w:p>
    <w:p>
      <w:pPr>
        <w:spacing w:after="0" w:line="241" w:lineRule="exact"/>
        <w:rPr>
          <w:rFonts w:ascii="Arial" w:cs="Arial" w:eastAsia="Arial" w:hAnsi="Arial"/>
          <w:sz w:val="18"/>
          <w:szCs w:val="18"/>
          <w:b w:val="1"/>
          <w:bCs w:val="1"/>
          <w:color w:val="auto"/>
        </w:rPr>
      </w:pPr>
    </w:p>
    <w:p>
      <w:pPr>
        <w:ind w:left="762" w:hanging="762"/>
        <w:spacing w:after="0"/>
        <w:tabs>
          <w:tab w:leader="none" w:pos="762" w:val="left"/>
        </w:tabs>
        <w:numPr>
          <w:ilvl w:val="0"/>
          <w:numId w:val="53"/>
        </w:numPr>
        <w:rPr>
          <w:rFonts w:ascii="Arial" w:cs="Arial" w:eastAsia="Arial" w:hAnsi="Arial"/>
          <w:sz w:val="18"/>
          <w:szCs w:val="18"/>
          <w:b w:val="1"/>
          <w:bCs w:val="1"/>
          <w:color w:val="auto"/>
        </w:rPr>
      </w:pPr>
      <w:r>
        <w:rPr>
          <w:rFonts w:ascii="Arial" w:cs="Arial" w:eastAsia="Arial" w:hAnsi="Arial"/>
          <w:sz w:val="20"/>
          <w:szCs w:val="20"/>
          <w:b w:val="1"/>
          <w:bCs w:val="1"/>
          <w:color w:val="auto"/>
        </w:rPr>
        <w:t>VALIDITY OF OPTIONS</w:t>
      </w:r>
    </w:p>
    <w:p>
      <w:pPr>
        <w:spacing w:after="0" w:line="86" w:lineRule="exact"/>
        <w:rPr>
          <w:rFonts w:ascii="Arial" w:cs="Arial" w:eastAsia="Arial" w:hAnsi="Arial"/>
          <w:sz w:val="18"/>
          <w:szCs w:val="18"/>
          <w:b w:val="1"/>
          <w:bCs w:val="1"/>
          <w:color w:val="auto"/>
        </w:rPr>
      </w:pPr>
    </w:p>
    <w:p>
      <w:pPr>
        <w:jc w:val="both"/>
        <w:ind w:left="762"/>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The Options granted under the present Plan are exercisable upon expiry of a four-year (4) period and shall have a maximum seven-year (7) term starting from date of grant by the Board of Directors which may nevertheless set a shorter period for all or part of the Options and/or of the Beneficiaries.</w:t>
      </w:r>
    </w:p>
    <w:p>
      <w:pPr>
        <w:spacing w:after="0" w:line="51" w:lineRule="exact"/>
        <w:rPr>
          <w:rFonts w:ascii="Arial" w:cs="Arial" w:eastAsia="Arial" w:hAnsi="Arial"/>
          <w:sz w:val="18"/>
          <w:szCs w:val="18"/>
          <w:b w:val="1"/>
          <w:bCs w:val="1"/>
          <w:color w:val="auto"/>
        </w:rPr>
      </w:pPr>
    </w:p>
    <w:p>
      <w:pPr>
        <w:ind w:left="762"/>
        <w:spacing w:after="0"/>
        <w:rPr>
          <w:rFonts w:ascii="Arial" w:cs="Arial" w:eastAsia="Arial" w:hAnsi="Arial"/>
          <w:sz w:val="18"/>
          <w:szCs w:val="18"/>
          <w:b w:val="1"/>
          <w:bCs w:val="1"/>
          <w:color w:val="auto"/>
        </w:rPr>
      </w:pPr>
      <w:r>
        <w:rPr>
          <w:rFonts w:ascii="Arial" w:cs="Arial" w:eastAsia="Arial" w:hAnsi="Arial"/>
          <w:sz w:val="19"/>
          <w:szCs w:val="19"/>
          <w:color w:val="auto"/>
        </w:rPr>
        <w:t>The Options not exercised within this seven-year term will become null and void and therefore will cease to be exercisable.</w:t>
      </w:r>
    </w:p>
    <w:p>
      <w:pPr>
        <w:sectPr>
          <w:pgSz w:w="11900" w:h="16838" w:orient="portrait"/>
          <w:cols w:equalWidth="0" w:num="1">
            <w:col w:w="11182"/>
          </w:cols>
          <w:pgMar w:left="478" w:top="960" w:right="239" w:bottom="1440" w:gutter="0" w:footer="0" w:header="0"/>
        </w:sectPr>
      </w:pPr>
    </w:p>
    <w:bookmarkStart w:id="117" w:name="page118"/>
    <w:bookmarkEnd w:id="117"/>
    <w:p>
      <w:pPr>
        <w:ind w:left="762" w:hanging="762"/>
        <w:spacing w:after="0"/>
        <w:tabs>
          <w:tab w:leader="none" w:pos="762"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FOR EXERCISING THE OPTIONS</w:t>
      </w:r>
    </w:p>
    <w:p>
      <w:pPr>
        <w:spacing w:after="0" w:line="235"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General conditions</w:t>
      </w:r>
    </w:p>
    <w:p>
      <w:pPr>
        <w:spacing w:after="0" w:line="252" w:lineRule="exact"/>
        <w:rPr>
          <w:sz w:val="20"/>
          <w:szCs w:val="20"/>
          <w:color w:val="auto"/>
        </w:rPr>
      </w:pPr>
    </w:p>
    <w:p>
      <w:pPr>
        <w:ind w:left="762" w:hanging="769"/>
        <w:spacing w:after="0" w:line="260" w:lineRule="auto"/>
        <w:tabs>
          <w:tab w:leader="none" w:pos="742"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20"/>
          <w:szCs w:val="20"/>
          <w:color w:val="auto"/>
        </w:rPr>
        <w:t>The exercise of Options under this Plan is subject to the condition that the Beneficiary remains an employee or an Executive Officer until the Date of exercise of the Options.</w:t>
      </w:r>
    </w:p>
    <w:p>
      <w:pPr>
        <w:spacing w:after="0" w:line="42" w:lineRule="exact"/>
        <w:rPr>
          <w:sz w:val="20"/>
          <w:szCs w:val="20"/>
          <w:color w:val="auto"/>
        </w:rPr>
      </w:pPr>
    </w:p>
    <w:p>
      <w:pPr>
        <w:jc w:val="both"/>
        <w:ind w:left="762"/>
        <w:spacing w:after="0" w:line="243" w:lineRule="auto"/>
        <w:rPr>
          <w:sz w:val="20"/>
          <w:szCs w:val="20"/>
          <w:color w:val="auto"/>
        </w:rPr>
      </w:pPr>
      <w:r>
        <w:rPr>
          <w:rFonts w:ascii="Arial" w:cs="Arial" w:eastAsia="Arial" w:hAnsi="Arial"/>
          <w:sz w:val="20"/>
          <w:szCs w:val="20"/>
          <w:color w:val="auto"/>
        </w:rPr>
        <w:t>In this respect, the loss of the right to exercise the Options arises on the date of receipt (or the first delivery attempt) of the notice of dismissal or remittance of the resignation letter, notwithstanding any notice period, whether or not completed, or in the case of an Executive Officer, upon expiration of his term or on the date of his dismissal (or notification of such dismissal if the Beneficiary did not attend the Board Meeting having made such decision). It is specified that the sole loss of the position as Executive Officer does not generate the loss of the right to exercise the Options in the case of a Beneficiary being an Executive Officer with an employment contract.</w:t>
      </w:r>
    </w:p>
    <w:p>
      <w:pPr>
        <w:spacing w:after="0" w:line="200" w:lineRule="exact"/>
        <w:rPr>
          <w:sz w:val="20"/>
          <w:szCs w:val="20"/>
          <w:color w:val="auto"/>
        </w:rPr>
      </w:pPr>
    </w:p>
    <w:p>
      <w:pPr>
        <w:spacing w:after="0" w:line="253" w:lineRule="exact"/>
        <w:rPr>
          <w:sz w:val="20"/>
          <w:szCs w:val="20"/>
          <w:color w:val="auto"/>
        </w:rPr>
      </w:pPr>
    </w:p>
    <w:p>
      <w:pPr>
        <w:jc w:val="both"/>
        <w:ind w:left="762" w:hanging="769"/>
        <w:spacing w:after="0" w:line="260" w:lineRule="auto"/>
        <w:tabs>
          <w:tab w:leader="none" w:pos="742"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20"/>
          <w:szCs w:val="20"/>
          <w:color w:val="auto"/>
        </w:rPr>
        <w:t>Notwithstanding the condition provided for in provisions of Article 5.1.1. hereabove, the right to exercise the Options is maintained in the following situations:</w:t>
      </w:r>
    </w:p>
    <w:p>
      <w:pPr>
        <w:spacing w:after="0" w:line="123" w:lineRule="exact"/>
        <w:rPr>
          <w:sz w:val="20"/>
          <w:szCs w:val="20"/>
          <w:color w:val="auto"/>
        </w:rPr>
      </w:pPr>
    </w:p>
    <w:p>
      <w:pPr>
        <w:jc w:val="both"/>
        <w:ind w:left="762" w:hanging="769"/>
        <w:spacing w:after="0" w:line="260" w:lineRule="auto"/>
        <w:tabs>
          <w:tab w:leader="none" w:pos="742" w:val="left"/>
        </w:tabs>
        <w:rPr>
          <w:sz w:val="20"/>
          <w:szCs w:val="20"/>
          <w:color w:val="auto"/>
        </w:rPr>
      </w:pPr>
      <w:r>
        <w:rPr>
          <w:rFonts w:ascii="Arial" w:cs="Arial" w:eastAsia="Arial" w:hAnsi="Arial"/>
          <w:sz w:val="18"/>
          <w:szCs w:val="18"/>
          <w:color w:val="auto"/>
        </w:rPr>
        <w:t>5.1.2.1</w:t>
      </w:r>
      <w:r>
        <w:rPr>
          <w:sz w:val="20"/>
          <w:szCs w:val="20"/>
          <w:color w:val="auto"/>
        </w:rPr>
        <w:tab/>
      </w:r>
      <w:r>
        <w:rPr>
          <w:rFonts w:ascii="Arial" w:cs="Arial" w:eastAsia="Arial" w:hAnsi="Arial"/>
          <w:sz w:val="20"/>
          <w:szCs w:val="20"/>
          <w:color w:val="auto"/>
        </w:rPr>
        <w:t>Retirement leave once satisfying the legal minimum period of contributions to the National Insurance in France (or corresponding rules in other countries).</w:t>
      </w:r>
    </w:p>
    <w:p>
      <w:pPr>
        <w:spacing w:after="0" w:line="123" w:lineRule="exact"/>
        <w:rPr>
          <w:sz w:val="20"/>
          <w:szCs w:val="20"/>
          <w:color w:val="auto"/>
        </w:rPr>
      </w:pPr>
    </w:p>
    <w:p>
      <w:pPr>
        <w:jc w:val="both"/>
        <w:ind w:left="762" w:hanging="769"/>
        <w:spacing w:after="0" w:line="250" w:lineRule="auto"/>
        <w:tabs>
          <w:tab w:leader="none" w:pos="742" w:val="left"/>
        </w:tabs>
        <w:rPr>
          <w:sz w:val="20"/>
          <w:szCs w:val="20"/>
          <w:color w:val="auto"/>
        </w:rPr>
      </w:pPr>
      <w:r>
        <w:rPr>
          <w:rFonts w:ascii="Arial" w:cs="Arial" w:eastAsia="Arial" w:hAnsi="Arial"/>
          <w:sz w:val="18"/>
          <w:szCs w:val="18"/>
          <w:color w:val="auto"/>
        </w:rPr>
        <w:t>5.1.2.2</w:t>
      </w:r>
      <w:r>
        <w:rPr>
          <w:sz w:val="20"/>
          <w:szCs w:val="20"/>
          <w:color w:val="auto"/>
        </w:rPr>
        <w:tab/>
      </w:r>
      <w:r>
        <w:rPr>
          <w:rFonts w:ascii="Arial" w:cs="Arial" w:eastAsia="Arial" w:hAnsi="Arial"/>
          <w:sz w:val="20"/>
          <w:szCs w:val="20"/>
          <w:color w:val="auto"/>
        </w:rPr>
        <w:t>Full disability impairing any employment contract as classified in categories two or three under article L.341-4 of the French Social Security Code (or corresponding rules in other countries). In such a case the exercise of options by the Beneficiary shall occur prior to the end of the four years period referred to in Article 4.</w:t>
      </w:r>
    </w:p>
    <w:p>
      <w:pPr>
        <w:spacing w:after="0" w:line="132"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5.1.2.3</w:t>
      </w:r>
      <w:r>
        <w:rPr>
          <w:sz w:val="20"/>
          <w:szCs w:val="20"/>
          <w:color w:val="auto"/>
        </w:rPr>
        <w:tab/>
      </w:r>
      <w:r>
        <w:rPr>
          <w:rFonts w:ascii="Arial" w:cs="Arial" w:eastAsia="Arial" w:hAnsi="Arial"/>
          <w:sz w:val="16"/>
          <w:szCs w:val="16"/>
          <w:color w:val="auto"/>
        </w:rPr>
        <w:t>Redundancy or dismissal for any reasons other than gross or willful misconduct or negotiated leave.</w:t>
      </w:r>
    </w:p>
    <w:p>
      <w:pPr>
        <w:spacing w:after="0" w:line="185"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5.1.2.4</w:t>
      </w:r>
      <w:r>
        <w:rPr>
          <w:sz w:val="20"/>
          <w:szCs w:val="20"/>
          <w:color w:val="auto"/>
        </w:rPr>
        <w:tab/>
      </w:r>
      <w:r>
        <w:rPr>
          <w:rFonts w:ascii="Arial" w:cs="Arial" w:eastAsia="Arial" w:hAnsi="Arial"/>
          <w:sz w:val="16"/>
          <w:szCs w:val="16"/>
          <w:color w:val="auto"/>
        </w:rPr>
        <w:t>Departure from the Group in the context of a sale of assets.</w:t>
      </w:r>
    </w:p>
    <w:p>
      <w:pPr>
        <w:spacing w:after="0" w:line="185"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5.1.2.5</w:t>
      </w:r>
      <w:r>
        <w:rPr>
          <w:sz w:val="20"/>
          <w:szCs w:val="20"/>
          <w:color w:val="auto"/>
        </w:rPr>
        <w:tab/>
      </w:r>
      <w:r>
        <w:rPr>
          <w:rFonts w:ascii="Arial" w:cs="Arial" w:eastAsia="Arial" w:hAnsi="Arial"/>
          <w:sz w:val="18"/>
          <w:szCs w:val="18"/>
          <w:color w:val="auto"/>
        </w:rPr>
        <w:t>Waiver of the condition mentioned in Article 5.1.1 above if granted by the Chairman and Chief Executive Officer.</w:t>
      </w:r>
    </w:p>
    <w:p>
      <w:pPr>
        <w:spacing w:after="0" w:line="200" w:lineRule="exact"/>
        <w:rPr>
          <w:sz w:val="20"/>
          <w:szCs w:val="20"/>
          <w:color w:val="auto"/>
        </w:rPr>
      </w:pPr>
    </w:p>
    <w:p>
      <w:pPr>
        <w:spacing w:after="0" w:line="282"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Case of death</w:t>
      </w:r>
    </w:p>
    <w:p>
      <w:pPr>
        <w:spacing w:after="0" w:line="212" w:lineRule="exact"/>
        <w:rPr>
          <w:sz w:val="20"/>
          <w:szCs w:val="20"/>
          <w:color w:val="auto"/>
        </w:rPr>
      </w:pPr>
    </w:p>
    <w:p>
      <w:pPr>
        <w:jc w:val="both"/>
        <w:ind w:left="762" w:right="20"/>
        <w:spacing w:after="0" w:line="260" w:lineRule="auto"/>
        <w:rPr>
          <w:sz w:val="20"/>
          <w:szCs w:val="20"/>
          <w:color w:val="auto"/>
        </w:rPr>
      </w:pPr>
      <w:r>
        <w:rPr>
          <w:rFonts w:ascii="Arial" w:cs="Arial" w:eastAsia="Arial" w:hAnsi="Arial"/>
          <w:sz w:val="20"/>
          <w:szCs w:val="20"/>
          <w:color w:val="auto"/>
        </w:rPr>
        <w:t>In the event of death of the Beneficiary prior to the date of exercise of the Options, his heirs may request, within six months of the date of death, the Options according to the provisions of Article 5.2 2 hereunder.</w:t>
      </w:r>
    </w:p>
    <w:p>
      <w:pPr>
        <w:spacing w:after="0" w:line="366"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Conditions relating to the number of Options</w:t>
      </w:r>
    </w:p>
    <w:p>
      <w:pPr>
        <w:spacing w:after="0" w:line="131"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Principle</w:t>
      </w:r>
    </w:p>
    <w:p>
      <w:pPr>
        <w:spacing w:after="0" w:line="212" w:lineRule="exact"/>
        <w:rPr>
          <w:sz w:val="20"/>
          <w:szCs w:val="20"/>
          <w:color w:val="auto"/>
        </w:rPr>
      </w:pPr>
    </w:p>
    <w:p>
      <w:pPr>
        <w:jc w:val="both"/>
        <w:ind w:left="762" w:right="20"/>
        <w:spacing w:after="0" w:line="260" w:lineRule="auto"/>
        <w:rPr>
          <w:sz w:val="20"/>
          <w:szCs w:val="20"/>
          <w:color w:val="auto"/>
        </w:rPr>
      </w:pPr>
      <w:r>
        <w:rPr>
          <w:rFonts w:ascii="Arial" w:cs="Arial" w:eastAsia="Arial" w:hAnsi="Arial"/>
          <w:sz w:val="20"/>
          <w:szCs w:val="20"/>
          <w:color w:val="auto"/>
        </w:rPr>
        <w:t>The number of Options to be exercised is determined by the level of achievement of the Performance Conditions at that date, in accordance with the Annex to these Rules.</w:t>
      </w:r>
    </w:p>
    <w:p>
      <w:pPr>
        <w:spacing w:after="0" w:line="69"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Exceptions</w:t>
      </w:r>
    </w:p>
    <w:p>
      <w:pPr>
        <w:spacing w:after="0" w:line="185"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5.2.2.1.</w:t>
      </w:r>
      <w:r>
        <w:rPr>
          <w:sz w:val="20"/>
          <w:szCs w:val="20"/>
          <w:color w:val="auto"/>
        </w:rPr>
        <w:tab/>
      </w:r>
      <w:r>
        <w:rPr>
          <w:rFonts w:ascii="Arial" w:cs="Arial" w:eastAsia="Arial" w:hAnsi="Arial"/>
          <w:sz w:val="18"/>
          <w:szCs w:val="18"/>
          <w:color w:val="auto"/>
        </w:rPr>
        <w:t>Death - Disability</w:t>
      </w:r>
    </w:p>
    <w:p>
      <w:pPr>
        <w:spacing w:after="0" w:line="158" w:lineRule="exact"/>
        <w:rPr>
          <w:sz w:val="20"/>
          <w:szCs w:val="20"/>
          <w:color w:val="auto"/>
        </w:rPr>
      </w:pPr>
    </w:p>
    <w:p>
      <w:pPr>
        <w:jc w:val="both"/>
        <w:ind w:left="762"/>
        <w:spacing w:after="0" w:line="250" w:lineRule="auto"/>
        <w:rPr>
          <w:sz w:val="20"/>
          <w:szCs w:val="20"/>
          <w:color w:val="auto"/>
        </w:rPr>
      </w:pPr>
      <w:r>
        <w:rPr>
          <w:rFonts w:ascii="Arial" w:cs="Arial" w:eastAsia="Arial" w:hAnsi="Arial"/>
          <w:sz w:val="20"/>
          <w:szCs w:val="20"/>
          <w:color w:val="auto"/>
        </w:rPr>
        <w:t>As an exception to the provisions of article 5.2.1, the number of options to be delivered in the cases of disability (article 5.1.2.2) or death (article 5.1.3) of the Beneficiary, shall be the whole of the options granted by the Board of Directors disregarding the Performance Conditions referred to in article 5.2.1.</w:t>
      </w:r>
    </w:p>
    <w:p>
      <w:pPr>
        <w:sectPr>
          <w:pgSz w:w="11900" w:h="16838" w:orient="portrait"/>
          <w:cols w:equalWidth="0" w:num="1">
            <w:col w:w="11182"/>
          </w:cols>
          <w:pgMar w:left="478" w:top="1224" w:right="2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20"/>
          <w:szCs w:val="20"/>
          <w:color w:val="auto"/>
        </w:rPr>
        <w:t>5.2.2.2.</w:t>
      </w:r>
      <w:r>
        <w:rPr>
          <w:sz w:val="20"/>
          <w:szCs w:val="20"/>
          <w:color w:val="auto"/>
        </w:rPr>
        <w:tab/>
      </w:r>
      <w:r>
        <w:rPr>
          <w:rFonts w:ascii="Arial" w:cs="Arial" w:eastAsia="Arial" w:hAnsi="Arial"/>
          <w:sz w:val="16"/>
          <w:szCs w:val="16"/>
          <w:color w:val="auto"/>
        </w:rPr>
        <w:t>Take-over bid or exchange offer on the shares of the Company</w:t>
      </w:r>
    </w:p>
    <w:p>
      <w:pPr>
        <w:spacing w:after="0" w:line="81" w:lineRule="exact"/>
        <w:rPr>
          <w:sz w:val="20"/>
          <w:szCs w:val="20"/>
          <w:color w:val="auto"/>
        </w:rPr>
      </w:pPr>
    </w:p>
    <w:p>
      <w:pPr>
        <w:jc w:val="both"/>
        <w:ind w:left="762"/>
        <w:spacing w:after="0" w:line="246" w:lineRule="auto"/>
        <w:rPr>
          <w:sz w:val="20"/>
          <w:szCs w:val="20"/>
          <w:color w:val="auto"/>
        </w:rPr>
      </w:pPr>
      <w:r>
        <w:rPr>
          <w:rFonts w:ascii="Arial" w:cs="Arial" w:eastAsia="Arial" w:hAnsi="Arial"/>
          <w:sz w:val="20"/>
          <w:szCs w:val="20"/>
          <w:color w:val="auto"/>
        </w:rPr>
        <w:t xml:space="preserve">As an exception to the above provisions, Beneficiaries may exercise their Options before the expiration of the four-year period referred in Article 4 should the Company be subject to a public take-over bid or an exchange offering. In this case, the Beneficiaries may exercise their Options upon the effective opening of such offer pursuant to the conditions in article L.231-32 of the General Regulations of the French </w:t>
      </w:r>
      <w:r>
        <w:rPr>
          <w:rFonts w:ascii="Arial" w:cs="Arial" w:eastAsia="Arial" w:hAnsi="Arial"/>
          <w:sz w:val="20"/>
          <w:szCs w:val="20"/>
          <w:i w:val="1"/>
          <w:iCs w:val="1"/>
          <w:color w:val="auto"/>
        </w:rPr>
        <w:t>Autorité des Marchés Financiers</w:t>
      </w:r>
      <w:r>
        <w:rPr>
          <w:rFonts w:ascii="Arial" w:cs="Arial" w:eastAsia="Arial" w:hAnsi="Arial"/>
          <w:sz w:val="20"/>
          <w:szCs w:val="20"/>
          <w:color w:val="auto"/>
        </w:rPr>
        <w:t>.</w:t>
      </w:r>
    </w:p>
    <w:p>
      <w:pPr>
        <w:spacing w:after="0" w:line="56" w:lineRule="exact"/>
        <w:rPr>
          <w:sz w:val="20"/>
          <w:szCs w:val="20"/>
          <w:color w:val="auto"/>
        </w:rPr>
      </w:pPr>
    </w:p>
    <w:p>
      <w:pPr>
        <w:jc w:val="both"/>
        <w:ind w:left="762"/>
        <w:spacing w:after="0" w:line="250" w:lineRule="auto"/>
        <w:rPr>
          <w:sz w:val="20"/>
          <w:szCs w:val="20"/>
          <w:color w:val="auto"/>
        </w:rPr>
      </w:pPr>
      <w:r>
        <w:rPr>
          <w:rFonts w:ascii="Arial" w:cs="Arial" w:eastAsia="Arial" w:hAnsi="Arial"/>
          <w:sz w:val="20"/>
          <w:szCs w:val="20"/>
          <w:color w:val="auto"/>
        </w:rPr>
        <w:t>The early exercise of the Options pursuant to the provisions of the above paragraph, shall apply to the whole of the Options granted to the Beneficiaries whose situation is in compliance with Article 5.1 hereabove, disregarding the Performance Conditions referred to in Article 5.2.1.</w:t>
      </w:r>
    </w:p>
    <w:p>
      <w:pPr>
        <w:spacing w:after="0" w:line="78"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Suspension of the right to exercise Options</w:t>
      </w:r>
    </w:p>
    <w:p>
      <w:pPr>
        <w:spacing w:after="0" w:line="212" w:lineRule="exact"/>
        <w:rPr>
          <w:sz w:val="20"/>
          <w:szCs w:val="20"/>
          <w:color w:val="auto"/>
        </w:rPr>
      </w:pPr>
    </w:p>
    <w:p>
      <w:pPr>
        <w:jc w:val="both"/>
        <w:ind w:left="762"/>
        <w:spacing w:after="0" w:line="246" w:lineRule="auto"/>
        <w:rPr>
          <w:sz w:val="20"/>
          <w:szCs w:val="20"/>
          <w:color w:val="auto"/>
        </w:rPr>
      </w:pPr>
      <w:r>
        <w:rPr>
          <w:rFonts w:ascii="Arial" w:cs="Arial" w:eastAsia="Arial" w:hAnsi="Arial"/>
          <w:sz w:val="20"/>
          <w:szCs w:val="20"/>
          <w:color w:val="auto"/>
        </w:rPr>
        <w:t>The Board of Directors may temporarily suspend the right to exercise Options, for a maximum period of three months, in the event of an issuance of new equity securities or securities giving access to the share capital as well as in the event of a merger or de-merger of the Company. The Beneficiaries involved shall in this case be individually informed of the duration of this suspension period.</w:t>
      </w:r>
    </w:p>
    <w:p>
      <w:pPr>
        <w:spacing w:after="0" w:line="83"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Disposal and hedging of shares are prohibited</w:t>
      </w:r>
    </w:p>
    <w:p>
      <w:pPr>
        <w:spacing w:after="0" w:line="212" w:lineRule="exact"/>
        <w:rPr>
          <w:sz w:val="20"/>
          <w:szCs w:val="20"/>
          <w:color w:val="auto"/>
        </w:rPr>
      </w:pPr>
    </w:p>
    <w:p>
      <w:pPr>
        <w:jc w:val="both"/>
        <w:ind w:left="762"/>
        <w:spacing w:after="0" w:line="260" w:lineRule="auto"/>
        <w:rPr>
          <w:sz w:val="20"/>
          <w:szCs w:val="20"/>
          <w:color w:val="auto"/>
        </w:rPr>
      </w:pPr>
      <w:r>
        <w:rPr>
          <w:rFonts w:ascii="Arial" w:cs="Arial" w:eastAsia="Arial" w:hAnsi="Arial"/>
          <w:sz w:val="20"/>
          <w:szCs w:val="20"/>
          <w:color w:val="auto"/>
        </w:rPr>
        <w:t>The grant of options is personal in essence and the rights attached cannot be sold or transferred during the four-year period. No pledge or surety can be instituted on the options.</w:t>
      </w:r>
    </w:p>
    <w:p>
      <w:pPr>
        <w:spacing w:after="0" w:line="266" w:lineRule="exact"/>
        <w:rPr>
          <w:sz w:val="20"/>
          <w:szCs w:val="20"/>
          <w:color w:val="auto"/>
        </w:rPr>
      </w:pPr>
    </w:p>
    <w:p>
      <w:pPr>
        <w:ind w:left="762" w:hanging="762"/>
        <w:spacing w:after="0"/>
        <w:tabs>
          <w:tab w:leader="none" w:pos="762" w:val="left"/>
        </w:tabs>
        <w:numPr>
          <w:ilvl w:val="0"/>
          <w:numId w:val="55"/>
        </w:numPr>
        <w:rPr>
          <w:rFonts w:ascii="Arial" w:cs="Arial" w:eastAsia="Arial" w:hAnsi="Arial"/>
          <w:sz w:val="18"/>
          <w:szCs w:val="18"/>
          <w:b w:val="1"/>
          <w:bCs w:val="1"/>
          <w:color w:val="auto"/>
        </w:rPr>
      </w:pPr>
      <w:r>
        <w:rPr>
          <w:rFonts w:ascii="Arial" w:cs="Arial" w:eastAsia="Arial" w:hAnsi="Arial"/>
          <w:sz w:val="20"/>
          <w:szCs w:val="20"/>
          <w:b w:val="1"/>
          <w:bCs w:val="1"/>
          <w:color w:val="auto"/>
        </w:rPr>
        <w:t>MODE OF EXERCISE OF OPTIONS</w:t>
      </w:r>
    </w:p>
    <w:p>
      <w:pPr>
        <w:spacing w:after="0" w:line="86" w:lineRule="exact"/>
        <w:rPr>
          <w:rFonts w:ascii="Arial" w:cs="Arial" w:eastAsia="Arial" w:hAnsi="Arial"/>
          <w:sz w:val="18"/>
          <w:szCs w:val="18"/>
          <w:b w:val="1"/>
          <w:bCs w:val="1"/>
          <w:color w:val="auto"/>
        </w:rPr>
      </w:pPr>
    </w:p>
    <w:p>
      <w:pPr>
        <w:ind w:left="762"/>
        <w:spacing w:after="0"/>
        <w:rPr>
          <w:rFonts w:ascii="Arial" w:cs="Arial" w:eastAsia="Arial" w:hAnsi="Arial"/>
          <w:sz w:val="18"/>
          <w:szCs w:val="18"/>
          <w:b w:val="1"/>
          <w:bCs w:val="1"/>
          <w:color w:val="auto"/>
        </w:rPr>
      </w:pPr>
      <w:r>
        <w:rPr>
          <w:rFonts w:ascii="Arial" w:cs="Arial" w:eastAsia="Arial" w:hAnsi="Arial"/>
          <w:sz w:val="18"/>
          <w:szCs w:val="18"/>
          <w:color w:val="auto"/>
        </w:rPr>
        <w:t>Exercise of Options should apply at least to a minimum of 500 Options or to the balance of Options should it be lower than 500.</w:t>
      </w:r>
    </w:p>
    <w:p>
      <w:pPr>
        <w:spacing w:after="0" w:line="103" w:lineRule="exact"/>
        <w:rPr>
          <w:rFonts w:ascii="Arial" w:cs="Arial" w:eastAsia="Arial" w:hAnsi="Arial"/>
          <w:sz w:val="18"/>
          <w:szCs w:val="18"/>
          <w:b w:val="1"/>
          <w:bCs w:val="1"/>
          <w:color w:val="auto"/>
        </w:rPr>
      </w:pPr>
    </w:p>
    <w:p>
      <w:pPr>
        <w:ind w:left="762"/>
        <w:spacing w:after="0" w:line="247" w:lineRule="auto"/>
        <w:rPr>
          <w:rFonts w:ascii="Arial" w:cs="Arial" w:eastAsia="Arial" w:hAnsi="Arial"/>
          <w:sz w:val="18"/>
          <w:szCs w:val="18"/>
          <w:b w:val="1"/>
          <w:bCs w:val="1"/>
          <w:color w:val="auto"/>
        </w:rPr>
      </w:pPr>
      <w:r>
        <w:rPr>
          <w:rFonts w:ascii="Arial" w:cs="Arial" w:eastAsia="Arial" w:hAnsi="Arial"/>
          <w:sz w:val="20"/>
          <w:szCs w:val="20"/>
          <w:color w:val="auto"/>
        </w:rPr>
        <w:t>As a condition of the validity of the exercise of Options, each Beneficiary must send to the Managing Bank his/her exercise request, which consists of:</w:t>
      </w:r>
    </w:p>
    <w:p>
      <w:pPr>
        <w:spacing w:after="0" w:line="1" w:lineRule="exact"/>
        <w:rPr>
          <w:rFonts w:ascii="Arial" w:cs="Arial" w:eastAsia="Arial" w:hAnsi="Arial"/>
          <w:sz w:val="18"/>
          <w:szCs w:val="18"/>
          <w:b w:val="1"/>
          <w:bCs w:val="1"/>
          <w:color w:val="auto"/>
        </w:rPr>
      </w:pPr>
    </w:p>
    <w:p>
      <w:pPr>
        <w:ind w:left="762"/>
        <w:spacing w:after="0"/>
        <w:rPr>
          <w:rFonts w:ascii="Arial" w:cs="Arial" w:eastAsia="Arial" w:hAnsi="Arial"/>
          <w:sz w:val="18"/>
          <w:szCs w:val="18"/>
          <w:b w:val="1"/>
          <w:bCs w:val="1"/>
          <w:color w:val="auto"/>
        </w:rPr>
      </w:pPr>
      <w:r>
        <w:rPr>
          <w:rFonts w:ascii="Arial" w:cs="Arial" w:eastAsia="Arial" w:hAnsi="Arial"/>
          <w:sz w:val="18"/>
          <w:szCs w:val="18"/>
          <w:color w:val="auto"/>
        </w:rPr>
        <w:t xml:space="preserve">–  </w:t>
      </w:r>
      <w:r>
        <w:rPr>
          <w:rFonts w:ascii="Arial" w:cs="Arial" w:eastAsia="Arial" w:hAnsi="Arial"/>
          <w:sz w:val="19"/>
          <w:szCs w:val="19"/>
          <w:color w:val="auto"/>
        </w:rPr>
        <w:t>A completed and signed Options exercise form,</w:t>
      </w:r>
    </w:p>
    <w:p>
      <w:pPr>
        <w:spacing w:after="0" w:line="224" w:lineRule="exact"/>
        <w:rPr>
          <w:rFonts w:ascii="Arial" w:cs="Arial" w:eastAsia="Arial" w:hAnsi="Arial"/>
          <w:sz w:val="18"/>
          <w:szCs w:val="18"/>
          <w:b w:val="1"/>
          <w:bCs w:val="1"/>
          <w:color w:val="auto"/>
        </w:rPr>
      </w:pPr>
    </w:p>
    <w:p>
      <w:pPr>
        <w:ind w:left="1022" w:hanging="27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 xml:space="preserve">– </w:t>
      </w:r>
      <w:r>
        <w:rPr>
          <w:rFonts w:ascii="Arial" w:cs="Arial" w:eastAsia="Arial" w:hAnsi="Arial"/>
          <w:sz w:val="19"/>
          <w:szCs w:val="19"/>
          <w:color w:val="auto"/>
        </w:rPr>
        <w:t>Except in the case of a cash-less exercise, payment made to the Managing Bank amounting to the global exercise price of the</w:t>
      </w:r>
      <w:r>
        <w:rPr>
          <w:rFonts w:ascii="Arial" w:cs="Arial" w:eastAsia="Arial" w:hAnsi="Arial"/>
          <w:sz w:val="18"/>
          <w:szCs w:val="18"/>
          <w:color w:val="auto"/>
        </w:rPr>
        <w:t xml:space="preserve"> </w:t>
      </w:r>
      <w:r>
        <w:rPr>
          <w:rFonts w:ascii="Arial" w:cs="Arial" w:eastAsia="Arial" w:hAnsi="Arial"/>
          <w:sz w:val="19"/>
          <w:szCs w:val="19"/>
          <w:color w:val="auto"/>
        </w:rPr>
        <w:t>exercised Options.</w:t>
      </w:r>
    </w:p>
    <w:p>
      <w:pPr>
        <w:spacing w:after="0" w:line="247" w:lineRule="exact"/>
        <w:rPr>
          <w:sz w:val="20"/>
          <w:szCs w:val="20"/>
          <w:color w:val="auto"/>
        </w:rPr>
      </w:pPr>
    </w:p>
    <w:p>
      <w:pPr>
        <w:jc w:val="both"/>
        <w:ind w:left="762"/>
        <w:spacing w:after="0" w:line="243" w:lineRule="auto"/>
        <w:rPr>
          <w:sz w:val="20"/>
          <w:szCs w:val="20"/>
          <w:color w:val="auto"/>
        </w:rPr>
      </w:pPr>
      <w:r>
        <w:rPr>
          <w:rFonts w:ascii="Arial" w:cs="Arial" w:eastAsia="Arial" w:hAnsi="Arial"/>
          <w:sz w:val="20"/>
          <w:szCs w:val="20"/>
          <w:color w:val="auto"/>
        </w:rPr>
        <w:t>After receiving the Company’s approval on such exercise which requires the clearance by the Group Chief Financial Officer in the case of insiders listed in accordance with article L.621-18-4 al. 1 of the French Monetary and Financial Code, the Managing Bank checks that the number of exercised Options does not exceed the number of Options exercisable pursuant to the level of achievement of the applicable Reference Performance as defined in Annex 1. The Managing Bank processes the request of the Beneficiary within the limits of the number of exercisable Options defined herein and delivers the corresponding number of shares to the Beneficiary or, upon instruction of the latter, carries out the resale of such shares and transfers the net sales proceeds thereof to the said Beneficiary.</w:t>
      </w:r>
    </w:p>
    <w:p>
      <w:pPr>
        <w:spacing w:after="0" w:line="58" w:lineRule="exact"/>
        <w:rPr>
          <w:sz w:val="20"/>
          <w:szCs w:val="20"/>
          <w:color w:val="auto"/>
        </w:rPr>
      </w:pPr>
    </w:p>
    <w:p>
      <w:pPr>
        <w:jc w:val="both"/>
        <w:ind w:left="762"/>
        <w:spacing w:after="0" w:line="246" w:lineRule="auto"/>
        <w:rPr>
          <w:sz w:val="20"/>
          <w:szCs w:val="20"/>
          <w:color w:val="auto"/>
        </w:rPr>
      </w:pPr>
      <w:r>
        <w:rPr>
          <w:rFonts w:ascii="Arial" w:cs="Arial" w:eastAsia="Arial" w:hAnsi="Arial"/>
          <w:sz w:val="20"/>
          <w:szCs w:val="20"/>
          <w:color w:val="auto"/>
        </w:rPr>
        <w:t>By returning the acknowledgment of receipt of the rules of the Plan, the Beneficiaries having tax residence outside of France authorize the Managing Bank to retain, if needed, the amount of all costs and taxes or similar expenses, the payment of which will be due following the exercise of the Options or the transfer of the shares and shall be carried out by the employer of the Beneficiary.</w:t>
      </w:r>
    </w:p>
    <w:p>
      <w:pPr>
        <w:spacing w:after="0" w:line="56" w:lineRule="exact"/>
        <w:rPr>
          <w:sz w:val="20"/>
          <w:szCs w:val="20"/>
          <w:color w:val="auto"/>
        </w:rPr>
      </w:pPr>
    </w:p>
    <w:p>
      <w:pPr>
        <w:ind w:left="762"/>
        <w:spacing w:after="0"/>
        <w:rPr>
          <w:sz w:val="20"/>
          <w:szCs w:val="20"/>
          <w:color w:val="auto"/>
        </w:rPr>
      </w:pPr>
      <w:r>
        <w:rPr>
          <w:rFonts w:ascii="Arial" w:cs="Arial" w:eastAsia="Arial" w:hAnsi="Arial"/>
          <w:sz w:val="18"/>
          <w:szCs w:val="18"/>
          <w:color w:val="auto"/>
        </w:rPr>
        <w:t>Specific conditions will be applied in the case of the exercise of Options pursuant to the Group Company Savings Plan (PEG).</w:t>
      </w:r>
    </w:p>
    <w:p>
      <w:pPr>
        <w:sectPr>
          <w:pgSz w:w="11900" w:h="16838" w:orient="portrait"/>
          <w:cols w:equalWidth="0" w:num="1">
            <w:col w:w="11182"/>
          </w:cols>
          <w:pgMar w:left="478" w:top="1440" w:right="239" w:bottom="1440" w:gutter="0" w:footer="0" w:header="0"/>
        </w:sectPr>
      </w:pPr>
    </w:p>
    <w:bookmarkStart w:id="119" w:name="page120"/>
    <w:bookmarkEnd w:id="119"/>
    <w:p>
      <w:pPr>
        <w:spacing w:after="0" w:line="217" w:lineRule="exact"/>
        <w:rPr>
          <w:sz w:val="20"/>
          <w:szCs w:val="20"/>
          <w:color w:val="auto"/>
        </w:rPr>
      </w:pPr>
    </w:p>
    <w:p>
      <w:pPr>
        <w:ind w:left="762" w:hanging="762"/>
        <w:spacing w:after="0"/>
        <w:tabs>
          <w:tab w:leader="none" w:pos="762"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TEMPORARY PROHIBITION TO SELL THE SHARES</w:t>
      </w:r>
    </w:p>
    <w:p>
      <w:pPr>
        <w:spacing w:after="0" w:line="86" w:lineRule="exact"/>
        <w:rPr>
          <w:rFonts w:ascii="Arial" w:cs="Arial" w:eastAsia="Arial" w:hAnsi="Arial"/>
          <w:sz w:val="20"/>
          <w:szCs w:val="20"/>
          <w:b w:val="1"/>
          <w:bCs w:val="1"/>
          <w:color w:val="auto"/>
        </w:rPr>
      </w:pPr>
    </w:p>
    <w:p>
      <w:pPr>
        <w:ind w:left="762"/>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 Beneficiary may transfer or convert into bearer form any share resulting from the exercise of the option before the expiry of a four-year period as from the date of allocation of the options, subject to provisions of Article 5.</w:t>
      </w:r>
    </w:p>
    <w:p>
      <w:pPr>
        <w:spacing w:after="0" w:line="265" w:lineRule="exact"/>
        <w:rPr>
          <w:rFonts w:ascii="Arial" w:cs="Arial" w:eastAsia="Arial" w:hAnsi="Arial"/>
          <w:sz w:val="20"/>
          <w:szCs w:val="20"/>
          <w:b w:val="1"/>
          <w:bCs w:val="1"/>
          <w:color w:val="auto"/>
        </w:rPr>
      </w:pPr>
    </w:p>
    <w:p>
      <w:pPr>
        <w:ind w:left="762" w:hanging="762"/>
        <w:spacing w:after="0"/>
        <w:tabs>
          <w:tab w:leader="none" w:pos="762" w:val="left"/>
        </w:tabs>
        <w:numPr>
          <w:ilvl w:val="0"/>
          <w:numId w:val="56"/>
        </w:numPr>
        <w:rPr>
          <w:rFonts w:ascii="Arial" w:cs="Arial" w:eastAsia="Arial" w:hAnsi="Arial"/>
          <w:sz w:val="18"/>
          <w:szCs w:val="18"/>
          <w:b w:val="1"/>
          <w:bCs w:val="1"/>
          <w:color w:val="auto"/>
        </w:rPr>
      </w:pPr>
      <w:r>
        <w:rPr>
          <w:rFonts w:ascii="Arial" w:cs="Arial" w:eastAsia="Arial" w:hAnsi="Arial"/>
          <w:sz w:val="20"/>
          <w:szCs w:val="20"/>
          <w:b w:val="1"/>
          <w:bCs w:val="1"/>
          <w:color w:val="auto"/>
        </w:rPr>
        <w:t>NATURE AND RIGHTS OF ENTITLEMENT OF SHARES</w:t>
      </w:r>
    </w:p>
    <w:p>
      <w:pPr>
        <w:spacing w:after="0" w:line="86" w:lineRule="exact"/>
        <w:rPr>
          <w:rFonts w:ascii="Arial" w:cs="Arial" w:eastAsia="Arial" w:hAnsi="Arial"/>
          <w:sz w:val="18"/>
          <w:szCs w:val="18"/>
          <w:b w:val="1"/>
          <w:bCs w:val="1"/>
          <w:color w:val="auto"/>
        </w:rPr>
      </w:pPr>
    </w:p>
    <w:p>
      <w:pPr>
        <w:ind w:left="762"/>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The shares subscribed by exercise of Options shall be kept as registered shares in an individual account opened in the books held by the Managing Bank.</w:t>
      </w:r>
    </w:p>
    <w:p>
      <w:pPr>
        <w:spacing w:after="0" w:line="41" w:lineRule="exact"/>
        <w:rPr>
          <w:rFonts w:ascii="Arial" w:cs="Arial" w:eastAsia="Arial" w:hAnsi="Arial"/>
          <w:sz w:val="18"/>
          <w:szCs w:val="18"/>
          <w:b w:val="1"/>
          <w:bCs w:val="1"/>
          <w:color w:val="auto"/>
        </w:rPr>
      </w:pPr>
    </w:p>
    <w:p>
      <w:pPr>
        <w:ind w:left="762"/>
        <w:spacing w:after="0" w:line="260" w:lineRule="auto"/>
        <w:rPr>
          <w:rFonts w:ascii="Arial" w:cs="Arial" w:eastAsia="Arial" w:hAnsi="Arial"/>
          <w:sz w:val="18"/>
          <w:szCs w:val="18"/>
          <w:b w:val="1"/>
          <w:bCs w:val="1"/>
          <w:color w:val="auto"/>
        </w:rPr>
      </w:pPr>
      <w:r>
        <w:rPr>
          <w:rFonts w:ascii="Arial" w:cs="Arial" w:eastAsia="Arial" w:hAnsi="Arial"/>
          <w:sz w:val="20"/>
          <w:szCs w:val="20"/>
          <w:color w:val="auto"/>
        </w:rPr>
        <w:t>These shares will be issued with current dividend eligibility and will entitle to any dividend by any general meeting held after the issuance of said shares.</w:t>
      </w:r>
    </w:p>
    <w:p>
      <w:pPr>
        <w:spacing w:after="0" w:line="41" w:lineRule="exact"/>
        <w:rPr>
          <w:rFonts w:ascii="Arial" w:cs="Arial" w:eastAsia="Arial" w:hAnsi="Arial"/>
          <w:sz w:val="18"/>
          <w:szCs w:val="18"/>
          <w:b w:val="1"/>
          <w:bCs w:val="1"/>
          <w:color w:val="auto"/>
        </w:rPr>
      </w:pPr>
    </w:p>
    <w:p>
      <w:pPr>
        <w:jc w:val="both"/>
        <w:ind w:left="762"/>
        <w:spacing w:after="0" w:line="269" w:lineRule="auto"/>
        <w:rPr>
          <w:rFonts w:ascii="Arial" w:cs="Arial" w:eastAsia="Arial" w:hAnsi="Arial"/>
          <w:sz w:val="18"/>
          <w:szCs w:val="18"/>
          <w:b w:val="1"/>
          <w:bCs w:val="1"/>
          <w:color w:val="auto"/>
        </w:rPr>
      </w:pPr>
      <w:r>
        <w:rPr>
          <w:rFonts w:ascii="Arial" w:cs="Arial" w:eastAsia="Arial" w:hAnsi="Arial"/>
          <w:sz w:val="19"/>
          <w:szCs w:val="19"/>
          <w:color w:val="auto"/>
        </w:rPr>
        <w:t>Each Beneficiary may deposit its shares created by the exercise of Options in the Group Company Savings Plan (PEG) in accordance with Article L.3332-25 of the French Labour Code, or in any other type of Fund selected by the Company. Shares deposited on the PEG shall remain unavailable for sale for a period of 5 years from the date of deposit.</w:t>
      </w:r>
    </w:p>
    <w:p>
      <w:pPr>
        <w:spacing w:after="0" w:line="258" w:lineRule="exact"/>
        <w:rPr>
          <w:rFonts w:ascii="Arial" w:cs="Arial" w:eastAsia="Arial" w:hAnsi="Arial"/>
          <w:sz w:val="18"/>
          <w:szCs w:val="18"/>
          <w:b w:val="1"/>
          <w:bCs w:val="1"/>
          <w:color w:val="auto"/>
        </w:rPr>
      </w:pPr>
    </w:p>
    <w:p>
      <w:pPr>
        <w:ind w:left="762" w:hanging="762"/>
        <w:spacing w:after="0"/>
        <w:tabs>
          <w:tab w:leader="none" w:pos="762" w:val="left"/>
        </w:tabs>
        <w:numPr>
          <w:ilvl w:val="0"/>
          <w:numId w:val="56"/>
        </w:numPr>
        <w:rPr>
          <w:rFonts w:ascii="Arial" w:cs="Arial" w:eastAsia="Arial" w:hAnsi="Arial"/>
          <w:sz w:val="18"/>
          <w:szCs w:val="18"/>
          <w:b w:val="1"/>
          <w:bCs w:val="1"/>
          <w:color w:val="auto"/>
        </w:rPr>
      </w:pPr>
      <w:r>
        <w:rPr>
          <w:rFonts w:ascii="Arial" w:cs="Arial" w:eastAsia="Arial" w:hAnsi="Arial"/>
          <w:sz w:val="20"/>
          <w:szCs w:val="20"/>
          <w:b w:val="1"/>
          <w:bCs w:val="1"/>
          <w:color w:val="auto"/>
        </w:rPr>
        <w:t>INFORMATION OF THE BENEFICIARIES</w:t>
      </w:r>
    </w:p>
    <w:p>
      <w:pPr>
        <w:spacing w:after="0" w:line="86" w:lineRule="exact"/>
        <w:rPr>
          <w:rFonts w:ascii="Arial" w:cs="Arial" w:eastAsia="Arial" w:hAnsi="Arial"/>
          <w:sz w:val="18"/>
          <w:szCs w:val="18"/>
          <w:b w:val="1"/>
          <w:bCs w:val="1"/>
          <w:color w:val="auto"/>
        </w:rPr>
      </w:pPr>
    </w:p>
    <w:p>
      <w:pPr>
        <w:jc w:val="both"/>
        <w:ind w:left="762"/>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Notification of the Allocation of Options to the Beneficiaries is made in the form of a letter by the Chairman and Chief Executive Officer of the Company, or any other person chosen by him or by the Board of Directors, sent by mail or hand-delivered, along with a copy of these Rules, and specifying the number of Options granted to the Beneficiary, the Performance Conditions, the period of exercise of the Options, the temporary prohibition to sale the shares, as well as, as the case may be, the specific provisions applicable to the relevant Beneficiary.</w:t>
      </w:r>
    </w:p>
    <w:p>
      <w:pPr>
        <w:spacing w:after="0" w:line="59" w:lineRule="exact"/>
        <w:rPr>
          <w:rFonts w:ascii="Arial" w:cs="Arial" w:eastAsia="Arial" w:hAnsi="Arial"/>
          <w:sz w:val="18"/>
          <w:szCs w:val="18"/>
          <w:b w:val="1"/>
          <w:bCs w:val="1"/>
          <w:color w:val="auto"/>
        </w:rPr>
      </w:pPr>
    </w:p>
    <w:p>
      <w:pPr>
        <w:jc w:val="both"/>
        <w:ind w:left="762"/>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Each Beneficiary shall acknowledge receipt (i) of these Rules, (ii) of the letter of notification and (iii) receipt and acceptance of the Options, by returning within one month from the date of grant of the Options a signed and dated copy of said letter. Failing to do so he will loose automatically his rights to the Options.</w:t>
      </w:r>
    </w:p>
    <w:p>
      <w:pPr>
        <w:spacing w:after="0" w:line="274" w:lineRule="exact"/>
        <w:rPr>
          <w:rFonts w:ascii="Arial" w:cs="Arial" w:eastAsia="Arial" w:hAnsi="Arial"/>
          <w:sz w:val="18"/>
          <w:szCs w:val="18"/>
          <w:b w:val="1"/>
          <w:bCs w:val="1"/>
          <w:color w:val="auto"/>
        </w:rPr>
      </w:pPr>
    </w:p>
    <w:p>
      <w:pPr>
        <w:ind w:left="762" w:hanging="762"/>
        <w:spacing w:after="0"/>
        <w:tabs>
          <w:tab w:leader="none" w:pos="762" w:val="left"/>
        </w:tabs>
        <w:numPr>
          <w:ilvl w:val="0"/>
          <w:numId w:val="56"/>
        </w:numPr>
        <w:rPr>
          <w:rFonts w:ascii="Arial" w:cs="Arial" w:eastAsia="Arial" w:hAnsi="Arial"/>
          <w:sz w:val="18"/>
          <w:szCs w:val="18"/>
          <w:b w:val="1"/>
          <w:bCs w:val="1"/>
          <w:color w:val="auto"/>
        </w:rPr>
      </w:pPr>
      <w:r>
        <w:rPr>
          <w:rFonts w:ascii="Arial" w:cs="Arial" w:eastAsia="Arial" w:hAnsi="Arial"/>
          <w:sz w:val="20"/>
          <w:szCs w:val="20"/>
          <w:b w:val="1"/>
          <w:bCs w:val="1"/>
          <w:color w:val="auto"/>
        </w:rPr>
        <w:t>AMENDMENTS TO THE PLAN AND NOTIFICATIONS</w:t>
      </w:r>
    </w:p>
    <w:p>
      <w:pPr>
        <w:spacing w:after="0" w:line="114"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Plan may be amended by the Board of Directors.</w:t>
      </w:r>
    </w:p>
    <w:p>
      <w:pPr>
        <w:spacing w:after="0" w:line="212" w:lineRule="exact"/>
        <w:rPr>
          <w:sz w:val="20"/>
          <w:szCs w:val="20"/>
          <w:color w:val="auto"/>
        </w:rPr>
      </w:pPr>
    </w:p>
    <w:p>
      <w:pPr>
        <w:jc w:val="both"/>
        <w:ind w:left="762"/>
        <w:spacing w:after="0" w:line="250" w:lineRule="auto"/>
        <w:rPr>
          <w:sz w:val="20"/>
          <w:szCs w:val="20"/>
          <w:color w:val="auto"/>
        </w:rPr>
      </w:pPr>
      <w:r>
        <w:rPr>
          <w:rFonts w:ascii="Arial" w:cs="Arial" w:eastAsia="Arial" w:hAnsi="Arial"/>
          <w:sz w:val="20"/>
          <w:szCs w:val="20"/>
          <w:color w:val="auto"/>
        </w:rPr>
        <w:t>However, no amendment may be made to this Plan without the Beneficiaries’ consent if it would be unfavourable to them, unless such modification would result from a new law or regulatory enactment or any other enforceable provision applicable to the Company.</w:t>
      </w:r>
    </w:p>
    <w:p>
      <w:pPr>
        <w:spacing w:after="0" w:line="267" w:lineRule="exact"/>
        <w:rPr>
          <w:sz w:val="20"/>
          <w:szCs w:val="20"/>
          <w:color w:val="auto"/>
        </w:rPr>
      </w:pPr>
    </w:p>
    <w:p>
      <w:pPr>
        <w:ind w:left="762" w:hanging="769"/>
        <w:spacing w:after="0" w:line="260" w:lineRule="auto"/>
        <w:tabs>
          <w:tab w:leader="none" w:pos="74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20"/>
          <w:szCs w:val="20"/>
          <w:color w:val="auto"/>
        </w:rPr>
        <w:t>Notifications may be made by any means, including by internal mail, regular mail, or mail with acknowledgment of receipt, by fax or by electronic mail to the address or fax number indicated by the Beneficiary.</w:t>
      </w:r>
    </w:p>
    <w:p>
      <w:pPr>
        <w:spacing w:after="0" w:line="200" w:lineRule="exact"/>
        <w:rPr>
          <w:sz w:val="20"/>
          <w:szCs w:val="20"/>
          <w:color w:val="auto"/>
        </w:rPr>
      </w:pPr>
    </w:p>
    <w:p>
      <w:pPr>
        <w:spacing w:after="0" w:line="349" w:lineRule="exact"/>
        <w:rPr>
          <w:sz w:val="20"/>
          <w:szCs w:val="20"/>
          <w:color w:val="auto"/>
        </w:rPr>
      </w:pPr>
    </w:p>
    <w:p>
      <w:pPr>
        <w:ind w:left="762" w:hanging="762"/>
        <w:spacing w:after="0"/>
        <w:tabs>
          <w:tab w:leader="none" w:pos="762" w:val="left"/>
        </w:tabs>
        <w:numPr>
          <w:ilvl w:val="0"/>
          <w:numId w:val="57"/>
        </w:numPr>
        <w:rPr>
          <w:rFonts w:ascii="Arial" w:cs="Arial" w:eastAsia="Arial" w:hAnsi="Arial"/>
          <w:sz w:val="18"/>
          <w:szCs w:val="18"/>
          <w:b w:val="1"/>
          <w:bCs w:val="1"/>
          <w:color w:val="auto"/>
        </w:rPr>
      </w:pPr>
      <w:r>
        <w:rPr>
          <w:rFonts w:ascii="Arial" w:cs="Arial" w:eastAsia="Arial" w:hAnsi="Arial"/>
          <w:sz w:val="20"/>
          <w:szCs w:val="20"/>
          <w:b w:val="1"/>
          <w:bCs w:val="1"/>
          <w:color w:val="auto"/>
        </w:rPr>
        <w:t>BENEFICIARIES NON RESIDING IN FRANCE</w:t>
      </w:r>
    </w:p>
    <w:p>
      <w:pPr>
        <w:spacing w:after="0" w:line="60" w:lineRule="exact"/>
        <w:rPr>
          <w:sz w:val="20"/>
          <w:szCs w:val="20"/>
          <w:color w:val="auto"/>
        </w:rPr>
      </w:pPr>
    </w:p>
    <w:p>
      <w:pPr>
        <w:jc w:val="both"/>
        <w:ind w:left="762" w:hanging="769"/>
        <w:spacing w:after="0" w:line="250" w:lineRule="auto"/>
        <w:tabs>
          <w:tab w:leader="none" w:pos="74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20"/>
          <w:szCs w:val="20"/>
          <w:color w:val="auto"/>
        </w:rPr>
        <w:t>As concern Beneficiary subject to taxations in the United States of America, the Plan shall be construed and enforced so that the exercise of Options and the delivery of shares shall not result in a deferred compensation under Section 409 A of the US Internal Revenue Code of 1986, as modified.</w:t>
      </w:r>
    </w:p>
    <w:p>
      <w:pPr>
        <w:sectPr>
          <w:pgSz w:w="11900" w:h="16838" w:orient="portrait"/>
          <w:cols w:equalWidth="0" w:num="1">
            <w:col w:w="11182"/>
          </w:cols>
          <w:pgMar w:left="478" w:top="1440" w:right="239" w:bottom="1440" w:gutter="0" w:footer="0" w:header="0"/>
        </w:sectPr>
      </w:pPr>
    </w:p>
    <w:bookmarkStart w:id="120" w:name="page121"/>
    <w:bookmarkEnd w:id="120"/>
    <w:p>
      <w:pPr>
        <w:spacing w:after="0" w:line="7" w:lineRule="exact"/>
        <w:rPr>
          <w:sz w:val="20"/>
          <w:szCs w:val="20"/>
          <w:color w:val="auto"/>
        </w:rPr>
      </w:pPr>
    </w:p>
    <w:p>
      <w:pPr>
        <w:jc w:val="both"/>
        <w:ind w:left="762" w:hanging="769"/>
        <w:spacing w:after="0" w:line="258" w:lineRule="auto"/>
        <w:tabs>
          <w:tab w:leader="none" w:pos="742"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9"/>
          <w:szCs w:val="19"/>
          <w:color w:val="auto"/>
        </w:rPr>
        <w:t>The Beneficiary’s eligibility to participate in the Plan, the exercise of Options and the delivery of Shares are contingent upon the Company and/or the companies in its Group obtaining the necessary or desirable local authorizations, settlements or formality, in the relevant countries. As for the United States, while the grant of Options and the acquisition of shares by an American resident is possible in accordance with current American tax and securities regulations, if there is a change to such regulations or the interpretations thereof, or their interpretation by the Company, making it impossible or inopportune the delivery of Shares to an American resident, the ability to exercise the Options or the delivery of Shares resulting from such exercise may be suspended by the Company without prior notice.</w:t>
      </w:r>
    </w:p>
    <w:p>
      <w:pPr>
        <w:spacing w:after="0" w:line="260" w:lineRule="exact"/>
        <w:rPr>
          <w:sz w:val="20"/>
          <w:szCs w:val="20"/>
          <w:color w:val="auto"/>
        </w:rPr>
      </w:pPr>
    </w:p>
    <w:p>
      <w:pPr>
        <w:jc w:val="both"/>
        <w:ind w:left="762" w:right="20" w:hanging="769"/>
        <w:spacing w:after="0" w:line="250" w:lineRule="auto"/>
        <w:tabs>
          <w:tab w:leader="none" w:pos="74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20"/>
          <w:szCs w:val="20"/>
          <w:color w:val="auto"/>
        </w:rPr>
        <w:t>More generally, if the legislation of the country in which the Beneficiary is located makes the delivery of the Shares to such Beneficiary impossible or inopportune, the exercise of the Options or the delivery of the Shares may be suspended without any prior notice by the Company.</w:t>
      </w:r>
    </w:p>
    <w:p>
      <w:pPr>
        <w:spacing w:after="0" w:line="51" w:lineRule="exact"/>
        <w:rPr>
          <w:sz w:val="20"/>
          <w:szCs w:val="20"/>
          <w:color w:val="auto"/>
        </w:rPr>
      </w:pPr>
    </w:p>
    <w:p>
      <w:pPr>
        <w:jc w:val="both"/>
        <w:ind w:left="762"/>
        <w:spacing w:after="0" w:line="246" w:lineRule="auto"/>
        <w:rPr>
          <w:sz w:val="20"/>
          <w:szCs w:val="20"/>
          <w:color w:val="auto"/>
        </w:rPr>
      </w:pPr>
      <w:r>
        <w:rPr>
          <w:rFonts w:ascii="Arial" w:cs="Arial" w:eastAsia="Arial" w:hAnsi="Arial"/>
          <w:sz w:val="20"/>
          <w:szCs w:val="20"/>
          <w:color w:val="auto"/>
        </w:rPr>
        <w:t>In the event that the ability to exercise the Options is suspended due to local regulations, the Company may require Beneficiaries to exercise their Options using a procedure under which Shares are simultaneously sold back to the Company or the Company may pay the affected Beneficiaries an amount equivalent to the net capital gain in euros or in local currency they could have incurred in exercising the Options.</w:t>
      </w:r>
    </w:p>
    <w:p>
      <w:pPr>
        <w:spacing w:after="0" w:line="286" w:lineRule="exact"/>
        <w:rPr>
          <w:sz w:val="20"/>
          <w:szCs w:val="20"/>
          <w:color w:val="auto"/>
        </w:rPr>
      </w:pPr>
    </w:p>
    <w:p>
      <w:pPr>
        <w:jc w:val="both"/>
        <w:ind w:left="762" w:hanging="769"/>
        <w:spacing w:after="0" w:line="250" w:lineRule="auto"/>
        <w:tabs>
          <w:tab w:leader="none" w:pos="74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20"/>
          <w:szCs w:val="20"/>
          <w:color w:val="auto"/>
        </w:rPr>
        <w:t>Neither the Options, not the resulting shares were of will be registered with the US Securities and Exchange Commission or any other US Authority. Shares subscribed for under this Plan may not be sold in the United States. Such Shares may be sold only through Euronext Paris.</w:t>
      </w:r>
    </w:p>
    <w:p>
      <w:pPr>
        <w:spacing w:after="0" w:line="267" w:lineRule="exact"/>
        <w:rPr>
          <w:sz w:val="20"/>
          <w:szCs w:val="20"/>
          <w:color w:val="auto"/>
        </w:rPr>
      </w:pPr>
    </w:p>
    <w:p>
      <w:pPr>
        <w:jc w:val="both"/>
        <w:ind w:left="762" w:hanging="769"/>
        <w:spacing w:after="0" w:line="257" w:lineRule="auto"/>
        <w:tabs>
          <w:tab w:leader="none" w:pos="74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9"/>
          <w:szCs w:val="19"/>
          <w:color w:val="auto"/>
        </w:rPr>
        <w:t>Each Beneficiary is responsible for being informed to the tax consequences (including social charges) as a result of the Options granted to him or her, the Shares and the gains received through the exercise of Options and/or the sale of the Shares. All such taxes and social chares imposed on the Beneficiary shall be his or her sole responsibility. If upon grant of any Options, the delivery or sale of Shares in connection therewith, the Beneficiary’s employer or any member of the Group is responsible for withholding tax or social charges for the amount of the Beneficiary, he or she immediately accepts that the Company suspends the exercise of the Option and/or delay the delivery of Shares resulting from exercise or prohibit the sale of Shares until the Beneficiary has made or arranged for payment of the required amount. Alternatively, the Company has the right to sell all or a portion the Shares in order to reimburse the amounts owed with the proceeds of such sales.</w:t>
      </w:r>
    </w:p>
    <w:p>
      <w:pPr>
        <w:spacing w:after="0" w:line="200" w:lineRule="exact"/>
        <w:rPr>
          <w:sz w:val="20"/>
          <w:szCs w:val="20"/>
          <w:color w:val="auto"/>
        </w:rPr>
      </w:pPr>
    </w:p>
    <w:p>
      <w:pPr>
        <w:spacing w:after="0" w:line="353" w:lineRule="exact"/>
        <w:rPr>
          <w:sz w:val="20"/>
          <w:szCs w:val="20"/>
          <w:color w:val="auto"/>
        </w:rPr>
      </w:pPr>
    </w:p>
    <w:p>
      <w:pPr>
        <w:ind w:left="762" w:hanging="762"/>
        <w:spacing w:after="0"/>
        <w:tabs>
          <w:tab w:leader="none" w:pos="762" w:val="left"/>
        </w:tabs>
        <w:numPr>
          <w:ilvl w:val="0"/>
          <w:numId w:val="58"/>
        </w:numPr>
        <w:rPr>
          <w:rFonts w:ascii="Arial" w:cs="Arial" w:eastAsia="Arial" w:hAnsi="Arial"/>
          <w:sz w:val="18"/>
          <w:szCs w:val="18"/>
          <w:b w:val="1"/>
          <w:bCs w:val="1"/>
          <w:color w:val="auto"/>
        </w:rPr>
      </w:pPr>
      <w:r>
        <w:rPr>
          <w:rFonts w:ascii="Arial" w:cs="Arial" w:eastAsia="Arial" w:hAnsi="Arial"/>
          <w:sz w:val="20"/>
          <w:szCs w:val="20"/>
          <w:b w:val="1"/>
          <w:bCs w:val="1"/>
          <w:color w:val="auto"/>
        </w:rPr>
        <w:t>APPLICABLE LAW</w:t>
      </w:r>
    </w:p>
    <w:p>
      <w:pPr>
        <w:spacing w:after="0" w:line="114" w:lineRule="exact"/>
        <w:rPr>
          <w:sz w:val="20"/>
          <w:szCs w:val="20"/>
          <w:color w:val="auto"/>
        </w:rPr>
      </w:pPr>
    </w:p>
    <w:p>
      <w:pPr>
        <w:ind w:left="2"/>
        <w:spacing w:after="0"/>
        <w:tabs>
          <w:tab w:leader="none" w:pos="74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The present Plan is governed by French Law.</w:t>
      </w:r>
    </w:p>
    <w:p>
      <w:pPr>
        <w:spacing w:after="0" w:line="131" w:lineRule="exact"/>
        <w:rPr>
          <w:sz w:val="20"/>
          <w:szCs w:val="20"/>
          <w:color w:val="auto"/>
        </w:rPr>
      </w:pPr>
    </w:p>
    <w:p>
      <w:pPr>
        <w:ind w:left="762" w:hanging="769"/>
        <w:spacing w:after="0" w:line="260" w:lineRule="auto"/>
        <w:tabs>
          <w:tab w:leader="none" w:pos="74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20"/>
          <w:szCs w:val="20"/>
          <w:color w:val="auto"/>
        </w:rPr>
        <w:t>In case of conflict regarding its interpretation, validity or implementation, the parties will attempt to find an amicable settlement; if not, the dispute will be brought before the competent French Court.</w:t>
      </w:r>
    </w:p>
    <w:p>
      <w:pPr>
        <w:spacing w:after="0" w:line="69" w:lineRule="exact"/>
        <w:rPr>
          <w:sz w:val="20"/>
          <w:szCs w:val="20"/>
          <w:color w:val="auto"/>
        </w:rPr>
      </w:pPr>
    </w:p>
    <w:p>
      <w:pPr>
        <w:ind w:left="762" w:hanging="769"/>
        <w:spacing w:after="0" w:line="260" w:lineRule="auto"/>
        <w:tabs>
          <w:tab w:leader="none" w:pos="74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20"/>
          <w:szCs w:val="20"/>
          <w:color w:val="auto"/>
        </w:rPr>
        <w:t>Should a provision be deemed invalid for any reason, the enforcement of the Plan will not be affected therefrom and will be construed as closely as possible in accordance with the initial intent.</w:t>
      </w:r>
    </w:p>
    <w:p>
      <w:pPr>
        <w:sectPr>
          <w:pgSz w:w="11900" w:h="16838" w:orient="portrait"/>
          <w:cols w:equalWidth="0" w:num="1">
            <w:col w:w="11182"/>
          </w:cols>
          <w:pgMar w:left="478" w:top="1440" w:right="239" w:bottom="1440" w:gutter="0" w:footer="0" w:header="0"/>
        </w:sectPr>
      </w:pPr>
    </w:p>
    <w:bookmarkStart w:id="121" w:name="page122"/>
    <w:bookmarkEnd w:id="121"/>
    <w:p>
      <w:pPr>
        <w:jc w:val="center"/>
        <w:ind w:right="320"/>
        <w:spacing w:after="0"/>
        <w:rPr>
          <w:sz w:val="20"/>
          <w:szCs w:val="20"/>
          <w:color w:val="auto"/>
        </w:rPr>
      </w:pPr>
      <w:r>
        <w:rPr>
          <w:rFonts w:ascii="Arial" w:cs="Arial" w:eastAsia="Arial" w:hAnsi="Arial"/>
          <w:sz w:val="20"/>
          <w:szCs w:val="20"/>
          <w:b w:val="1"/>
          <w:bCs w:val="1"/>
          <w:color w:val="auto"/>
        </w:rPr>
        <w:t>STOCK OPTION PLAN RULES</w:t>
      </w:r>
    </w:p>
    <w:p>
      <w:pPr>
        <w:spacing w:after="0" w:line="200" w:lineRule="exact"/>
        <w:rPr>
          <w:sz w:val="20"/>
          <w:szCs w:val="20"/>
          <w:color w:val="auto"/>
        </w:rPr>
      </w:pPr>
    </w:p>
    <w:p>
      <w:pPr>
        <w:spacing w:after="0" w:line="286"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ANNEX</w:t>
      </w:r>
    </w:p>
    <w:p>
      <w:pPr>
        <w:spacing w:after="0" w:line="200" w:lineRule="exact"/>
        <w:rPr>
          <w:sz w:val="20"/>
          <w:szCs w:val="20"/>
          <w:color w:val="auto"/>
        </w:rPr>
      </w:pPr>
    </w:p>
    <w:p>
      <w:pPr>
        <w:spacing w:after="0" w:line="232" w:lineRule="exact"/>
        <w:rPr>
          <w:sz w:val="20"/>
          <w:szCs w:val="20"/>
          <w:color w:val="auto"/>
        </w:rPr>
      </w:pPr>
    </w:p>
    <w:p>
      <w:pPr>
        <w:ind w:left="2040"/>
        <w:spacing w:after="0"/>
        <w:rPr>
          <w:sz w:val="20"/>
          <w:szCs w:val="20"/>
          <w:color w:val="auto"/>
        </w:rPr>
      </w:pPr>
      <w:r>
        <w:rPr>
          <w:rFonts w:ascii="Arial" w:cs="Arial" w:eastAsia="Arial" w:hAnsi="Arial"/>
          <w:sz w:val="20"/>
          <w:szCs w:val="20"/>
          <w:b w:val="1"/>
          <w:bCs w:val="1"/>
          <w:u w:val="single" w:color="auto"/>
          <w:color w:val="auto"/>
        </w:rPr>
        <w:t>METHOD OF DETERMINATION OF THE REFERENCE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exercise by the Beneficiaries of the stock Options granted by the Board of Directors on December 14, 2011 shall be conditional upon the achievement of a performance to be measured by the results of the Group over three consecutive years in terms of Total Shareholder Return (TSR), Operating Income From Recurring Activities (OIFRA) and Return on Capital Employed (ROCE), considering that:</w:t>
      </w:r>
    </w:p>
    <w:p>
      <w:pPr>
        <w:spacing w:after="0" w:line="159" w:lineRule="exact"/>
        <w:rPr>
          <w:sz w:val="20"/>
          <w:szCs w:val="20"/>
          <w:color w:val="auto"/>
        </w:rPr>
      </w:pPr>
    </w:p>
    <w:p>
      <w:pPr>
        <w:jc w:val="both"/>
        <w:ind w:left="960" w:hanging="320"/>
        <w:spacing w:after="0" w:line="247" w:lineRule="auto"/>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TSR metric</w:t>
      </w:r>
      <w:r>
        <w:rPr>
          <w:rFonts w:ascii="Arial" w:cs="Arial" w:eastAsia="Arial" w:hAnsi="Arial"/>
          <w:sz w:val="20"/>
          <w:szCs w:val="20"/>
          <w:color w:val="auto"/>
        </w:rPr>
        <w:t xml:space="preserve"> is calculated as the rate of return of a share over a year, taking into account the payment of a dividend during the period. The dividend is assumed to be reinvested at the dividend record date closing share price (definition used by Bloomberg);</w:t>
      </w:r>
    </w:p>
    <w:p>
      <w:pPr>
        <w:ind w:left="960" w:hanging="320"/>
        <w:spacing w:after="0"/>
        <w:tabs>
          <w:tab w:leader="none" w:pos="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OIFRA metric</w:t>
      </w:r>
      <w:r>
        <w:rPr>
          <w:rFonts w:ascii="Arial" w:cs="Arial" w:eastAsia="Arial" w:hAnsi="Arial"/>
          <w:sz w:val="20"/>
          <w:szCs w:val="20"/>
          <w:color w:val="auto"/>
        </w:rPr>
        <w:t xml:space="preserve"> is the operating income from recurring activities, as reported in Technip's Annual Report;</w:t>
      </w:r>
    </w:p>
    <w:p>
      <w:pPr>
        <w:jc w:val="both"/>
        <w:ind w:left="960" w:right="6140" w:hanging="320"/>
        <w:spacing w:after="0" w:line="350"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ROCE metric</w:t>
      </w:r>
      <w:r>
        <w:rPr>
          <w:rFonts w:ascii="Arial" w:cs="Arial" w:eastAsia="Arial" w:hAnsi="Arial"/>
          <w:sz w:val="18"/>
          <w:szCs w:val="18"/>
          <w:color w:val="auto"/>
        </w:rPr>
        <w:t xml:space="preserve"> (Return on Capital Employed) ROCE = Net Operating Income/ employed capital</w:t>
      </w:r>
    </w:p>
    <w:p>
      <w:pPr>
        <w:spacing w:after="0" w:line="1" w:lineRule="exact"/>
        <w:rPr>
          <w:rFonts w:ascii="Arial" w:cs="Arial" w:eastAsia="Arial" w:hAnsi="Arial"/>
          <w:sz w:val="18"/>
          <w:szCs w:val="18"/>
          <w:color w:val="auto"/>
        </w:rPr>
      </w:pPr>
    </w:p>
    <w:p>
      <w:pPr>
        <w:ind w:left="960"/>
        <w:spacing w:after="0" w:line="260" w:lineRule="auto"/>
        <w:rPr>
          <w:rFonts w:ascii="Arial" w:cs="Arial" w:eastAsia="Arial" w:hAnsi="Arial"/>
          <w:sz w:val="18"/>
          <w:szCs w:val="18"/>
          <w:color w:val="auto"/>
        </w:rPr>
      </w:pPr>
      <w:r>
        <w:rPr>
          <w:rFonts w:ascii="Arial" w:cs="Arial" w:eastAsia="Arial" w:hAnsi="Arial"/>
          <w:sz w:val="20"/>
          <w:szCs w:val="20"/>
          <w:color w:val="auto"/>
        </w:rPr>
        <w:t>where Employed Capital = Non current assets (excluding Available-for-Sale Financial Assets) + Working Capital needs + Other non-current liabilities.</w:t>
      </w:r>
    </w:p>
    <w:p>
      <w:pPr>
        <w:spacing w:after="0" w:line="35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performance obtained shall be measured, as a percentage for the TSR metric, from the comparison of the yearly average of Technip’s TSR performance with the corresponding average performance of a sample of competitors </w:t>
      </w:r>
      <w:r>
        <w:rPr>
          <w:rFonts w:ascii="Arial" w:cs="Arial" w:eastAsia="Arial" w:hAnsi="Arial"/>
          <w:sz w:val="20"/>
          <w:szCs w:val="20"/>
          <w:b w:val="1"/>
          <w:bCs w:val="1"/>
          <w:color w:val="auto"/>
        </w:rPr>
        <w:t>(1)</w:t>
      </w:r>
      <w:r>
        <w:rPr>
          <w:rFonts w:ascii="Arial" w:cs="Arial" w:eastAsia="Arial" w:hAnsi="Arial"/>
          <w:sz w:val="20"/>
          <w:szCs w:val="20"/>
          <w:color w:val="auto"/>
        </w:rPr>
        <w:t>, for the OIFRA and the ROCE metrics, from targets decided by the Board of Directors and determined in absolute value (</w:t>
      </w:r>
      <w:r>
        <w:rPr>
          <w:rFonts w:ascii="Arial" w:cs="Arial" w:eastAsia="Arial" w:hAnsi="Arial"/>
          <w:sz w:val="20"/>
          <w:szCs w:val="20"/>
          <w:b w:val="1"/>
          <w:bCs w:val="1"/>
          <w:color w:val="auto"/>
        </w:rPr>
        <w:t>2</w:t>
      </w:r>
      <w:r>
        <w:rPr>
          <w:rFonts w:ascii="Arial" w:cs="Arial" w:eastAsia="Arial" w:hAnsi="Arial"/>
          <w:sz w:val="20"/>
          <w:szCs w:val="20"/>
          <w:color w:val="auto"/>
        </w:rPr>
        <w:t>).</w:t>
      </w:r>
    </w:p>
    <w:p>
      <w:pPr>
        <w:spacing w:after="0" w:line="35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The stated performances will determine the </w:t>
      </w:r>
      <w:r>
        <w:rPr>
          <w:rFonts w:ascii="Arial" w:cs="Arial" w:eastAsia="Arial" w:hAnsi="Arial"/>
          <w:sz w:val="20"/>
          <w:szCs w:val="20"/>
          <w:b w:val="1"/>
          <w:bCs w:val="1"/>
          <w:color w:val="auto"/>
        </w:rPr>
        <w:t>Reference Performance</w:t>
      </w:r>
      <w:r>
        <w:rPr>
          <w:rFonts w:ascii="Arial" w:cs="Arial" w:eastAsia="Arial" w:hAnsi="Arial"/>
          <w:sz w:val="20"/>
          <w:szCs w:val="20"/>
          <w:color w:val="auto"/>
        </w:rPr>
        <w:t xml:space="preserve"> as the arithmetical average of the percentages of the three abovementioned performances.</w:t>
      </w:r>
    </w:p>
    <w:p>
      <w:pPr>
        <w:spacing w:after="0" w:line="3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 independent expert appointed by the Board of Directors, upon consultation of the Nominations and Remunerations Committee, will carry out the abovementioned Reference Performance calculation, according to the provisions of the Plan.</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“At Risk Portion of the Plan” is made of the Options which might be lost by the Beneficiaries according to the level of performance achieved and corresponding to (i) 100% of the Options allocated to the Excom Members (the “Comex At Risk Portion”) and, (ii) 50% of the Options allocated to the other Beneficiaries (the “Other Beneficiaries At Risk Portion”).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The Reference Performance shall determine the definitive proportion of options to be exercised based on the following scale:</w:t>
      </w:r>
    </w:p>
    <w:p>
      <w:pPr>
        <w:spacing w:after="0" w:line="31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  if the Reference Performance is below 25%, the At Risk Portion of the Plan will be lost;</w:t>
      </w:r>
    </w:p>
    <w:p>
      <w:pPr>
        <w:sectPr>
          <w:pgSz w:w="11900" w:h="16838" w:orient="portrait"/>
          <w:cols w:equalWidth="0" w:num="1">
            <w:col w:w="11080"/>
          </w:cols>
          <w:pgMar w:left="580" w:top="1292" w:right="239" w:bottom="1440" w:gutter="0" w:footer="0" w:header="0"/>
        </w:sectPr>
      </w:pPr>
    </w:p>
    <w:bookmarkStart w:id="122" w:name="page123"/>
    <w:bookmarkEnd w:id="122"/>
    <w:p>
      <w:pPr>
        <w:spacing w:after="0" w:line="61" w:lineRule="exact"/>
        <w:rPr>
          <w:sz w:val="20"/>
          <w:szCs w:val="20"/>
          <w:color w:val="auto"/>
        </w:rPr>
      </w:pPr>
    </w:p>
    <w:p>
      <w:pPr>
        <w:ind w:left="780" w:hanging="324"/>
        <w:spacing w:after="0" w:line="260" w:lineRule="auto"/>
        <w:rPr>
          <w:sz w:val="20"/>
          <w:szCs w:val="20"/>
          <w:color w:val="auto"/>
        </w:rPr>
      </w:pPr>
      <w:r>
        <w:rPr>
          <w:rFonts w:ascii="Arial" w:cs="Arial" w:eastAsia="Arial" w:hAnsi="Arial"/>
          <w:sz w:val="20"/>
          <w:szCs w:val="20"/>
          <w:color w:val="auto"/>
        </w:rPr>
        <w:t>– if the Reference Performance is at least equal to 25%, the percentage of the options that will be exercisable in the At Risk Portion of the Plan will be defined on a straight line basis against the Reference Performance:</w:t>
      </w:r>
    </w:p>
    <w:p>
      <w:pPr>
        <w:spacing w:after="0" w:line="122" w:lineRule="exact"/>
        <w:rPr>
          <w:sz w:val="20"/>
          <w:szCs w:val="20"/>
          <w:color w:val="auto"/>
        </w:rPr>
      </w:pPr>
    </w:p>
    <w:p>
      <w:pPr>
        <w:ind w:left="1420" w:hanging="316"/>
        <w:spacing w:after="0"/>
        <w:tabs>
          <w:tab w:leader="none" w:pos="14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from 0 to 100% for the Comex At Risk Portion,</w:t>
      </w:r>
    </w:p>
    <w:p>
      <w:pPr>
        <w:spacing w:after="0" w:line="161" w:lineRule="exact"/>
        <w:rPr>
          <w:rFonts w:ascii="Arial" w:cs="Arial" w:eastAsia="Arial" w:hAnsi="Arial"/>
          <w:sz w:val="20"/>
          <w:szCs w:val="20"/>
          <w:color w:val="auto"/>
        </w:rPr>
      </w:pPr>
    </w:p>
    <w:p>
      <w:pPr>
        <w:ind w:left="1420" w:hanging="316"/>
        <w:spacing w:after="0"/>
        <w:tabs>
          <w:tab w:leader="none" w:pos="14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from 0 to 50% for the Other Beneficiaries At Risk Portion.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Options which cannot be exercised due to the lack of performance will be definitively lost.</w:t>
      </w:r>
    </w:p>
    <w:p>
      <w:pPr>
        <w:spacing w:after="0" w:line="200" w:lineRule="exact"/>
        <w:rPr>
          <w:sz w:val="20"/>
          <w:szCs w:val="20"/>
          <w:color w:val="auto"/>
        </w:rPr>
      </w:pPr>
    </w:p>
    <w:p>
      <w:pPr>
        <w:spacing w:after="0" w:line="326" w:lineRule="exact"/>
        <w:rPr>
          <w:sz w:val="20"/>
          <w:szCs w:val="20"/>
          <w:color w:val="auto"/>
        </w:rPr>
      </w:pPr>
    </w:p>
    <w:p>
      <w:pPr>
        <w:jc w:val="both"/>
        <w:ind w:left="920" w:hanging="330"/>
        <w:spacing w:after="0" w:line="260" w:lineRule="auto"/>
        <w:tabs>
          <w:tab w:leader="none" w:pos="920"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The list of competitors to be retained for the comparison of the TSR competitors is the following: Subsea7, Amec, Petrofac, Tecnicas Reunidas, Saipem, KBR, Chiyoda, SBM Offshore, Aker Solutions, JGC, Oceaneering and McDermott. The Board of Directors, upon consultation of the Nominations and Remunerations Committee, may make any necessary adjustments in order to preserve the representativeness of the sample and, in particular, decide to replace any of the companies in the sample which may disappear or the financial statements of which would cease to be available or relevant.</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It is to be noted that, as far as the calculation performance is concerned, the TSR performance will be defined as follow:</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  The TSR of the two competitors with the lowest and the highest TSR will be eliminated</w:t>
      </w:r>
    </w:p>
    <w:p>
      <w:pPr>
        <w:spacing w:after="0" w:line="5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  The TSR performance will be:</w:t>
      </w:r>
    </w:p>
    <w:p>
      <w:pPr>
        <w:spacing w:after="0" w:line="53" w:lineRule="exact"/>
        <w:rPr>
          <w:sz w:val="20"/>
          <w:szCs w:val="20"/>
          <w:color w:val="auto"/>
        </w:rPr>
      </w:pPr>
    </w:p>
    <w:p>
      <w:pPr>
        <w:ind w:left="1880" w:hanging="317"/>
        <w:spacing w:after="0"/>
        <w:tabs>
          <w:tab w:leader="none" w:pos="1880" w:val="left"/>
        </w:tabs>
        <w:numPr>
          <w:ilvl w:val="2"/>
          <w:numId w:val="63"/>
        </w:numPr>
        <w:rPr>
          <w:rFonts w:ascii="Arial" w:cs="Arial" w:eastAsia="Arial" w:hAnsi="Arial"/>
          <w:sz w:val="20"/>
          <w:szCs w:val="20"/>
          <w:color w:val="auto"/>
        </w:rPr>
      </w:pPr>
      <w:r>
        <w:rPr>
          <w:rFonts w:ascii="Arial" w:cs="Arial" w:eastAsia="Arial" w:hAnsi="Arial"/>
          <w:sz w:val="20"/>
          <w:szCs w:val="20"/>
          <w:color w:val="auto"/>
        </w:rPr>
        <w:t>100% if Technip’s TSR performance is above of or equal to that of the two remaining best competitors</w:t>
      </w:r>
    </w:p>
    <w:p>
      <w:pPr>
        <w:spacing w:after="0" w:line="15" w:lineRule="exact"/>
        <w:rPr>
          <w:rFonts w:ascii="Arial" w:cs="Arial" w:eastAsia="Arial" w:hAnsi="Arial"/>
          <w:sz w:val="20"/>
          <w:szCs w:val="20"/>
          <w:color w:val="auto"/>
        </w:rPr>
      </w:pPr>
    </w:p>
    <w:p>
      <w:pPr>
        <w:ind w:left="1880" w:hanging="317"/>
        <w:spacing w:after="0" w:line="199" w:lineRule="auto"/>
        <w:tabs>
          <w:tab w:leader="none" w:pos="18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80% if Technip’s TSR performance is above of or equal to that of the 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and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remaining best competitors</w:t>
      </w:r>
    </w:p>
    <w:p>
      <w:pPr>
        <w:ind w:left="1880" w:hanging="317"/>
        <w:spacing w:after="0" w:line="199" w:lineRule="auto"/>
        <w:tabs>
          <w:tab w:leader="none" w:pos="18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60% if Technip’s TSR performance is above of or equal to that of the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and 6</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remaining best competitors</w:t>
      </w:r>
    </w:p>
    <w:p>
      <w:pPr>
        <w:ind w:left="1880" w:hanging="317"/>
        <w:spacing w:after="0" w:line="199" w:lineRule="auto"/>
        <w:tabs>
          <w:tab w:leader="none" w:pos="18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40% if Technip’s TSR performance is above of or equal to that of the 7</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and 8</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remaining best competitors</w:t>
      </w:r>
    </w:p>
    <w:p>
      <w:pPr>
        <w:ind w:left="1880" w:hanging="317"/>
        <w:spacing w:after="0" w:line="199" w:lineRule="auto"/>
        <w:tabs>
          <w:tab w:leader="none" w:pos="1880" w:val="left"/>
        </w:tabs>
        <w:numPr>
          <w:ilvl w:val="2"/>
          <w:numId w:val="63"/>
        </w:numPr>
        <w:rPr>
          <w:rFonts w:ascii="Arial" w:cs="Arial" w:eastAsia="Arial" w:hAnsi="Arial"/>
          <w:sz w:val="19"/>
          <w:szCs w:val="19"/>
          <w:color w:val="auto"/>
        </w:rPr>
      </w:pPr>
      <w:r>
        <w:rPr>
          <w:rFonts w:ascii="Arial" w:cs="Arial" w:eastAsia="Arial" w:hAnsi="Arial"/>
          <w:sz w:val="19"/>
          <w:szCs w:val="19"/>
          <w:color w:val="auto"/>
        </w:rPr>
        <w:t>20% if Technip’s TSR performance is above of or equal to that of the 9</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and 10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remaining best competitors</w:t>
      </w:r>
    </w:p>
    <w:p>
      <w:pPr>
        <w:ind w:left="1880" w:hanging="317"/>
        <w:spacing w:after="0"/>
        <w:tabs>
          <w:tab w:leader="none" w:pos="1880" w:val="left"/>
        </w:tabs>
        <w:numPr>
          <w:ilvl w:val="2"/>
          <w:numId w:val="63"/>
        </w:numPr>
        <w:rPr>
          <w:rFonts w:ascii="Arial" w:cs="Arial" w:eastAsia="Arial" w:hAnsi="Arial"/>
          <w:sz w:val="20"/>
          <w:szCs w:val="20"/>
          <w:color w:val="auto"/>
        </w:rPr>
      </w:pPr>
      <w:r>
        <w:rPr>
          <w:rFonts w:ascii="Arial" w:cs="Arial" w:eastAsia="Arial" w:hAnsi="Arial"/>
          <w:sz w:val="20"/>
          <w:szCs w:val="20"/>
          <w:color w:val="auto"/>
        </w:rPr>
        <w:t>0% if Technip’s TSR performance is below that of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remaining best competitor.</w:t>
      </w:r>
    </w:p>
    <w:p>
      <w:pPr>
        <w:spacing w:after="0" w:line="263" w:lineRule="exact"/>
        <w:rPr>
          <w:rFonts w:ascii="Arial" w:cs="Arial" w:eastAsia="Arial" w:hAnsi="Arial"/>
          <w:sz w:val="20"/>
          <w:szCs w:val="20"/>
          <w:color w:val="auto"/>
        </w:rPr>
      </w:pPr>
    </w:p>
    <w:p>
      <w:pPr>
        <w:jc w:val="both"/>
        <w:ind w:left="920" w:hanging="330"/>
        <w:spacing w:after="0" w:line="250" w:lineRule="auto"/>
        <w:tabs>
          <w:tab w:leader="none" w:pos="920"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The target values for the OIFRA and ROCE metrics are confidential data likely to have an influence of the share price which prohibits any ex ante disclosure even to the Beneficiaries. Conversely the calculation of the Reference Performance ex post, shall be fully disclosed based on actual reported figures.</w:t>
      </w:r>
    </w:p>
    <w:p>
      <w:pPr>
        <w:sectPr>
          <w:pgSz w:w="11900" w:h="16838" w:orient="portrait"/>
          <w:cols w:equalWidth="0" w:num="1">
            <w:col w:w="11300"/>
          </w:cols>
          <w:pgMar w:left="360" w:top="144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THIERRY PILENKO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559435</wp:posOffset>
            </wp:positionV>
            <wp:extent cx="4716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27305</wp:posOffset>
            </wp:positionV>
            <wp:extent cx="47167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ectPr>
          <w:pgSz w:w="11900" w:h="16838" w:orient="portrait"/>
          <w:cols w:equalWidth="0" w:num="1">
            <w:col w:w="10220"/>
          </w:cols>
          <w:pgMar w:left="1440" w:top="1324" w:right="239" w:bottom="1440" w:gutter="0" w:footer="0" w:header="0"/>
        </w:sectPr>
      </w:pPr>
    </w:p>
    <w:bookmarkStart w:id="124" w:name="page125"/>
    <w:bookmarkEnd w:id="124"/>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16 January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E T W E E N:</w:t>
      </w:r>
    </w:p>
    <w:p>
      <w:pPr>
        <w:spacing w:after="0" w:line="216" w:lineRule="exact"/>
        <w:rPr>
          <w:sz w:val="20"/>
          <w:szCs w:val="20"/>
          <w:color w:val="auto"/>
        </w:rPr>
      </w:pPr>
    </w:p>
    <w:p>
      <w:pPr>
        <w:ind w:left="660" w:right="20" w:hanging="652"/>
        <w:spacing w:after="0" w:line="267" w:lineRule="auto"/>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TECHNIPFMC PLC</w:t>
      </w:r>
      <w:r>
        <w:rPr>
          <w:rFonts w:ascii="Arial" w:cs="Arial" w:eastAsia="Arial" w:hAnsi="Arial"/>
          <w:sz w:val="20"/>
          <w:szCs w:val="20"/>
          <w:color w:val="auto"/>
        </w:rPr>
        <w:t>, a company incorporated in England and Wales whose registered office is at One St Paul’s Churchyard, London,</w:t>
      </w:r>
      <w:r>
        <w:rPr>
          <w:rFonts w:ascii="Arial" w:cs="Arial" w:eastAsia="Arial" w:hAnsi="Arial"/>
          <w:sz w:val="20"/>
          <w:szCs w:val="20"/>
          <w:b w:val="1"/>
          <w:bCs w:val="1"/>
          <w:color w:val="auto"/>
        </w:rPr>
        <w:t xml:space="preserve"> </w:t>
      </w:r>
      <w:r>
        <w:rPr>
          <w:rFonts w:ascii="Arial" w:cs="Arial" w:eastAsia="Arial" w:hAnsi="Arial"/>
          <w:sz w:val="20"/>
          <w:szCs w:val="20"/>
          <w:color w:val="auto"/>
        </w:rPr>
        <w:t>EC4M 8AP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77" w:lineRule="exact"/>
        <w:rPr>
          <w:rFonts w:ascii="Arial" w:cs="Arial" w:eastAsia="Arial" w:hAnsi="Arial"/>
          <w:sz w:val="20"/>
          <w:szCs w:val="20"/>
          <w:color w:val="auto"/>
        </w:rPr>
      </w:pPr>
    </w:p>
    <w:p>
      <w:pPr>
        <w:ind w:left="660" w:hanging="652"/>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THIERRY PILENKO </w:t>
      </w:r>
      <w:r>
        <w:rPr>
          <w:rFonts w:ascii="Arial" w:cs="Arial" w:eastAsia="Arial" w:hAnsi="Arial"/>
          <w:sz w:val="20"/>
          <w:szCs w:val="20"/>
          <w:color w:val="auto"/>
        </w:rPr>
        <w:t>c/o One St Paul’s Churchyard, London, EC4M 8AP (the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recognise that the board of directors of Technip S.A. ("</w:t>
      </w:r>
      <w:r>
        <w:rPr>
          <w:rFonts w:ascii="Arial" w:cs="Arial" w:eastAsia="Arial" w:hAnsi="Arial"/>
          <w:sz w:val="20"/>
          <w:szCs w:val="20"/>
          <w:b w:val="1"/>
          <w:bCs w:val="1"/>
          <w:color w:val="auto"/>
        </w:rPr>
        <w:t>Technip</w:t>
      </w:r>
      <w:r>
        <w:rPr>
          <w:rFonts w:ascii="Arial" w:cs="Arial" w:eastAsia="Arial" w:hAnsi="Arial"/>
          <w:sz w:val="20"/>
          <w:szCs w:val="20"/>
          <w:color w:val="auto"/>
        </w:rPr>
        <w:t>") have appointed the Employee as Chairman and Chief</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Officer and as a director of Technip with a current term through April 2019, and with a remunerated two-year non-competition period applying at the end of the Employee’s service with Technip;</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Company’s Compensation Committee will review all executive employment arrangements following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Mergers (as such term is defined in the Business Combination Agreement (as amended) dated 14 June 2016 between FMC Technologies, Inc., TechnipFMC Limited, Technip S.A., TechnipFMC US Merger Sub LLC, TechnipFMC US Holdings LLC, and TechnipFMC Holdings Limited) (the "</w:t>
      </w:r>
      <w:r>
        <w:rPr>
          <w:rFonts w:ascii="Arial" w:cs="Arial" w:eastAsia="Arial" w:hAnsi="Arial"/>
          <w:sz w:val="18"/>
          <w:szCs w:val="18"/>
          <w:b w:val="1"/>
          <w:bCs w:val="1"/>
          <w:color w:val="auto"/>
        </w:rPr>
        <w:t>BCA</w:t>
      </w:r>
      <w:r>
        <w:rPr>
          <w:rFonts w:ascii="Arial" w:cs="Arial" w:eastAsia="Arial" w:hAnsi="Arial"/>
          <w:sz w:val="18"/>
          <w:szCs w:val="18"/>
          <w:color w:val="auto"/>
        </w:rPr>
        <w:t>") and the parties contemplate entering into new employment arrangements upon completion of such review;</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have agreed to enter into this Agreement to ensure continuity during the period from consummation of the Mergers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in the BCA) until completion of the review referred to above of the Employee’s compensation and benefits which he was eligible to receive from Technip.</w:t>
      </w:r>
    </w:p>
    <w:p>
      <w:pPr>
        <w:spacing w:after="0" w:line="151"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b w:val="1"/>
          <w:bCs w:val="1"/>
          <w:color w:val="auto"/>
        </w:rPr>
        <w:t xml:space="preserve">IT IS AGREED </w:t>
      </w:r>
      <w:r>
        <w:rPr>
          <w:rFonts w:ascii="Arial" w:cs="Arial" w:eastAsia="Arial" w:hAnsi="Arial"/>
          <w:sz w:val="19"/>
          <w:szCs w:val="19"/>
          <w:color w:val="auto"/>
        </w:rPr>
        <w:t>that the Company shall employ the Employee on the following terms and conditions and subject to the Company's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Governance Guidelines (adopted pursuant to the Company’s articles of association) as amended from time to time:</w:t>
      </w:r>
    </w:p>
    <w:p>
      <w:pPr>
        <w:spacing w:after="0" w:line="142"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0"/>
          <w:szCs w:val="20"/>
          <w:color w:val="auto"/>
        </w:rPr>
      </w:pPr>
      <w:r>
        <w:rPr>
          <w:rFonts w:ascii="Arial" w:cs="Arial" w:eastAsia="Arial" w:hAnsi="Arial"/>
          <w:sz w:val="20"/>
          <w:szCs w:val="20"/>
          <w:b w:val="1"/>
          <w:bCs w:val="1"/>
          <w:color w:val="auto"/>
        </w:rPr>
        <w:t>PERIOD OF EMPLOYMENT</w:t>
      </w:r>
    </w:p>
    <w:p>
      <w:pPr>
        <w:spacing w:after="0" w:line="235" w:lineRule="exact"/>
        <w:rPr>
          <w:sz w:val="20"/>
          <w:szCs w:val="20"/>
          <w:color w:val="auto"/>
        </w:rPr>
      </w:pPr>
    </w:p>
    <w:p>
      <w:pPr>
        <w:jc w:val="both"/>
        <w:ind w:left="620"/>
        <w:spacing w:after="0" w:line="244" w:lineRule="auto"/>
        <w:rPr>
          <w:sz w:val="20"/>
          <w:szCs w:val="20"/>
          <w:color w:val="auto"/>
        </w:rPr>
      </w:pPr>
      <w:r>
        <w:rPr>
          <w:rFonts w:ascii="Arial" w:cs="Arial" w:eastAsia="Arial" w:hAnsi="Arial"/>
          <w:sz w:val="20"/>
          <w:szCs w:val="20"/>
          <w:color w:val="auto"/>
        </w:rPr>
        <w:t>The Employee’s continuous employment under this Agreement shall start at 22:59pm (GMT) on 16 January 2017. Subject to earlier termination in accordance with either clause 5 of this Agreement or Part E of the Company's Corporate Governance Guidelines (adopted pursuant to the Company’s articles of association) as amended from time to time, the employment under this Agreement shall be for a fixed term expiring automatically at the Company’s Annual General Meeting to be held in 2019 unless the parties agree to extend the employment beyond that date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8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DUTIES</w:t>
      </w:r>
    </w:p>
    <w:p>
      <w:pPr>
        <w:spacing w:after="0" w:line="235"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The Employee shall serve the Company in the capacity of Executive Chairman or such other capacity as the Board may determine from time to time and shall at all times comply with the lawful and reasonable directions of the Board and the duties and requirements delineated in Exhibit A of the Corporate Governance Guidelines included in the BCA in the capacity of Executive Chairman.</w:t>
      </w:r>
    </w:p>
    <w:p>
      <w:pPr>
        <w:spacing w:after="0" w:line="16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The Employee shall devote his full time and attention to the business and affairs of the Company and any Associated Company for whom he is required to perform duties and shall not without the prior written consent of the Company directly or indirectly carry on or be engaged, concerned or interested in any other business trade or occupation. The Employee acknowledges that he has unmeasured working time for the purposes of any legislation which derives from Council Directive 93/104/EC in any jurisdiction.</w:t>
      </w:r>
    </w:p>
    <w:p>
      <w:pPr>
        <w:sectPr>
          <w:pgSz w:w="11900" w:h="16838" w:orient="portrait"/>
          <w:cols w:equalWidth="0" w:num="1">
            <w:col w:w="11420"/>
          </w:cols>
          <w:pgMar w:left="240" w:top="1440" w:right="239" w:bottom="1440" w:gutter="0" w:footer="0" w:header="0"/>
        </w:sectPr>
      </w:pPr>
    </w:p>
    <w:bookmarkStart w:id="125" w:name="page126"/>
    <w:bookmarkEnd w:id="125"/>
    <w:p>
      <w:pPr>
        <w:spacing w:after="0" w:line="61" w:lineRule="exact"/>
        <w:rPr>
          <w:sz w:val="20"/>
          <w:szCs w:val="20"/>
          <w:color w:val="auto"/>
        </w:rPr>
      </w:pPr>
    </w:p>
    <w:p>
      <w:pPr>
        <w:jc w:val="both"/>
        <w:ind w:left="660" w:hanging="647"/>
        <w:spacing w:after="0" w:line="316" w:lineRule="auto"/>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The Employee's normal place of work shall be the Company's offices in France, the United Kingdom and the United States or such other place of business of the Company or any Associated Company as the Company may reasonably determine from time to time.</w:t>
      </w:r>
    </w:p>
    <w:p>
      <w:pPr>
        <w:spacing w:after="0" w:line="14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color w:val="auto"/>
        </w:rPr>
        <w:t>The Employee shall comply with all rules or codes of conduct in force from time to time required by any regulatory body in relation to the business of the Company or any Associated Company or the status of the Employee or which the Company shall reasonably determine are necessary for the proper functioning of its business.</w:t>
      </w:r>
    </w:p>
    <w:p>
      <w:pPr>
        <w:spacing w:after="0" w:line="200" w:lineRule="exact"/>
        <w:rPr>
          <w:sz w:val="20"/>
          <w:szCs w:val="20"/>
          <w:color w:val="auto"/>
        </w:rPr>
      </w:pPr>
    </w:p>
    <w:p>
      <w:pPr>
        <w:jc w:val="both"/>
        <w:ind w:left="660" w:hanging="647"/>
        <w:spacing w:after="0" w:line="313"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Board, on behalf of the Company, reserves the right at any time to require the Employee for such period or periods as it sees fit to cease carrying out his duties and/or to exclude him from any premises belonging to the Company or any Associated Company provided that during such period or periods the Company continues to pay and provide to the Employee his salary and contractual benefits and the Employee must continue to comply without exception with all of his obligations under this Agreement. For the avoidance of doubt during such period of suspension or exclusion the Employee shall not without the prior written consent of the Company directly or indirectly carry on or be engaged concerned or interested in any other business trade or occupation or contact any customers, clients, advertisers, suppliers, agents, professional advisers, broker or employees of the Company or any Associated Company.</w:t>
      </w:r>
    </w:p>
    <w:p>
      <w:pPr>
        <w:spacing w:after="0" w:line="151"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SALARY AND BENEFITS</w:t>
      </w:r>
    </w:p>
    <w:p>
      <w:pPr>
        <w:spacing w:after="0" w:line="235"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Company shall pay the Employee during his employment a gross salary of €900,000 per annum. This salary shall be paid in equal monthly instalments in arrears by credit transfer to the Employee's bank account after deduction of tax and social security contributions required by applicable law. The payment of the salary will be managed through the payroll of the French Associated Company on behalf of the Company.</w:t>
      </w:r>
    </w:p>
    <w:p>
      <w:pPr>
        <w:spacing w:after="0" w:line="20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At the discretion of the Company, the Employee shall be eligible to receive variable remuneration including being eligible to participate in any long-term employee incentive plans assumed or adopted by the Company from time to time in accordance with the undertakings given by Technip in its letter of 23 April 2015. This variable remuneration shall be considered and paid as salary and such deductions shall be made as are required by the applicable social security regime. The terms and amount of any variable remuneration (and whether it is paid in cash or in other forms, such as shares or share based incentives) will be approved from time to time and notified to the Employee by the Company’s Compensation Committee. There are no circumstances whether in reliance on express or implied terms or otherwise where the Employee can require pay out of a particular sum or payment in a particular form or claim compensation for loss of any variable remuneration.</w:t>
      </w:r>
    </w:p>
    <w:p>
      <w:pPr>
        <w:spacing w:after="0" w:line="19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The Company agrees that the Employee will be provided with the following benefits:</w:t>
      </w:r>
    </w:p>
    <w:p>
      <w:pPr>
        <w:spacing w:after="0" w:line="229" w:lineRule="exact"/>
        <w:rPr>
          <w:sz w:val="20"/>
          <w:szCs w:val="20"/>
          <w:color w:val="auto"/>
        </w:rPr>
      </w:pPr>
    </w:p>
    <w:p>
      <w:pPr>
        <w:ind w:left="1300" w:hanging="644"/>
        <w:spacing w:after="0" w:line="260" w:lineRule="auto"/>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reimbursement of administrative and reasonable legal expenses for his green card for himself and for his family in the United States;</w:t>
      </w:r>
    </w:p>
    <w:p>
      <w:pPr>
        <w:spacing w:after="0" w:line="190"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continuation of supplementary health coverage for him and his spouse (currently PREVINTER) subject always to such coverage being available at reasonable cost;</w:t>
      </w:r>
    </w:p>
    <w:p>
      <w:pPr>
        <w:spacing w:after="0" w:line="190" w:lineRule="exact"/>
        <w:rPr>
          <w:rFonts w:ascii="Arial" w:cs="Arial" w:eastAsia="Arial" w:hAnsi="Arial"/>
          <w:sz w:val="20"/>
          <w:szCs w:val="20"/>
          <w:color w:val="auto"/>
        </w:rPr>
      </w:pPr>
    </w:p>
    <w:p>
      <w:pPr>
        <w:ind w:left="1300" w:right="20" w:hanging="644"/>
        <w:spacing w:after="0" w:line="260" w:lineRule="auto"/>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reimbursement of the cost of up to twelve intercontinental flights for his spouse in the same category as the Employee in relation to the Employee's business trips;</w:t>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61" w:lineRule="exact"/>
        <w:rPr>
          <w:sz w:val="20"/>
          <w:szCs w:val="20"/>
          <w:color w:val="auto"/>
        </w:rPr>
      </w:pPr>
    </w:p>
    <w:p>
      <w:pPr>
        <w:ind w:left="1292" w:hanging="644"/>
        <w:spacing w:after="0"/>
        <w:tabs>
          <w:tab w:leader="none" w:pos="1292" w:val="left"/>
        </w:tabs>
        <w:numPr>
          <w:ilvl w:val="0"/>
          <w:numId w:val="69"/>
        </w:numPr>
        <w:rPr>
          <w:rFonts w:ascii="Arial" w:cs="Arial" w:eastAsia="Arial" w:hAnsi="Arial"/>
          <w:sz w:val="20"/>
          <w:szCs w:val="20"/>
          <w:color w:val="auto"/>
        </w:rPr>
      </w:pPr>
      <w:r>
        <w:rPr>
          <w:rFonts w:ascii="Arial" w:cs="Arial" w:eastAsia="Arial" w:hAnsi="Arial"/>
          <w:sz w:val="20"/>
          <w:szCs w:val="20"/>
          <w:color w:val="auto"/>
        </w:rPr>
        <w:t>vehicle with driver to be made available for his business trips; and</w:t>
      </w:r>
    </w:p>
    <w:p>
      <w:pPr>
        <w:spacing w:after="0" w:line="229" w:lineRule="exact"/>
        <w:rPr>
          <w:rFonts w:ascii="Arial" w:cs="Arial" w:eastAsia="Arial" w:hAnsi="Arial"/>
          <w:sz w:val="20"/>
          <w:szCs w:val="20"/>
          <w:color w:val="auto"/>
        </w:rPr>
      </w:pPr>
    </w:p>
    <w:p>
      <w:pPr>
        <w:ind w:left="1292" w:hanging="644"/>
        <w:spacing w:after="0" w:line="260" w:lineRule="auto"/>
        <w:tabs>
          <w:tab w:leader="none" w:pos="129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reimbursement of reasonable expenses relating to preparing and filing his tax returns in France, the United Kingdom and the United States.</w:t>
      </w:r>
    </w:p>
    <w:p>
      <w:pPr>
        <w:spacing w:after="0" w:line="190" w:lineRule="exact"/>
        <w:rPr>
          <w:sz w:val="20"/>
          <w:szCs w:val="20"/>
          <w:color w:val="auto"/>
        </w:rPr>
      </w:pPr>
    </w:p>
    <w:p>
      <w:pPr>
        <w:jc w:val="both"/>
        <w:ind w:left="652" w:hanging="647"/>
        <w:spacing w:after="0" w:line="260" w:lineRule="auto"/>
        <w:tabs>
          <w:tab w:leader="none" w:pos="632"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Employee shall benefit from all existing or future supplementary retirement plans applicable to the Company’s executive officers working in France from time to time.</w:t>
      </w:r>
    </w:p>
    <w:p>
      <w:pPr>
        <w:spacing w:after="0" w:line="190" w:lineRule="exact"/>
        <w:rPr>
          <w:sz w:val="20"/>
          <w:szCs w:val="20"/>
          <w:color w:val="auto"/>
        </w:rPr>
      </w:pPr>
    </w:p>
    <w:p>
      <w:pPr>
        <w:jc w:val="both"/>
        <w:ind w:left="652" w:hanging="647"/>
        <w:spacing w:after="0" w:line="244" w:lineRule="auto"/>
        <w:tabs>
          <w:tab w:leader="none" w:pos="632"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The Employee shall be entitled to 25 days paid holiday in each of the Company's holiday years in addition to the usual public holidays in the UK and France. Holiday entitlement in the holiday years that the employment starts and ends shall be calculated at the rate of 2.08 days for each complete month of employment. On termination the Employee shall be paid in lieu of any untaken holiday entitlement in respect of the holiday year in which termination takes effect (if any) or shall be obliged to repay any holiday pay received in excess of the Employee's entitlement (if any).</w:t>
      </w:r>
    </w:p>
    <w:p>
      <w:pPr>
        <w:spacing w:after="0" w:line="208"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In the event that the Employee is unable to carry out his duties by reason of sickness or injury he shall, subject to compliance with the Company's procedures relating to notification and certification periods, be entitled to statutory sick pay in accordance with the relevant applicable statutory rules.</w:t>
      </w:r>
    </w:p>
    <w:p>
      <w:pPr>
        <w:spacing w:after="0" w:line="200" w:lineRule="exact"/>
        <w:rPr>
          <w:sz w:val="20"/>
          <w:szCs w:val="20"/>
          <w:color w:val="auto"/>
        </w:rPr>
      </w:pPr>
    </w:p>
    <w:p>
      <w:pPr>
        <w:jc w:val="both"/>
        <w:ind w:left="652" w:hanging="647"/>
        <w:spacing w:after="0" w:line="250" w:lineRule="auto"/>
        <w:tabs>
          <w:tab w:leader="none" w:pos="632"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20"/>
          <w:szCs w:val="20"/>
          <w:color w:val="auto"/>
        </w:rPr>
        <w:t>The Company shall reimburse the Employee for all reasonable travelling and similar out-of-pocket expenses incurred in the discharge of his duties subject to the provision of receipts and invoices in accordance with the Company's expenses policy in force from time to time.</w:t>
      </w:r>
    </w:p>
    <w:p>
      <w:pPr>
        <w:spacing w:after="0" w:line="200" w:lineRule="exact"/>
        <w:rPr>
          <w:sz w:val="20"/>
          <w:szCs w:val="20"/>
          <w:color w:val="auto"/>
        </w:rPr>
      </w:pPr>
    </w:p>
    <w:p>
      <w:pPr>
        <w:jc w:val="both"/>
        <w:ind w:left="652" w:hanging="647"/>
        <w:spacing w:after="0" w:line="260" w:lineRule="auto"/>
        <w:tabs>
          <w:tab w:leader="none" w:pos="632"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9"/>
          <w:szCs w:val="19"/>
          <w:color w:val="auto"/>
        </w:rPr>
        <w:t>In the event of termination of employment for any reason other than gross misconduct or serious professional fault by the Employee, any outstanding stock options, performance shares or other awards (including cash awards) granted prior to the effective date of this Agreement under Technip’s long term employee incentive plans will continue on their existing terms, subject to any clawback policies required by applicable law and as implemented by the board of the Company. Any subsequent grants of stock options, performance shares, restricted shares, or other awards will be governed by the terms of the award.</w:t>
      </w:r>
    </w:p>
    <w:p>
      <w:pPr>
        <w:spacing w:after="0" w:line="188" w:lineRule="exact"/>
        <w:rPr>
          <w:sz w:val="20"/>
          <w:szCs w:val="20"/>
          <w:color w:val="auto"/>
        </w:rPr>
      </w:pPr>
    </w:p>
    <w:p>
      <w:pPr>
        <w:ind w:left="652" w:hanging="652"/>
        <w:spacing w:after="0"/>
        <w:tabs>
          <w:tab w:leader="none" w:pos="652" w:val="left"/>
        </w:tabs>
        <w:numPr>
          <w:ilvl w:val="0"/>
          <w:numId w:val="70"/>
        </w:numPr>
        <w:rPr>
          <w:rFonts w:ascii="Arial" w:cs="Arial" w:eastAsia="Arial" w:hAnsi="Arial"/>
          <w:sz w:val="20"/>
          <w:szCs w:val="20"/>
          <w:color w:val="auto"/>
        </w:rPr>
      </w:pPr>
      <w:r>
        <w:rPr>
          <w:rFonts w:ascii="Arial" w:cs="Arial" w:eastAsia="Arial" w:hAnsi="Arial"/>
          <w:sz w:val="20"/>
          <w:szCs w:val="20"/>
          <w:b w:val="1"/>
          <w:bCs w:val="1"/>
          <w:color w:val="auto"/>
        </w:rPr>
        <w:t>COMPANY PROPERTY AND CONFIDENTIALITY</w:t>
      </w:r>
    </w:p>
    <w:p>
      <w:pPr>
        <w:spacing w:after="0" w:line="235"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The Employee shall disclose full details of all Intellectual Property that he discovers or makes, or assists in discovering or making, during his employment and to the extent that such Intellectual Property is the property of the Company shall do all things during and after the termination of his employment which may be necessary or desirable for obtaining appropriate forms of protection for such property and for fully vesting such property in the Company or its nominee as the Company may specify.</w:t>
      </w:r>
    </w:p>
    <w:p>
      <w:pPr>
        <w:spacing w:after="0" w:line="190" w:lineRule="exact"/>
        <w:rPr>
          <w:sz w:val="20"/>
          <w:szCs w:val="20"/>
          <w:color w:val="auto"/>
        </w:rPr>
      </w:pPr>
    </w:p>
    <w:p>
      <w:pPr>
        <w:jc w:val="both"/>
        <w:ind w:left="652" w:hanging="647"/>
        <w:spacing w:after="0" w:line="246" w:lineRule="auto"/>
        <w:tabs>
          <w:tab w:leader="none" w:pos="632"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All documents and other things (in whatever form or media) relating to the business or affairs of the Company or any Associated Company which are acquired received or created by the Employee during his employment shall be the property of the Company and shall be surrendered to the Company (together with all copies) on demand at any time and, in any event, upon termination of employment.</w:t>
      </w:r>
    </w:p>
    <w:p>
      <w:pPr>
        <w:spacing w:after="0" w:line="205" w:lineRule="exact"/>
        <w:rPr>
          <w:sz w:val="20"/>
          <w:szCs w:val="20"/>
          <w:color w:val="auto"/>
        </w:rPr>
      </w:pPr>
    </w:p>
    <w:p>
      <w:pPr>
        <w:jc w:val="both"/>
        <w:ind w:left="652" w:hanging="647"/>
        <w:spacing w:after="0" w:line="244" w:lineRule="auto"/>
        <w:tabs>
          <w:tab w:leader="none" w:pos="632"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The Employee shall not at any time either during or after the termination of his employment disclose to any person or use for his own purposes any confidential information he acquires during his employment concerning the organisation, business, finances, transactions or affairs of the Company or any Associated Company other than in the proper performance of his duties or as ordered by a competent court. This clause shall not apply to any confidential information which shall enter the public domain unless it does so through the Employee's default.</w:t>
      </w:r>
    </w:p>
    <w:p>
      <w:pPr>
        <w:sectPr>
          <w:pgSz w:w="11900" w:h="16838" w:orient="portrait"/>
          <w:cols w:equalWidth="0" w:num="1">
            <w:col w:w="11412"/>
          </w:cols>
          <w:pgMar w:left="248" w:top="1440" w:right="239" w:bottom="1440" w:gutter="0" w:footer="0" w:header="0"/>
        </w:sectPr>
      </w:pPr>
    </w:p>
    <w:bookmarkStart w:id="127" w:name="page128"/>
    <w:bookmarkEnd w:id="127"/>
    <w:p>
      <w:pPr>
        <w:spacing w:after="0" w:line="5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TERMINATON</w:t>
      </w:r>
    </w:p>
    <w:p>
      <w:pPr>
        <w:spacing w:after="0" w:line="235"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The Board, on behalf of the Company, reserves the right in its absolute discretion to terminate the employment with immediate effect (whether or not notice has been given by either party) by giving written notice of its intention to make a payment in lieu of notice to the Employee and if it does so the Company shall make a payment of money in lieu of notice equal to the base salary only that the Employee would be entitled to receive during any unexpired part of the Term less any applicable tax and social security within 60 days of such notice. For the avoidance of doubt where the Employee's employment is terminated in accordance with this clause, this Agreement will terminate on the date the Company notifies the Employee that it is terminating his employment in accordance with this clause.</w:t>
      </w:r>
    </w:p>
    <w:p>
      <w:pPr>
        <w:spacing w:after="0" w:line="20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Subject to clause 5.3, upon termination of the Employee’s employment (other than pursuant to clause 5.4), the Employee will be entitled to receive a gross payment equal to 12 months’ gross remuneration calculated as the salary and the total amount of any variable remuneration for he would have received under any long term equity incentive plan assumed or adopted by the Company during that year (the "</w:t>
      </w:r>
      <w:r>
        <w:rPr>
          <w:rFonts w:ascii="Arial" w:cs="Arial" w:eastAsia="Arial" w:hAnsi="Arial"/>
          <w:sz w:val="20"/>
          <w:szCs w:val="20"/>
          <w:b w:val="1"/>
          <w:bCs w:val="1"/>
          <w:color w:val="auto"/>
        </w:rPr>
        <w:t>Severance Indemnity</w:t>
      </w:r>
      <w:r>
        <w:rPr>
          <w:rFonts w:ascii="Arial" w:cs="Arial" w:eastAsia="Arial" w:hAnsi="Arial"/>
          <w:sz w:val="20"/>
          <w:szCs w:val="20"/>
          <w:color w:val="auto"/>
        </w:rPr>
        <w:t>").</w:t>
      </w:r>
    </w:p>
    <w:p>
      <w:pPr>
        <w:spacing w:after="0" w:line="205"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The Severance Indemnity, which includes all and any mandatory payments the Employee would be entitled to by law resulting from the termination of this Agreement, is in full and final settlement of all and any rights and claims that the Employee may have against the Company arising out of the termination of his employment (including both contractual and statutory employment claims wherever in the world arising). The Employee agrees to waive, release and discharge any and all such rights and claims and acknowledges that it is a condition of the payment of the Severance Indemnity that he will execute a settlement agreement (and any other documents reasonably required by the Company) in a form reasonably acceptable to the Company in order to give effect to the release and waiver in this clause 5.3.</w:t>
      </w:r>
    </w:p>
    <w:p>
      <w:pPr>
        <w:spacing w:after="0" w:line="20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The Board, on behalf of the Company, may terminate the employment with immediate effect at any time without notice or payment in lieu of notice if the Employee:</w:t>
      </w:r>
    </w:p>
    <w:p>
      <w:pPr>
        <w:spacing w:after="0" w:line="190"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commits any serious or persistent breach or non observance of the terms and conditions of this Agreement;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is guilty of gross misconduct or gross negligence in connection with or affecting his employment;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is guilty of conduct which brings or is likely to bring him or the Company or any Associated Company into disrepute;</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is convicted of an arrestable offence (other than a road traffic offence for which a non-custodial penalty is imposed); or</w:t>
      </w:r>
    </w:p>
    <w:p>
      <w:pPr>
        <w:spacing w:after="0" w:line="240" w:lineRule="exact"/>
        <w:rPr>
          <w:rFonts w:ascii="Arial" w:cs="Arial" w:eastAsia="Arial" w:hAnsi="Arial"/>
          <w:sz w:val="19"/>
          <w:szCs w:val="19"/>
          <w:color w:val="auto"/>
        </w:rPr>
      </w:pPr>
    </w:p>
    <w:p>
      <w:pPr>
        <w:ind w:left="1300" w:hanging="644"/>
        <w:spacing w:after="0" w:line="260" w:lineRule="auto"/>
        <w:tabs>
          <w:tab w:leader="none" w:pos="13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is or becomes prohibited (by law or the articles of association of the Company) from being a director or voluntarily resigns as a director of the Company.</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On termination the Employee shall:</w:t>
      </w:r>
    </w:p>
    <w:p>
      <w:pPr>
        <w:spacing w:after="0" w:line="229" w:lineRule="exact"/>
        <w:rPr>
          <w:sz w:val="20"/>
          <w:szCs w:val="20"/>
          <w:color w:val="auto"/>
        </w:rPr>
      </w:pPr>
    </w:p>
    <w:p>
      <w:pPr>
        <w:ind w:left="1300" w:hanging="644"/>
        <w:spacing w:after="0" w:line="260" w:lineRule="auto"/>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at the request of the Board immediately resign from any office held by him in the Company or any Associated Company without claim for compensation (without prejudice to any claims he may have</w:t>
      </w:r>
    </w:p>
    <w:p>
      <w:pPr>
        <w:sectPr>
          <w:pgSz w:w="11900" w:h="16838" w:orient="portrait"/>
          <w:cols w:equalWidth="0" w:num="1">
            <w:col w:w="11420"/>
          </w:cols>
          <w:pgMar w:left="240" w:top="1440" w:right="239" w:bottom="1440" w:gutter="0" w:footer="0" w:header="0"/>
        </w:sectPr>
      </w:pPr>
    </w:p>
    <w:bookmarkStart w:id="128" w:name="page129"/>
    <w:bookmarkEnd w:id="128"/>
    <w:p>
      <w:pPr>
        <w:spacing w:after="0" w:line="61" w:lineRule="exact"/>
        <w:rPr>
          <w:sz w:val="20"/>
          <w:szCs w:val="20"/>
          <w:color w:val="auto"/>
        </w:rPr>
      </w:pPr>
    </w:p>
    <w:p>
      <w:pPr>
        <w:ind w:left="1292" w:right="20"/>
        <w:spacing w:after="0" w:line="287" w:lineRule="auto"/>
        <w:rPr>
          <w:sz w:val="20"/>
          <w:szCs w:val="20"/>
          <w:color w:val="auto"/>
        </w:rPr>
      </w:pPr>
      <w:r>
        <w:rPr>
          <w:rFonts w:ascii="Arial" w:cs="Arial" w:eastAsia="Arial" w:hAnsi="Arial"/>
          <w:sz w:val="19"/>
          <w:szCs w:val="19"/>
          <w:color w:val="auto"/>
        </w:rPr>
        <w:t>for damages for breach of this Agreement) and in the event of his failure to do so the Company is irrevocably authorised to appoint some person in his name and on his behalf to sign and deliver such resignations to the Board; and</w:t>
      </w:r>
    </w:p>
    <w:p>
      <w:pPr>
        <w:spacing w:after="0" w:line="166" w:lineRule="exact"/>
        <w:rPr>
          <w:sz w:val="20"/>
          <w:szCs w:val="20"/>
          <w:color w:val="auto"/>
        </w:rPr>
      </w:pPr>
    </w:p>
    <w:p>
      <w:pPr>
        <w:jc w:val="both"/>
        <w:ind w:left="1292" w:hanging="644"/>
        <w:spacing w:after="0" w:line="250" w:lineRule="auto"/>
        <w:tabs>
          <w:tab w:leader="none" w:pos="1292" w:val="left"/>
        </w:tabs>
        <w:numPr>
          <w:ilvl w:val="1"/>
          <w:numId w:val="74"/>
        </w:numPr>
        <w:rPr>
          <w:rFonts w:ascii="Arial" w:cs="Arial" w:eastAsia="Arial" w:hAnsi="Arial"/>
          <w:sz w:val="20"/>
          <w:szCs w:val="20"/>
          <w:color w:val="auto"/>
        </w:rPr>
      </w:pPr>
      <w:r>
        <w:rPr>
          <w:rFonts w:ascii="Arial" w:cs="Arial" w:eastAsia="Arial" w:hAnsi="Arial"/>
          <w:sz w:val="20"/>
          <w:szCs w:val="20"/>
          <w:color w:val="auto"/>
        </w:rPr>
        <w:t>immediately repay all outstanding debts and loans due to the Company or any Associated Company and the Company is hereby authorised to deduct from any monies due to the Employee a sum in repayment of all or any part of any such debts or loans.</w:t>
      </w:r>
    </w:p>
    <w:p>
      <w:pPr>
        <w:spacing w:after="0" w:line="193" w:lineRule="exact"/>
        <w:rPr>
          <w:rFonts w:ascii="Arial" w:cs="Arial" w:eastAsia="Arial" w:hAnsi="Arial"/>
          <w:sz w:val="20"/>
          <w:szCs w:val="20"/>
          <w:color w:val="auto"/>
        </w:rPr>
      </w:pPr>
    </w:p>
    <w:p>
      <w:pPr>
        <w:ind w:left="652" w:hanging="652"/>
        <w:spacing w:after="0"/>
        <w:tabs>
          <w:tab w:leader="none" w:pos="652"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POST-TERMINATION UNDERTAKINGS</w:t>
      </w:r>
    </w:p>
    <w:p>
      <w:pPr>
        <w:spacing w:after="0" w:line="235" w:lineRule="exact"/>
        <w:rPr>
          <w:sz w:val="20"/>
          <w:szCs w:val="20"/>
          <w:color w:val="auto"/>
        </w:rPr>
      </w:pPr>
    </w:p>
    <w:p>
      <w:pPr>
        <w:jc w:val="both"/>
        <w:ind w:left="652" w:hanging="647"/>
        <w:spacing w:after="0" w:line="291" w:lineRule="auto"/>
        <w:tabs>
          <w:tab w:leader="none" w:pos="63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The Employee undertakes that he will not for the period of 12 months’ after the termination of his employment without the prior written consent of the Board be entitled to exercise any activity of any kind whatsoever in the Restricted Area, on behalf of himself or on behalf of any natural person or legal entity in connection with the carrying on of any business in competition with the Business.</w:t>
      </w:r>
    </w:p>
    <w:p>
      <w:pPr>
        <w:spacing w:after="0" w:line="165" w:lineRule="exact"/>
        <w:rPr>
          <w:sz w:val="20"/>
          <w:szCs w:val="20"/>
          <w:color w:val="auto"/>
        </w:rPr>
      </w:pPr>
    </w:p>
    <w:p>
      <w:pPr>
        <w:jc w:val="both"/>
        <w:ind w:left="652" w:hanging="647"/>
        <w:spacing w:after="0" w:line="258" w:lineRule="auto"/>
        <w:tabs>
          <w:tab w:leader="none" w:pos="632"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color w:val="auto"/>
        </w:rPr>
        <w:t>In consideration for the obligation in clause 6.1 but subject to clauses 6.3 and 6.4, the Company will procure that the Executive receives compensation of 12 months’ gross remuneration calculated by averaging the amount of gross basic salary and variable remuneration (excluding the value received under any long term equity incentive plan assumed or adopted by the Company) received by the Executive over the 3 previous full financial years from the Company or any predecessor thereto. This compensation shall be paid on an average monthly basis as from the date of the effective termination of his employment, and the Employee shall continue to benefit, throughout the period indicated in clause 6.1, from any mandatory and/or supplementary insurance contracted by the Company and applicable to the Employee in consideration of his social security status.</w:t>
      </w:r>
    </w:p>
    <w:p>
      <w:pPr>
        <w:spacing w:after="0" w:line="193" w:lineRule="exact"/>
        <w:rPr>
          <w:sz w:val="20"/>
          <w:szCs w:val="20"/>
          <w:color w:val="auto"/>
        </w:rPr>
      </w:pPr>
    </w:p>
    <w:p>
      <w:pPr>
        <w:jc w:val="both"/>
        <w:ind w:left="652" w:hanging="647"/>
        <w:spacing w:after="0" w:line="260" w:lineRule="auto"/>
        <w:tabs>
          <w:tab w:leader="none" w:pos="632"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In the event that the Employee's employment terminates pursuant to clause 5.4 or serious professional fault, the Board may determine that the compensation referred to in clause 6.2 shall not be payable.</w:t>
      </w:r>
    </w:p>
    <w:p>
      <w:pPr>
        <w:spacing w:after="0" w:line="190" w:lineRule="exact"/>
        <w:rPr>
          <w:sz w:val="20"/>
          <w:szCs w:val="20"/>
          <w:color w:val="auto"/>
        </w:rPr>
      </w:pPr>
    </w:p>
    <w:p>
      <w:pPr>
        <w:jc w:val="both"/>
        <w:ind w:left="652" w:hanging="647"/>
        <w:spacing w:after="0" w:line="276" w:lineRule="auto"/>
        <w:tabs>
          <w:tab w:leader="none" w:pos="632"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color w:val="auto"/>
        </w:rPr>
        <w:t>If the Employee is determined, in the reasonable opinion of the Board, to be in breach of his obligation in clause 6.1 at any time, the Employee shall be liable to pay an amount to the Company by way of damages, such amount being determined by the Board but being no less than 12 months' gross remuneration calculated by averaging the amount of the annual gross basic salary and variable remuneration (excluding the value received under any long term equity incentive plan assumed or adopted by the Company) received by the Executive over the 3 previous full financial years. The Board also reserves the right to bring legal proceedings against the Employee for compensation in respect of any damages actually suffered by the Company or any Associated Company.</w:t>
      </w:r>
    </w:p>
    <w:p>
      <w:pPr>
        <w:spacing w:after="0" w:line="179"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9"/>
          <w:szCs w:val="19"/>
          <w:color w:val="auto"/>
        </w:rPr>
        <w:t>The restrictions in this clause 6 (on which the Employee has had the opportunity to take independent advice, as the Employee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an Associated Company but would be adjudged reasonable if some part of it were reformed or deleted, the relevant restriction or restrictions shall be reformed or apply with such deletion(s) as may be necessary to make it or them valid and enforceable.</w:t>
      </w:r>
    </w:p>
    <w:p>
      <w:pPr>
        <w:sectPr>
          <w:pgSz w:w="11900" w:h="16838" w:orient="portrait"/>
          <w:cols w:equalWidth="0" w:num="1">
            <w:col w:w="11412"/>
          </w:cols>
          <w:pgMar w:left="248" w:top="1440" w:right="239" w:bottom="1440" w:gutter="0" w:footer="0" w:header="0"/>
        </w:sectPr>
      </w:pPr>
    </w:p>
    <w:bookmarkStart w:id="129" w:name="page130"/>
    <w:bookmarkEnd w:id="129"/>
    <w:p>
      <w:pPr>
        <w:spacing w:after="0" w:line="5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3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Employee warrants that he has lawful authority to work in the United Kingdom, France and the United States and that by entering into this Agreement he is not and will not be in breach of any express or implied term of any contract court order or any other legal obligation.</w:t>
      </w:r>
    </w:p>
    <w:p>
      <w:pPr>
        <w:spacing w:after="0" w:line="20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The Company shall be entitled at any time during the employment to set off and/or make deductions from the Employee's salary or other sums due to him monies due to the Company or any Associated Company in respect of any overpayment debt or other monies due from him.</w:t>
      </w:r>
    </w:p>
    <w:p>
      <w:pPr>
        <w:spacing w:after="0" w:line="194"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b w:val="1"/>
          <w:bCs w:val="1"/>
          <w:color w:val="auto"/>
        </w:rPr>
        <w:t>DEFINITIONS AND INTERPRETATION</w:t>
      </w:r>
    </w:p>
    <w:p>
      <w:pPr>
        <w:spacing w:after="0" w:line="23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color w:val="auto"/>
        </w:rPr>
        <w:t>In this Agreement unless the context otherwise requires:</w:t>
      </w:r>
    </w:p>
    <w:p>
      <w:pPr>
        <w:spacing w:after="0" w:line="223" w:lineRule="exact"/>
        <w:rPr>
          <w:sz w:val="20"/>
          <w:szCs w:val="20"/>
          <w:color w:val="auto"/>
        </w:rPr>
      </w:pPr>
    </w:p>
    <w:p>
      <w:pPr>
        <w:jc w:val="both"/>
        <w:ind w:left="660"/>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Associated Company</w:t>
      </w:r>
      <w:r>
        <w:rPr>
          <w:rFonts w:ascii="Arial" w:cs="Arial" w:eastAsia="Arial" w:hAnsi="Arial"/>
          <w:sz w:val="19"/>
          <w:szCs w:val="19"/>
          <w:color w:val="auto"/>
        </w:rPr>
        <w:t>" means any company which is a holding company or a subsidiary of the Company or a subsidiary of the Company's holding company and "holding company" and "subsidiary" shall have the meanings given by s.1159 Companies Act 2006 (or as amended from time to time) provided that in clause 6.1 an "Associated Company" shall not extend to cover any holding company or subsidiary of the Company or subsidiary of the Company's holding company in respect of which the Employee does not carry out material duties in the period of 12 months prior to the termination of the employment;</w:t>
      </w:r>
    </w:p>
    <w:p>
      <w:pPr>
        <w:spacing w:after="0" w:line="171"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for the time being of the Company including any duly appointed committee thereof or the directors present at a meeting of the directors of the Company at which a quorum is present but excluding the Employee;</w:t>
      </w:r>
    </w:p>
    <w:p>
      <w:pPr>
        <w:spacing w:after="0" w:line="142" w:lineRule="exact"/>
        <w:rPr>
          <w:sz w:val="20"/>
          <w:szCs w:val="20"/>
          <w:color w:val="auto"/>
        </w:rPr>
      </w:pPr>
    </w:p>
    <w:p>
      <w:pPr>
        <w:jc w:val="both"/>
        <w:ind w:left="66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any business carried on by the Company or any Associated Company at the date of termination of the employment with which the duties of the Executive were materially concerned or for which he was responsible during the Relevant Period;</w:t>
      </w:r>
    </w:p>
    <w:p>
      <w:pPr>
        <w:spacing w:after="0" w:line="118"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w:t>
      </w:r>
      <w:r>
        <w:rPr>
          <w:rFonts w:ascii="Arial" w:cs="Arial" w:eastAsia="Arial" w:hAnsi="Arial"/>
          <w:sz w:val="20"/>
          <w:szCs w:val="20"/>
          <w:color w:val="auto"/>
        </w:rPr>
        <w:t>" means letters patent trade marks service marks designs copyrights utility models design rights applications for registration of any of the foregoing and the right to apply for them in any part of the world inventions improvements process concept idea drawings computer programs know-how and rights of like nature arising or subsisting anywhere in the world in relation to all of the foregoing whether registered or unregistered;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Relevant Period"</w:t>
      </w:r>
      <w:r>
        <w:rPr>
          <w:rFonts w:ascii="Arial" w:cs="Arial" w:eastAsia="Arial" w:hAnsi="Arial"/>
          <w:sz w:val="19"/>
          <w:szCs w:val="19"/>
          <w:color w:val="auto"/>
        </w:rPr>
        <w:t xml:space="preserve"> means the twelve month period immediately preceding the termination of the Employee’s employment; and</w:t>
      </w:r>
    </w:p>
    <w:p>
      <w:pPr>
        <w:spacing w:after="0" w:line="227" w:lineRule="exact"/>
        <w:rPr>
          <w:sz w:val="20"/>
          <w:szCs w:val="20"/>
          <w:color w:val="auto"/>
        </w:rPr>
      </w:pPr>
    </w:p>
    <w:p>
      <w:pPr>
        <w:jc w:val="both"/>
        <w:ind w:left="660"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Area</w:t>
      </w:r>
      <w:r>
        <w:rPr>
          <w:rFonts w:ascii="Arial" w:cs="Arial" w:eastAsia="Arial" w:hAnsi="Arial"/>
          <w:sz w:val="20"/>
          <w:szCs w:val="20"/>
          <w:color w:val="auto"/>
        </w:rPr>
        <w:t>" means the UK, France and the United States and any other country in the world where, on the termination of this Agreement, the Company carried on the Business.</w:t>
      </w:r>
    </w:p>
    <w:p>
      <w:pPr>
        <w:spacing w:after="0" w:line="17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color w:val="auto"/>
        </w:rPr>
        <w:t>This Agreement contains the entire understanding between the parties and supersedes all (if any) subsisting agreements, arrangements and understandings (written or oral) relating to the employment or engagement of the Employee with the Company or any predecessors or Associated Company, including but not limited to any undertakings given by Technip SA in its letter of 23 April 2015, and all such agreements, arrangements and understandings shall be deemed to have been terminated by mutual consent.</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Any amendments to this Agreement shall only be valid if set out in writing and signed by both parties. The Board, on behalf of the Company, reserves the right to amend or replace any term of this Agreement and any such amendments shall be notified to the Employee in writing.</w:t>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61" w:lineRule="exact"/>
        <w:rPr>
          <w:sz w:val="20"/>
          <w:szCs w:val="20"/>
          <w:color w:val="auto"/>
        </w:rPr>
      </w:pPr>
    </w:p>
    <w:p>
      <w:pPr>
        <w:jc w:val="both"/>
        <w:ind w:hanging="647"/>
        <w:spacing w:after="0" w:line="245" w:lineRule="auto"/>
        <w:rPr>
          <w:sz w:val="20"/>
          <w:szCs w:val="20"/>
          <w:color w:val="auto"/>
        </w:rPr>
      </w:pPr>
      <w:r>
        <w:rPr>
          <w:rFonts w:ascii="Arial" w:cs="Arial" w:eastAsia="Arial" w:hAnsi="Arial"/>
          <w:sz w:val="20"/>
          <w:szCs w:val="20"/>
          <w:color w:val="auto"/>
        </w:rPr>
        <w:t>8.4.</w:t>
      </w:r>
      <w:r>
        <w:rPr>
          <w:sz w:val="20"/>
          <w:szCs w:val="20"/>
          <w:color w:val="auto"/>
        </w:rPr>
        <w:t xml:space="preserve"> </w:t>
      </w:r>
      <w:r>
        <w:rPr>
          <w:rFonts w:ascii="Arial" w:cs="Arial" w:eastAsia="Arial" w:hAnsi="Arial"/>
          <w:sz w:val="20"/>
          <w:szCs w:val="20"/>
          <w:color w:val="auto"/>
        </w:rPr>
        <w:t>If any provision of this Agreement is or becomes illegal, invalid or unenforceable in any jurisdiction, that shall not affect: (i) the legality, validity or enforceability in that jurisdiction of any other provisions of this Agreement; or (ii) the legality, validity or enforceability in any other jurisdiction of that or any other provision of this Agreement.</w:t>
      </w:r>
    </w:p>
    <w:p>
      <w:pPr>
        <w:jc w:val="both"/>
        <w:ind w:right="20" w:hanging="647"/>
        <w:spacing w:after="0" w:line="244" w:lineRule="auto"/>
        <w:rPr>
          <w:sz w:val="20"/>
          <w:szCs w:val="20"/>
          <w:color w:val="auto"/>
        </w:rPr>
      </w:pPr>
      <w:r>
        <w:rPr>
          <w:rFonts w:ascii="Arial" w:cs="Arial" w:eastAsia="Arial" w:hAnsi="Arial"/>
          <w:sz w:val="20"/>
          <w:szCs w:val="20"/>
          <w:color w:val="auto"/>
        </w:rPr>
        <w:t>8.5.</w:t>
      </w:r>
      <w:r>
        <w:rPr>
          <w:sz w:val="20"/>
          <w:szCs w:val="20"/>
          <w:color w:val="auto"/>
        </w:rPr>
        <w:t xml:space="preserve"> </w:t>
      </w:r>
      <w:r>
        <w:rPr>
          <w:rFonts w:ascii="Arial" w:cs="Arial" w:eastAsia="Arial" w:hAnsi="Arial"/>
          <w:sz w:val="20"/>
          <w:szCs w:val="20"/>
          <w:color w:val="auto"/>
        </w:rPr>
        <w:t>This Agreement and all non-contractual or other obligations arising out of or in connection with it are governed by and shall be construed in accordance with English law and are subject to the exclusive jurisdiction of the English Courts.</w:t>
      </w:r>
    </w:p>
    <w:p>
      <w:pPr>
        <w:sectPr>
          <w:pgSz w:w="11900" w:h="16838" w:orient="portrait"/>
          <w:cols w:equalWidth="0" w:num="1">
            <w:col w:w="10760"/>
          </w:cols>
          <w:pgMar w:left="900" w:top="1440" w:right="239" w:bottom="1440" w:gutter="0" w:footer="0" w:header="0"/>
        </w:sectPr>
      </w:pPr>
    </w:p>
    <w:bookmarkStart w:id="131" w:name="page132"/>
    <w:bookmarkEnd w:id="131"/>
    <w:p>
      <w:pPr>
        <w:spacing w:after="0" w:line="2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Tore Halvorsen</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SIGNED by TORE HALVORSEN on behalf of TECHNIPFMC PLC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Thierry Pilenko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SIGNED by THIERRY PILENKO</w:t>
      </w:r>
    </w:p>
    <w:p>
      <w:pPr>
        <w:sectPr>
          <w:pgSz w:w="11900" w:h="16838" w:orient="portrait"/>
          <w:cols w:equalWidth="0" w:num="1">
            <w:col w:w="10219"/>
          </w:cols>
          <w:pgMar w:left="240" w:top="1440"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246630" cy="514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22466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Thierry Pilenko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TechnipFMC</w:t>
      </w:r>
    </w:p>
    <w:p>
      <w:pPr>
        <w:spacing w:after="0"/>
        <w:rPr>
          <w:sz w:val="20"/>
          <w:szCs w:val="20"/>
          <w:color w:val="auto"/>
        </w:rPr>
      </w:pPr>
      <w:r>
        <w:rPr>
          <w:rFonts w:ascii="Arial" w:cs="Arial" w:eastAsia="Arial" w:hAnsi="Arial"/>
          <w:sz w:val="20"/>
          <w:szCs w:val="20"/>
          <w:color w:val="auto"/>
        </w:rPr>
        <w:t>89 Avenue de la Grande Armée</w:t>
      </w:r>
    </w:p>
    <w:p>
      <w:pPr>
        <w:spacing w:after="0"/>
        <w:rPr>
          <w:sz w:val="20"/>
          <w:szCs w:val="20"/>
          <w:color w:val="auto"/>
        </w:rPr>
      </w:pPr>
      <w:r>
        <w:rPr>
          <w:rFonts w:ascii="Arial" w:cs="Arial" w:eastAsia="Arial" w:hAnsi="Arial"/>
          <w:sz w:val="20"/>
          <w:szCs w:val="20"/>
          <w:color w:val="auto"/>
        </w:rPr>
        <w:t>Paris 75116</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September 20, 2017</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Dear Thierry,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Chairman Compensation</w:t>
      </w:r>
    </w:p>
    <w:p>
      <w:pPr>
        <w:spacing w:after="0" w:line="189"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We are pleased to inform you that the Compensation Committee of the Board of Directors of TechnipFMC PLC (the “</w:t>
      </w:r>
      <w:r>
        <w:rPr>
          <w:rFonts w:ascii="Arial" w:cs="Arial" w:eastAsia="Arial" w:hAnsi="Arial"/>
          <w:sz w:val="19"/>
          <w:szCs w:val="19"/>
          <w:b w:val="1"/>
          <w:bCs w:val="1"/>
          <w:color w:val="auto"/>
        </w:rPr>
        <w:t>Company</w:t>
      </w:r>
      <w:r>
        <w:rPr>
          <w:rFonts w:ascii="Arial" w:cs="Arial" w:eastAsia="Arial" w:hAnsi="Arial"/>
          <w:sz w:val="19"/>
          <w:szCs w:val="19"/>
          <w:color w:val="auto"/>
        </w:rPr>
        <w:t>”) has reviewed the terms of your employment arrangements and upon completion of that review has updated the terms of your compensation package, payable to you in respect of your position as Executive Chairman of the Company. The terms set out in this letter update the compensation terms in the service agreement dated 17 January 2017 between you and the Company (the “</w:t>
      </w:r>
      <w:r>
        <w:rPr>
          <w:rFonts w:ascii="Arial" w:cs="Arial" w:eastAsia="Arial" w:hAnsi="Arial"/>
          <w:sz w:val="19"/>
          <w:szCs w:val="19"/>
          <w:b w:val="1"/>
          <w:bCs w:val="1"/>
          <w:color w:val="auto"/>
        </w:rPr>
        <w:t>Service Agreement</w:t>
      </w:r>
      <w:r>
        <w:rPr>
          <w:rFonts w:ascii="Arial" w:cs="Arial" w:eastAsia="Arial" w:hAnsi="Arial"/>
          <w:sz w:val="19"/>
          <w:szCs w:val="19"/>
          <w:color w:val="auto"/>
        </w:rPr>
        <w:t>”), the terms of which have been ratified by the current Compensation Committee. Except as expressly amended pursuant to this letter (the “</w:t>
      </w:r>
      <w:r>
        <w:rPr>
          <w:rFonts w:ascii="Arial" w:cs="Arial" w:eastAsia="Arial" w:hAnsi="Arial"/>
          <w:sz w:val="19"/>
          <w:szCs w:val="19"/>
          <w:b w:val="1"/>
          <w:bCs w:val="1"/>
          <w:color w:val="auto"/>
        </w:rPr>
        <w:t>Side Letter</w:t>
      </w:r>
      <w:r>
        <w:rPr>
          <w:rFonts w:ascii="Arial" w:cs="Arial" w:eastAsia="Arial" w:hAnsi="Arial"/>
          <w:sz w:val="19"/>
          <w:szCs w:val="19"/>
          <w:color w:val="auto"/>
        </w:rPr>
        <w:t>”) the terms of your Service Agreement will continue to apply unchanged.</w:t>
      </w:r>
    </w:p>
    <w:p>
      <w:pPr>
        <w:spacing w:after="0" w:line="15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With effect from closing date of the merger, January 17, 2017, your compensation as Executive Chairman of the Company will comprise the following:</w:t>
      </w:r>
    </w:p>
    <w:p>
      <w:pPr>
        <w:spacing w:after="0" w:line="144" w:lineRule="exact"/>
        <w:rPr>
          <w:sz w:val="20"/>
          <w:szCs w:val="20"/>
          <w:color w:val="auto"/>
        </w:rPr>
      </w:pPr>
    </w:p>
    <w:p>
      <w:pPr>
        <w:ind w:left="660" w:right="260" w:hanging="328"/>
        <w:spacing w:after="0" w:line="346"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Your annual salary shall remain unchanged at €900,000 per annum payable in accordance with Clause 3.1 of the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w:t>
      </w:r>
      <w:r>
        <w:rPr>
          <w:rFonts w:ascii="Arial" w:cs="Arial" w:eastAsia="Arial" w:hAnsi="Arial"/>
          <w:sz w:val="16"/>
          <w:szCs w:val="16"/>
          <w:color w:val="0000FF"/>
        </w:rPr>
        <w:t>.</w:t>
      </w:r>
      <w:r>
        <w:rPr>
          <w:rFonts w:ascii="Arial" w:cs="Arial" w:eastAsia="Arial" w:hAnsi="Arial"/>
          <w:sz w:val="16"/>
          <w:szCs w:val="16"/>
          <w:color w:val="auto"/>
        </w:rPr>
        <w:t xml:space="preserve"> You shall continue to be paid through the Company’s French branch, and French social security contributions shall be made in respect of you. Accordingly, you shall continue to be entitled to all benefits granted under the French social security system.</w:t>
      </w:r>
    </w:p>
    <w:p>
      <w:pPr>
        <w:spacing w:after="0" w:line="55" w:lineRule="exact"/>
        <w:rPr>
          <w:rFonts w:ascii="Arial" w:cs="Arial" w:eastAsia="Arial" w:hAnsi="Arial"/>
          <w:sz w:val="16"/>
          <w:szCs w:val="16"/>
          <w:color w:val="auto"/>
        </w:rPr>
      </w:pPr>
    </w:p>
    <w:p>
      <w:pPr>
        <w:ind w:left="660" w:right="120" w:hanging="328"/>
        <w:spacing w:after="0" w:line="27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Annual Bonus: </w:t>
      </w:r>
      <w:r>
        <w:rPr>
          <w:rFonts w:ascii="Arial" w:cs="Arial" w:eastAsia="Arial" w:hAnsi="Arial"/>
          <w:sz w:val="18"/>
          <w:szCs w:val="18"/>
          <w:color w:val="auto"/>
        </w:rPr>
        <w:t>You will be eligible to receive a bonus annually subject to the achievement of performance criteria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notified to you separately by the Compensation Committee (the “</w:t>
      </w:r>
      <w:r>
        <w:rPr>
          <w:rFonts w:ascii="Arial" w:cs="Arial" w:eastAsia="Arial" w:hAnsi="Arial"/>
          <w:sz w:val="18"/>
          <w:szCs w:val="18"/>
          <w:b w:val="1"/>
          <w:bCs w:val="1"/>
          <w:color w:val="auto"/>
        </w:rPr>
        <w:t>Annual Bonus</w:t>
      </w:r>
      <w:r>
        <w:rPr>
          <w:rFonts w:ascii="Arial" w:cs="Arial" w:eastAsia="Arial" w:hAnsi="Arial"/>
          <w:sz w:val="18"/>
          <w:szCs w:val="18"/>
          <w:color w:val="auto"/>
        </w:rPr>
        <w:t>”). Your “on target” Annual Bonus is 120% of your annual salary with the possibility of a lower or higher bonus (up to 200% of the on target amount, or 240% of annual salary) for performance below or above target level. The actual amount of any Annual Bonus payable will be determined by the Compensation Committee in its sole discretion, taking into account Company performance against the relevant performance criteria. The Bonus will be paid by the Company after financial results for the year are approved by the Compensation Committee. For the avoidance of doubt, in the year when the Service Agreement terminates, you will be eligible for a pro-rated portion of your Annual Bonus for that year calculated by reference to your employment from the start of such year up until the date on which your employment terminates.</w:t>
      </w:r>
    </w:p>
    <w:p>
      <w:pPr>
        <w:spacing w:after="0" w:line="108" w:lineRule="exact"/>
        <w:rPr>
          <w:rFonts w:ascii="Arial" w:cs="Arial" w:eastAsia="Arial" w:hAnsi="Arial"/>
          <w:sz w:val="18"/>
          <w:szCs w:val="18"/>
          <w:color w:val="auto"/>
        </w:rPr>
      </w:pPr>
    </w:p>
    <w:p>
      <w:pPr>
        <w:ind w:left="660" w:right="220" w:hanging="328"/>
        <w:spacing w:after="0" w:line="280"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Payments on termination of employment: </w:t>
      </w:r>
      <w:r>
        <w:rPr>
          <w:rFonts w:ascii="Arial" w:cs="Arial" w:eastAsia="Arial" w:hAnsi="Arial"/>
          <w:sz w:val="18"/>
          <w:szCs w:val="18"/>
          <w:color w:val="auto"/>
        </w:rPr>
        <w:t>Clauses 5.2 and 6.2 of the Service Agreement are hereby amended to reflect that your</w:t>
      </w:r>
      <w:r>
        <w:rPr>
          <w:rFonts w:ascii="Arial" w:cs="Arial" w:eastAsia="Arial" w:hAnsi="Arial"/>
          <w:sz w:val="18"/>
          <w:szCs w:val="18"/>
          <w:b w:val="1"/>
          <w:bCs w:val="1"/>
          <w:color w:val="auto"/>
        </w:rPr>
        <w:t xml:space="preserve"> </w:t>
      </w:r>
      <w:r>
        <w:rPr>
          <w:rFonts w:ascii="Arial" w:cs="Arial" w:eastAsia="Arial" w:hAnsi="Arial"/>
          <w:sz w:val="18"/>
          <w:szCs w:val="18"/>
          <w:color w:val="auto"/>
        </w:rPr>
        <w:t>“gross remuneration” for calculation of the Severance Indemnity and the non-competition compensation will be equal to your annual base salary and target Annual Bonus for the year of termination. In addition to your entitlement to a Severance Indemnity pursuant to Clause 5.2 of the Service Agreement and the non-competition compensation pursuant to Clause 6.2 of the Service Agreement, upon termination of your employment (regardless of the reason for termination) you will be entitled to receive a</w:t>
      </w:r>
    </w:p>
    <w:p>
      <w:pPr>
        <w:sectPr>
          <w:pgSz w:w="11900" w:h="16838" w:orient="portrait"/>
          <w:cols w:equalWidth="0" w:num="1">
            <w:col w:w="11420"/>
          </w:cols>
          <w:pgMar w:left="240" w:top="989" w:right="239" w:bottom="1440" w:gutter="0" w:footer="0" w:header="0"/>
        </w:sectPr>
      </w:pPr>
    </w:p>
    <w:bookmarkStart w:id="133" w:name="page134"/>
    <w:bookmarkEnd w:id="133"/>
    <w:p>
      <w:pPr>
        <w:ind w:left="660" w:right="20"/>
        <w:spacing w:after="0" w:line="347" w:lineRule="auto"/>
        <w:rPr>
          <w:sz w:val="20"/>
          <w:szCs w:val="20"/>
          <w:color w:val="auto"/>
        </w:rPr>
      </w:pPr>
      <w:r>
        <w:rPr>
          <w:rFonts w:ascii="Arial" w:cs="Arial" w:eastAsia="Arial" w:hAnsi="Arial"/>
          <w:sz w:val="18"/>
          <w:szCs w:val="18"/>
          <w:color w:val="auto"/>
        </w:rPr>
        <w:t>payment in lieu of any accrued but untaken holiday, including holiday which you accrued (or would have been entitled to accrue if you had been an employee rather than a mandataire social) during your service with Technip S.A., as well as, the Company.</w:t>
      </w:r>
    </w:p>
    <w:p>
      <w:pPr>
        <w:spacing w:after="0" w:line="12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b w:val="1"/>
          <w:bCs w:val="1"/>
          <w:color w:val="auto"/>
        </w:rPr>
        <w:t>Post-termination medical insurance</w:t>
      </w:r>
      <w:r>
        <w:rPr>
          <w:rFonts w:ascii="Arial" w:cs="Arial" w:eastAsia="Arial" w:hAnsi="Arial"/>
          <w:sz w:val="20"/>
          <w:szCs w:val="20"/>
          <w:color w:val="auto"/>
        </w:rPr>
        <w:t>: Following the termination of your employment, the Company will assure that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supplementary health insurance coverage for you and your spouse is continued upon the same terms and conditions as active employees for a period of two years after the termination date, subject to the terms of the relevant health insurance policy, any cost sharing arrangements as in effect at the time applicable to active employees, and your continued compliance with the non-compete obligations of Section 6.1 of the Service Agreement.</w:t>
      </w:r>
    </w:p>
    <w:p>
      <w:pPr>
        <w:spacing w:after="0" w:line="158"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b w:val="1"/>
          <w:bCs w:val="1"/>
          <w:color w:val="auto"/>
        </w:rPr>
        <w:t xml:space="preserve">Expenses relating to tax returns: </w:t>
      </w:r>
      <w:r>
        <w:rPr>
          <w:rFonts w:ascii="Arial" w:cs="Arial" w:eastAsia="Arial" w:hAnsi="Arial"/>
          <w:sz w:val="19"/>
          <w:szCs w:val="19"/>
          <w:color w:val="auto"/>
        </w:rPr>
        <w:t>Clause 3.3(d) of the Service Agreement shall be clarified so that the on-going reimbursement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of your expenses relating to preparing and filing your tax returns (in France, the UK and the US) shall be limited to the duration of your employment and the period of two years following the termination of your employment for any reason.</w:t>
      </w:r>
    </w:p>
    <w:p>
      <w:pPr>
        <w:spacing w:after="0" w:line="132"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b w:val="1"/>
          <w:bCs w:val="1"/>
          <w:color w:val="auto"/>
        </w:rPr>
        <w:t xml:space="preserve">LTIP: </w:t>
      </w:r>
      <w:r>
        <w:rPr>
          <w:rFonts w:ascii="Arial" w:cs="Arial" w:eastAsia="Arial" w:hAnsi="Arial"/>
          <w:sz w:val="20"/>
          <w:szCs w:val="20"/>
          <w:color w:val="auto"/>
        </w:rPr>
        <w:t>Clause 3.8 of the Service Agreement shall be amended so that the words “gross misconduct or serious fault by the Employee”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replaced with “in accordance with clause 5.4”.</w:t>
      </w:r>
    </w:p>
    <w:p>
      <w:pPr>
        <w:spacing w:after="0" w:line="13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For the avoidance of doubt, the waiver and release in clause 5.4 of the Service Agreement excludes your entitlements (and any claim</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those entitlements) pursuant to: (A) the terms of the Service Agreement as amended by this Side Letter (including without limitation your entitlements to expenses or on-going benefits under clause 3.5, your entitlement to payment in lieu of notice (where applicable), pro-rata bonus, non-competition compensation and payment in lieu of accrued holiday); and (B) the side letter between you and the Company dated September 20, 2017 in relation to pension payments. Where the Company requires you to enter into a settlement agreement in accordance with clause 5.4 of the Service Agreement as amended by this Side Letter, the Company will reimburse you for the legal fees you incur in connection with the same (and for the avoidance of doubt you shall be entitled to enforce its terms).</w:t>
      </w:r>
    </w:p>
    <w:p>
      <w:pPr>
        <w:spacing w:after="0" w:line="14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If you have any questions in relation to the terms of this letter, please do not hesitate to contact the Compensation Committee. Please sign and accept the terms of this Side Letter.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 Joseph Rinaldi</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Joseph Rinaldi</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For and on behalf of TechnipFMC Plc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right="3500"/>
        <w:spacing w:after="0" w:line="535" w:lineRule="auto"/>
        <w:rPr>
          <w:sz w:val="20"/>
          <w:szCs w:val="20"/>
          <w:color w:val="auto"/>
        </w:rPr>
      </w:pPr>
      <w:r>
        <w:rPr>
          <w:rFonts w:ascii="Arial" w:cs="Arial" w:eastAsia="Arial" w:hAnsi="Arial"/>
          <w:sz w:val="18"/>
          <w:szCs w:val="18"/>
          <w:color w:val="auto"/>
        </w:rPr>
        <w:t>I, Thierry Pilenko, hereby confirm that I have read and understood the terms of this Side Letter and accept the variations to my Service Agreement dated 17 January 2017 as detailed herein.</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Signed:…/s/ Thierry Pilenko……………………. Dated: 20 September 2017……………………..</w:t>
      </w:r>
    </w:p>
    <w:p>
      <w:pPr>
        <w:sectPr>
          <w:pgSz w:w="11900" w:h="16838" w:orient="portrait"/>
          <w:cols w:equalWidth="0" w:num="1">
            <w:col w:w="11360"/>
          </w:cols>
          <w:pgMar w:left="240" w:top="595" w:right="2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TechnipFMC plc</w:t>
            </w:r>
          </w:p>
        </w:tc>
      </w:tr>
      <w:tr>
        <w:trPr>
          <w:trHeight w:val="222"/>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gridSpan w:val="2"/>
          </w:tcPr>
          <w:p>
            <w:pPr>
              <w:jc w:val="center"/>
              <w:ind w:left="1292"/>
              <w:spacing w:after="0"/>
              <w:rPr>
                <w:sz w:val="20"/>
                <w:szCs w:val="20"/>
                <w:color w:val="auto"/>
              </w:rPr>
            </w:pPr>
            <w:r>
              <w:rPr>
                <w:rFonts w:ascii="Arial" w:cs="Arial" w:eastAsia="Arial" w:hAnsi="Arial"/>
                <w:sz w:val="16"/>
                <w:szCs w:val="16"/>
                <w:b w:val="1"/>
                <w:bCs w:val="1"/>
                <w:color w:val="auto"/>
                <w:w w:val="90"/>
              </w:rPr>
              <w:t>Significant Subsidiaries of the Registrant</w:t>
            </w:r>
          </w:p>
        </w:tc>
      </w:tr>
      <w:tr>
        <w:trPr>
          <w:trHeight w:val="210"/>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0" w:type="dxa"/>
            <w:vAlign w:val="bottom"/>
          </w:tcPr>
          <w:p>
            <w:pPr>
              <w:jc w:val="center"/>
              <w:ind w:right="379"/>
              <w:spacing w:after="0"/>
              <w:rPr>
                <w:sz w:val="20"/>
                <w:szCs w:val="20"/>
                <w:color w:val="auto"/>
              </w:rPr>
            </w:pPr>
            <w:r>
              <w:rPr>
                <w:rFonts w:ascii="Arial" w:cs="Arial" w:eastAsia="Arial" w:hAnsi="Arial"/>
                <w:sz w:val="16"/>
                <w:szCs w:val="16"/>
                <w:b w:val="1"/>
                <w:bCs w:val="1"/>
                <w:color w:val="auto"/>
                <w:w w:val="90"/>
              </w:rPr>
              <w:t>December 31, 2017</w:t>
            </w:r>
          </w:p>
        </w:tc>
      </w:tr>
      <w:tr>
        <w:trPr>
          <w:trHeight w:val="708"/>
        </w:trPr>
        <w:tc>
          <w:tcPr>
            <w:tcW w:w="1820" w:type="dxa"/>
            <w:vAlign w:val="bottom"/>
            <w:gridSpan w:val="2"/>
          </w:tcPr>
          <w:p>
            <w:pPr>
              <w:spacing w:after="0"/>
              <w:rPr>
                <w:sz w:val="20"/>
                <w:szCs w:val="20"/>
                <w:color w:val="auto"/>
              </w:rPr>
            </w:pPr>
            <w:r>
              <w:rPr>
                <w:rFonts w:ascii="Arial" w:cs="Arial" w:eastAsia="Arial" w:hAnsi="Arial"/>
                <w:sz w:val="18"/>
                <w:szCs w:val="18"/>
                <w:color w:val="auto"/>
              </w:rPr>
              <w:t>Name of Company</w:t>
            </w:r>
          </w:p>
        </w:tc>
        <w:tc>
          <w:tcPr>
            <w:tcW w:w="420" w:type="dxa"/>
            <w:vAlign w:val="bottom"/>
          </w:tcPr>
          <w:p>
            <w:pPr>
              <w:spacing w:after="0"/>
              <w:rPr>
                <w:sz w:val="24"/>
                <w:szCs w:val="24"/>
                <w:color w:val="auto"/>
              </w:rPr>
            </w:pP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Country of Incorporation</w:t>
            </w:r>
          </w:p>
        </w:tc>
      </w:tr>
      <w:tr>
        <w:trPr>
          <w:trHeight w:val="20"/>
        </w:trPr>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38"/>
        </w:trPr>
        <w:tc>
          <w:tcPr>
            <w:tcW w:w="1820" w:type="dxa"/>
            <w:vAlign w:val="bottom"/>
            <w:gridSpan w:val="2"/>
          </w:tcPr>
          <w:p>
            <w:pPr>
              <w:spacing w:after="0"/>
              <w:rPr>
                <w:sz w:val="20"/>
                <w:szCs w:val="20"/>
                <w:color w:val="auto"/>
              </w:rPr>
            </w:pPr>
            <w:r>
              <w:rPr>
                <w:rFonts w:ascii="Arial" w:cs="Arial" w:eastAsia="Arial" w:hAnsi="Arial"/>
                <w:sz w:val="18"/>
                <w:szCs w:val="18"/>
                <w:color w:val="auto"/>
              </w:rPr>
              <w:t>Technip France SA</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France</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Yamgaz</w:t>
            </w:r>
          </w:p>
        </w:tc>
        <w:tc>
          <w:tcPr>
            <w:tcW w:w="4660" w:type="dxa"/>
            <w:vAlign w:val="bottom"/>
            <w:gridSpan w:val="4"/>
          </w:tcPr>
          <w:p>
            <w:pPr>
              <w:ind w:left="20"/>
              <w:spacing w:after="0"/>
              <w:rPr>
                <w:sz w:val="20"/>
                <w:szCs w:val="20"/>
                <w:color w:val="auto"/>
              </w:rPr>
            </w:pPr>
            <w:r>
              <w:rPr>
                <w:rFonts w:ascii="Arial" w:cs="Arial" w:eastAsia="Arial" w:hAnsi="Arial"/>
                <w:sz w:val="18"/>
                <w:szCs w:val="18"/>
                <w:color w:val="auto"/>
              </w:rPr>
              <w:t>France</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South Tambey LNG</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France</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Technip UK Ltd</w:t>
            </w:r>
          </w:p>
        </w:tc>
        <w:tc>
          <w:tcPr>
            <w:tcW w:w="420" w:type="dxa"/>
            <w:vAlign w:val="bottom"/>
          </w:tcPr>
          <w:p>
            <w:pPr>
              <w:spacing w:after="0"/>
              <w:rPr>
                <w:sz w:val="18"/>
                <w:szCs w:val="18"/>
                <w:color w:val="auto"/>
              </w:rPr>
            </w:pPr>
          </w:p>
        </w:tc>
        <w:tc>
          <w:tcPr>
            <w:tcW w:w="4240" w:type="dxa"/>
            <w:vAlign w:val="bottom"/>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w w:val="91"/>
              </w:rPr>
              <w:t>Flexibras Tubos Flexiveis Ltda</w:t>
            </w:r>
          </w:p>
        </w:tc>
        <w:tc>
          <w:tcPr>
            <w:tcW w:w="20" w:type="dxa"/>
            <w:vAlign w:val="bottom"/>
          </w:tcPr>
          <w:p>
            <w:pPr>
              <w:spacing w:after="0"/>
              <w:rPr>
                <w:sz w:val="18"/>
                <w:szCs w:val="18"/>
                <w:color w:val="auto"/>
              </w:rPr>
            </w:pP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Brazil</w:t>
            </w: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w w:val="91"/>
              </w:rPr>
              <w:t>Technip Oceania Pty Ltd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0760"/>
          </w:cols>
          <w:pgMar w:left="900" w:top="58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23.1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333-216289 and 333-216284) of TechnipFMC plc of our report dated April 2, 2018 relating to the financial statements and financial statement schedule, which appear in this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58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23.2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333-216289 and 333-216284) of TechnipFMC plc of our report dated April 2, 2018 relating to the financial statements and financial statement schedule, which appear in this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ectPr>
          <w:pgSz w:w="11900" w:h="16838" w:orient="portrait"/>
          <w:cols w:equalWidth="0" w:num="1">
            <w:col w:w="11420"/>
          </w:cols>
          <w:pgMar w:left="240" w:top="58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year ended December 31, 2017 of TechnipFMC plc (the “registrant”);</w:t>
      </w:r>
    </w:p>
    <w:p>
      <w:pPr>
        <w:spacing w:after="0" w:line="167"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1300" w:right="280" w:hanging="320"/>
        <w:spacing w:after="0" w:line="261" w:lineRule="auto"/>
        <w:tabs>
          <w:tab w:leader="none" w:pos="1196"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rFonts w:ascii="Arial" w:cs="Arial" w:eastAsia="Arial" w:hAnsi="Arial"/>
          <w:sz w:val="16"/>
          <w:szCs w:val="16"/>
          <w:color w:val="auto"/>
        </w:rPr>
      </w:pPr>
    </w:p>
    <w:p>
      <w:pPr>
        <w:ind w:left="1300" w:right="360" w:hanging="320"/>
        <w:spacing w:after="0" w:line="275" w:lineRule="auto"/>
        <w:tabs>
          <w:tab w:leader="none" w:pos="1196"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April 2, 2018</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80"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6"/>
          <w:szCs w:val="16"/>
          <w:color w:val="auto"/>
        </w:rPr>
        <w:t>I have reviewed this annual report on Form 10-K for the year ended December 31, 2017 of TechnipFMC plc (the “registrant”);</w:t>
      </w:r>
    </w:p>
    <w:p>
      <w:pPr>
        <w:spacing w:after="0" w:line="171" w:lineRule="exact"/>
        <w:rPr>
          <w:rFonts w:ascii="Arial" w:cs="Arial" w:eastAsia="Arial" w:hAnsi="Arial"/>
          <w:sz w:val="18"/>
          <w:szCs w:val="18"/>
          <w:color w:val="auto"/>
        </w:rPr>
      </w:pPr>
    </w:p>
    <w:p>
      <w:pPr>
        <w:ind w:left="660" w:right="20" w:hanging="328"/>
        <w:spacing w:after="0" w:line="315"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7"/>
          <w:szCs w:val="17"/>
          <w:color w:val="auto"/>
        </w:rPr>
      </w:pPr>
    </w:p>
    <w:p>
      <w:pPr>
        <w:ind w:left="660" w:hanging="328"/>
        <w:spacing w:after="0" w:line="281"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3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2" w:lineRule="exact"/>
        <w:rPr>
          <w:rFonts w:ascii="Arial" w:cs="Arial" w:eastAsia="Arial" w:hAnsi="Arial"/>
          <w:sz w:val="16"/>
          <w:szCs w:val="16"/>
          <w:color w:val="auto"/>
        </w:rPr>
      </w:pPr>
    </w:p>
    <w:p>
      <w:pPr>
        <w:ind w:left="1300" w:right="280" w:hanging="320"/>
        <w:spacing w:after="0" w:line="261" w:lineRule="auto"/>
        <w:tabs>
          <w:tab w:leader="none" w:pos="1196"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6"/>
          <w:szCs w:val="16"/>
          <w:color w:val="auto"/>
        </w:rPr>
      </w:pPr>
    </w:p>
    <w:p>
      <w:pPr>
        <w:ind w:left="1300" w:right="80" w:hanging="320"/>
        <w:spacing w:after="0" w:line="261" w:lineRule="auto"/>
        <w:tabs>
          <w:tab w:leader="none" w:pos="12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6"/>
          <w:szCs w:val="16"/>
          <w:color w:val="auto"/>
        </w:rPr>
      </w:pPr>
    </w:p>
    <w:p>
      <w:pPr>
        <w:ind w:left="1300" w:right="180" w:hanging="320"/>
        <w:spacing w:after="0" w:line="275" w:lineRule="auto"/>
        <w:tabs>
          <w:tab w:leader="none" w:pos="1196"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6"/>
          <w:szCs w:val="16"/>
          <w:color w:val="auto"/>
        </w:rPr>
      </w:pPr>
    </w:p>
    <w:p>
      <w:pPr>
        <w:ind w:left="1300" w:right="100" w:hanging="320"/>
        <w:spacing w:after="0" w:line="261" w:lineRule="auto"/>
        <w:tabs>
          <w:tab w:leader="none" w:pos="12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6"/>
          <w:szCs w:val="16"/>
          <w:color w:val="auto"/>
        </w:rPr>
      </w:pPr>
    </w:p>
    <w:p>
      <w:pPr>
        <w:ind w:left="660" w:right="480" w:hanging="328"/>
        <w:spacing w:after="0" w:line="281"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360" w:hanging="320"/>
        <w:spacing w:after="0" w:line="275" w:lineRule="auto"/>
        <w:tabs>
          <w:tab w:leader="none" w:pos="1196"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300" w:right="560" w:hanging="320"/>
        <w:spacing w:after="0" w:line="275" w:lineRule="auto"/>
        <w:tabs>
          <w:tab w:leader="none" w:pos="12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Date: April 2, 2018</w:t>
      </w:r>
    </w:p>
    <w:p>
      <w:pPr>
        <w:spacing w:after="0" w:line="181"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I, Douglas J. Pferdehirt, Chief Executive Officer of TechnipFMC plc (the “Company”), do hereby certify, pursuant to 18 U.S.C. Section 1350, as adopted pursuant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Section 906 of the Sarbanes-Oxley Act of 2002, that, to my knowledge:</w:t>
      </w:r>
    </w:p>
    <w:p>
      <w:pPr>
        <w:spacing w:after="0" w:line="153" w:lineRule="exact"/>
        <w:rPr>
          <w:sz w:val="20"/>
          <w:szCs w:val="20"/>
          <w:color w:val="auto"/>
        </w:rPr>
      </w:pPr>
    </w:p>
    <w:p>
      <w:pPr>
        <w:ind w:right="380" w:firstLine="8"/>
        <w:spacing w:after="0" w:line="275" w:lineRule="auto"/>
        <w:tabs>
          <w:tab w:leader="none" w:pos="2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April 2, 2018</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 Section 1350, as adopted pursuant to Section 906 of the Sarbanes-Oxley Act of 2002, that, to my knowledge:</w:t>
      </w:r>
    </w:p>
    <w:p>
      <w:pPr>
        <w:spacing w:after="0" w:line="119" w:lineRule="exact"/>
        <w:rPr>
          <w:sz w:val="20"/>
          <w:szCs w:val="20"/>
          <w:color w:val="auto"/>
        </w:rPr>
      </w:pPr>
    </w:p>
    <w:p>
      <w:pPr>
        <w:ind w:right="380" w:firstLine="8"/>
        <w:spacing w:after="0" w:line="275" w:lineRule="auto"/>
        <w:tabs>
          <w:tab w:leader="none" w:pos="2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2017, as filed with the Securities and Exchange Commission (the “Report”), fully complies with the requirements of Section 13(a) or 15(d) of the Securities Exchange Act of 1934, as amended; and</w:t>
      </w:r>
    </w:p>
    <w:p>
      <w:pPr>
        <w:spacing w:after="0" w:line="118" w:lineRule="exact"/>
        <w:rPr>
          <w:rFonts w:ascii="Arial" w:cs="Arial" w:eastAsia="Arial" w:hAnsi="Arial"/>
          <w:sz w:val="16"/>
          <w:szCs w:val="16"/>
          <w:color w:val="auto"/>
        </w:rPr>
      </w:pPr>
    </w:p>
    <w:p>
      <w:pPr>
        <w:ind w:left="240" w:hanging="232"/>
        <w:spacing w:after="0"/>
        <w:tabs>
          <w:tab w:leader="none" w:pos="2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Date: April 2, 2018</w:t>
      </w:r>
    </w:p>
    <w:p>
      <w:pPr>
        <w:spacing w:after="0" w:line="397"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34925</wp:posOffset>
            </wp:positionV>
            <wp:extent cx="30359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7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404"/>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lowerLetter"/>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lowerLetter"/>
      <w:start w:val="1"/>
    </w:lvl>
  </w:abstractNum>
  <w:abstractNum w:abstractNumId="24">
    <w:nsid w:val="520EEDD1"/>
    <w:multiLevelType w:val="hybridMultilevel"/>
    <w:lvl w:ilvl="0">
      <w:lvlJc w:val="left"/>
      <w:lvlText w:val="(%1)"/>
      <w:numFmt w:val="lowerLetter"/>
      <w:start w:val="1"/>
    </w:lvl>
  </w:abstractNum>
  <w:abstractNum w:abstractNumId="25">
    <w:nsid w:val="374A3FE6"/>
    <w:multiLevelType w:val="hybridMultilevel"/>
    <w:lvl w:ilvl="0">
      <w:lvlJc w:val="left"/>
      <w:lvlText w:val="(%1)"/>
      <w:numFmt w:val="lowerLetter"/>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3"/>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1)"/>
      <w:numFmt w:val="lowerLetter"/>
      <w:start w:val="1"/>
    </w:lvl>
    <w:lvl w:ilvl="1">
      <w:lvlJc w:val="left"/>
      <w:lvlText w:val="%2."/>
      <w:numFmt w:val="decimal"/>
      <w:start w:val="1"/>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5"/>
    </w:lvl>
  </w:abstractNum>
  <w:abstractNum w:abstractNumId="54">
    <w:nsid w:val="100F8FCA"/>
    <w:multiLevelType w:val="hybridMultilevel"/>
    <w:lvl w:ilvl="0">
      <w:lvlJc w:val="left"/>
      <w:lvlText w:val="%1."/>
      <w:numFmt w:val="decimal"/>
      <w:start w:val="6"/>
    </w:lvl>
    <w:lvl w:ilvl="1">
      <w:lvlJc w:val="left"/>
      <w:lvlText w:val="\endash "/>
      <w:numFmt w:val="bullet"/>
      <w:start w:val="1"/>
    </w:lvl>
  </w:abstractNum>
  <w:abstractNum w:abstractNumId="55">
    <w:nsid w:val="6590700B"/>
    <w:multiLevelType w:val="hybridMultilevel"/>
    <w:lvl w:ilvl="0">
      <w:lvlJc w:val="left"/>
      <w:lvlText w:val="%1."/>
      <w:numFmt w:val="decimal"/>
      <w:start w:val="7"/>
    </w:lvl>
  </w:abstractNum>
  <w:abstractNum w:abstractNumId="56">
    <w:nsid w:val="15014ACB"/>
    <w:multiLevelType w:val="hybridMultilevel"/>
    <w:lvl w:ilvl="0">
      <w:lvlJc w:val="left"/>
      <w:lvlText w:val="%1."/>
      <w:numFmt w:val="decimal"/>
      <w:start w:val="11"/>
    </w:lvl>
  </w:abstractNum>
  <w:abstractNum w:abstractNumId="57">
    <w:nsid w:val="5F5E7FD0"/>
    <w:multiLevelType w:val="hybridMultilevel"/>
    <w:lvl w:ilvl="0">
      <w:lvlJc w:val="left"/>
      <w:lvlText w:val="%1."/>
      <w:numFmt w:val="decimal"/>
      <w:start w:val="12"/>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endash "/>
      <w:numFmt w:val="bullet"/>
      <w:start w:val="1"/>
    </w:lvl>
  </w:abstractNum>
  <w:abstractNum w:abstractNumId="60">
    <w:nsid w:val="6B94764"/>
    <w:multiLevelType w:val="hybridMultilevel"/>
    <w:lvl w:ilvl="0">
      <w:lvlJc w:val="left"/>
      <w:lvlText w:val="\endash "/>
      <w:numFmt w:val="bullet"/>
      <w:start w:val="1"/>
    </w:lvl>
    <w:lvl w:ilvl="1">
      <w:lvlJc w:val="left"/>
      <w:lvlText w:val="◦"/>
      <w:numFmt w:val="bullet"/>
      <w:start w:val="1"/>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lvl w:ilvl="1">
      <w:lvlJc w:val="left"/>
      <w:lvlText w:val="\endash "/>
      <w:numFmt w:val="bullet"/>
      <w:start w:val="1"/>
    </w:lvl>
    <w:lvl w:ilvl="2">
      <w:lvlJc w:val="left"/>
      <w:lvlText w:val="◦"/>
      <w:numFmt w:val="bullet"/>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2"/>
    </w:lvl>
  </w:abstractNum>
  <w:abstractNum w:abstractNumId="66">
    <w:nsid w:val="540A471C"/>
    <w:multiLevelType w:val="hybridMultilevel"/>
    <w:lvl w:ilvl="0">
      <w:lvlJc w:val="left"/>
      <w:lvlText w:val="%1."/>
      <w:numFmt w:val="decimal"/>
      <w:start w:val="3"/>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lowerLetter"/>
      <w:start w:val="4"/>
    </w:lvl>
  </w:abstractNum>
  <w:abstractNum w:abstractNumId="69">
    <w:nsid w:val="613EFDC5"/>
    <w:multiLevelType w:val="hybridMultilevel"/>
    <w:lvl w:ilvl="0">
      <w:lvlJc w:val="left"/>
      <w:lvlText w:val="%1."/>
      <w:numFmt w:val="decimal"/>
      <w:start w:val="4"/>
    </w:lvl>
  </w:abstractNum>
  <w:abstractNum w:abstractNumId="70">
    <w:nsid w:val="BF72B14"/>
    <w:multiLevelType w:val="hybridMultilevel"/>
    <w:lvl w:ilvl="0">
      <w:lvlJc w:val="left"/>
      <w:lvlText w:val="%1."/>
      <w:numFmt w:val="decimal"/>
      <w:start w:val="5"/>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decimal"/>
      <w:start w:val="1"/>
    </w:lvl>
    <w:lvl w:ilvl="1">
      <w:lvlJc w:val="left"/>
      <w:lvlText w:val="(%2)"/>
      <w:numFmt w:val="lowerLetter"/>
      <w:start w:val="2"/>
    </w:lvl>
  </w:abstractNum>
  <w:abstractNum w:abstractNumId="74">
    <w:nsid w:val="8F2B15E"/>
    <w:multiLevelType w:val="hybridMultilevel"/>
    <w:lvl w:ilvl="0">
      <w:lvlJc w:val="left"/>
      <w:lvlText w:val="%1."/>
      <w:numFmt w:val="decimal"/>
      <w:start w:val="6"/>
    </w:lvl>
    <w:lvl w:ilvl="1">
      <w:lvlJc w:val="left"/>
      <w:lvlText w:val="%2"/>
      <w:numFmt w:val="lowerLetter"/>
      <w:start w:val="1"/>
    </w:lvl>
  </w:abstractNum>
  <w:abstractNum w:abstractNumId="75">
    <w:nsid w:val="1A32234B"/>
    <w:multiLevelType w:val="hybridMultilevel"/>
    <w:lvl w:ilvl="0">
      <w:lvlJc w:val="left"/>
      <w:lvlText w:val="%1."/>
      <w:numFmt w:val="decimal"/>
      <w:start w:val="7"/>
    </w:lvl>
  </w:abstractNum>
  <w:abstractNum w:abstractNumId="76">
    <w:nsid w:val="3B0FD379"/>
    <w:multiLevelType w:val="hybridMultilevel"/>
    <w:lvl w:ilvl="0">
      <w:lvlJc w:val="left"/>
      <w:lvlText w:val="%1."/>
      <w:numFmt w:val="decimal"/>
      <w:start w:val="8"/>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lowerLetter"/>
      <w:start w:val="1"/>
    </w:lvl>
  </w:abstractNum>
  <w:abstractNum w:abstractNumId="81">
    <w:nsid w:val="1433062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99" Type="http://schemas.openxmlformats.org/officeDocument/2006/relationships/image" Target="media/image56.png"/><Relationship Id="rId100" Type="http://schemas.openxmlformats.org/officeDocument/2006/relationships/image" Target="media/image57.png"/><Relationship Id="rId101" Type="http://schemas.openxmlformats.org/officeDocument/2006/relationships/image" Target="media/image58.jpeg"/><Relationship Id="rId102" Type="http://schemas.openxmlformats.org/officeDocument/2006/relationships/image" Target="media/image59.png"/><Relationship Id="rId103"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63" Type="http://schemas.openxmlformats.org/officeDocument/2006/relationships/hyperlink" Target="http://www.sec.gov/Archives/edgar/data/1681459/000119312516743942/d213233ds4a.htm#rom213233_155" TargetMode="External"/><Relationship Id="rId64" Type="http://schemas.openxmlformats.org/officeDocument/2006/relationships/hyperlink" Target="http://www.sec.gov/Archives/edgar/data/1681459/000119312516793136/d263181dex21.htm" TargetMode="External"/><Relationship Id="rId65" Type="http://schemas.openxmlformats.org/officeDocument/2006/relationships/hyperlink" Target="http://www.sec.gov/Archives/edgar/data/1681459/000119312516793136/d263181dex22.htm" TargetMode="External"/><Relationship Id="rId66" Type="http://schemas.openxmlformats.org/officeDocument/2006/relationships/hyperlink" Target="http://www.sec.gov/Archives/edgar/data/1681459/000119312517010409/d320389dex31.htm" TargetMode="External"/><Relationship Id="rId67" Type="http://schemas.openxmlformats.org/officeDocument/2006/relationships/hyperlink" Target="http://www.sec.gov/Archives/edgar/data/1681459/000119312517102258/d369644dex41.htm" TargetMode="External"/><Relationship Id="rId68" Type="http://schemas.openxmlformats.org/officeDocument/2006/relationships/hyperlink" Target="http://www.sec.gov/Archives/edgar/data/1681459/000119312517102258/d369644dex42.htm" TargetMode="External"/><Relationship Id="rId69" Type="http://schemas.openxmlformats.org/officeDocument/2006/relationships/hyperlink" Target="http://www.sec.gov/Archives/edgar/data/1681459/000119312517102258/d369644dex43.htm" TargetMode="External"/><Relationship Id="rId70" Type="http://schemas.openxmlformats.org/officeDocument/2006/relationships/hyperlink" Target="http://www.sec.gov/Archives/edgar/data/1681459/000119312517102258/d369644dex44.htm" TargetMode="External"/><Relationship Id="rId71" Type="http://schemas.openxmlformats.org/officeDocument/2006/relationships/hyperlink" Target="http://www.sec.gov/Archives/edgar/data/1135152/000119312510044365/dex109.htm" TargetMode="External"/><Relationship Id="rId72" Type="http://schemas.openxmlformats.org/officeDocument/2006/relationships/hyperlink" Target="http://www.sec.gov/Archives/edgar/data/1135152/000119312509221455/dex109.htm" TargetMode="External"/><Relationship Id="rId73" Type="http://schemas.openxmlformats.org/officeDocument/2006/relationships/hyperlink" Target="http://www.sec.gov/Archives/edgar/data/1135152/000113515216000039/exhibit1014b.htm" TargetMode="External"/><Relationship Id="rId74" Type="http://schemas.openxmlformats.org/officeDocument/2006/relationships/hyperlink" Target="http://www.sec.gov/Archives/edgar/data/1681459/000119312517010409/d320389dex101.htm" TargetMode="External"/><Relationship Id="rId75" Type="http://schemas.openxmlformats.org/officeDocument/2006/relationships/hyperlink" Target="http://www.sec.gov/Archives/edgar/data/1681459/000168145917000244/technipfmc20170630ex101.htm" TargetMode="External"/><Relationship Id="rId76" Type="http://schemas.openxmlformats.org/officeDocument/2006/relationships/hyperlink" Target="http://www.sec.gov/Archives/edgar/data/1681459/000168145917000244/technipfmc20170630ex102.htm" TargetMode="External"/><Relationship Id="rId77" Type="http://schemas.openxmlformats.org/officeDocument/2006/relationships/hyperlink" Target="http://www.sec.gov/Archives/edgar/data/1681459/000168145917000244/technipfmc20170630ex103.htm" TargetMode="External"/><Relationship Id="rId78" Type="http://schemas.openxmlformats.org/officeDocument/2006/relationships/hyperlink" Target="http://www.sec.gov/Archives/edgar/data/1681459/000168145917000258/technipfmc20170930ex104.htm" TargetMode="External"/><Relationship Id="rId79" Type="http://schemas.openxmlformats.org/officeDocument/2006/relationships/hyperlink" Target="http://www.sec.gov/Archives/edgar/data/1681459/000168145917000244/technipfmc20170630ex104.htm" TargetMode="External"/><Relationship Id="rId80" Type="http://schemas.openxmlformats.org/officeDocument/2006/relationships/hyperlink" Target="http://www.sec.gov/Archives/edgar/data/1681459/000119312517059320/d348554dex992.htm" TargetMode="External"/><Relationship Id="rId81" Type="http://schemas.openxmlformats.org/officeDocument/2006/relationships/hyperlink" Target="http://www.sec.gov/Archives/edgar/data/1681459/000119312517059320/d348554dex993.htm" TargetMode="External"/><Relationship Id="rId82" Type="http://schemas.openxmlformats.org/officeDocument/2006/relationships/hyperlink" Target="http://www.sec.gov/Archives/edgar/data/1681459/000119312517059320/d348554dex994.htm" TargetMode="External"/><Relationship Id="rId83" Type="http://schemas.openxmlformats.org/officeDocument/2006/relationships/hyperlink" Target="http://www.sec.gov/Archives/edgar/data/1681459/000119312517059320/d348554dex995.htm" TargetMode="External"/><Relationship Id="rId84" Type="http://schemas.openxmlformats.org/officeDocument/2006/relationships/hyperlink" Target="http://www.sec.gov/Archives/edgar/data/1681459/000119312517059320/d348554dex996.htm" TargetMode="External"/><Relationship Id="rId85" Type="http://schemas.openxmlformats.org/officeDocument/2006/relationships/hyperlink" Target="http://www.sec.gov/Archives/edgar/data/1681459/000119312517059320/d348554dex997.htm" TargetMode="External"/><Relationship Id="rId86" Type="http://schemas.openxmlformats.org/officeDocument/2006/relationships/hyperlink" Target="http://www.sec.gov/Archives/edgar/data/1681459/000119312517059320/d348554dex998.htm" TargetMode="External"/><Relationship Id="rId87" Type="http://schemas.openxmlformats.org/officeDocument/2006/relationships/hyperlink" Target="http://www.sec.gov/Archives/edgar/data/1681459/000119312517059320/d348554dex999.htm" TargetMode="External"/><Relationship Id="rId88" Type="http://schemas.openxmlformats.org/officeDocument/2006/relationships/hyperlink" Target="http://www.sec.gov/Archives/edgar/data/1681459/000119312517059320/d348554dex9910.htm" TargetMode="External"/><Relationship Id="rId89" Type="http://schemas.openxmlformats.org/officeDocument/2006/relationships/hyperlink" Target="http://www.sec.gov/Archives/edgar/data/1681459/000119312517059320/d348554dex9911.htm" TargetMode="External"/><Relationship Id="rId90" Type="http://schemas.openxmlformats.org/officeDocument/2006/relationships/hyperlink" Target="http://www.sec.gov/Archives/edgar/data/1681459/000119312517059320/d348554dex9912.htm" TargetMode="External"/><Relationship Id="rId91" Type="http://schemas.openxmlformats.org/officeDocument/2006/relationships/hyperlink" Target="http://www.sec.gov/Archives/edgar/data/1681459/000168145917000244/technipfmc20170630ex105.htm" TargetMode="External"/><Relationship Id="rId92" Type="http://schemas.openxmlformats.org/officeDocument/2006/relationships/hyperlink" Target="http://www.sec.gov/Archives/edgar/data/1681459/000119312517010409/d320389dex102.htm" TargetMode="External"/><Relationship Id="rId93" Type="http://schemas.openxmlformats.org/officeDocument/2006/relationships/hyperlink" Target="http://www.sec.gov/Archives/edgar/data/1681459/000119312517010409/d320389dex103.htm" TargetMode="External"/><Relationship Id="rId94" Type="http://schemas.openxmlformats.org/officeDocument/2006/relationships/hyperlink" Target="http://www.sec.gov/Archives/edgar/data/1681459/000119312517010419/d320443dex102.htm" TargetMode="External"/><Relationship Id="rId95" Type="http://schemas.openxmlformats.org/officeDocument/2006/relationships/hyperlink" Target="http://www.sec.gov/Archives/edgar/data/1681459/000119312517010419/d320443dex103.htm" TargetMode="External"/><Relationship Id="rId96" Type="http://schemas.openxmlformats.org/officeDocument/2006/relationships/hyperlink" Target="http://www.sec.gov/Archives/edgar/data/1681459/000119312517010419/d320443dex104.htm" TargetMode="External"/><Relationship Id="rId97" Type="http://schemas.openxmlformats.org/officeDocument/2006/relationships/hyperlink" Target="http://www.sec.gov/Archives/edgar/data/1681459/000119312517010419/d320443dex101.htm" TargetMode="External"/><Relationship Id="rId98" Type="http://schemas.openxmlformats.org/officeDocument/2006/relationships/hyperlink" Target="http://www.sec.gov/Archives/edgar/data/1681459/000119312517289503/d6027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2019-12-28T23:12:52Z</dcterms:created>
  <dcterms:modified xsi:type="dcterms:W3CDTF">2019-12-28T23:12:52Z</dcterms:modified>
</cp:coreProperties>
</file>