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350520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60"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1720" w:right="1199" w:hanging="517"/>
        <w:spacing w:after="0" w:line="261" w:lineRule="auto"/>
        <w:tabs>
          <w:tab w:leader="none" w:pos="1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7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OR</w:t>
      </w:r>
    </w:p>
    <w:p>
      <w:pPr>
        <w:spacing w:after="0" w:line="324" w:lineRule="exact"/>
        <w:rPr>
          <w:sz w:val="24"/>
          <w:szCs w:val="24"/>
          <w:color w:val="auto"/>
        </w:rPr>
      </w:pPr>
    </w:p>
    <w:p>
      <w:pPr>
        <w:ind w:left="1720" w:right="799" w:hanging="517"/>
        <w:spacing w:after="0" w:line="261" w:lineRule="auto"/>
        <w:tabs>
          <w:tab w:leader="none" w:pos="1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35"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001-37983</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00" w:lineRule="exact"/>
        <w:rPr>
          <w:sz w:val="24"/>
          <w:szCs w:val="24"/>
          <w:color w:val="auto"/>
        </w:rPr>
      </w:pPr>
    </w:p>
    <w:p>
      <w:pPr>
        <w:spacing w:after="0" w:line="237"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FMC Technologies, Inc. Savings and Investment Plan</w:t>
      </w:r>
    </w:p>
    <w:p>
      <w:pPr>
        <w:spacing w:after="0" w:line="30"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11740 Katy Freeway, Houston, Texas 77079</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00" w:lineRule="exact"/>
        <w:rPr>
          <w:sz w:val="24"/>
          <w:szCs w:val="24"/>
          <w:color w:val="auto"/>
        </w:rPr>
      </w:pPr>
    </w:p>
    <w:p>
      <w:pPr>
        <w:spacing w:after="0" w:line="26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TechnipFMC plc</w:t>
      </w:r>
    </w:p>
    <w:p>
      <w:pPr>
        <w:spacing w:after="0" w:line="30"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One St. Paul’s Churchyard, London, EC4M 8AP,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86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31FF"/>
        </w:rPr>
        <w:t>Table of Contents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FMC TECHNOLOGIES, INC.</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SAVINGS AND INVESTMENT PLAN</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Report of Independent Registered Public Accounting Firm</w:t>
              </w:r>
            </w:hyperlink>
          </w:p>
        </w:tc>
        <w:tc>
          <w:tcPr>
            <w:tcW w:w="2380" w:type="dxa"/>
            <w:vAlign w:val="bottom"/>
            <w:gridSpan w:val="2"/>
          </w:tcPr>
          <w:p>
            <w:pPr>
              <w:spacing w:after="0"/>
              <w:rPr>
                <w:sz w:val="17"/>
                <w:szCs w:val="17"/>
                <w:color w:val="auto"/>
              </w:rPr>
            </w:pPr>
          </w:p>
        </w:tc>
        <w:tc>
          <w:tcPr>
            <w:tcW w:w="4160" w:type="dxa"/>
            <w:vAlign w:val="bottom"/>
            <w:gridSpan w:val="4"/>
            <w:vMerge w:val="restart"/>
          </w:tcPr>
          <w:p>
            <w:pPr>
              <w:jc w:val="center"/>
              <w:ind w:left="389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0" w:type="dxa"/>
            <w:vAlign w:val="bottom"/>
          </w:tcPr>
          <w:p>
            <w:pPr>
              <w:spacing w:after="0"/>
              <w:rPr>
                <w:sz w:val="1"/>
                <w:szCs w:val="1"/>
                <w:color w:val="auto"/>
              </w:rPr>
            </w:pPr>
          </w:p>
        </w:tc>
      </w:tr>
      <w:tr>
        <w:trPr>
          <w:trHeight w:val="48"/>
        </w:trPr>
        <w:tc>
          <w:tcPr>
            <w:tcW w:w="6980" w:type="dxa"/>
            <w:vAlign w:val="bottom"/>
            <w:gridSpan w:val="8"/>
            <w:vMerge w:val="restart"/>
          </w:tcPr>
          <w:p>
            <w:pPr>
              <w:spacing w:after="0"/>
              <w:rPr>
                <w:sz w:val="20"/>
                <w:szCs w:val="20"/>
                <w:color w:val="auto"/>
              </w:rPr>
            </w:pPr>
            <w:r>
              <w:rPr>
                <w:rFonts w:ascii="Arial" w:cs="Arial" w:eastAsia="Arial" w:hAnsi="Arial"/>
                <w:sz w:val="18"/>
                <w:szCs w:val="18"/>
                <w:color w:val="auto"/>
              </w:rPr>
              <w:t>Financial Statements:</w:t>
            </w:r>
          </w:p>
        </w:tc>
        <w:tc>
          <w:tcPr>
            <w:tcW w:w="4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980" w:type="dxa"/>
            <w:vAlign w:val="bottom"/>
            <w:gridSpan w:val="8"/>
            <w:vMerge w:val="continue"/>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7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Statements of Net Assets Available for Benefits</w:t>
              </w:r>
            </w:hyperlink>
          </w:p>
        </w:tc>
        <w:tc>
          <w:tcPr>
            <w:tcW w:w="2860" w:type="dxa"/>
            <w:vAlign w:val="bottom"/>
            <w:gridSpan w:val="3"/>
          </w:tcPr>
          <w:p>
            <w:pPr>
              <w:spacing w:after="0"/>
              <w:rPr>
                <w:sz w:val="24"/>
                <w:szCs w:val="24"/>
                <w:color w:val="auto"/>
              </w:rPr>
            </w:pPr>
          </w:p>
        </w:tc>
        <w:tc>
          <w:tcPr>
            <w:tcW w:w="4160" w:type="dxa"/>
            <w:vAlign w:val="bottom"/>
            <w:gridSpan w:val="4"/>
            <w:vMerge w:val="restart"/>
          </w:tcPr>
          <w:p>
            <w:pPr>
              <w:jc w:val="center"/>
              <w:ind w:left="389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4740" w:type="dxa"/>
            <w:vAlign w:val="bottom"/>
            <w:gridSpan w:val="6"/>
            <w:vMerge w:val="restart"/>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Statements of Changes in Net Assets Available for Benefits</w:t>
              </w:r>
            </w:hyperlink>
          </w:p>
        </w:tc>
        <w:tc>
          <w:tcPr>
            <w:tcW w:w="1900" w:type="dxa"/>
            <w:vAlign w:val="bottom"/>
            <w:vMerge w:val="restart"/>
          </w:tcPr>
          <w:p>
            <w:pPr>
              <w:spacing w:after="0"/>
              <w:rPr>
                <w:sz w:val="4"/>
                <w:szCs w:val="4"/>
                <w:color w:val="auto"/>
              </w:rPr>
            </w:pPr>
          </w:p>
        </w:tc>
        <w:tc>
          <w:tcPr>
            <w:tcW w:w="4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40" w:type="dxa"/>
            <w:vAlign w:val="bottom"/>
            <w:gridSpan w:val="6"/>
            <w:vMerge w:val="continue"/>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0" w:type="dxa"/>
            <w:vAlign w:val="bottom"/>
          </w:tcPr>
          <w:p>
            <w:pPr>
              <w:spacing w:after="0"/>
              <w:rPr>
                <w:sz w:val="24"/>
                <w:szCs w:val="24"/>
                <w:color w:val="auto"/>
              </w:rPr>
            </w:pPr>
          </w:p>
        </w:tc>
        <w:tc>
          <w:tcPr>
            <w:tcW w:w="4740" w:type="dxa"/>
            <w:vAlign w:val="bottom"/>
            <w:tcBorders>
              <w:bottom w:val="single" w:sz="8" w:color="0000EE"/>
            </w:tcBorders>
            <w:gridSpan w:val="6"/>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4160" w:type="dxa"/>
            <w:vAlign w:val="bottom"/>
            <w:gridSpan w:val="4"/>
            <w:vMerge w:val="restart"/>
          </w:tcPr>
          <w:p>
            <w:pPr>
              <w:jc w:val="center"/>
              <w:ind w:left="389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6640" w:type="dxa"/>
            <w:vAlign w:val="bottom"/>
            <w:gridSpan w:val="7"/>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4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40" w:type="dxa"/>
            <w:vAlign w:val="bottom"/>
            <w:gridSpan w:val="7"/>
            <w:vMerge w:val="continu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6640" w:type="dxa"/>
            <w:vAlign w:val="bottom"/>
            <w:gridSpan w:val="7"/>
            <w:vMerge w:val="continue"/>
          </w:tcPr>
          <w:p>
            <w:pPr>
              <w:spacing w:after="0"/>
              <w:rPr>
                <w:sz w:val="24"/>
                <w:szCs w:val="24"/>
                <w:color w:val="auto"/>
              </w:rPr>
            </w:pPr>
          </w:p>
        </w:tc>
        <w:tc>
          <w:tcPr>
            <w:tcW w:w="4160" w:type="dxa"/>
            <w:vAlign w:val="bottom"/>
            <w:gridSpan w:val="4"/>
            <w:vMerge w:val="restart"/>
          </w:tcPr>
          <w:p>
            <w:pPr>
              <w:jc w:val="center"/>
              <w:ind w:left="389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1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980" w:type="dxa"/>
            <w:vAlign w:val="bottom"/>
            <w:gridSpan w:val="8"/>
            <w:vMerge w:val="restart"/>
          </w:tcPr>
          <w:p>
            <w:pPr>
              <w:spacing w:after="0"/>
              <w:rPr>
                <w:sz w:val="20"/>
                <w:szCs w:val="20"/>
                <w:color w:val="auto"/>
              </w:rPr>
            </w:pPr>
            <w:r>
              <w:rPr>
                <w:rFonts w:ascii="Arial" w:cs="Arial" w:eastAsia="Arial" w:hAnsi="Arial"/>
                <w:sz w:val="18"/>
                <w:szCs w:val="18"/>
                <w:color w:val="auto"/>
              </w:rPr>
              <w:t>Supplemental Schedule:</w:t>
            </w:r>
          </w:p>
        </w:tc>
        <w:tc>
          <w:tcPr>
            <w:tcW w:w="4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6980" w:type="dxa"/>
            <w:vAlign w:val="bottom"/>
            <w:gridSpan w:val="8"/>
            <w:vMerge w:val="continue"/>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64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Form 5500, Schedule H, Part IV, Line 4i – Schedule of Assets (Held at End of Year)</w:t>
              </w:r>
            </w:hyperlink>
          </w:p>
        </w:tc>
        <w:tc>
          <w:tcPr>
            <w:tcW w:w="3960" w:type="dxa"/>
            <w:vAlign w:val="bottom"/>
            <w:vMerge w:val="restart"/>
          </w:tcPr>
          <w:p>
            <w:pPr>
              <w:spacing w:after="0"/>
              <w:rPr>
                <w:sz w:val="24"/>
                <w:szCs w:val="24"/>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13</w:t>
              </w:r>
            </w:hyperlink>
          </w:p>
        </w:tc>
        <w:tc>
          <w:tcPr>
            <w:tcW w:w="0" w:type="dxa"/>
            <w:vAlign w:val="bottom"/>
          </w:tcPr>
          <w:p>
            <w:pPr>
              <w:spacing w:after="0"/>
              <w:rPr>
                <w:sz w:val="1"/>
                <w:szCs w:val="1"/>
                <w:color w:val="auto"/>
              </w:rPr>
            </w:pPr>
          </w:p>
        </w:tc>
      </w:tr>
      <w:tr>
        <w:trPr>
          <w:trHeight w:val="53"/>
        </w:trPr>
        <w:tc>
          <w:tcPr>
            <w:tcW w:w="860" w:type="dxa"/>
            <w:vAlign w:val="bottom"/>
            <w:gridSpan w:val="2"/>
            <w:vMerge w:val="restart"/>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Signatures</w:t>
              </w:r>
            </w:hyperlink>
          </w:p>
        </w:tc>
        <w:tc>
          <w:tcPr>
            <w:tcW w:w="6120" w:type="dxa"/>
            <w:vAlign w:val="bottom"/>
            <w:gridSpan w:val="6"/>
            <w:vMerge w:val="restart"/>
          </w:tcPr>
          <w:p>
            <w:pPr>
              <w:spacing w:after="0"/>
              <w:rPr>
                <w:sz w:val="4"/>
                <w:szCs w:val="4"/>
                <w:color w:val="auto"/>
              </w:rPr>
            </w:pPr>
          </w:p>
        </w:tc>
        <w:tc>
          <w:tcPr>
            <w:tcW w:w="3960" w:type="dxa"/>
            <w:vAlign w:val="bottom"/>
            <w:vMerge w:val="continue"/>
          </w:tcPr>
          <w:p>
            <w:pPr>
              <w:spacing w:after="0"/>
              <w:rPr>
                <w:sz w:val="4"/>
                <w:szCs w:val="4"/>
                <w:color w:val="auto"/>
              </w:rPr>
            </w:pPr>
          </w:p>
        </w:tc>
        <w:tc>
          <w:tcPr>
            <w:tcW w:w="200" w:type="dxa"/>
            <w:vAlign w:val="bottom"/>
            <w:tcBorders>
              <w:bottom w:val="single" w:sz="8" w:color="0000EE"/>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60" w:type="dxa"/>
            <w:vAlign w:val="bottom"/>
            <w:tcBorders>
              <w:bottom w:val="single" w:sz="8" w:color="0000EE"/>
            </w:tcBorders>
            <w:gridSpan w:val="2"/>
            <w:vMerge w:val="continue"/>
          </w:tcPr>
          <w:p>
            <w:pPr>
              <w:spacing w:after="0"/>
              <w:rPr>
                <w:sz w:val="21"/>
                <w:szCs w:val="21"/>
                <w:color w:val="auto"/>
              </w:rPr>
            </w:pPr>
          </w:p>
        </w:tc>
        <w:tc>
          <w:tcPr>
            <w:tcW w:w="6120" w:type="dxa"/>
            <w:vAlign w:val="bottom"/>
            <w:gridSpan w:val="6"/>
            <w:vMerge w:val="continue"/>
          </w:tcPr>
          <w:p>
            <w:pPr>
              <w:spacing w:after="0"/>
              <w:rPr>
                <w:sz w:val="21"/>
                <w:szCs w:val="21"/>
                <w:color w:val="auto"/>
              </w:rPr>
            </w:pPr>
          </w:p>
        </w:tc>
        <w:tc>
          <w:tcPr>
            <w:tcW w:w="3960" w:type="dxa"/>
            <w:vAlign w:val="bottom"/>
            <w:vMerge w:val="restart"/>
          </w:tcPr>
          <w:p>
            <w:pPr>
              <w:spacing w:after="0"/>
              <w:rPr>
                <w:sz w:val="21"/>
                <w:szCs w:val="21"/>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14</w:t>
              </w:r>
            </w:hyperlink>
          </w:p>
        </w:tc>
        <w:tc>
          <w:tcPr>
            <w:tcW w:w="0" w:type="dxa"/>
            <w:vAlign w:val="bottom"/>
          </w:tcPr>
          <w:p>
            <w:pPr>
              <w:spacing w:after="0"/>
              <w:rPr>
                <w:sz w:val="1"/>
                <w:szCs w:val="1"/>
                <w:color w:val="auto"/>
              </w:rPr>
            </w:pPr>
          </w:p>
        </w:tc>
      </w:tr>
      <w:tr>
        <w:trPr>
          <w:trHeight w:val="53"/>
        </w:trPr>
        <w:tc>
          <w:tcPr>
            <w:tcW w:w="6980" w:type="dxa"/>
            <w:vAlign w:val="bottom"/>
            <w:gridSpan w:val="8"/>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 Index</w:t>
              </w:r>
            </w:hyperlink>
          </w:p>
        </w:tc>
        <w:tc>
          <w:tcPr>
            <w:tcW w:w="3960" w:type="dxa"/>
            <w:vAlign w:val="bottom"/>
            <w:vMerge w:val="continue"/>
          </w:tcPr>
          <w:p>
            <w:pPr>
              <w:spacing w:after="0"/>
              <w:rPr>
                <w:sz w:val="4"/>
                <w:szCs w:val="4"/>
                <w:color w:val="auto"/>
              </w:rPr>
            </w:pPr>
          </w:p>
        </w:tc>
        <w:tc>
          <w:tcPr>
            <w:tcW w:w="200" w:type="dxa"/>
            <w:vAlign w:val="bottom"/>
            <w:tcBorders>
              <w:bottom w:val="single" w:sz="8" w:color="0000EE"/>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gridSpan w:val="8"/>
            <w:vMerge w:val="continue"/>
          </w:tcPr>
          <w:p>
            <w:pPr>
              <w:spacing w:after="0"/>
              <w:rPr>
                <w:sz w:val="21"/>
                <w:szCs w:val="21"/>
                <w:color w:val="auto"/>
              </w:rPr>
            </w:pPr>
          </w:p>
        </w:tc>
        <w:tc>
          <w:tcPr>
            <w:tcW w:w="3960" w:type="dxa"/>
            <w:vAlign w:val="bottom"/>
            <w:vMerge w:val="restart"/>
          </w:tcPr>
          <w:p>
            <w:pPr>
              <w:spacing w:after="0"/>
              <w:rPr>
                <w:sz w:val="21"/>
                <w:szCs w:val="21"/>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15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6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340" w:type="dxa"/>
            <w:vAlign w:val="bottom"/>
          </w:tcPr>
          <w:p>
            <w:pPr>
              <w:spacing w:after="0"/>
              <w:rPr>
                <w:sz w:val="4"/>
                <w:szCs w:val="4"/>
                <w:color w:val="auto"/>
              </w:rPr>
            </w:pPr>
          </w:p>
        </w:tc>
        <w:tc>
          <w:tcPr>
            <w:tcW w:w="6640" w:type="dxa"/>
            <w:vAlign w:val="bottom"/>
            <w:gridSpan w:val="7"/>
            <w:vMerge w:val="restart"/>
          </w:tcPr>
          <w:p>
            <w:pPr>
              <w:spacing w:after="0"/>
              <w:rPr>
                <w:sz w:val="20"/>
                <w:szCs w:val="20"/>
                <w:color w:val="auto"/>
              </w:rPr>
            </w:pPr>
            <w:r>
              <w:rPr>
                <w:rFonts w:ascii="Arial" w:cs="Arial" w:eastAsia="Arial" w:hAnsi="Arial"/>
                <w:sz w:val="18"/>
                <w:szCs w:val="18"/>
                <w:color w:val="auto"/>
              </w:rPr>
              <w:t>Exhibit 23.1 - Consent of Independent Registered Public Accounting Firm</w:t>
            </w:r>
          </w:p>
        </w:tc>
        <w:tc>
          <w:tcPr>
            <w:tcW w:w="3960" w:type="dxa"/>
            <w:vAlign w:val="bottom"/>
            <w:vMerge w:val="continue"/>
          </w:tcPr>
          <w:p>
            <w:pPr>
              <w:spacing w:after="0"/>
              <w:rPr>
                <w:sz w:val="4"/>
                <w:szCs w:val="4"/>
                <w:color w:val="auto"/>
              </w:rPr>
            </w:pPr>
          </w:p>
        </w:tc>
        <w:tc>
          <w:tcPr>
            <w:tcW w:w="200" w:type="dxa"/>
            <w:vAlign w:val="bottom"/>
            <w:tcBorders>
              <w:bottom w:val="single" w:sz="8" w:color="0000EE"/>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6640" w:type="dxa"/>
            <w:vAlign w:val="bottom"/>
            <w:gridSpan w:val="7"/>
            <w:vMerge w:val="continue"/>
          </w:tcPr>
          <w:p>
            <w:pPr>
              <w:spacing w:after="0"/>
              <w:rPr>
                <w:sz w:val="24"/>
                <w:szCs w:val="24"/>
                <w:color w:val="auto"/>
              </w:rPr>
            </w:pPr>
          </w:p>
        </w:tc>
        <w:tc>
          <w:tcPr>
            <w:tcW w:w="4160" w:type="dxa"/>
            <w:vAlign w:val="bottom"/>
            <w:gridSpan w:val="4"/>
            <w:vMerge w:val="restart"/>
          </w:tcPr>
          <w:p>
            <w:pPr>
              <w:jc w:val="center"/>
              <w:ind w:left="387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1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6980" w:type="dxa"/>
            <w:vAlign w:val="bottom"/>
            <w:gridSpan w:val="8"/>
          </w:tcPr>
          <w:p>
            <w:pPr>
              <w:ind w:left="5620"/>
              <w:spacing w:after="0"/>
              <w:rPr>
                <w:sz w:val="20"/>
                <w:szCs w:val="20"/>
                <w:color w:val="auto"/>
              </w:rPr>
            </w:pPr>
            <w:r>
              <w:rPr>
                <w:rFonts w:ascii="Arial" w:cs="Arial" w:eastAsia="Arial" w:hAnsi="Arial"/>
                <w:sz w:val="18"/>
                <w:szCs w:val="18"/>
                <w:color w:val="auto"/>
              </w:rPr>
              <w:t>2</w:t>
            </w: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FMC Technologies, Inc. Savings and Investment Plan</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Statements of Net Assets Available for Benefits of the FMC Technologies, Inc. Savings and Investment Plan (the Plan) as of December 31, 2017 and 2016, and the related Statements of Changes in Net Assets Available for Benefits for the years then ended, and the related notes to the financial statements (collectively referred to as the financial statements). In our opinion, the financial statements present fairly, in all material respects, the net assets available for benefits of the Plan as of December 31, 2017 and 2016, and the changes in net assets available for benefits for the years then ended, in conformity with accounting principles generally accepted in the United States of America.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Opinion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statements are the responsibility of Plan management. Our responsibility is to express an opinion on the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6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conducted our audits in accordance with the auditing standards of the PCAOB. Those standards require that we plan and perform the audits to obtain reasonable assurance about whether the financial statements are free of material misstatement, whether due to error or fraud.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3" w:name="page4"/>
    <w:bookmarkEnd w:id="3"/>
    <w:p>
      <w:pPr>
        <w:jc w:val="both"/>
        <w:spacing w:after="0" w:line="253" w:lineRule="auto"/>
        <w:rPr>
          <w:sz w:val="20"/>
          <w:szCs w:val="20"/>
          <w:color w:val="auto"/>
        </w:rPr>
      </w:pPr>
      <w:r>
        <w:rPr>
          <w:rFonts w:ascii="Arial" w:cs="Arial" w:eastAsia="Arial" w:hAnsi="Arial"/>
          <w:sz w:val="18"/>
          <w:szCs w:val="18"/>
          <w:color w:val="auto"/>
        </w:rPr>
        <w:t>Our audits included performing audit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Plan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Supplemental Information</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supplementary information of Schedule of Assets (Held at end of Year) as of December 31, 2017 has been subjected to audit procedures performed in conjunction with the audit of the Plan’s Financial Statements. The supplementary information is the responsibility of Plan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supplementary information, we evaluated whether the supplementary information, including its form and content, is presented in conformity with the Department of Labor's Rules and Regulations for Reporting and Disclosure under the Employee Retirement Income Security Act. In our opinion, the supplementary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auditors since 2010.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June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63" w:right="239" w:bottom="1440" w:gutter="0" w:footer="0" w:header="0"/>
        </w:sectPr>
      </w:pPr>
    </w:p>
    <w:bookmarkStart w:id="4" w:name="page5"/>
    <w:bookmarkEnd w:id="4"/>
    <w:p>
      <w:pPr>
        <w:jc w:val="center"/>
        <w:ind w:left="3680"/>
        <w:spacing w:after="0"/>
        <w:rPr>
          <w:sz w:val="20"/>
          <w:szCs w:val="20"/>
          <w:color w:val="auto"/>
        </w:rPr>
      </w:pPr>
      <w:r>
        <w:rPr>
          <w:rFonts w:ascii="Arial" w:cs="Arial" w:eastAsia="Arial" w:hAnsi="Arial"/>
          <w:sz w:val="18"/>
          <w:szCs w:val="18"/>
          <w:b w:val="1"/>
          <w:bCs w:val="1"/>
          <w:color w:val="auto"/>
        </w:rPr>
        <w:t>FMC TECHNOLOGIES, INC.</w:t>
      </w:r>
    </w:p>
    <w:p>
      <w:pPr>
        <w:spacing w:after="0" w:line="31"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SAVINGS AND INVESTMENT PLAN</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at fair value</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at contract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Total investments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Receivables – Employee contributions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Receivables – 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assets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administrative expenses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1,166,218</w:t>
            </w:r>
          </w:p>
        </w:tc>
        <w:tc>
          <w:tcPr>
            <w:tcW w:w="120" w:type="dxa"/>
            <w:vAlign w:val="bottom"/>
          </w:tcPr>
          <w:p>
            <w:pPr>
              <w:spacing w:after="0"/>
              <w:rPr>
                <w:sz w:val="14"/>
                <w:szCs w:val="1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676,289</w:t>
            </w:r>
          </w:p>
        </w:tc>
      </w:tr>
      <w:tr>
        <w:trPr>
          <w:trHeight w:val="384"/>
        </w:trPr>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64,172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53,442</w:t>
            </w:r>
          </w:p>
        </w:tc>
      </w:tr>
      <w:tr>
        <w:trPr>
          <w:trHeight w:val="339"/>
        </w:trPr>
        <w:tc>
          <w:tcPr>
            <w:tcW w:w="4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1,230,390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729,731</w:t>
            </w:r>
          </w:p>
        </w:tc>
      </w:tr>
      <w:tr>
        <w:trPr>
          <w:trHeight w:val="392"/>
        </w:trPr>
        <w:tc>
          <w:tcPr>
            <w:tcW w:w="4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26,037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21,658</w:t>
            </w:r>
          </w:p>
        </w:tc>
      </w:tr>
      <w:tr>
        <w:trPr>
          <w:trHeight w:val="378"/>
        </w:trPr>
        <w:tc>
          <w:tcPr>
            <w:tcW w:w="4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384"/>
        </w:trPr>
        <w:tc>
          <w:tcPr>
            <w:tcW w:w="4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339"/>
        </w:trPr>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1,256,427</w:t>
            </w: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751,393</w:t>
            </w:r>
          </w:p>
        </w:tc>
      </w:tr>
      <w:tr>
        <w:trPr>
          <w:trHeight w:val="695"/>
        </w:trPr>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358"/>
        </w:trPr>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345"/>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1,256,271</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751,376</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40" w:space="600"/>
            <w:col w:w="3080"/>
          </w:cols>
          <w:pgMar w:left="240" w:top="36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FMC TECHNOLOGIES,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SAVINGS AND INVESTMENT PLAN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Statements of Changes in Net Assets Available for Benefits</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to Net Assets Available for Benefits: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Net appreciation in fair value of investments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investment income</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Employee contributions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Rollover contributions</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income on notes receivable from participants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Deductions from Net Assets Available for Benefits: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Benefit distributions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Administrative expenses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prior to transfers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to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in net assets available for benefits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 end of year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3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383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p>
      <w:pPr>
        <w:ind w:left="800"/>
        <w:spacing w:after="0"/>
        <w:tabs>
          <w:tab w:leader="none" w:pos="2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59,526</w:t>
            </w:r>
          </w:p>
        </w:tc>
        <w:tc>
          <w:tcPr>
            <w:tcW w:w="120" w:type="dxa"/>
            <w:vAlign w:val="bottom"/>
          </w:tcPr>
          <w:p>
            <w:pPr>
              <w:spacing w:after="0"/>
              <w:rPr>
                <w:sz w:val="14"/>
                <w:szCs w:val="14"/>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41,560</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18,948</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21,124</w:t>
            </w:r>
          </w:p>
        </w:tc>
      </w:tr>
      <w:tr>
        <w:trPr>
          <w:trHeight w:val="352"/>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78,474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62,684</w:t>
            </w:r>
          </w:p>
        </w:tc>
      </w:tr>
      <w:tr>
        <w:trPr>
          <w:trHeight w:val="675"/>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32,730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36,386</w:t>
            </w:r>
          </w:p>
        </w:tc>
      </w:tr>
      <w:tr>
        <w:trPr>
          <w:trHeight w:val="378"/>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32,275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39,388</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2,357</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1,864</w:t>
            </w:r>
          </w:p>
        </w:tc>
      </w:tr>
      <w:tr>
        <w:trPr>
          <w:trHeight w:val="352"/>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67,362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77,638</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986</w:t>
            </w:r>
          </w:p>
        </w:tc>
      </w:tr>
      <w:tr>
        <w:trPr>
          <w:trHeight w:val="352"/>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146,710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141,308</w:t>
            </w:r>
          </w:p>
        </w:tc>
      </w:tr>
      <w:tr>
        <w:trPr>
          <w:trHeight w:val="675"/>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98,761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91,516</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r>
      <w:tr>
        <w:trPr>
          <w:trHeight w:val="352"/>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98,918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91,622</w:t>
            </w:r>
          </w:p>
        </w:tc>
      </w:tr>
      <w:tr>
        <w:trPr>
          <w:trHeight w:val="378"/>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47,792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49,686</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457,103</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339"/>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504,895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49,686</w:t>
            </w:r>
          </w:p>
        </w:tc>
      </w:tr>
      <w:tr>
        <w:trPr>
          <w:trHeight w:val="398"/>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751,376</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701,690</w:t>
            </w:r>
          </w:p>
        </w:tc>
      </w:tr>
      <w:tr>
        <w:trPr>
          <w:trHeight w:val="345"/>
        </w:trPr>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1,256,271</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751,376</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940" w:space="720"/>
            <w:col w:w="3740"/>
          </w:cols>
          <w:pgMar w:left="240" w:top="360" w:right="259" w:bottom="1440" w:gutter="0" w:footer="0" w:header="0"/>
          <w:type w:val="continuous"/>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FMC TECHNOLOGIES,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SAVINGS AND INVESTMENT PLAN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PLAN</w:t>
      </w:r>
    </w:p>
    <w:p>
      <w:pPr>
        <w:spacing w:after="0" w:line="1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description of the FMC Technologies, Inc. Savings and Investment Plan (the “Plan”) provides general information. Participants should refer to the Plan agreement, as amended, for a complete description of the Plan’s provisions.</w:t>
      </w:r>
    </w:p>
    <w:p>
      <w:pPr>
        <w:spacing w:after="0" w:line="120"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w:t>
      </w:r>
    </w:p>
    <w:p>
      <w:pPr>
        <w:spacing w:after="0" w:line="112" w:lineRule="exact"/>
        <w:rPr>
          <w:rFonts w:ascii="Arial" w:cs="Arial" w:eastAsia="Arial" w:hAnsi="Arial"/>
          <w:sz w:val="18"/>
          <w:szCs w:val="18"/>
          <w:b w:val="1"/>
          <w:bCs w:val="1"/>
          <w:i w:val="1"/>
          <w:iCs w:val="1"/>
          <w:color w:val="auto"/>
        </w:rPr>
      </w:pPr>
    </w:p>
    <w:p>
      <w:pPr>
        <w:ind w:left="880" w:right="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is a qualified salary-reduction plan under Section 401(k) of the Internal Revenue Code of 1986, as amended (the “Code”), and is available to all employees of FMC Technologies, Inc. (“FMC Technologies” or the “Company”) who meet certain eligibility requirements under the Plan. Such employees are eligible to participate in the Plan immediately upon commencement of their employment with the Company. The Plan is subject to the provisions of the Employee Retirement Income Security Act of 1974, as amended (“ERISA”). The Plan is administered by the FMC Technologies, Inc. Employee Benefits Committee (“EBC”), acting on behalf of the Company as the Plan administrator.</w:t>
      </w:r>
    </w:p>
    <w:p>
      <w:pPr>
        <w:spacing w:after="0" w:line="73" w:lineRule="exact"/>
        <w:rPr>
          <w:rFonts w:ascii="Arial" w:cs="Arial" w:eastAsia="Arial" w:hAnsi="Arial"/>
          <w:sz w:val="18"/>
          <w:szCs w:val="18"/>
          <w:b w:val="1"/>
          <w:bCs w:val="1"/>
          <w:i w:val="1"/>
          <w:iCs w:val="1"/>
          <w:color w:val="auto"/>
        </w:rPr>
      </w:pPr>
    </w:p>
    <w:p>
      <w:pPr>
        <w:ind w:left="880" w:right="54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2016, the Company completed the sale of Chalfont and amended the Plan such that employees of Chalfont who were participants under the Plan and who ceased to be employees of the Company became fully vested.</w:t>
      </w:r>
    </w:p>
    <w:p>
      <w:pPr>
        <w:spacing w:after="0" w:line="61" w:lineRule="exact"/>
        <w:rPr>
          <w:rFonts w:ascii="Arial" w:cs="Arial" w:eastAsia="Arial" w:hAnsi="Arial"/>
          <w:sz w:val="18"/>
          <w:szCs w:val="18"/>
          <w:b w:val="1"/>
          <w:bCs w:val="1"/>
          <w:i w:val="1"/>
          <w:iCs w:val="1"/>
          <w:color w:val="auto"/>
        </w:rPr>
      </w:pPr>
    </w:p>
    <w:p>
      <w:pPr>
        <w:jc w:val="both"/>
        <w:ind w:left="88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On January 16, 2017, the Company completed the merger with Technip S.A. (the “Merger”). As a result of the Merger, TechnipFMC plc (“TechnipFMC”) acquired a 100% interest in the Company. On January 16, 2017, shares of common stock of FMC Technologies (the “FMCTI shares”) ceased trading on the New York Stock Exchange (“NYSE”) and TechnipFMC began trading on the NYSE and Euronext Paris exchanges under the symbol “FTI”. Each share of FMCTI was exchanged for 1.0 ordinary share of TechnipFMC (the “FTI shares”).</w:t>
      </w:r>
    </w:p>
    <w:p>
      <w:pPr>
        <w:spacing w:after="0" w:line="70" w:lineRule="exact"/>
        <w:rPr>
          <w:rFonts w:ascii="Arial" w:cs="Arial" w:eastAsia="Arial" w:hAnsi="Arial"/>
          <w:sz w:val="18"/>
          <w:szCs w:val="18"/>
          <w:b w:val="1"/>
          <w:bCs w:val="1"/>
          <w:i w:val="1"/>
          <w:iCs w:val="1"/>
          <w:color w:val="auto"/>
        </w:rPr>
      </w:pPr>
    </w:p>
    <w:p>
      <w:pPr>
        <w:jc w:val="both"/>
        <w:ind w:left="880" w:right="54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conjunction with the Merger, plan assets of the Technip USA, Inc. 401(k) Profit Sharing Plan (“Technip U.S. Plan”), Technip Umbilicals Inc. 401(k) Plan (“Technip Umbilicals Plan”), and Forsys Subsea Retirement Savings Plan (“Forsys Subsea Plan”) merged into the Plan effective December 29, 2017.</w:t>
      </w:r>
    </w:p>
    <w:p>
      <w:pPr>
        <w:spacing w:after="0" w:line="125"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Contributions</w:t>
      </w:r>
    </w:p>
    <w:p>
      <w:pPr>
        <w:spacing w:after="0" w:line="112" w:lineRule="exact"/>
        <w:rPr>
          <w:rFonts w:ascii="Arial" w:cs="Arial" w:eastAsia="Arial" w:hAnsi="Arial"/>
          <w:sz w:val="18"/>
          <w:szCs w:val="18"/>
          <w:b w:val="1"/>
          <w:bCs w:val="1"/>
          <w:i w:val="1"/>
          <w:iCs w:val="1"/>
          <w:color w:val="auto"/>
        </w:rPr>
      </w:pPr>
    </w:p>
    <w:p>
      <w:pPr>
        <w:ind w:left="880" w:right="6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allows participants to contribute a percentage of their compensation to the Plan. Participants may elect to contribute up to 75% of their total eligible compensation on a pre-tax or an after-tax basis. Pre-tax contributions were subject to the limitation of $18,000 for 2017 and 2016, respectively, under the Code. In addition, active employees who attain age 50 or older during the year are eligible to make catch-up contributions to the prescribed limit. The limitation on the catch-up contribution was $6,000 for 2017 and 2016.</w:t>
      </w:r>
    </w:p>
    <w:p>
      <w:pPr>
        <w:spacing w:after="0" w:line="70" w:lineRule="exact"/>
        <w:rPr>
          <w:rFonts w:ascii="Arial" w:cs="Arial" w:eastAsia="Arial" w:hAnsi="Arial"/>
          <w:sz w:val="18"/>
          <w:szCs w:val="18"/>
          <w:b w:val="1"/>
          <w:bCs w:val="1"/>
          <w:i w:val="1"/>
          <w:iCs w:val="1"/>
          <w:color w:val="auto"/>
        </w:rPr>
      </w:pPr>
    </w:p>
    <w:p>
      <w:pPr>
        <w:ind w:left="880" w:right="6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makes matching contributions (“Company Safe Harbor Matching Contributions”) for all active participants, except for certain bargaining unit employees. The Company matches 100% of each participant’s contribution, up to the first 5% of eligible compensation. Effective January 1, 2010, the Company began making nonelective contributions to all eligible nonunion employees hired or rehired on or after January 1, 2010, and then current nonunion participants with less than five years of vested service as of December 31, 2009. The nonelective contribution percentage is determined annually by the Company. The Company made nonelective contributions of 4% for all eligible participants during the years ended December 31, 2017 and 2016.</w:t>
      </w:r>
    </w:p>
    <w:p>
      <w:pPr>
        <w:spacing w:after="0" w:line="73" w:lineRule="exact"/>
        <w:rPr>
          <w:rFonts w:ascii="Arial" w:cs="Arial" w:eastAsia="Arial" w:hAnsi="Arial"/>
          <w:sz w:val="18"/>
          <w:szCs w:val="18"/>
          <w:b w:val="1"/>
          <w:bCs w:val="1"/>
          <w:i w:val="1"/>
          <w:iCs w:val="1"/>
          <w:color w:val="auto"/>
        </w:rPr>
      </w:pPr>
    </w:p>
    <w:p>
      <w:pPr>
        <w:ind w:left="880" w:right="72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may also contribute amounts representing distributions from other qualified defined contribution plans (rollover contributions).</w:t>
      </w:r>
    </w:p>
    <w:p>
      <w:pPr>
        <w:spacing w:after="0" w:line="61" w:lineRule="exact"/>
        <w:rPr>
          <w:rFonts w:ascii="Arial" w:cs="Arial" w:eastAsia="Arial" w:hAnsi="Arial"/>
          <w:sz w:val="18"/>
          <w:szCs w:val="18"/>
          <w:b w:val="1"/>
          <w:bCs w:val="1"/>
          <w:i w:val="1"/>
          <w:iCs w:val="1"/>
          <w:color w:val="auto"/>
        </w:rPr>
      </w:pPr>
    </w:p>
    <w:p>
      <w:pPr>
        <w:ind w:left="8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2017 and 2016, a total of 10,766 and 7,737 current and former employees participated in the Plan, respectively.</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360" w:right="299" w:bottom="1440" w:gutter="0" w:footer="0" w:header="0"/>
        </w:sectPr>
      </w:pPr>
    </w:p>
    <w:bookmarkStart w:id="7" w:name="page8"/>
    <w:bookmarkEnd w:id="7"/>
    <w:p>
      <w:pPr>
        <w:ind w:left="440" w:hanging="440"/>
        <w:spacing w:after="0"/>
        <w:tabs>
          <w:tab w:leader="none" w:pos="4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Trust and Recordkeeping</w:t>
      </w:r>
    </w:p>
    <w:p>
      <w:pPr>
        <w:spacing w:after="0" w:line="112" w:lineRule="exact"/>
        <w:rPr>
          <w:rFonts w:ascii="Arial" w:cs="Arial" w:eastAsia="Arial" w:hAnsi="Arial"/>
          <w:sz w:val="18"/>
          <w:szCs w:val="18"/>
          <w:b w:val="1"/>
          <w:bCs w:val="1"/>
          <w:i w:val="1"/>
          <w:iCs w:val="1"/>
          <w:color w:val="auto"/>
        </w:rPr>
      </w:pPr>
    </w:p>
    <w:p>
      <w:pPr>
        <w:ind w:left="440" w:right="18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and Fidelity Management Trust Company (the “Trustee”) established a trust for investment purposes as part of the Plan. The Trustee is also the Plan’s recordkeeper.</w:t>
      </w:r>
    </w:p>
    <w:p>
      <w:pPr>
        <w:spacing w:after="0" w:line="120"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Options</w:t>
      </w:r>
    </w:p>
    <w:p>
      <w:pPr>
        <w:spacing w:after="0" w:line="112" w:lineRule="exact"/>
        <w:rPr>
          <w:rFonts w:ascii="Arial" w:cs="Arial" w:eastAsia="Arial" w:hAnsi="Arial"/>
          <w:sz w:val="18"/>
          <w:szCs w:val="18"/>
          <w:b w:val="1"/>
          <w:bCs w:val="1"/>
          <w:i w:val="1"/>
          <w:iCs w:val="1"/>
          <w:color w:val="auto"/>
        </w:rPr>
      </w:pPr>
    </w:p>
    <w:p>
      <w:pPr>
        <w:ind w:left="440" w:right="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have the option of investing their contributions and the Company’s matching and nonelective contributions among one or all of the available investment options offered by the Plan. Generally, participants may transfer some or all of the balances out of any fund into one or any combination of the other funds at any time. A self-directed brokerage account option is also available to allow participants to select investment options not specifically offered by the Plan.</w:t>
      </w:r>
    </w:p>
    <w:p>
      <w:pPr>
        <w:spacing w:after="0" w:line="74"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Vesting</w:t>
      </w:r>
    </w:p>
    <w:p>
      <w:pPr>
        <w:spacing w:after="0" w:line="112" w:lineRule="exact"/>
        <w:rPr>
          <w:rFonts w:ascii="Arial" w:cs="Arial" w:eastAsia="Arial" w:hAnsi="Arial"/>
          <w:sz w:val="18"/>
          <w:szCs w:val="18"/>
          <w:b w:val="1"/>
          <w:bCs w:val="1"/>
          <w:i w:val="1"/>
          <w:iCs w:val="1"/>
          <w:color w:val="auto"/>
        </w:rPr>
      </w:pPr>
    </w:p>
    <w:p>
      <w:pPr>
        <w:ind w:left="440" w:right="10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are immediately vested in their elective contributions and Company Safe Harbor Matching Contributions, plus actual earnings thereon. Eligible participants become vested in any balance of their Company nonelective contributions upon three years of service (or age 55 if active, if earlier).</w:t>
      </w:r>
    </w:p>
    <w:p>
      <w:pPr>
        <w:spacing w:after="0" w:line="125"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Benefits and Forfeitures</w:t>
      </w:r>
    </w:p>
    <w:p>
      <w:pPr>
        <w:spacing w:after="0" w:line="112" w:lineRule="exact"/>
        <w:rPr>
          <w:rFonts w:ascii="Arial" w:cs="Arial" w:eastAsia="Arial" w:hAnsi="Arial"/>
          <w:sz w:val="18"/>
          <w:szCs w:val="18"/>
          <w:b w:val="1"/>
          <w:bCs w:val="1"/>
          <w:i w:val="1"/>
          <w:iCs w:val="1"/>
          <w:color w:val="auto"/>
        </w:rPr>
      </w:pPr>
    </w:p>
    <w:p>
      <w:pPr>
        <w:ind w:left="4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Upon termination of service, death, disability or attainment of age 59½, a participant may elect to immediately receive a lump sum distribution equal to the vested interest of his or her account. Participants may, upon termination, elect to defer their lump sum distribution or receive annual installments. If a participant is not fully vested in the Company’s nonelective contributions to his or her account on the date of termination of employment, the nonvested portion is forfeited. Forfeitures are used to pay certain administrative expenses of the Plan and to reduce future Company contributions to the Plan. During 2017 and 2016, forfeitures of $2,389,000 and $19,000, respectively, were used to pay certain administrative expenses of the Plan and to reduce Company contributions. The forfeited balances held in the Plan as of December 31, 2017 and 2016, were $1,477,000 and $2,368,000, respectively.</w:t>
      </w:r>
    </w:p>
    <w:p>
      <w:pPr>
        <w:spacing w:after="0" w:line="130"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Administrative Expenses</w:t>
      </w:r>
    </w:p>
    <w:p>
      <w:pPr>
        <w:spacing w:after="0" w:line="112" w:lineRule="exact"/>
        <w:rPr>
          <w:rFonts w:ascii="Arial" w:cs="Arial" w:eastAsia="Arial" w:hAnsi="Arial"/>
          <w:sz w:val="18"/>
          <w:szCs w:val="18"/>
          <w:b w:val="1"/>
          <w:bCs w:val="1"/>
          <w:i w:val="1"/>
          <w:iCs w:val="1"/>
          <w:color w:val="auto"/>
        </w:rPr>
      </w:pPr>
    </w:p>
    <w:p>
      <w:pPr>
        <w:ind w:left="440" w:right="20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Certain Plan administrative expenses are paid by the Trustee out of the assets of the Plan and constitute a charge upon the respective investment funds or upon the individual participants’ accounts while fees associated with self-directed brokerage accounts are paid by the participants. These investment-related expenses are included in net depreciation in fair value of investments. Certain other Plan expenses may be paid by the Plan from the forfeitures balance. Administrative expenses paid by the Company are excluded from these financial statements.</w:t>
      </w:r>
    </w:p>
    <w:p>
      <w:pPr>
        <w:spacing w:after="0" w:line="129"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Withdrawals and Loans</w:t>
      </w:r>
    </w:p>
    <w:p>
      <w:pPr>
        <w:spacing w:after="0" w:line="112" w:lineRule="exact"/>
        <w:rPr>
          <w:rFonts w:ascii="Arial" w:cs="Arial" w:eastAsia="Arial" w:hAnsi="Arial"/>
          <w:sz w:val="18"/>
          <w:szCs w:val="18"/>
          <w:b w:val="1"/>
          <w:bCs w:val="1"/>
          <w:i w:val="1"/>
          <w:iCs w:val="1"/>
          <w:color w:val="auto"/>
        </w:rPr>
      </w:pPr>
    </w:p>
    <w:p>
      <w:pPr>
        <w:ind w:left="440" w:right="10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Subject to income taxation and the Internal Revenue Service (“IRS”) penalties, the Plan allows participants to make in-service and hardship cash withdrawal of some or all of their vested account balances (including the balances of self-directed brokerage accounts). Eligible participants may also receive money from the Plan in the form of loans. The minimum that may be borrowed is $1,000. The maximum that may be borrowed is the lesser of $50,000, minus the highest outstanding loan balance during the one-year period ending on the day before the loan is made, or 50% of the participant’s vested account balance. Loans, which are secured by the participant’s vested account balance, in general must be repaid over a time period not to exceed 60 months with exception if the participant uses the loan to purchase a primary residence. Loans bear interest at a reasonable rate as determined by the EBC. A participant may have no more than two loans outstanding at any one time.</w:t>
      </w:r>
    </w:p>
    <w:p>
      <w:pPr>
        <w:spacing w:after="0" w:line="130"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Plan Termination</w:t>
      </w:r>
    </w:p>
    <w:p>
      <w:pPr>
        <w:spacing w:after="0" w:line="112" w:lineRule="exact"/>
        <w:rPr>
          <w:rFonts w:ascii="Arial" w:cs="Arial" w:eastAsia="Arial" w:hAnsi="Arial"/>
          <w:sz w:val="18"/>
          <w:szCs w:val="18"/>
          <w:b w:val="1"/>
          <w:bCs w:val="1"/>
          <w:i w:val="1"/>
          <w:iCs w:val="1"/>
          <w:color w:val="auto"/>
        </w:rPr>
      </w:pPr>
    </w:p>
    <w:p>
      <w:pPr>
        <w:ind w:left="440" w:right="2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has the right under the Plan to discontinue its contributions at any time and to terminate the Plan (“full termination”) subject to the provisions of the Plan and ERISA but has not expressed any intent to do so. In the event of full termination or termination with respect to a group or class of participants (“partial termination”), the unvested portion of Company contributions for participants subject to such full termination or partial termination will become fully vested.</w:t>
      </w:r>
    </w:p>
    <w:p>
      <w:pPr>
        <w:spacing w:after="0" w:line="2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680" w:top="522" w:right="339" w:bottom="1440" w:gutter="0" w:footer="0" w:header="0"/>
        </w:sectPr>
      </w:pPr>
    </w:p>
    <w:bookmarkStart w:id="8" w:name="page9"/>
    <w:bookmarkEnd w:id="8"/>
    <w:p>
      <w:pPr>
        <w:ind w:left="880" w:hanging="440"/>
        <w:spacing w:after="0"/>
        <w:tabs>
          <w:tab w:leader="none" w:pos="8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 Accounts</w:t>
      </w:r>
    </w:p>
    <w:p>
      <w:pPr>
        <w:spacing w:after="0" w:line="112" w:lineRule="exact"/>
        <w:rPr>
          <w:rFonts w:ascii="Arial" w:cs="Arial" w:eastAsia="Arial" w:hAnsi="Arial"/>
          <w:sz w:val="18"/>
          <w:szCs w:val="18"/>
          <w:b w:val="1"/>
          <w:bCs w:val="1"/>
          <w:i w:val="1"/>
          <w:iCs w:val="1"/>
          <w:color w:val="auto"/>
        </w:rPr>
      </w:pPr>
    </w:p>
    <w:p>
      <w:pPr>
        <w:ind w:left="880" w:right="8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A separate account is maintained for each participant. Each participant’s account is credited with the participant’s contributions, the Company’s contributions and allocations of Plan earnings or losses and certain administrative expenses. Allocations are based on participant earnings or account balances. The benefit to which a participant is entitled is the benefit that can be provided from the participant’s vested balance.</w:t>
      </w:r>
    </w:p>
    <w:p>
      <w:pPr>
        <w:spacing w:after="0" w:line="128"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Transfers to the Plan</w:t>
      </w:r>
    </w:p>
    <w:p>
      <w:pPr>
        <w:spacing w:after="0" w:line="112" w:lineRule="exact"/>
        <w:rPr>
          <w:rFonts w:ascii="Arial" w:cs="Arial" w:eastAsia="Arial" w:hAnsi="Arial"/>
          <w:sz w:val="18"/>
          <w:szCs w:val="18"/>
          <w:b w:val="1"/>
          <w:bCs w:val="1"/>
          <w:i w:val="1"/>
          <w:iCs w:val="1"/>
          <w:color w:val="auto"/>
        </w:rPr>
      </w:pPr>
    </w:p>
    <w:p>
      <w:pPr>
        <w:ind w:left="880" w:right="12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conjunction with the Merger, plan assets of the Technip U.S. Plan, Technip Umbilicals Plan, Forsys Subsea Plan, and notes receivable from participants of $440,035,000, $9,853,000, $2,698,000, and $4,517,000, respectively, were merged into the Plan effective December 29, 2017, and are included in Transfers to the Plan in the accompanying Statements of Changes in Net Assets Available for Benefits.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accounting policies followed by the Plan:</w:t>
      </w:r>
    </w:p>
    <w:p>
      <w:pPr>
        <w:spacing w:after="0" w:line="149"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Accounting</w:t>
      </w:r>
    </w:p>
    <w:p>
      <w:pPr>
        <w:spacing w:after="0" w:line="112" w:lineRule="exact"/>
        <w:rPr>
          <w:rFonts w:ascii="Arial" w:cs="Arial" w:eastAsia="Arial" w:hAnsi="Arial"/>
          <w:sz w:val="18"/>
          <w:szCs w:val="18"/>
          <w:b w:val="1"/>
          <w:bCs w:val="1"/>
          <w:i w:val="1"/>
          <w:iCs w:val="1"/>
          <w:color w:val="auto"/>
        </w:rPr>
      </w:pPr>
    </w:p>
    <w:p>
      <w:pPr>
        <w:ind w:left="880" w:right="14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financial statements are prepared on the accrual basis of accounting in accordance with generally accepted accounting principles in the United States of America (“GAAP”).</w:t>
      </w:r>
    </w:p>
    <w:p>
      <w:pPr>
        <w:spacing w:after="0" w:line="120"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2" w:lineRule="exact"/>
        <w:rPr>
          <w:rFonts w:ascii="Arial" w:cs="Arial" w:eastAsia="Arial" w:hAnsi="Arial"/>
          <w:sz w:val="18"/>
          <w:szCs w:val="18"/>
          <w:b w:val="1"/>
          <w:bCs w:val="1"/>
          <w:i w:val="1"/>
          <w:iCs w:val="1"/>
          <w:color w:val="auto"/>
        </w:rPr>
      </w:pPr>
    </w:p>
    <w:p>
      <w:pPr>
        <w:jc w:val="both"/>
        <w:ind w:left="880" w:right="8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GAAP requires management of the Plan administrator to make estimates and assumptions that affect the reported amounts of assets, liabilities and changes therein and disclosure of contingent assets and liabilities at the date of the financial statements. Actual results could differ from these estimates.</w:t>
      </w:r>
    </w:p>
    <w:p>
      <w:pPr>
        <w:spacing w:after="0" w:line="125"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 and Income Recognition</w:t>
      </w:r>
    </w:p>
    <w:p>
      <w:pPr>
        <w:spacing w:after="0" w:line="112" w:lineRule="exact"/>
        <w:rPr>
          <w:rFonts w:ascii="Arial" w:cs="Arial" w:eastAsia="Arial" w:hAnsi="Arial"/>
          <w:sz w:val="18"/>
          <w:szCs w:val="18"/>
          <w:b w:val="1"/>
          <w:bCs w:val="1"/>
          <w:i w:val="1"/>
          <w:iCs w:val="1"/>
          <w:color w:val="auto"/>
        </w:rPr>
      </w:pPr>
    </w:p>
    <w:p>
      <w:pPr>
        <w:ind w:left="880" w:right="88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With the exception of the Plan’s fully benefit-responsive investment contracts that are valued at contract value, the Plan’s investments are stated at fair value. See Note 4 for discussion of fair value measurements.</w:t>
      </w:r>
    </w:p>
    <w:p>
      <w:pPr>
        <w:spacing w:after="0" w:line="61" w:lineRule="exact"/>
        <w:rPr>
          <w:rFonts w:ascii="Arial" w:cs="Arial" w:eastAsia="Arial" w:hAnsi="Arial"/>
          <w:sz w:val="18"/>
          <w:szCs w:val="18"/>
          <w:b w:val="1"/>
          <w:bCs w:val="1"/>
          <w:i w:val="1"/>
          <w:iCs w:val="1"/>
          <w:color w:val="auto"/>
        </w:rPr>
      </w:pPr>
    </w:p>
    <w:p>
      <w:pPr>
        <w:ind w:left="880" w:right="4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Purchases and sales of securities are recorded on a trade date basis. The Plan presents in the Statements of Changes in Net Assets Available for Benefits the net depreciation in the fair value of its investments, which consists of the realized gains and losses on investments bought and sold during the year, and the unrealized gains and losses on investments held during the year. Expenses associated with the Plan’s investment portfolio are included in net depreciation in fair value of investments. Dividends are recorded on the record date. Interest income is recorded on the accrual basis.</w:t>
      </w:r>
    </w:p>
    <w:p>
      <w:pPr>
        <w:spacing w:after="0" w:line="129"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112" w:lineRule="exact"/>
        <w:rPr>
          <w:rFonts w:ascii="Arial" w:cs="Arial" w:eastAsia="Arial" w:hAnsi="Arial"/>
          <w:sz w:val="18"/>
          <w:szCs w:val="18"/>
          <w:b w:val="1"/>
          <w:bCs w:val="1"/>
          <w:i w:val="1"/>
          <w:iCs w:val="1"/>
          <w:color w:val="auto"/>
        </w:rPr>
      </w:pPr>
    </w:p>
    <w:p>
      <w:pPr>
        <w:ind w:left="880"/>
        <w:spacing w:after="0" w:line="251" w:lineRule="auto"/>
        <w:rPr>
          <w:rFonts w:ascii="Arial" w:cs="Arial" w:eastAsia="Arial" w:hAnsi="Arial"/>
          <w:sz w:val="18"/>
          <w:szCs w:val="18"/>
          <w:b w:val="1"/>
          <w:bCs w:val="1"/>
          <w:i w:val="1"/>
          <w:iCs w:val="1"/>
          <w:color w:val="auto"/>
        </w:rPr>
      </w:pPr>
      <w:r>
        <w:rPr>
          <w:rFonts w:ascii="Arial" w:cs="Arial" w:eastAsia="Arial" w:hAnsi="Arial"/>
          <w:sz w:val="18"/>
          <w:szCs w:val="18"/>
          <w:color w:val="auto"/>
        </w:rPr>
        <w:t>Fully benefit-responsive investment contracts held by a defined contribution plan are required to be reported at contract value. Contract value is the relevant measure for fully benefit-responsive investments contracts because it is the amount participants normally would receive if they were to initiate permitted transactions. At December 31, 2017, the Plan invests in two stable value funds, the Fidelity Managed Income Portfolio Class 1 Fund (“Fidelity MIP Fund”) and the Fidelity Managed Income Portfolio II Class 2 Fund (“Fidelity MIP II Fund”) . At December 31, 2016, the Plan invested in the Fidelity MIP II Fund. Underlying investments of both Fidelity MIP Fund and Fidelity MIP II Fund comprise of fully benefit-responsive investment contracts. The contract value of the Fidelity MIP Fund was $457,000 as of December 31, 2017. The contract value of the Fidelity MIP II Fund was $63,715,000 and $53,442,000 as of December 31, 2017 and 2016, respectively. Both funds are managed income funds with an investment objective to preserve the principal investment while earning a high level of interest income. The funds seek to maintain a stable net asset value of $1 per share. The funds invest in benefit-responsive investment contracts issued by insurance companies and other financial institutions, fixed income securities and money market funds. There are currently no redemption restrictions on these investments.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22" w:right="279" w:bottom="1440" w:gutter="0" w:footer="0" w:header="0"/>
        </w:sectPr>
      </w:pPr>
    </w:p>
    <w:bookmarkStart w:id="9" w:name="page10"/>
    <w:bookmarkEnd w:id="9"/>
    <w:p>
      <w:pPr>
        <w:ind w:left="880" w:hanging="440"/>
        <w:spacing w:after="0"/>
        <w:tabs>
          <w:tab w:leader="none" w:pos="8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Notes Receivable from Participants</w:t>
      </w:r>
    </w:p>
    <w:p>
      <w:pPr>
        <w:spacing w:after="0" w:line="112" w:lineRule="exact"/>
        <w:rPr>
          <w:rFonts w:ascii="Arial" w:cs="Arial" w:eastAsia="Arial" w:hAnsi="Arial"/>
          <w:sz w:val="18"/>
          <w:szCs w:val="18"/>
          <w:b w:val="1"/>
          <w:bCs w:val="1"/>
          <w:i w:val="1"/>
          <w:iCs w:val="1"/>
          <w:color w:val="auto"/>
        </w:rPr>
      </w:pPr>
    </w:p>
    <w:p>
      <w:pPr>
        <w:jc w:val="both"/>
        <w:ind w:left="880" w:right="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Notes receivable from participants represents the unpaid principal balance plus any accrued but unpaid interest of participant loans. Interest income on notes receivable from participants is recorded when it is earned. No allowance for credit losses was recorded as of December 31, 2017 and 2016. If a participant ceases to make loan repayments and the Plan administrator deems the participant loan to be in default, the participant loan balance is reduced and a benefit distribution is recorded.</w:t>
      </w:r>
    </w:p>
    <w:p>
      <w:pPr>
        <w:spacing w:after="0" w:line="128"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Benefits</w:t>
      </w:r>
    </w:p>
    <w:p>
      <w:pPr>
        <w:spacing w:after="0" w:line="112" w:lineRule="exact"/>
        <w:rPr>
          <w:rFonts w:ascii="Arial" w:cs="Arial" w:eastAsia="Arial" w:hAnsi="Arial"/>
          <w:sz w:val="18"/>
          <w:szCs w:val="18"/>
          <w:b w:val="1"/>
          <w:bCs w:val="1"/>
          <w:i w:val="1"/>
          <w:iCs w:val="1"/>
          <w:color w:val="auto"/>
        </w:rPr>
      </w:pPr>
    </w:p>
    <w:p>
      <w:pPr>
        <w:ind w:left="8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Benefit distributions to participants are recorded when paid.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PARTY-IN-INTEREST TRANSACTIONS</w:t>
      </w:r>
    </w:p>
    <w:p>
      <w:pPr>
        <w:spacing w:after="0" w:line="11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Trustee provides certain accounting and administrative services to the Plan for which approximately $125,000 and $89,000 of expenses were charged for the years ended December 31, 2017 and 2016, respectively. Certain Plan investments, amounting to $495,459,000 and $475,959,000 at December 31, 2017 and 2016, respectively, are units of funds managed by the Trustee.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Certain employees and officers of the Company, who may also participate in the Plan, perform administrative services to the Plan at no cost.</w:t>
      </w:r>
    </w:p>
    <w:p>
      <w:pPr>
        <w:spacing w:after="0" w:line="9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 significant portion of the Plan’s assets were invested in ordinary shares of TechnipFMC (the “FTI Stock Fund”) at December 31, 2017 and common stock of FMC Technologies (the “FMCTI Stock Fund”) at December 31, 2016. At December 31, 2017 and 2016, the Plan held 3,955,967 FTI shares and 4,892,367 FMCTI shares, respectively, with fair value of $123,861,000 and $173,826,000, respectively, and a cost basis of $140,196,000 and $146,059,000,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reporting date. 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 The three levels are defined as follows:</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90" w:lineRule="exact"/>
        <w:rPr>
          <w:sz w:val="20"/>
          <w:szCs w:val="20"/>
          <w:color w:val="auto"/>
        </w:rPr>
      </w:pPr>
    </w:p>
    <w:p>
      <w:pPr>
        <w:ind w:left="1300" w:right="280" w:hanging="647"/>
        <w:spacing w:after="0" w:line="282"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or quoted prices for identical assets or liabilities in inactive markets.</w:t>
      </w:r>
    </w:p>
    <w:p>
      <w:pPr>
        <w:spacing w:after="0" w:line="27" w:lineRule="exact"/>
        <w:rPr>
          <w:sz w:val="20"/>
          <w:szCs w:val="20"/>
          <w:color w:val="auto"/>
        </w:rPr>
      </w:pPr>
    </w:p>
    <w:p>
      <w:pPr>
        <w:ind w:left="1300" w:right="520" w:hanging="647"/>
        <w:spacing w:after="0" w:line="282"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applied maximized the use of observable inputs and minimized the use of unobservable inputs.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measured at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ordinary shares</w:t>
      </w:r>
      <w:r>
        <w:rPr>
          <w:rFonts w:ascii="Arial" w:cs="Arial" w:eastAsia="Arial" w:hAnsi="Arial"/>
          <w:sz w:val="18"/>
          <w:szCs w:val="18"/>
          <w:color w:val="auto"/>
        </w:rPr>
        <w:t>: Valued at the closing price reported on the active market on which the securities are traded.</w:t>
      </w:r>
    </w:p>
    <w:p>
      <w:pPr>
        <w:spacing w:after="0" w:line="9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Interest bearing cash</w:t>
      </w:r>
      <w:r>
        <w:rPr>
          <w:rFonts w:ascii="Arial" w:cs="Arial" w:eastAsia="Arial" w:hAnsi="Arial"/>
          <w:sz w:val="18"/>
          <w:szCs w:val="18"/>
          <w:color w:val="auto"/>
        </w:rPr>
        <w:t>: Valued at the net asset value of the shares held by the Plan at year-end, which is based on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investments using information reported by the investment advisor at year-end. This category comprises one fund: Fidelity Institutional Money Market Fund. This fund represents a money market fund with the investment objective to obtain a high level of current income with the preservation of principal and liquidity. The fund’s investment strategies include investing in U.S. dollar-denominated money market securities of domestic and foreign issuers and investing more than 25% of total assets in the financial services industries. There are currently no redemption restrictions on these investments.</w:t>
      </w:r>
    </w:p>
    <w:p>
      <w:pPr>
        <w:spacing w:after="0" w:line="6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amount invested in this fund is based upon a target approved by the EBC, but may vary on any given business day with the amount of cash awaiting investment and with participant activity such as contributions, redemptions and withdrawals in the FTI Stock Fund.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68" w:right="239" w:bottom="1440" w:gutter="0" w:footer="0" w:header="0"/>
        </w:sectPr>
      </w:pPr>
    </w:p>
    <w:bookmarkStart w:id="10" w:name="page11"/>
    <w:bookmarkEnd w:id="10"/>
    <w:p>
      <w:pPr>
        <w:ind w:right="140"/>
        <w:spacing w:after="0" w:line="282" w:lineRule="auto"/>
        <w:rPr>
          <w:sz w:val="20"/>
          <w:szCs w:val="20"/>
          <w:color w:val="auto"/>
        </w:rPr>
      </w:pPr>
      <w:r>
        <w:rPr>
          <w:rFonts w:ascii="Arial" w:cs="Arial" w:eastAsia="Arial" w:hAnsi="Arial"/>
          <w:sz w:val="18"/>
          <w:szCs w:val="18"/>
          <w:i w:val="1"/>
          <w:iCs w:val="1"/>
          <w:color w:val="auto"/>
        </w:rPr>
        <w:t>Registered investment companies</w:t>
      </w:r>
      <w:r>
        <w:rPr>
          <w:rFonts w:ascii="Arial" w:cs="Arial" w:eastAsia="Arial" w:hAnsi="Arial"/>
          <w:sz w:val="18"/>
          <w:szCs w:val="18"/>
          <w:color w:val="auto"/>
        </w:rPr>
        <w:t>: Valued at quoted market prices, which represent the net asset value of the securities held in such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year-end.</w:t>
      </w:r>
    </w:p>
    <w:p>
      <w:pPr>
        <w:spacing w:after="0" w:line="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money market fund category included in registered investment companies comprises one fund: Fidelity Investments Money Market Government Portfolio Institutional Class. This fund is valued at net asset value, which approximates fair value. This portfolio represents a mutual fund with an investment objective to seek a high level of current income with the preservation of principal and liquidity. The fund normally invests at least 80% of assets in U.S. government securities and repurchase agreements for those securities. There are currently no redemption restrictions on these investments.</w:t>
      </w:r>
    </w:p>
    <w:p>
      <w:pPr>
        <w:spacing w:after="0" w:line="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Self-directed brokerage accounts: </w:t>
      </w:r>
      <w:r>
        <w:rPr>
          <w:rFonts w:ascii="Arial" w:cs="Arial" w:eastAsia="Arial" w:hAnsi="Arial"/>
          <w:sz w:val="18"/>
          <w:szCs w:val="18"/>
          <w:color w:val="auto"/>
        </w:rPr>
        <w:t>Valued at the closing price reported on the active market on which the individual securities comprising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accounts are traded.</w:t>
      </w:r>
    </w:p>
    <w:p>
      <w:pPr>
        <w:spacing w:after="0" w:line="2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 xml:space="preserve">Target date funds: </w:t>
      </w:r>
      <w:r>
        <w:rPr>
          <w:rFonts w:ascii="Arial" w:cs="Arial" w:eastAsia="Arial" w:hAnsi="Arial"/>
          <w:sz w:val="18"/>
          <w:szCs w:val="18"/>
          <w:color w:val="auto"/>
        </w:rPr>
        <w:t>Valued at the quoted market price of underlying investments held by the funds at year-end. The funds are custom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options comprising investments in the underlying core investment options of the Plan.</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Common/Collective trust</w:t>
      </w:r>
      <w:r>
        <w:rPr>
          <w:rFonts w:ascii="Arial" w:cs="Arial" w:eastAsia="Arial" w:hAnsi="Arial"/>
          <w:sz w:val="18"/>
          <w:szCs w:val="18"/>
          <w:color w:val="auto"/>
        </w:rPr>
        <w:t>: Valued at the net asset value of the shares held by the Plan at year-end, which is based on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investments using information reported by the investment advisor at year-end. This category comprises one fund: Fidelity U.S. Equity Index Commingled Pool Class 1 Fund</w:t>
      </w:r>
      <w:r>
        <w:rPr>
          <w:rFonts w:ascii="Arial" w:cs="Arial" w:eastAsia="Arial" w:hAnsi="Arial"/>
          <w:sz w:val="18"/>
          <w:szCs w:val="18"/>
          <w:i w:val="1"/>
          <w:iCs w:val="1"/>
          <w:color w:val="auto"/>
        </w:rPr>
        <w:t>.</w:t>
      </w:r>
      <w:r>
        <w:rPr>
          <w:rFonts w:ascii="Arial" w:cs="Arial" w:eastAsia="Arial" w:hAnsi="Arial"/>
          <w:sz w:val="18"/>
          <w:szCs w:val="18"/>
          <w:color w:val="auto"/>
        </w:rPr>
        <w:t xml:space="preserve"> This fund represents a pool with an investment objective that seeks to provide investment results that correspond to the total return performance of common stock publicly traded in the United States. Normally, at least 90% of the assets will be invested in common stocks in the S&amp;P 500 Index. There are currently no redemption restrictions on these investments.</w:t>
      </w:r>
    </w:p>
    <w:p>
      <w:pPr>
        <w:spacing w:after="0" w:line="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Plan’s management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There have been no changes in the methodologies used at December 31, 2017 and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were as follows: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123,861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123,861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Interest bearing cash</w:t>
            </w:r>
          </w:p>
        </w:tc>
        <w:tc>
          <w:tcPr>
            <w:tcW w:w="2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Registered investment companies: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tcPr>
          <w:p>
            <w:pPr>
              <w:ind w:left="360"/>
              <w:spacing w:after="0"/>
              <w:rPr>
                <w:sz w:val="20"/>
                <w:szCs w:val="20"/>
                <w:color w:val="auto"/>
              </w:rPr>
            </w:pPr>
            <w:r>
              <w:rPr>
                <w:rFonts w:ascii="Arial" w:cs="Arial" w:eastAsia="Arial" w:hAnsi="Arial"/>
                <w:sz w:val="14"/>
                <w:szCs w:val="14"/>
                <w:color w:val="auto"/>
              </w:rPr>
              <w:t>U.S. equity funds</w:t>
            </w:r>
          </w:p>
        </w:tc>
        <w:tc>
          <w:tcPr>
            <w:tcW w:w="2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416,411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416,411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149,869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149,869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International equity funds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76,256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76,256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tcPr>
          <w:p>
            <w:pPr>
              <w:ind w:left="360"/>
              <w:spacing w:after="0"/>
              <w:rPr>
                <w:sz w:val="20"/>
                <w:szCs w:val="20"/>
                <w:color w:val="auto"/>
              </w:rPr>
            </w:pPr>
            <w:r>
              <w:rPr>
                <w:rFonts w:ascii="Arial" w:cs="Arial" w:eastAsia="Arial" w:hAnsi="Arial"/>
                <w:sz w:val="14"/>
                <w:szCs w:val="14"/>
                <w:color w:val="auto"/>
              </w:rPr>
              <w:t>Target date retirement funds</w:t>
            </w:r>
          </w:p>
        </w:tc>
        <w:tc>
          <w:tcPr>
            <w:tcW w:w="2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187,973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187,973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Fixed income funds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tcPr>
          <w:p>
            <w:pPr>
              <w:ind w:left="360"/>
              <w:spacing w:after="0"/>
              <w:rPr>
                <w:sz w:val="20"/>
                <w:szCs w:val="20"/>
                <w:color w:val="auto"/>
              </w:rPr>
            </w:pPr>
            <w:r>
              <w:rPr>
                <w:rFonts w:ascii="Arial" w:cs="Arial" w:eastAsia="Arial" w:hAnsi="Arial"/>
                <w:sz w:val="14"/>
                <w:szCs w:val="14"/>
                <w:color w:val="auto"/>
              </w:rPr>
              <w:t>Money market fund</w:t>
            </w:r>
          </w:p>
        </w:tc>
        <w:tc>
          <w:tcPr>
            <w:tcW w:w="2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36,538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36,538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24,366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24,366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Self-directed brokerage accounts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Target date funds</w:t>
            </w:r>
          </w:p>
        </w:tc>
        <w:tc>
          <w:tcPr>
            <w:tcW w:w="2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410,497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410,497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Common/collective trust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37,483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Total assets at fair value</w:t>
            </w: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1,166,218</w:t>
            </w:r>
          </w:p>
        </w:tc>
        <w:tc>
          <w:tcPr>
            <w:tcW w:w="120" w:type="dxa"/>
            <w:vAlign w:val="bottom"/>
          </w:tcPr>
          <w:p>
            <w:pPr>
              <w:spacing w:after="0"/>
              <w:rPr>
                <w:sz w:val="23"/>
                <w:szCs w:val="23"/>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715,488</w:t>
            </w:r>
          </w:p>
        </w:tc>
        <w:tc>
          <w:tcPr>
            <w:tcW w:w="120" w:type="dxa"/>
            <w:vAlign w:val="bottom"/>
          </w:tcPr>
          <w:p>
            <w:pPr>
              <w:spacing w:after="0"/>
              <w:rPr>
                <w:sz w:val="23"/>
                <w:szCs w:val="23"/>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450,730</w:t>
            </w:r>
          </w:p>
        </w:tc>
        <w:tc>
          <w:tcPr>
            <w:tcW w:w="120" w:type="dxa"/>
            <w:vAlign w:val="bottom"/>
          </w:tcPr>
          <w:p>
            <w:pPr>
              <w:spacing w:after="0"/>
              <w:rPr>
                <w:sz w:val="23"/>
                <w:szCs w:val="23"/>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676,289</w:t>
            </w:r>
          </w:p>
        </w:tc>
        <w:tc>
          <w:tcPr>
            <w:tcW w:w="1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608,585</w:t>
            </w:r>
          </w:p>
        </w:tc>
        <w:tc>
          <w:tcPr>
            <w:tcW w:w="100" w:type="dxa"/>
            <w:vAlign w:val="bottom"/>
          </w:tcPr>
          <w:p>
            <w:pPr>
              <w:spacing w:after="0"/>
              <w:rPr>
                <w:sz w:val="23"/>
                <w:szCs w:val="23"/>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30,221</w:t>
            </w:r>
          </w:p>
        </w:tc>
        <w:tc>
          <w:tcPr>
            <w:tcW w:w="100" w:type="dxa"/>
            <w:vAlign w:val="bottom"/>
          </w:tcPr>
          <w:p>
            <w:pPr>
              <w:spacing w:after="0"/>
              <w:rPr>
                <w:sz w:val="23"/>
                <w:szCs w:val="23"/>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8"/>
              </w:rPr>
              <w:t>_______________________</w:t>
            </w: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right="60" w:hanging="492"/>
        <w:spacing w:after="0" w:line="221" w:lineRule="auto"/>
        <w:tabs>
          <w:tab w:leader="none" w:pos="50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Certain investments that are measured at fair value using net asset value per share (or its equivalent) have not been classified in the fair value hierarchy. The fair value amounts presented in this table are intended to permit reconciliation of the fair value hierarchy to the amounts presented in the Statements of Net Assets Available for Benefits.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45"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RISK AND UNCERTAINTIES</w:t>
      </w:r>
    </w:p>
    <w:p>
      <w:pPr>
        <w:spacing w:after="0" w:line="1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credit risk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Plan obtained its latest determination letter on June 12, 2014, covering various amendments to the Plan, in which the IRS determined that the Plan and related trust, as then designed, was in compliance with the applicable requirements of the Code. Additional amendments to the Plan have been made and are not covered by the latest determination letter; however, the management of the Plan administrator and the Plan’s legal counsel believe that the Plan, as amended, is designed and is currently being administered in compliance with the applicable requirements of the Code. Therefore, the management of the Plan administrator believes the Plan is qualified, and the related trust is tax-exempt as of December 31, 2017.</w:t>
      </w:r>
    </w:p>
    <w:p>
      <w:pPr>
        <w:spacing w:after="0" w:line="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GAAP requires the management of the Plan administrator to evaluate uncertain tax positions taken by the Plan and to recognize a tax liability (or asset) when the position is not more likely than not, based on the technical merits, to be sustained upon examination by the IRS. The management of the Plan administrator has analyzed the tax positions taken by the Plan and has concluded that as of December 31, 2017, there were no uncertain positions taken that would require recognition of a liability (or asset) or disclosure in the financial statements. The Plan has recognized no interest or penalties related to uncertain tax positions. The Plan is subject to routine audits by taxing jurisdictions. There are currently no audits for any tax periods in progress related to the Plan. The Plan is no longer subject to income tax examinations for years prior to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RECONCILIATION OF FINANCIAL STATEMENTS TO FORM 5500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net assets per the Form 5500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assets available for benefits per the financial statements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1,256,271</w:t>
            </w:r>
          </w:p>
        </w:tc>
        <w:tc>
          <w:tcPr>
            <w:tcW w:w="100" w:type="dxa"/>
            <w:vAlign w:val="bottom"/>
            <w:shd w:val="clear" w:color="auto" w:fill="CCEEFF"/>
          </w:tcPr>
          <w:p>
            <w:pPr>
              <w:spacing w:after="0"/>
              <w:rPr>
                <w:sz w:val="23"/>
                <w:szCs w:val="2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751,376</w:t>
            </w:r>
          </w:p>
        </w:tc>
        <w:tc>
          <w:tcPr>
            <w:tcW w:w="0" w:type="dxa"/>
            <w:vAlign w:val="bottom"/>
          </w:tcPr>
          <w:p>
            <w:pPr>
              <w:spacing w:after="0"/>
              <w:rPr>
                <w:sz w:val="1"/>
                <w:szCs w:val="1"/>
                <w:color w:val="auto"/>
              </w:rPr>
            </w:pPr>
          </w:p>
        </w:tc>
      </w:tr>
      <w:tr>
        <w:trPr>
          <w:trHeight w:val="93"/>
        </w:trPr>
        <w:tc>
          <w:tcPr>
            <w:tcW w:w="836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w:cs="Arial" w:eastAsia="Arial" w:hAnsi="Arial"/>
                <w:sz w:val="14"/>
                <w:szCs w:val="14"/>
                <w:color w:val="auto"/>
              </w:rPr>
              <w:t>Adjustment from contract value to fair value for interest in collective trust relating to fully benefit-responsive investment contracts</w:t>
            </w:r>
          </w:p>
        </w:tc>
        <w:tc>
          <w:tcPr>
            <w:tcW w:w="360" w:type="dxa"/>
            <w:vAlign w:val="bottom"/>
          </w:tcPr>
          <w:p>
            <w:pPr>
              <w:spacing w:after="0"/>
              <w:rPr>
                <w:sz w:val="24"/>
                <w:szCs w:val="2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87"/>
        </w:trPr>
        <w:tc>
          <w:tcPr>
            <w:tcW w:w="836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assets per the Form 5500</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1,256,137</w:t>
            </w:r>
          </w:p>
        </w:tc>
        <w:tc>
          <w:tcPr>
            <w:tcW w:w="100" w:type="dxa"/>
            <w:vAlign w:val="bottom"/>
            <w:shd w:val="clear" w:color="auto" w:fill="CCEEFF"/>
          </w:tcPr>
          <w:p>
            <w:pPr>
              <w:spacing w:after="0"/>
              <w:rPr>
                <w:sz w:val="23"/>
                <w:szCs w:val="2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751,561</w:t>
            </w:r>
          </w:p>
        </w:tc>
        <w:tc>
          <w:tcPr>
            <w:tcW w:w="0" w:type="dxa"/>
            <w:vAlign w:val="bottom"/>
          </w:tcPr>
          <w:p>
            <w:pPr>
              <w:spacing w:after="0"/>
              <w:rPr>
                <w:sz w:val="1"/>
                <w:szCs w:val="1"/>
                <w:color w:val="auto"/>
              </w:rPr>
            </w:pPr>
          </w:p>
        </w:tc>
      </w:tr>
      <w:tr>
        <w:trPr>
          <w:trHeight w:val="80"/>
        </w:trPr>
        <w:tc>
          <w:tcPr>
            <w:tcW w:w="836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vMerge w:val="continue"/>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vMerge w:val="continue"/>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following is a reconciliation of the changes in net assets available for benefits per the financial statements to the changes in net assets available for benefits per the Form 5500 for the year ended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9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1"/>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net assets available for benefits per financial statements</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504,895</w:t>
            </w:r>
          </w:p>
        </w:tc>
        <w:tc>
          <w:tcPr>
            <w:tcW w:w="0" w:type="dxa"/>
            <w:vAlign w:val="bottom"/>
          </w:tcPr>
          <w:p>
            <w:pPr>
              <w:spacing w:after="0"/>
              <w:rPr>
                <w:sz w:val="1"/>
                <w:szCs w:val="1"/>
                <w:color w:val="auto"/>
              </w:rPr>
            </w:pPr>
          </w:p>
        </w:tc>
      </w:tr>
      <w:tr>
        <w:trPr>
          <w:trHeight w:val="93"/>
        </w:trPr>
        <w:tc>
          <w:tcPr>
            <w:tcW w:w="994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940" w:type="dxa"/>
            <w:vAlign w:val="bottom"/>
          </w:tcPr>
          <w:p>
            <w:pPr>
              <w:ind w:left="40"/>
              <w:spacing w:after="0"/>
              <w:rPr>
                <w:sz w:val="20"/>
                <w:szCs w:val="20"/>
                <w:color w:val="auto"/>
              </w:rPr>
            </w:pPr>
            <w:r>
              <w:rPr>
                <w:rFonts w:ascii="Arial" w:cs="Arial" w:eastAsia="Arial" w:hAnsi="Arial"/>
                <w:sz w:val="14"/>
                <w:szCs w:val="14"/>
                <w:color w:val="auto"/>
              </w:rPr>
              <w:t>Change in the adjustment from contract value to fair value for interest in collective trust relating to fully benefit-responsive investment contracts</w:t>
            </w:r>
          </w:p>
        </w:tc>
        <w:tc>
          <w:tcPr>
            <w:tcW w:w="22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87"/>
        </w:trPr>
        <w:tc>
          <w:tcPr>
            <w:tcW w:w="99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net assets available for benefits per the Form 5500</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504,576</w:t>
            </w:r>
          </w:p>
        </w:tc>
        <w:tc>
          <w:tcPr>
            <w:tcW w:w="0" w:type="dxa"/>
            <w:vAlign w:val="bottom"/>
          </w:tcPr>
          <w:p>
            <w:pPr>
              <w:spacing w:after="0"/>
              <w:rPr>
                <w:sz w:val="1"/>
                <w:szCs w:val="1"/>
                <w:color w:val="auto"/>
              </w:rPr>
            </w:pPr>
          </w:p>
        </w:tc>
      </w:tr>
      <w:tr>
        <w:trPr>
          <w:trHeight w:val="80"/>
        </w:trPr>
        <w:tc>
          <w:tcPr>
            <w:tcW w:w="994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vMerge w:val="continue"/>
            <w:shd w:val="clear" w:color="auto" w:fill="CCEEFF"/>
          </w:tcPr>
          <w:p>
            <w:pPr>
              <w:spacing w:after="0"/>
              <w:rPr>
                <w:sz w:val="6"/>
                <w:szCs w:val="6"/>
                <w:color w:val="auto"/>
              </w:rPr>
            </w:pPr>
          </w:p>
        </w:tc>
        <w:tc>
          <w:tcPr>
            <w:tcW w:w="12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FMC TECHNOLOGIES,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SAVINGS AND INVESTMENT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36-4412642 Plan Number: 002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H, Part IV, Line 4i – Schedule of Assets (Held at End of Year)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(b) Identity of issue, borrower, lessor, or similar</w:t>
            </w:r>
          </w:p>
        </w:tc>
        <w:tc>
          <w:tcPr>
            <w:tcW w:w="5000" w:type="dxa"/>
            <w:vAlign w:val="bottom"/>
            <w:gridSpan w:val="2"/>
          </w:tcPr>
          <w:p>
            <w:pPr>
              <w:ind w:left="20"/>
              <w:spacing w:after="0"/>
              <w:rPr>
                <w:sz w:val="20"/>
                <w:szCs w:val="20"/>
                <w:color w:val="auto"/>
              </w:rPr>
            </w:pPr>
            <w:r>
              <w:rPr>
                <w:rFonts w:ascii="Arial" w:cs="Arial" w:eastAsia="Arial" w:hAnsi="Arial"/>
                <w:sz w:val="14"/>
                <w:szCs w:val="14"/>
                <w:b w:val="1"/>
                <w:bCs w:val="1"/>
                <w:color w:val="auto"/>
              </w:rPr>
              <w:t>(c) Description of investment including maturity date, rate of interest,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7"/>
                <w:szCs w:val="17"/>
                <w:color w:val="auto"/>
              </w:rPr>
            </w:pP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party</w:t>
            </w:r>
          </w:p>
        </w:tc>
        <w:tc>
          <w:tcPr>
            <w:tcW w:w="120" w:type="dxa"/>
            <w:vAlign w:val="bottom"/>
            <w:tcBorders>
              <w:bottom w:val="single" w:sz="8" w:color="CCEEFF"/>
            </w:tcBorders>
          </w:tcPr>
          <w:p>
            <w:pPr>
              <w:spacing w:after="0"/>
              <w:rPr>
                <w:sz w:val="17"/>
                <w:szCs w:val="17"/>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collateral, par, or maturity value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 Cost**</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 Current value</w:t>
            </w:r>
          </w:p>
        </w:tc>
        <w:tc>
          <w:tcPr>
            <w:tcW w:w="0" w:type="dxa"/>
            <w:vAlign w:val="bottom"/>
          </w:tcPr>
          <w:p>
            <w:pPr>
              <w:spacing w:after="0"/>
              <w:rPr>
                <w:sz w:val="1"/>
                <w:szCs w:val="1"/>
                <w:color w:val="auto"/>
              </w:rPr>
            </w:pPr>
          </w:p>
        </w:tc>
      </w:tr>
      <w:tr>
        <w:trPr>
          <w:trHeight w:val="256"/>
        </w:trPr>
        <w:tc>
          <w:tcPr>
            <w:tcW w:w="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FTI Stock Fund</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FTI Ordinary Shares</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123,861</w:t>
            </w:r>
          </w:p>
        </w:tc>
        <w:tc>
          <w:tcPr>
            <w:tcW w:w="0" w:type="dxa"/>
            <w:vAlign w:val="bottom"/>
          </w:tcPr>
          <w:p>
            <w:pPr>
              <w:spacing w:after="0"/>
              <w:rPr>
                <w:sz w:val="1"/>
                <w:szCs w:val="1"/>
                <w:color w:val="auto"/>
              </w:rPr>
            </w:pPr>
          </w:p>
        </w:tc>
      </w:tr>
      <w:tr>
        <w:trPr>
          <w:trHeight w:val="204"/>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Institutional Money Market Fund</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Interest-Bearing Cash</w:t>
            </w: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3,695</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Dimensional Fund Advisors U.S. Large Cap Value</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Large Cap Value Fund</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Portfolio</w:t>
            </w:r>
          </w:p>
        </w:tc>
        <w:tc>
          <w:tcPr>
            <w:tcW w:w="4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34,393</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Congress Asset Mid Cap Growth Fund Institutional</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Mid Cap Growth Fund</w:t>
            </w:r>
          </w:p>
        </w:tc>
        <w:tc>
          <w:tcPr>
            <w:tcW w:w="1140" w:type="dxa"/>
            <w:vAlign w:val="bottom"/>
            <w:gridSpan w:val="2"/>
            <w:vMerge w:val="restart"/>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gridSpan w:val="2"/>
            <w:vMerge w:val="restart"/>
          </w:tcPr>
          <w:p>
            <w:pPr>
              <w:ind w:left="40"/>
              <w:spacing w:after="0"/>
              <w:rPr>
                <w:sz w:val="20"/>
                <w:szCs w:val="20"/>
                <w:color w:val="auto"/>
              </w:rPr>
            </w:pPr>
            <w:r>
              <w:rPr>
                <w:rFonts w:ascii="Arial" w:cs="Arial" w:eastAsia="Arial" w:hAnsi="Arial"/>
                <w:sz w:val="14"/>
                <w:szCs w:val="14"/>
                <w:color w:val="auto"/>
              </w:rPr>
              <w:t>Class</w:t>
            </w:r>
          </w:p>
        </w:tc>
        <w:tc>
          <w:tcPr>
            <w:tcW w:w="4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37,678</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Dimensional Fund Advisors U.S. Targeted Value</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Small Cap Value Fund</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Portfolio</w:t>
            </w:r>
          </w:p>
        </w:tc>
        <w:tc>
          <w:tcPr>
            <w:tcW w:w="4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11,103</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Rice Hall James Small Cap Portfolio Institutional Class</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Small Cap Equity Fund</w:t>
            </w: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13,740</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Fidelity Blue Chip Growth K6 Fund</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Blue Chip Companies Equity Fund</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180,423</w:t>
            </w:r>
          </w:p>
        </w:tc>
        <w:tc>
          <w:tcPr>
            <w:tcW w:w="0" w:type="dxa"/>
            <w:vAlign w:val="bottom"/>
          </w:tcPr>
          <w:p>
            <w:pPr>
              <w:spacing w:after="0"/>
              <w:rPr>
                <w:sz w:val="1"/>
                <w:szCs w:val="1"/>
                <w:color w:val="auto"/>
              </w:rPr>
            </w:pPr>
          </w:p>
        </w:tc>
      </w:tr>
      <w:tr>
        <w:trPr>
          <w:trHeight w:val="66"/>
        </w:trPr>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Low-Priced Stock K6</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Low-priced Stocks Fund</w:t>
            </w: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57,475</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Fidelity Diversified International K6 Fund</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International Equity Fund</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66,007</w:t>
            </w:r>
          </w:p>
        </w:tc>
        <w:tc>
          <w:tcPr>
            <w:tcW w:w="0" w:type="dxa"/>
            <w:vAlign w:val="bottom"/>
          </w:tcPr>
          <w:p>
            <w:pPr>
              <w:spacing w:after="0"/>
              <w:rPr>
                <w:sz w:val="1"/>
                <w:szCs w:val="1"/>
                <w:color w:val="auto"/>
              </w:rPr>
            </w:pPr>
          </w:p>
        </w:tc>
      </w:tr>
      <w:tr>
        <w:trPr>
          <w:trHeight w:val="66"/>
        </w:trPr>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PIMCO Total Return Fund Institutional Class</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Intermediate-Term Bond Fund</w:t>
            </w: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72,137</w:t>
            </w: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Dreyfus International Bond Fund Class Y</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Intermediate-Term Bond Fund</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66"/>
        </w:trPr>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500 Index Fund</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Index Fund invested in stocks included in the S&amp;P 500 Index</w:t>
            </w: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74,642</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Vanguard Real Estate Index Fund</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Index Fund designed to track the performance of the MSCI US Investable</w:t>
            </w:r>
          </w:p>
        </w:tc>
        <w:tc>
          <w:tcPr>
            <w:tcW w:w="11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Market Real Estate 25/50 Transition Index</w:t>
            </w:r>
          </w:p>
        </w:tc>
        <w:tc>
          <w:tcPr>
            <w:tcW w:w="114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07"/>
        </w:trPr>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0" w:type="dxa"/>
            <w:vAlign w:val="bottom"/>
            <w:gridSpan w:val="2"/>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Extended Market Index</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Index Fund invested in Mid Cap and Small Cap Equity Fund</w:t>
            </w: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Fidelity Total International Index Fund Institutional</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Index Fund invested in securities included in the MSCI ACWI (All Country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Class</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World Index) ex USA Investable Market Index and in depository receipts</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representing securities included in the index.</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10,250</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Vanguard Short-Term Inflation - Protected Securities</w:t>
            </w:r>
          </w:p>
        </w:tc>
        <w:tc>
          <w:tcPr>
            <w:tcW w:w="5000" w:type="dxa"/>
            <w:vAlign w:val="bottom"/>
            <w:gridSpan w:val="2"/>
          </w:tcPr>
          <w:p>
            <w:pPr>
              <w:ind w:left="20"/>
              <w:spacing w:after="0"/>
              <w:rPr>
                <w:sz w:val="20"/>
                <w:szCs w:val="20"/>
                <w:color w:val="auto"/>
              </w:rPr>
            </w:pPr>
            <w:r>
              <w:rPr>
                <w:rFonts w:ascii="Arial" w:cs="Arial" w:eastAsia="Arial" w:hAnsi="Arial"/>
                <w:sz w:val="14"/>
                <w:szCs w:val="14"/>
                <w:color w:val="auto"/>
              </w:rPr>
              <w:t>Index Fund designed to track the performance of the Bloomberg Barclays</w:t>
            </w:r>
          </w:p>
        </w:tc>
        <w:tc>
          <w:tcPr>
            <w:tcW w:w="1140" w:type="dxa"/>
            <w:vAlign w:val="bottom"/>
            <w:gridSpan w:val="2"/>
            <w:vMerge w:val="restart"/>
          </w:tcPr>
          <w:p>
            <w:pPr>
              <w:ind w:left="50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gridSpan w:val="2"/>
            <w:vMerge w:val="restart"/>
          </w:tcPr>
          <w:p>
            <w:pPr>
              <w:ind w:left="40"/>
              <w:spacing w:after="0"/>
              <w:rPr>
                <w:sz w:val="20"/>
                <w:szCs w:val="20"/>
                <w:color w:val="auto"/>
              </w:rPr>
            </w:pPr>
            <w:r>
              <w:rPr>
                <w:rFonts w:ascii="Arial" w:cs="Arial" w:eastAsia="Arial" w:hAnsi="Arial"/>
                <w:sz w:val="14"/>
                <w:szCs w:val="14"/>
                <w:color w:val="auto"/>
              </w:rPr>
              <w:t>Index Fund Institutional Shares</w:t>
            </w:r>
          </w:p>
        </w:tc>
        <w:tc>
          <w:tcPr>
            <w:tcW w:w="5000" w:type="dxa"/>
            <w:vAlign w:val="bottom"/>
            <w:gridSpan w:val="2"/>
            <w:vMerge w:val="restart"/>
          </w:tcPr>
          <w:p>
            <w:pPr>
              <w:ind w:left="20"/>
              <w:spacing w:after="0"/>
              <w:rPr>
                <w:sz w:val="20"/>
                <w:szCs w:val="20"/>
                <w:color w:val="auto"/>
              </w:rPr>
            </w:pPr>
            <w:r>
              <w:rPr>
                <w:rFonts w:ascii="Arial" w:cs="Arial" w:eastAsia="Arial" w:hAnsi="Arial"/>
                <w:sz w:val="14"/>
                <w:szCs w:val="14"/>
                <w:color w:val="auto"/>
              </w:rPr>
              <w:t>U.S. Treasury Inflation-Protected Securities (TIPS) 0-5 Year Index.</w:t>
            </w:r>
          </w:p>
        </w:tc>
        <w:tc>
          <w:tcPr>
            <w:tcW w:w="11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50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FiduciaryVest Target Date Funds:</w:t>
      </w:r>
    </w:p>
    <w:p>
      <w:pPr>
        <w:sectPr>
          <w:pgSz w:w="11900" w:h="16838" w:orient="portrait"/>
          <w:cols w:equalWidth="0" w:num="1">
            <w:col w:w="11420"/>
          </w:cols>
          <w:pgMar w:left="240" w:top="360" w:right="239" w:bottom="1440" w:gutter="0" w:footer="0" w:header="0"/>
        </w:sectPr>
      </w:pP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Target Retire Income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5558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171450"/>
                    </a:xfrm>
                    <a:prstGeom prst="rect">
                      <a:avLst/>
                    </a:prstGeom>
                    <a:noFill/>
                  </pic:spPr>
                </pic:pic>
              </a:graphicData>
            </a:graphic>
          </wp:anchor>
        </w:drawing>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Target Retire 2020 Fund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Target Retire 2030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5558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171450"/>
                    </a:xfrm>
                    <a:prstGeom prst="rect">
                      <a:avLst/>
                    </a:prstGeom>
                    <a:noFill/>
                  </pic:spPr>
                </pic:pic>
              </a:graphicData>
            </a:graphic>
          </wp:anchor>
        </w:drawing>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Target Retire 2040 Fund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Target Retire 2050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5558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5875" cy="171450"/>
                    </a:xfrm>
                    <a:prstGeom prst="rect">
                      <a:avLst/>
                    </a:prstGeom>
                    <a:noFill/>
                  </pic:spPr>
                </pic:pic>
              </a:graphicData>
            </a:graphic>
          </wp:anchor>
        </w:drawing>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Target Retire 2060 Fund</w:t>
      </w:r>
    </w:p>
    <w:p>
      <w:pPr>
        <w:spacing w:after="0" w:line="109" w:lineRule="exact"/>
        <w:rPr>
          <w:sz w:val="20"/>
          <w:szCs w:val="20"/>
          <w:color w:val="auto"/>
        </w:rPr>
      </w:pPr>
    </w:p>
    <w:p>
      <w:pPr>
        <w:ind w:left="420" w:hanging="3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Managed Income Portfolio Class 1</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Asset allocation blended funds, which invest the available Plan investment options basing asset allocation on a target retirement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Stable Value Fund – Portfolio includes investment contracts offered by major insurance companies and other approved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0</wp:posOffset>
            </wp:positionV>
            <wp:extent cx="72466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auto"/>
        <w:tabs>
          <w:tab w:leader="none" w:pos="1320" w:val="left"/>
        </w:tabs>
        <w:rPr>
          <w:sz w:val="20"/>
          <w:szCs w:val="20"/>
          <w:color w:val="auto"/>
        </w:rPr>
      </w:pPr>
      <w:r>
        <w:rPr>
          <w:rFonts w:ascii="Arial" w:cs="Arial" w:eastAsia="Arial" w:hAnsi="Arial"/>
          <w:sz w:val="29"/>
          <w:szCs w:val="29"/>
          <w:color w:val="auto"/>
          <w:vertAlign w:val="superscript"/>
        </w:rPr>
        <w:t>N/A</w:t>
      </w:r>
      <w:r>
        <w:rPr>
          <w:sz w:val="20"/>
          <w:szCs w:val="20"/>
          <w:color w:val="auto"/>
        </w:rPr>
        <w:tab/>
      </w:r>
      <w:r>
        <w:rPr>
          <w:rFonts w:ascii="Arial" w:cs="Arial" w:eastAsia="Arial" w:hAnsi="Arial"/>
          <w:sz w:val="14"/>
          <w:szCs w:val="14"/>
          <w:color w:val="auto"/>
        </w:rPr>
        <w:t>17,060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42545</wp:posOffset>
            </wp:positionV>
            <wp:extent cx="15779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975" cy="171450"/>
                    </a:xfrm>
                    <a:prstGeom prst="rect">
                      <a:avLst/>
                    </a:prstGeom>
                    <a:noFill/>
                  </pic:spPr>
                </pic:pic>
              </a:graphicData>
            </a:graphic>
          </wp:anchor>
        </w:drawing>
      </w:r>
    </w:p>
    <w:p>
      <w:pPr>
        <w:spacing w:after="0" w:line="194" w:lineRule="auto"/>
        <w:tabs>
          <w:tab w:leader="none" w:pos="1320" w:val="left"/>
        </w:tabs>
        <w:rPr>
          <w:sz w:val="20"/>
          <w:szCs w:val="20"/>
          <w:color w:val="auto"/>
        </w:rPr>
      </w:pPr>
      <w:r>
        <w:rPr>
          <w:rFonts w:ascii="Arial" w:cs="Arial" w:eastAsia="Arial" w:hAnsi="Arial"/>
          <w:sz w:val="29"/>
          <w:szCs w:val="29"/>
          <w:color w:val="auto"/>
          <w:vertAlign w:val="superscript"/>
        </w:rPr>
        <w:t>N/A</w:t>
      </w:r>
      <w:r>
        <w:rPr>
          <w:sz w:val="20"/>
          <w:szCs w:val="20"/>
          <w:color w:val="auto"/>
        </w:rPr>
        <w:tab/>
      </w:r>
      <w:r>
        <w:rPr>
          <w:rFonts w:ascii="Arial" w:cs="Arial" w:eastAsia="Arial" w:hAnsi="Arial"/>
          <w:sz w:val="14"/>
          <w:szCs w:val="14"/>
          <w:color w:val="auto"/>
        </w:rPr>
        <w:t>74,013</w:t>
      </w:r>
    </w:p>
    <w:p>
      <w:pPr>
        <w:spacing w:after="0" w:line="195" w:lineRule="auto"/>
        <w:tabs>
          <w:tab w:leader="none" w:pos="1240" w:val="left"/>
        </w:tabs>
        <w:rPr>
          <w:sz w:val="20"/>
          <w:szCs w:val="20"/>
          <w:color w:val="auto"/>
        </w:rPr>
      </w:pPr>
      <w:r>
        <w:rPr>
          <w:rFonts w:ascii="Arial" w:cs="Arial" w:eastAsia="Arial" w:hAnsi="Arial"/>
          <w:sz w:val="29"/>
          <w:szCs w:val="29"/>
          <w:color w:val="auto"/>
          <w:vertAlign w:val="superscript"/>
        </w:rPr>
        <w:t>N/A</w:t>
      </w:r>
      <w:r>
        <w:rPr>
          <w:sz w:val="20"/>
          <w:szCs w:val="20"/>
          <w:color w:val="auto"/>
        </w:rPr>
        <w:tab/>
      </w:r>
      <w:r>
        <w:rPr>
          <w:rFonts w:ascii="Arial" w:cs="Arial" w:eastAsia="Arial" w:hAnsi="Arial"/>
          <w:sz w:val="14"/>
          <w:szCs w:val="14"/>
          <w:color w:val="auto"/>
        </w:rPr>
        <w:t>102,082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41910</wp:posOffset>
            </wp:positionV>
            <wp:extent cx="15779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975" cy="171450"/>
                    </a:xfrm>
                    <a:prstGeom prst="rect">
                      <a:avLst/>
                    </a:prstGeom>
                    <a:noFill/>
                  </pic:spPr>
                </pic:pic>
              </a:graphicData>
            </a:graphic>
          </wp:anchor>
        </w:drawing>
      </w:r>
    </w:p>
    <w:p>
      <w:pPr>
        <w:spacing w:after="0" w:line="194" w:lineRule="auto"/>
        <w:tabs>
          <w:tab w:leader="none" w:pos="1240" w:val="left"/>
        </w:tabs>
        <w:rPr>
          <w:sz w:val="20"/>
          <w:szCs w:val="20"/>
          <w:color w:val="auto"/>
        </w:rPr>
      </w:pPr>
      <w:r>
        <w:rPr>
          <w:rFonts w:ascii="Arial" w:cs="Arial" w:eastAsia="Arial" w:hAnsi="Arial"/>
          <w:sz w:val="29"/>
          <w:szCs w:val="29"/>
          <w:color w:val="auto"/>
          <w:vertAlign w:val="superscript"/>
        </w:rPr>
        <w:t>N/A</w:t>
      </w:r>
      <w:r>
        <w:rPr>
          <w:sz w:val="20"/>
          <w:szCs w:val="20"/>
          <w:color w:val="auto"/>
        </w:rPr>
        <w:tab/>
      </w:r>
      <w:r>
        <w:rPr>
          <w:rFonts w:ascii="Arial" w:cs="Arial" w:eastAsia="Arial" w:hAnsi="Arial"/>
          <w:sz w:val="14"/>
          <w:szCs w:val="14"/>
          <w:color w:val="auto"/>
        </w:rPr>
        <w:t>110,333</w:t>
      </w:r>
    </w:p>
    <w:p>
      <w:pPr>
        <w:spacing w:after="0" w:line="195" w:lineRule="auto"/>
        <w:tabs>
          <w:tab w:leader="none" w:pos="1320" w:val="left"/>
        </w:tabs>
        <w:rPr>
          <w:sz w:val="20"/>
          <w:szCs w:val="20"/>
          <w:color w:val="auto"/>
        </w:rPr>
      </w:pPr>
      <w:r>
        <w:rPr>
          <w:rFonts w:ascii="Arial" w:cs="Arial" w:eastAsia="Arial" w:hAnsi="Arial"/>
          <w:sz w:val="29"/>
          <w:szCs w:val="29"/>
          <w:color w:val="auto"/>
          <w:vertAlign w:val="superscript"/>
        </w:rPr>
        <w:t>N/A</w:t>
      </w:r>
      <w:r>
        <w:rPr>
          <w:sz w:val="20"/>
          <w:szCs w:val="20"/>
          <w:color w:val="auto"/>
        </w:rPr>
        <w:tab/>
      </w:r>
      <w:r>
        <w:rPr>
          <w:rFonts w:ascii="Arial" w:cs="Arial" w:eastAsia="Arial" w:hAnsi="Arial"/>
          <w:sz w:val="14"/>
          <w:szCs w:val="14"/>
          <w:color w:val="auto"/>
        </w:rPr>
        <w:t>98,186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41910</wp:posOffset>
            </wp:positionV>
            <wp:extent cx="15779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975" cy="171450"/>
                    </a:xfrm>
                    <a:prstGeom prst="rect">
                      <a:avLst/>
                    </a:prstGeom>
                    <a:noFill/>
                  </pic:spPr>
                </pic:pic>
              </a:graphicData>
            </a:graphic>
          </wp:anchor>
        </w:drawing>
      </w:r>
    </w:p>
    <w:p>
      <w:pPr>
        <w:spacing w:after="0" w:line="194" w:lineRule="auto"/>
        <w:tabs>
          <w:tab w:leader="none" w:pos="1400" w:val="left"/>
        </w:tabs>
        <w:rPr>
          <w:sz w:val="20"/>
          <w:szCs w:val="20"/>
          <w:color w:val="auto"/>
        </w:rPr>
      </w:pPr>
      <w:r>
        <w:rPr>
          <w:rFonts w:ascii="Arial" w:cs="Arial" w:eastAsia="Arial" w:hAnsi="Arial"/>
          <w:sz w:val="29"/>
          <w:szCs w:val="29"/>
          <w:color w:val="auto"/>
          <w:vertAlign w:val="superscript"/>
        </w:rPr>
        <w:t>N/A</w:t>
      </w:r>
      <w:r>
        <w:rPr>
          <w:sz w:val="20"/>
          <w:szCs w:val="20"/>
          <w:color w:val="auto"/>
        </w:rPr>
        <w:tab/>
      </w:r>
      <w:r>
        <w:rPr>
          <w:rFonts w:ascii="Arial" w:cs="Arial" w:eastAsia="Arial" w:hAnsi="Arial"/>
          <w:sz w:val="14"/>
          <w:szCs w:val="14"/>
          <w:color w:val="auto"/>
        </w:rPr>
        <w:t>8,823</w:t>
      </w:r>
    </w:p>
    <w:p>
      <w:pPr>
        <w:spacing w:after="0" w:line="166"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color w:val="auto"/>
        </w:rPr>
        <w:t>N/A</w:t>
      </w:r>
      <w:r>
        <w:rPr>
          <w:sz w:val="20"/>
          <w:szCs w:val="20"/>
          <w:color w:val="auto"/>
        </w:rPr>
        <w:tab/>
      </w:r>
      <w:r>
        <w:rPr>
          <w:rFonts w:ascii="Arial" w:cs="Arial" w:eastAsia="Arial" w:hAnsi="Arial"/>
          <w:sz w:val="20"/>
          <w:szCs w:val="20"/>
          <w:color w:val="auto"/>
          <w:vertAlign w:val="subscript"/>
        </w:rPr>
        <w:t>456</w:t>
      </w:r>
    </w:p>
    <w:p>
      <w:pPr>
        <w:spacing w:after="0" w:line="49" w:lineRule="exact"/>
        <w:rPr>
          <w:sz w:val="20"/>
          <w:szCs w:val="20"/>
          <w:color w:val="auto"/>
        </w:rPr>
      </w:pPr>
    </w:p>
    <w:p>
      <w:pPr>
        <w:sectPr>
          <w:pgSz w:w="11900" w:h="16838" w:orient="portrait"/>
          <w:cols w:equalWidth="0" w:num="3">
            <w:col w:w="3340" w:space="720"/>
            <w:col w:w="4760" w:space="720"/>
            <w:col w:w="1880"/>
          </w:cols>
          <w:pgMar w:left="240" w:top="360" w:right="239" w:bottom="1440" w:gutter="0" w:footer="0" w:header="0"/>
          <w:type w:val="continuous"/>
        </w:sectPr>
      </w:pP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3600" w:type="dxa"/>
            <w:vAlign w:val="bottom"/>
          </w:tcPr>
          <w:p>
            <w:pPr>
              <w:ind w:left="220"/>
              <w:spacing w:after="0"/>
              <w:rPr>
                <w:sz w:val="20"/>
                <w:szCs w:val="20"/>
                <w:color w:val="auto"/>
              </w:rPr>
            </w:pPr>
            <w:r>
              <w:rPr>
                <w:rFonts w:ascii="Arial" w:cs="Arial" w:eastAsia="Arial" w:hAnsi="Arial"/>
                <w:sz w:val="14"/>
                <w:szCs w:val="14"/>
                <w:color w:val="auto"/>
              </w:rPr>
              <w:t>Managed Income Portfolio II CL 2</w:t>
            </w:r>
          </w:p>
        </w:tc>
        <w:tc>
          <w:tcPr>
            <w:tcW w:w="5020" w:type="dxa"/>
            <w:vAlign w:val="bottom"/>
          </w:tcPr>
          <w:p>
            <w:pPr>
              <w:ind w:left="260"/>
              <w:spacing w:after="0"/>
              <w:rPr>
                <w:sz w:val="20"/>
                <w:szCs w:val="20"/>
                <w:color w:val="auto"/>
              </w:rPr>
            </w:pPr>
            <w:r>
              <w:rPr>
                <w:rFonts w:ascii="Arial" w:cs="Arial" w:eastAsia="Arial" w:hAnsi="Arial"/>
                <w:sz w:val="14"/>
                <w:szCs w:val="14"/>
                <w:color w:val="auto"/>
              </w:rPr>
              <w:t>Stable Value Fund – Portfolio includes investment contracts offered by</w:t>
            </w:r>
          </w:p>
        </w:tc>
      </w:tr>
      <w:tr>
        <w:trPr>
          <w:trHeight w:val="172"/>
        </w:trPr>
        <w:tc>
          <w:tcPr>
            <w:tcW w:w="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Arial" w:cs="Arial" w:eastAsia="Arial" w:hAnsi="Arial"/>
                <w:sz w:val="14"/>
                <w:szCs w:val="14"/>
                <w:color w:val="auto"/>
              </w:rPr>
              <w:t>major insurance companies and other approved financial institutions.</w:t>
            </w:r>
          </w:p>
        </w:tc>
      </w:tr>
      <w:tr>
        <w:trPr>
          <w:trHeight w:val="206"/>
        </w:trPr>
        <w:tc>
          <w:tcPr>
            <w:tcW w:w="10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3600" w:type="dxa"/>
            <w:vAlign w:val="bottom"/>
          </w:tcPr>
          <w:p>
            <w:pPr>
              <w:ind w:left="220"/>
              <w:spacing w:after="0"/>
              <w:rPr>
                <w:sz w:val="20"/>
                <w:szCs w:val="20"/>
                <w:color w:val="auto"/>
              </w:rPr>
            </w:pPr>
            <w:r>
              <w:rPr>
                <w:rFonts w:ascii="Arial" w:cs="Arial" w:eastAsia="Arial" w:hAnsi="Arial"/>
                <w:sz w:val="14"/>
                <w:szCs w:val="14"/>
                <w:color w:val="auto"/>
              </w:rPr>
              <w:t>Fidelity Investments Money Market Government</w:t>
            </w:r>
          </w:p>
        </w:tc>
        <w:tc>
          <w:tcPr>
            <w:tcW w:w="5020" w:type="dxa"/>
            <w:vAlign w:val="bottom"/>
          </w:tcPr>
          <w:p>
            <w:pPr>
              <w:ind w:left="260"/>
              <w:spacing w:after="0"/>
              <w:rPr>
                <w:sz w:val="20"/>
                <w:szCs w:val="20"/>
                <w:color w:val="auto"/>
              </w:rPr>
            </w:pPr>
            <w:r>
              <w:rPr>
                <w:rFonts w:ascii="Arial" w:cs="Arial" w:eastAsia="Arial" w:hAnsi="Arial"/>
                <w:sz w:val="14"/>
                <w:szCs w:val="14"/>
                <w:color w:val="auto"/>
              </w:rPr>
              <w:t>Money Market Fund</w:t>
            </w:r>
          </w:p>
        </w:tc>
      </w:tr>
      <w:tr>
        <w:trPr>
          <w:trHeight w:val="172"/>
        </w:trPr>
        <w:tc>
          <w:tcPr>
            <w:tcW w:w="10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Arial" w:cs="Arial" w:eastAsia="Arial" w:hAnsi="Arial"/>
                <w:sz w:val="14"/>
                <w:szCs w:val="14"/>
                <w:color w:val="auto"/>
              </w:rPr>
              <w:t>Portfolio - Institutional Class</w:t>
            </w:r>
          </w:p>
        </w:tc>
        <w:tc>
          <w:tcPr>
            <w:tcW w:w="5020" w:type="dxa"/>
            <w:vAlign w:val="bottom"/>
          </w:tcPr>
          <w:p>
            <w:pPr>
              <w:spacing w:after="0"/>
              <w:rPr>
                <w:sz w:val="14"/>
                <w:szCs w:val="14"/>
                <w:color w:val="auto"/>
              </w:rPr>
            </w:pPr>
          </w:p>
        </w:tc>
      </w:tr>
      <w:tr>
        <w:trPr>
          <w:trHeight w:val="216"/>
        </w:trPr>
        <w:tc>
          <w:tcPr>
            <w:tcW w:w="10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4"/>
                <w:szCs w:val="14"/>
                <w:color w:val="auto"/>
              </w:rPr>
              <w:t>Fidelity Brokerage Link</w:t>
            </w:r>
          </w:p>
        </w:tc>
        <w:tc>
          <w:tcPr>
            <w:tcW w:w="5020" w:type="dxa"/>
            <w:vAlign w:val="bottom"/>
          </w:tcPr>
          <w:p>
            <w:pPr>
              <w:ind w:left="260"/>
              <w:spacing w:after="0"/>
              <w:rPr>
                <w:sz w:val="20"/>
                <w:szCs w:val="20"/>
                <w:color w:val="auto"/>
              </w:rPr>
            </w:pPr>
            <w:r>
              <w:rPr>
                <w:rFonts w:ascii="Arial" w:cs="Arial" w:eastAsia="Arial" w:hAnsi="Arial"/>
                <w:sz w:val="14"/>
                <w:szCs w:val="14"/>
                <w:color w:val="auto"/>
              </w:rPr>
              <w:t>Self-directed brokerage account</w:t>
            </w:r>
          </w:p>
        </w:tc>
      </w:tr>
      <w:tr>
        <w:trPr>
          <w:trHeight w:val="530"/>
        </w:trPr>
        <w:tc>
          <w:tcPr>
            <w:tcW w:w="10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3600" w:type="dxa"/>
            <w:vAlign w:val="bottom"/>
          </w:tcPr>
          <w:p>
            <w:pPr>
              <w:ind w:left="220"/>
              <w:spacing w:after="0"/>
              <w:rPr>
                <w:sz w:val="20"/>
                <w:szCs w:val="20"/>
                <w:color w:val="auto"/>
              </w:rPr>
            </w:pPr>
            <w:r>
              <w:rPr>
                <w:rFonts w:ascii="Arial" w:cs="Arial" w:eastAsia="Arial" w:hAnsi="Arial"/>
                <w:sz w:val="14"/>
                <w:szCs w:val="14"/>
                <w:color w:val="auto"/>
              </w:rPr>
              <w:t>Notes receivable from Participants</w:t>
            </w:r>
          </w:p>
        </w:tc>
        <w:tc>
          <w:tcPr>
            <w:tcW w:w="5020" w:type="dxa"/>
            <w:vAlign w:val="bottom"/>
          </w:tcPr>
          <w:p>
            <w:pPr>
              <w:ind w:left="260"/>
              <w:spacing w:after="0"/>
              <w:rPr>
                <w:sz w:val="20"/>
                <w:szCs w:val="20"/>
                <w:color w:val="auto"/>
              </w:rPr>
            </w:pPr>
            <w:r>
              <w:rPr>
                <w:rFonts w:ascii="Arial" w:cs="Arial" w:eastAsia="Arial" w:hAnsi="Arial"/>
                <w:sz w:val="14"/>
                <w:szCs w:val="14"/>
                <w:color w:val="auto"/>
              </w:rPr>
              <w:t>Varying rates of interest ranging from 3.84% to 8.02% with varying maturity</w:t>
            </w:r>
          </w:p>
        </w:tc>
      </w:tr>
      <w:tr>
        <w:trPr>
          <w:trHeight w:val="172"/>
        </w:trPr>
        <w:tc>
          <w:tcPr>
            <w:tcW w:w="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Arial" w:cs="Arial" w:eastAsia="Arial" w:hAnsi="Arial"/>
                <w:sz w:val="14"/>
                <w:szCs w:val="14"/>
                <w:color w:val="auto"/>
              </w:rPr>
              <w:t>dates through November 2027</w:t>
            </w:r>
          </w:p>
        </w:tc>
      </w:tr>
      <w:tr>
        <w:trPr>
          <w:trHeight w:val="476"/>
        </w:trPr>
        <w:tc>
          <w:tcPr>
            <w:tcW w:w="100" w:type="dxa"/>
            <w:vAlign w:val="bottom"/>
          </w:tcPr>
          <w:p>
            <w:pPr>
              <w:spacing w:after="0"/>
              <w:rPr>
                <w:sz w:val="24"/>
                <w:szCs w:val="24"/>
                <w:color w:val="auto"/>
              </w:rPr>
            </w:pPr>
          </w:p>
        </w:tc>
        <w:tc>
          <w:tcPr>
            <w:tcW w:w="3600" w:type="dxa"/>
            <w:vAlign w:val="bottom"/>
          </w:tcPr>
          <w:p>
            <w:pPr>
              <w:ind w:left="60"/>
              <w:spacing w:after="0"/>
              <w:rPr>
                <w:sz w:val="20"/>
                <w:szCs w:val="20"/>
                <w:color w:val="auto"/>
              </w:rPr>
            </w:pPr>
            <w:r>
              <w:rPr>
                <w:rFonts w:ascii="Arial" w:cs="Arial" w:eastAsia="Arial" w:hAnsi="Arial"/>
                <w:sz w:val="14"/>
                <w:szCs w:val="14"/>
                <w:color w:val="auto"/>
              </w:rPr>
              <w:t>* Party-in-interest.</w:t>
            </w:r>
          </w:p>
        </w:tc>
        <w:tc>
          <w:tcPr>
            <w:tcW w:w="5020" w:type="dxa"/>
            <w:vAlign w:val="bottom"/>
          </w:tcPr>
          <w:p>
            <w:pPr>
              <w:spacing w:after="0"/>
              <w:rPr>
                <w:sz w:val="24"/>
                <w:szCs w:val="24"/>
                <w:color w:val="auto"/>
              </w:rPr>
            </w:pPr>
          </w:p>
        </w:tc>
      </w:tr>
      <w:tr>
        <w:trPr>
          <w:trHeight w:val="172"/>
        </w:trPr>
        <w:tc>
          <w:tcPr>
            <w:tcW w:w="10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Arial" w:cs="Arial" w:eastAsia="Arial" w:hAnsi="Arial"/>
                <w:sz w:val="14"/>
                <w:szCs w:val="14"/>
                <w:color w:val="auto"/>
              </w:rPr>
              <w:t>** Cost is not required for participant-directed funds.</w:t>
            </w:r>
          </w:p>
        </w:tc>
        <w:tc>
          <w:tcPr>
            <w:tcW w:w="5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-986790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2466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auto"/>
        <w:tabs>
          <w:tab w:leader="none" w:pos="1320" w:val="left"/>
        </w:tabs>
        <w:rPr>
          <w:sz w:val="20"/>
          <w:szCs w:val="20"/>
          <w:color w:val="auto"/>
        </w:rPr>
      </w:pPr>
      <w:r>
        <w:rPr>
          <w:rFonts w:ascii="Arial" w:cs="Arial" w:eastAsia="Arial" w:hAnsi="Arial"/>
          <w:sz w:val="29"/>
          <w:szCs w:val="29"/>
          <w:color w:val="auto"/>
          <w:vertAlign w:val="superscript"/>
        </w:rPr>
        <w:t>N/A</w:t>
      </w:r>
      <w:r>
        <w:rPr>
          <w:sz w:val="20"/>
          <w:szCs w:val="20"/>
          <w:color w:val="auto"/>
        </w:rPr>
        <w:tab/>
      </w:r>
      <w:r>
        <w:rPr>
          <w:rFonts w:ascii="Arial" w:cs="Arial" w:eastAsia="Arial" w:hAnsi="Arial"/>
          <w:sz w:val="14"/>
          <w:szCs w:val="14"/>
          <w:color w:val="auto"/>
        </w:rPr>
        <w:t>63,582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N/A</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36,538</w:t>
      </w:r>
    </w:p>
    <w:p>
      <w:pPr>
        <w:spacing w:after="0" w:line="55" w:lineRule="exact"/>
        <w:rPr>
          <w:sz w:val="20"/>
          <w:szCs w:val="20"/>
          <w:color w:val="auto"/>
        </w:rPr>
      </w:pPr>
    </w:p>
    <w:p>
      <w:pPr>
        <w:jc w:val="both"/>
        <w:ind w:left="1140" w:right="100" w:hanging="1127"/>
        <w:spacing w:after="0" w:line="419" w:lineRule="auto"/>
        <w:tabs>
          <w:tab w:leader="none" w:pos="1120" w:val="left"/>
        </w:tabs>
        <w:rPr>
          <w:sz w:val="20"/>
          <w:szCs w:val="20"/>
          <w:color w:val="auto"/>
        </w:rPr>
      </w:pPr>
      <w:r>
        <w:rPr>
          <w:rFonts w:ascii="Arial" w:cs="Arial" w:eastAsia="Arial" w:hAnsi="Arial"/>
          <w:sz w:val="28"/>
          <w:szCs w:val="28"/>
          <w:color w:val="auto"/>
          <w:vertAlign w:val="superscript"/>
        </w:rPr>
        <w:t>N/A</w:t>
      </w:r>
      <w:r>
        <w:rPr>
          <w:sz w:val="20"/>
          <w:szCs w:val="20"/>
          <w:color w:val="auto"/>
        </w:rPr>
        <w:tab/>
      </w:r>
      <w:r>
        <w:rPr>
          <w:rFonts w:ascii="Arial" w:cs="Arial" w:eastAsia="Arial" w:hAnsi="Arial"/>
          <w:sz w:val="14"/>
          <w:szCs w:val="14"/>
          <w:color w:val="auto"/>
        </w:rPr>
        <w:t>25,640 1,230,256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-205105</wp:posOffset>
            </wp:positionV>
            <wp:extent cx="7886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0"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26,037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14605</wp:posOffset>
            </wp:positionV>
            <wp:extent cx="7886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9" w:lineRule="exact"/>
        <w:rPr>
          <w:sz w:val="20"/>
          <w:szCs w:val="20"/>
          <w:color w:val="auto"/>
        </w:rPr>
      </w:pPr>
    </w:p>
    <w:p>
      <w:pPr>
        <w:ind w:left="1140" w:hanging="476"/>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1,256,293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31750</wp:posOffset>
            </wp:positionV>
            <wp:extent cx="7886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48895</wp:posOffset>
            </wp:positionV>
            <wp:extent cx="7886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40" w:lineRule="exact"/>
        <w:rPr>
          <w:sz w:val="20"/>
          <w:szCs w:val="20"/>
          <w:color w:val="auto"/>
        </w:rPr>
      </w:pPr>
    </w:p>
    <w:p>
      <w:pPr>
        <w:sectPr>
          <w:pgSz w:w="11900" w:h="16838" w:orient="portrait"/>
          <w:cols w:equalWidth="0" w:num="2">
            <w:col w:w="8820" w:space="720"/>
            <w:col w:w="1880"/>
          </w:cols>
          <w:pgMar w:left="240" w:top="360" w:right="2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See accompanying notes to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7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FMC Technologies, Inc., as Plan Administrator,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FMC TECHNOLOGIES, INC. SAVINGS AND INVESTMENT</w:t>
            </w:r>
          </w:p>
        </w:tc>
        <w:tc>
          <w:tcPr>
            <w:tcW w:w="0" w:type="dxa"/>
            <w:vAlign w:val="bottom"/>
          </w:tcPr>
          <w:p>
            <w:pPr>
              <w:spacing w:after="0"/>
              <w:rPr>
                <w:sz w:val="1"/>
                <w:szCs w:val="1"/>
                <w:color w:val="auto"/>
              </w:rPr>
            </w:pPr>
          </w:p>
        </w:tc>
      </w:tr>
      <w:tr>
        <w:trPr>
          <w:trHeight w:val="217"/>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4"/>
                <w:szCs w:val="24"/>
                <w:color w:val="auto"/>
              </w:rPr>
            </w:pPr>
          </w:p>
        </w:tc>
        <w:tc>
          <w:tcPr>
            <w:tcW w:w="7780" w:type="dxa"/>
            <w:vAlign w:val="bottom"/>
            <w:gridSpan w:val="2"/>
          </w:tcPr>
          <w:p>
            <w:pPr>
              <w:ind w:left="2140"/>
              <w:spacing w:after="0"/>
              <w:rPr>
                <w:sz w:val="20"/>
                <w:szCs w:val="20"/>
                <w:color w:val="auto"/>
              </w:rPr>
            </w:pPr>
            <w:r>
              <w:rPr>
                <w:rFonts w:ascii="Arial" w:cs="Arial" w:eastAsia="Arial" w:hAnsi="Arial"/>
                <w:sz w:val="18"/>
                <w:szCs w:val="18"/>
                <w:color w:val="auto"/>
              </w:rPr>
              <w:t>By: FMC Technologies, Inc., as Plan Administrator</w:t>
            </w:r>
          </w:p>
        </w:tc>
        <w:tc>
          <w:tcPr>
            <w:tcW w:w="0" w:type="dxa"/>
            <w:vAlign w:val="bottom"/>
          </w:tcPr>
          <w:p>
            <w:pPr>
              <w:spacing w:after="0"/>
              <w:rPr>
                <w:sz w:val="1"/>
                <w:szCs w:val="1"/>
                <w:color w:val="auto"/>
              </w:rPr>
            </w:pPr>
          </w:p>
        </w:tc>
      </w:tr>
      <w:tr>
        <w:trPr>
          <w:trHeight w:val="594"/>
        </w:trPr>
        <w:tc>
          <w:tcPr>
            <w:tcW w:w="3600" w:type="dxa"/>
            <w:vAlign w:val="bottom"/>
          </w:tcPr>
          <w:p>
            <w:pPr>
              <w:spacing w:after="0"/>
              <w:rPr>
                <w:sz w:val="20"/>
                <w:szCs w:val="20"/>
                <w:color w:val="auto"/>
              </w:rPr>
            </w:pPr>
            <w:r>
              <w:rPr>
                <w:rFonts w:ascii="Arial" w:cs="Arial" w:eastAsia="Arial" w:hAnsi="Arial"/>
                <w:sz w:val="18"/>
                <w:szCs w:val="18"/>
                <w:color w:val="auto"/>
              </w:rPr>
              <w:t>Date: June 29, 2018</w:t>
            </w:r>
          </w:p>
        </w:tc>
        <w:tc>
          <w:tcPr>
            <w:tcW w:w="2420" w:type="dxa"/>
            <w:vAlign w:val="bottom"/>
          </w:tcPr>
          <w:p>
            <w:pPr>
              <w:spacing w:after="0"/>
              <w:rPr>
                <w:sz w:val="24"/>
                <w:szCs w:val="24"/>
                <w:color w:val="auto"/>
              </w:rPr>
            </w:pPr>
          </w:p>
        </w:tc>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/s/ Maryann T. Mannen</w:t>
            </w: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5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Maryann T. Mannen</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473"/>
        </w:trPr>
        <w:tc>
          <w:tcPr>
            <w:tcW w:w="3600" w:type="dxa"/>
            <w:vAlign w:val="bottom"/>
          </w:tcPr>
          <w:p>
            <w:pPr>
              <w:spacing w:after="0"/>
              <w:rPr>
                <w:sz w:val="24"/>
                <w:szCs w:val="24"/>
                <w:color w:val="auto"/>
              </w:rPr>
            </w:pP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360" w:type="dxa"/>
            <w:vAlign w:val="bottom"/>
            <w:gridSpan w:val="2"/>
          </w:tcPr>
          <w:p>
            <w:pPr>
              <w:jc w:val="center"/>
              <w:ind w:right="5060"/>
              <w:spacing w:after="0"/>
              <w:rPr>
                <w:sz w:val="20"/>
                <w:szCs w:val="20"/>
                <w:color w:val="auto"/>
              </w:rPr>
            </w:pPr>
            <w:r>
              <w:rPr>
                <w:rFonts w:ascii="Arial" w:cs="Arial" w:eastAsia="Arial" w:hAnsi="Arial"/>
                <w:sz w:val="18"/>
                <w:szCs w:val="18"/>
                <w:color w:val="auto"/>
                <w:w w:val="99"/>
              </w:rPr>
              <w:t>EXHIBIT INDEX</w:t>
            </w:r>
          </w:p>
        </w:tc>
      </w:tr>
      <w:tr>
        <w:trPr>
          <w:trHeight w:val="419"/>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43"/>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98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Consent of Independent Registered Public Accounting Firm (McConnell &amp; Jones LLP)</w:t>
            </w:r>
          </w:p>
        </w:tc>
      </w:tr>
      <w:tr>
        <w:trPr>
          <w:trHeight w:val="473"/>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2"/>
          </w:tcPr>
          <w:p>
            <w:pPr>
              <w:jc w:val="right"/>
              <w:ind w:right="470"/>
              <w:spacing w:after="0"/>
              <w:rPr>
                <w:sz w:val="20"/>
                <w:szCs w:val="20"/>
                <w:color w:val="auto"/>
              </w:rPr>
            </w:pPr>
            <w:r>
              <w:rPr>
                <w:rFonts w:ascii="Arial" w:cs="Arial" w:eastAsia="Arial" w:hAnsi="Arial"/>
                <w:sz w:val="18"/>
                <w:szCs w:val="18"/>
                <w:color w:val="auto"/>
              </w:rPr>
              <w:t>15</w:t>
            </w:r>
          </w:p>
        </w:tc>
        <w:tc>
          <w:tcPr>
            <w:tcW w:w="506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333-216284 on Form S-8 of our report dated June 29, 2018, appearing in the Annual Report on Form 11-K of the FMC Technologies, Inc. Savings and Investment Plan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McConnell &amp; Jones LLP</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29,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lowerLetter"/>
      <w:start w:val="10"/>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5"/>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2019-12-08T15:23:49Z</dcterms:created>
  <dcterms:modified xsi:type="dcterms:W3CDTF">2019-12-08T15:23:49Z</dcterms:modified>
</cp:coreProperties>
</file>