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169545</wp:posOffset>
            </wp:positionV>
            <wp:extent cx="4707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441325</wp:posOffset>
            </wp:positionV>
            <wp:extent cx="4707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NOTIFICATION OF LATE FILING</w:t>
      </w:r>
    </w:p>
    <w:p>
      <w:pPr>
        <w:spacing w:after="0" w:line="239" w:lineRule="exact"/>
        <w:rPr>
          <w:sz w:val="24"/>
          <w:szCs w:val="24"/>
          <w:color w:val="auto"/>
        </w:rPr>
      </w:pPr>
    </w:p>
    <w:p>
      <w:pPr>
        <w:jc w:val="center"/>
        <w:ind w:left="9400"/>
        <w:spacing w:after="0"/>
        <w:rPr>
          <w:sz w:val="20"/>
          <w:szCs w:val="20"/>
          <w:color w:val="auto"/>
        </w:rPr>
      </w:pPr>
      <w:r>
        <w:rPr>
          <w:rFonts w:ascii="Arial" w:cs="Arial" w:eastAsia="Arial" w:hAnsi="Arial"/>
          <w:sz w:val="14"/>
          <w:szCs w:val="14"/>
          <w:color w:val="auto"/>
        </w:rPr>
        <w:t>SEC FILE NUMBER</w:t>
      </w:r>
    </w:p>
    <w:p>
      <w:pPr>
        <w:spacing w:after="0" w:line="37" w:lineRule="exact"/>
        <w:rPr>
          <w:sz w:val="24"/>
          <w:szCs w:val="24"/>
          <w:color w:val="auto"/>
        </w:rPr>
      </w:pPr>
    </w:p>
    <w:p>
      <w:pPr>
        <w:jc w:val="center"/>
        <w:ind w:left="9400"/>
        <w:spacing w:after="0"/>
        <w:rPr>
          <w:sz w:val="20"/>
          <w:szCs w:val="20"/>
          <w:color w:val="auto"/>
        </w:rPr>
      </w:pPr>
      <w:r>
        <w:rPr>
          <w:rFonts w:ascii="Arial" w:cs="Arial" w:eastAsia="Arial" w:hAnsi="Arial"/>
          <w:sz w:val="14"/>
          <w:szCs w:val="14"/>
          <w:b w:val="1"/>
          <w:bCs w:val="1"/>
          <w:color w:val="auto"/>
        </w:rPr>
        <w:t>001-37983</w:t>
      </w:r>
    </w:p>
    <w:p>
      <w:pPr>
        <w:spacing w:after="0" w:line="200" w:lineRule="exact"/>
        <w:rPr>
          <w:sz w:val="24"/>
          <w:szCs w:val="24"/>
          <w:color w:val="auto"/>
        </w:rPr>
      </w:pPr>
    </w:p>
    <w:p>
      <w:pPr>
        <w:spacing w:after="0" w:line="224" w:lineRule="exact"/>
        <w:rPr>
          <w:sz w:val="24"/>
          <w:szCs w:val="24"/>
          <w:color w:val="auto"/>
        </w:rPr>
      </w:pPr>
    </w:p>
    <w:p>
      <w:pPr>
        <w:jc w:val="center"/>
        <w:ind w:left="9400"/>
        <w:spacing w:after="0"/>
        <w:rPr>
          <w:sz w:val="20"/>
          <w:szCs w:val="20"/>
          <w:color w:val="auto"/>
        </w:rPr>
      </w:pPr>
      <w:r>
        <w:rPr>
          <w:rFonts w:ascii="Arial" w:cs="Arial" w:eastAsia="Arial" w:hAnsi="Arial"/>
          <w:sz w:val="14"/>
          <w:szCs w:val="14"/>
          <w:color w:val="auto"/>
        </w:rPr>
        <w:t>CUSIP NUMBER</w:t>
      </w:r>
    </w:p>
    <w:p>
      <w:pPr>
        <w:spacing w:after="0" w:line="37" w:lineRule="exact"/>
        <w:rPr>
          <w:sz w:val="24"/>
          <w:szCs w:val="24"/>
          <w:color w:val="auto"/>
        </w:rPr>
      </w:pPr>
    </w:p>
    <w:p>
      <w:pPr>
        <w:jc w:val="center"/>
        <w:ind w:left="9400"/>
        <w:spacing w:after="0"/>
        <w:rPr>
          <w:sz w:val="20"/>
          <w:szCs w:val="20"/>
          <w:color w:val="auto"/>
        </w:rPr>
      </w:pPr>
      <w:r>
        <w:rPr>
          <w:rFonts w:ascii="Arial" w:cs="Arial" w:eastAsia="Arial" w:hAnsi="Arial"/>
          <w:sz w:val="14"/>
          <w:szCs w:val="14"/>
          <w:b w:val="1"/>
          <w:bCs w:val="1"/>
          <w:color w:val="auto"/>
        </w:rPr>
        <w:t>G87110 105</w:t>
      </w:r>
    </w:p>
    <w:p>
      <w:pPr>
        <w:spacing w:after="0" w:line="372" w:lineRule="exact"/>
        <w:rPr>
          <w:sz w:val="24"/>
          <w:szCs w:val="24"/>
          <w:color w:val="auto"/>
        </w:rPr>
      </w:pPr>
    </w:p>
    <w:p>
      <w:pPr>
        <w:ind w:left="2280" w:hanging="185"/>
        <w:spacing w:after="0" w:line="207" w:lineRule="exact"/>
        <w:tabs>
          <w:tab w:leader="none" w:pos="22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Form 10-K</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20-F</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11-K</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10-Q</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10-D</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Form N-SAR</w:t>
      </w:r>
    </w:p>
    <w:p>
      <w:pPr>
        <w:spacing w:after="0" w:line="51" w:lineRule="exact"/>
        <w:rPr>
          <w:sz w:val="24"/>
          <w:szCs w:val="24"/>
          <w:color w:val="auto"/>
        </w:rPr>
      </w:pPr>
    </w:p>
    <w:p>
      <w:pPr>
        <w:ind w:left="520"/>
        <w:spacing w:after="0" w:line="207" w:lineRule="exact"/>
        <w:tabs>
          <w:tab w:leader="none" w:pos="2080" w:val="left"/>
        </w:tabs>
        <w:rPr>
          <w:sz w:val="20"/>
          <w:szCs w:val="20"/>
          <w:color w:val="auto"/>
        </w:rPr>
      </w:pPr>
      <w:r>
        <w:rPr>
          <w:rFonts w:ascii="Arial" w:cs="Arial" w:eastAsia="Arial" w:hAnsi="Arial"/>
          <w:sz w:val="18"/>
          <w:szCs w:val="18"/>
          <w:b w:val="1"/>
          <w:bCs w:val="1"/>
          <w:i w:val="1"/>
          <w:iCs w:val="1"/>
          <w:color w:val="auto"/>
        </w:rPr>
        <w:t>(Check One)</w:t>
      </w:r>
      <w:r>
        <w:rPr>
          <w:rFonts w:ascii="Arial" w:cs="Arial" w:eastAsia="Arial" w:hAnsi="Arial"/>
          <w:sz w:val="18"/>
          <w:szCs w:val="18"/>
          <w:b w:val="1"/>
          <w:bCs w:val="1"/>
          <w:color w:val="auto"/>
        </w:rPr>
        <w: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N-CSR</w:t>
      </w:r>
    </w:p>
    <w:p>
      <w:pPr>
        <w:spacing w:after="0" w:line="391" w:lineRule="exact"/>
        <w:rPr>
          <w:sz w:val="24"/>
          <w:szCs w:val="24"/>
          <w:color w:val="auto"/>
        </w:rPr>
      </w:pPr>
    </w:p>
    <w:p>
      <w:pPr>
        <w:ind w:left="1460"/>
        <w:spacing w:after="0"/>
        <w:rPr>
          <w:sz w:val="20"/>
          <w:szCs w:val="20"/>
          <w:color w:val="auto"/>
        </w:rPr>
      </w:pPr>
      <w:r>
        <w:rPr>
          <w:rFonts w:ascii="Arial" w:cs="Arial" w:eastAsia="Arial" w:hAnsi="Arial"/>
          <w:sz w:val="18"/>
          <w:szCs w:val="18"/>
          <w:color w:val="auto"/>
        </w:rPr>
        <w:t>For Period Ended: December 31, 2019</w:t>
      </w:r>
    </w:p>
    <w:p>
      <w:pPr>
        <w:spacing w:after="0" w:line="200" w:lineRule="exact"/>
        <w:rPr>
          <w:sz w:val="24"/>
          <w:szCs w:val="24"/>
          <w:color w:val="auto"/>
        </w:rPr>
      </w:pPr>
    </w:p>
    <w:p>
      <w:pPr>
        <w:spacing w:after="0" w:line="241" w:lineRule="exact"/>
        <w:rPr>
          <w:sz w:val="24"/>
          <w:szCs w:val="24"/>
          <w:color w:val="auto"/>
        </w:rPr>
      </w:pPr>
    </w:p>
    <w:p>
      <w:pPr>
        <w:ind w:left="1680" w:hanging="213"/>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103" w:lineRule="exact"/>
        <w:rPr>
          <w:rFonts w:ascii="MS PGothic" w:cs="MS PGothic" w:eastAsia="MS PGothic" w:hAnsi="MS PGothic"/>
          <w:sz w:val="18"/>
          <w:szCs w:val="18"/>
          <w:color w:val="auto"/>
        </w:rPr>
      </w:pPr>
    </w:p>
    <w:p>
      <w:pPr>
        <w:ind w:left="1680" w:hanging="213"/>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103" w:lineRule="exact"/>
        <w:rPr>
          <w:rFonts w:ascii="MS PGothic" w:cs="MS PGothic" w:eastAsia="MS PGothic" w:hAnsi="MS PGothic"/>
          <w:sz w:val="18"/>
          <w:szCs w:val="18"/>
          <w:color w:val="auto"/>
        </w:rPr>
      </w:pPr>
    </w:p>
    <w:p>
      <w:pPr>
        <w:ind w:left="1680" w:hanging="213"/>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103" w:lineRule="exact"/>
        <w:rPr>
          <w:rFonts w:ascii="MS PGothic" w:cs="MS PGothic" w:eastAsia="MS PGothic" w:hAnsi="MS PGothic"/>
          <w:sz w:val="18"/>
          <w:szCs w:val="18"/>
          <w:color w:val="auto"/>
        </w:rPr>
      </w:pPr>
    </w:p>
    <w:p>
      <w:pPr>
        <w:ind w:left="1680" w:hanging="213"/>
        <w:spacing w:after="0"/>
        <w:tabs>
          <w:tab w:leader="none" w:pos="1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03" w:lineRule="exact"/>
        <w:rPr>
          <w:rFonts w:ascii="MS PGothic" w:cs="MS PGothic" w:eastAsia="MS PGothic" w:hAnsi="MS PGothic"/>
          <w:sz w:val="18"/>
          <w:szCs w:val="18"/>
          <w:color w:val="auto"/>
        </w:rPr>
      </w:pPr>
    </w:p>
    <w:p>
      <w:pPr>
        <w:ind w:left="1460" w:right="6680" w:firstLine="7"/>
        <w:spacing w:after="0" w:line="407" w:lineRule="auto"/>
        <w:tabs>
          <w:tab w:leader="none" w:pos="167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on Form N-SAR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5487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38"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 Not applicable.</w:t>
      </w:r>
    </w:p>
    <w:p>
      <w:pPr>
        <w:sectPr>
          <w:pgSz w:w="11900" w:h="16838" w:orient="portrait"/>
          <w:cols w:equalWidth="0" w:num="1">
            <w:col w:w="11060"/>
          </w:cols>
          <w:pgMar w:left="240" w:top="1176"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Full Name of Registrant</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Former Name if Applicable</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One St. Paul's Churchyard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Address of Principal Executive Office </w:t>
      </w:r>
      <w:r>
        <w:rPr>
          <w:rFonts w:ascii="Arial" w:cs="Arial" w:eastAsia="Arial" w:hAnsi="Arial"/>
          <w:sz w:val="18"/>
          <w:szCs w:val="18"/>
          <w:i w:val="1"/>
          <w:iCs w:val="1"/>
          <w:color w:val="auto"/>
        </w:rPr>
        <w:t>(Street and Number)</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London, United Kingdom EC4M 8AP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 State and Zip Code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RULES 12b-25(b) AND (c)</w:t>
      </w:r>
    </w:p>
    <w:p>
      <w:pPr>
        <w:spacing w:after="0" w:line="126"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40005</wp:posOffset>
            </wp:positionV>
            <wp:extent cx="8890" cy="1080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080770"/>
                    </a:xfrm>
                    <a:prstGeom prst="rect">
                      <a:avLst/>
                    </a:prstGeom>
                    <a:noFill/>
                  </pic:spPr>
                </pic:pic>
              </a:graphicData>
            </a:graphic>
          </wp:anchor>
        </w:drawing>
      </w:r>
    </w:p>
    <w:p>
      <w:pPr>
        <w:spacing w:after="0" w:line="69" w:lineRule="exact"/>
        <w:rPr>
          <w:sz w:val="20"/>
          <w:szCs w:val="20"/>
          <w:color w:val="auto"/>
        </w:rPr>
      </w:pPr>
    </w:p>
    <w:p>
      <w:pPr>
        <w:ind w:left="1120" w:hanging="261"/>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reasons described in reasonable detail in Part III of this form could not be eliminated without unreasonable effort or expense;</w:t>
      </w:r>
    </w:p>
    <w:p>
      <w:pPr>
        <w:spacing w:after="0" w:line="207" w:lineRule="exact"/>
        <w:rPr>
          <w:rFonts w:ascii="Arial" w:cs="Arial" w:eastAsia="Arial" w:hAnsi="Arial"/>
          <w:sz w:val="18"/>
          <w:szCs w:val="18"/>
          <w:color w:val="auto"/>
        </w:rPr>
      </w:pPr>
    </w:p>
    <w:p>
      <w:pPr>
        <w:ind w:left="1120" w:hanging="261"/>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subject annual report, semi-annual report, transition report on Form 10-K, Form 20-F, Form 11-K, Form N-SAR or Form N-</w:t>
      </w:r>
    </w:p>
    <w:p>
      <w:pPr>
        <w:ind w:left="860" w:right="320" w:hanging="217"/>
        <w:spacing w:after="0" w:line="203" w:lineRule="auto"/>
        <w:tabs>
          <w:tab w:leader="none" w:pos="860" w:val="left"/>
        </w:tabs>
        <w:numPr>
          <w:ilvl w:val="0"/>
          <w:numId w:val="3"/>
        </w:numPr>
        <w:rPr>
          <w:rFonts w:ascii="MS PGothic" w:cs="MS PGothic" w:eastAsia="MS PGothic" w:hAnsi="MS PGothic"/>
          <w:sz w:val="32"/>
          <w:szCs w:val="32"/>
          <w:color w:val="auto"/>
          <w:vertAlign w:val="subscript"/>
        </w:rPr>
      </w:pPr>
      <w:r>
        <w:rPr>
          <w:rFonts w:ascii="Arial" w:cs="Arial" w:eastAsia="Arial" w:hAnsi="Arial"/>
          <w:sz w:val="18"/>
          <w:szCs w:val="18"/>
          <w:color w:val="auto"/>
        </w:rPr>
        <w:t>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3" w:lineRule="exact"/>
        <w:rPr>
          <w:rFonts w:ascii="MS PGothic" w:cs="MS PGothic" w:eastAsia="MS PGothic" w:hAnsi="MS PGothic"/>
          <w:sz w:val="32"/>
          <w:szCs w:val="32"/>
          <w:color w:val="auto"/>
          <w:vertAlign w:val="subscript"/>
        </w:rPr>
      </w:pPr>
    </w:p>
    <w:p>
      <w:pPr>
        <w:ind w:left="1120" w:hanging="261"/>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State below in reasonable detail why Forms 10-K, 20-F, 11-K, 10-Q, 10-D, N-SAR, N-CSR, or the transition report or portion thereof, could not be filed within the prescribed time period.</w:t>
      </w:r>
    </w:p>
    <w:p>
      <w:pPr>
        <w:spacing w:after="0" w:line="1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TechnipFMC plc (the “Company”) has already filed its Form 10-K for the year ended December 31, 2019 (the “2019 Form 10-K”) as of the time of filing this notice. The Company is filing this notice in accordance with Rule 12b-25(a) under the Securities Exchange Act of 1934, as amended, because its 2019 Form 10-K was processed and accepted by the U.S. Securities and Exchange Commission (the “Commission”) at 17:34 ET on March 2, 2020, which was four minutes after the Commission’s 17:30 ET deadline.</w:t>
      </w:r>
    </w:p>
    <w:p>
      <w:pPr>
        <w:spacing w:after="0" w:line="20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2019 Form 10-K could not be filed within the prescribed time period due to unexpected technical difficulties with the third-party software and server that the Company uses to process and make its filings with the Commission, which occurred as the Company was attempting to finalize and file the 2019 Form 10-K on March 2,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34" w:lineRule="exact"/>
        <w:rPr>
          <w:sz w:val="20"/>
          <w:szCs w:val="20"/>
          <w:color w:val="auto"/>
        </w:rPr>
      </w:pPr>
    </w:p>
    <w:p>
      <w:pPr>
        <w:ind w:left="840" w:hanging="805"/>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Krisztina Doroghazi</w:t>
            </w:r>
          </w:p>
        </w:tc>
        <w:tc>
          <w:tcPr>
            <w:tcW w:w="120" w:type="dxa"/>
            <w:vAlign w:val="bottom"/>
          </w:tcPr>
          <w:p>
            <w:pPr>
              <w:spacing w:after="0"/>
              <w:rPr>
                <w:sz w:val="19"/>
                <w:szCs w:val="19"/>
                <w:color w:val="auto"/>
              </w:rPr>
            </w:pPr>
          </w:p>
        </w:tc>
        <w:tc>
          <w:tcPr>
            <w:tcW w:w="262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9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rPr>
              <w:t>405-2311</w:t>
            </w:r>
          </w:p>
        </w:tc>
      </w:tr>
      <w:tr>
        <w:trPr>
          <w:trHeight w:val="243"/>
        </w:trPr>
        <w:tc>
          <w:tcPr>
            <w:tcW w:w="46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(Name)</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(Area Code)</w:t>
            </w: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(Telephone Number)</w:t>
            </w:r>
          </w:p>
        </w:tc>
      </w:tr>
    </w:tbl>
    <w:p>
      <w:pPr>
        <w:sectPr>
          <w:pgSz w:w="11900" w:h="16838" w:orient="portrait"/>
          <w:cols w:equalWidth="0" w:num="1">
            <w:col w:w="11420"/>
          </w:cols>
          <w:pgMar w:left="240" w:top="549" w:right="239" w:bottom="144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0600" w:type="dxa"/>
            <w:vAlign w:val="bottom"/>
          </w:tcPr>
          <w:p>
            <w:pPr>
              <w:ind w:left="280"/>
              <w:spacing w:after="0"/>
              <w:rPr>
                <w:sz w:val="20"/>
                <w:szCs w:val="20"/>
                <w:color w:val="auto"/>
              </w:rPr>
            </w:pPr>
            <w:r>
              <w:rPr>
                <w:rFonts w:ascii="Arial" w:cs="Arial" w:eastAsia="Arial" w:hAnsi="Arial"/>
                <w:sz w:val="18"/>
                <w:szCs w:val="18"/>
                <w:color w:val="auto"/>
              </w:rPr>
              <w:t>Have all other periodic reports required under Section 13 or 15(d) of the Securities Exchange Act of 1934 or Section 30 of the</w:t>
            </w:r>
          </w:p>
        </w:tc>
      </w:tr>
      <w:tr>
        <w:trPr>
          <w:trHeight w:val="163"/>
        </w:trPr>
        <w:tc>
          <w:tcPr>
            <w:tcW w:w="520" w:type="dxa"/>
            <w:vAlign w:val="bottom"/>
          </w:tcPr>
          <w:p>
            <w:pPr>
              <w:spacing w:after="0"/>
              <w:rPr>
                <w:sz w:val="14"/>
                <w:szCs w:val="14"/>
                <w:color w:val="auto"/>
              </w:rPr>
            </w:pPr>
          </w:p>
        </w:tc>
        <w:tc>
          <w:tcPr>
            <w:tcW w:w="10600" w:type="dxa"/>
            <w:vAlign w:val="bottom"/>
          </w:tcPr>
          <w:p>
            <w:pPr>
              <w:ind w:left="280"/>
              <w:spacing w:after="0" w:line="163" w:lineRule="exact"/>
              <w:rPr>
                <w:sz w:val="20"/>
                <w:szCs w:val="20"/>
                <w:color w:val="auto"/>
              </w:rPr>
            </w:pPr>
            <w:r>
              <w:rPr>
                <w:rFonts w:ascii="Arial" w:cs="Arial" w:eastAsia="Arial" w:hAnsi="Arial"/>
                <w:sz w:val="18"/>
                <w:szCs w:val="18"/>
                <w:color w:val="auto"/>
                <w:w w:val="99"/>
              </w:rPr>
              <w:t>Investment Company Act of 1940 during the preceding 12 months or for such shorter period that the registrant was required to file</w:t>
            </w:r>
          </w:p>
        </w:tc>
      </w:tr>
      <w:tr>
        <w:trPr>
          <w:trHeight w:val="283"/>
        </w:trPr>
        <w:tc>
          <w:tcPr>
            <w:tcW w:w="520" w:type="dxa"/>
            <w:vAlign w:val="bottom"/>
          </w:tcPr>
          <w:p>
            <w:pPr>
              <w:jc w:val="right"/>
              <w:ind w:right="210"/>
              <w:spacing w:after="0"/>
              <w:rPr>
                <w:sz w:val="20"/>
                <w:szCs w:val="20"/>
                <w:color w:val="auto"/>
              </w:rPr>
            </w:pPr>
            <w:r>
              <w:rPr>
                <w:rFonts w:ascii="Arial" w:cs="Arial" w:eastAsia="Arial" w:hAnsi="Arial"/>
                <w:sz w:val="18"/>
                <w:szCs w:val="18"/>
                <w:color w:val="auto"/>
                <w:w w:val="90"/>
              </w:rPr>
              <w:t>(2)</w:t>
            </w:r>
          </w:p>
        </w:tc>
        <w:tc>
          <w:tcPr>
            <w:tcW w:w="10600" w:type="dxa"/>
            <w:vAlign w:val="bottom"/>
          </w:tcPr>
          <w:p>
            <w:pPr>
              <w:ind w:left="280"/>
              <w:spacing w:after="0" w:line="207" w:lineRule="exact"/>
              <w:rPr>
                <w:sz w:val="20"/>
                <w:szCs w:val="20"/>
                <w:color w:val="auto"/>
              </w:rPr>
            </w:pPr>
            <w:r>
              <w:rPr>
                <w:rFonts w:ascii="Arial" w:cs="Arial" w:eastAsia="Arial" w:hAnsi="Arial"/>
                <w:sz w:val="18"/>
                <w:szCs w:val="18"/>
                <w:color w:val="auto"/>
              </w:rPr>
              <w:t xml:space="preserve">such report(s) been filed? If answer is no, identify report(s).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bl>
    <w:p>
      <w:pPr>
        <w:spacing w:after="0" w:line="26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Is it anticipated that any significant change in results of operations from the corresponding period for the last fiscal year will be</w:t>
      </w:r>
    </w:p>
    <w:p>
      <w:pPr>
        <w:ind w:left="840" w:hanging="805"/>
        <w:spacing w:after="0" w:line="207" w:lineRule="exact"/>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reflected by the earnings statements to be included in the subject report or portion thereof? Yes </w:t>
      </w: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Please refer to the 2019 Form 10-K filed on March 3, 2020. Details regarding significant changes in the Company's results of operations for the year ended December 31, 2019 as compared to the year ended December 31, 2018 are in the 2019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TechnipFMC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28575</wp:posOffset>
            </wp:positionV>
            <wp:extent cx="5428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6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of Registrant as Specified in Charter)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12" w:lineRule="exact"/>
        <w:rPr>
          <w:sz w:val="20"/>
          <w:szCs w:val="20"/>
          <w:color w:val="auto"/>
        </w:rPr>
      </w:pPr>
    </w:p>
    <w:p>
      <w:pPr>
        <w:ind w:left="520"/>
        <w:spacing w:after="0"/>
        <w:tabs>
          <w:tab w:leader="none" w:pos="1340" w:val="left"/>
          <w:tab w:leader="none" w:pos="4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3, 2020</w:t>
      </w:r>
      <w:r>
        <w:rPr>
          <w:sz w:val="20"/>
          <w:szCs w:val="20"/>
          <w:color w:val="auto"/>
        </w:rPr>
        <w:tab/>
      </w:r>
      <w:r>
        <w:rPr>
          <w:rFonts w:ascii="Arial" w:cs="Arial" w:eastAsia="Arial" w:hAnsi="Arial"/>
          <w:sz w:val="18"/>
          <w:szCs w:val="18"/>
          <w:color w:val="auto"/>
        </w:rPr>
        <w:t>By: /s/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3833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Name: Krisztina Doroghazi</w:t>
      </w:r>
    </w:p>
    <w:p>
      <w:pPr>
        <w:spacing w:after="0" w:line="4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Senior Vice President, Controller and Chief Accounting Officer</w:t>
      </w:r>
    </w:p>
    <w:p>
      <w:pPr>
        <w:ind w:left="4480"/>
        <w:spacing w:after="0"/>
        <w:rPr>
          <w:sz w:val="20"/>
          <w:szCs w:val="20"/>
          <w:color w:val="auto"/>
        </w:rPr>
      </w:pPr>
      <w:r>
        <w:rPr>
          <w:rFonts w:ascii="Arial" w:cs="Arial" w:eastAsia="Arial" w:hAnsi="Arial"/>
          <w:sz w:val="18"/>
          <w:szCs w:val="18"/>
          <w:color w:val="auto"/>
        </w:rPr>
        <w:t>Title: (Principal Accounting Officer and a Duly Authorized Officer)</w:t>
      </w:r>
    </w:p>
    <w:sectPr>
      <w:pgSz w:w="11900" w:h="16838" w:orient="portrait"/>
      <w:cols w:equalWidth="0" w:num="1">
        <w:col w:w="11360"/>
      </w:cols>
      <w:pgMar w:left="240" w:top="7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3"/>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2020-03-03T15:29:03Z</dcterms:created>
  <dcterms:modified xsi:type="dcterms:W3CDTF">2020-03-03T15:29:03Z</dcterms:modified>
</cp:coreProperties>
</file>