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7"/>
          <w:szCs w:val="17"/>
          <w:color w:val="auto"/>
        </w:rPr>
        <w:t>FMC Technologies Inc</w:t>
      </w:r>
    </w:p>
    <w:p>
      <w:pPr>
        <w:spacing w:after="0" w:line="172" w:lineRule="exact"/>
        <w:rPr>
          <w:sz w:val="24"/>
          <w:szCs w:val="24"/>
          <w:color w:val="auto"/>
        </w:rPr>
      </w:pPr>
    </w:p>
    <w:p>
      <w:pPr>
        <w:jc w:val="right"/>
        <w:spacing w:after="0"/>
        <w:rPr>
          <w:sz w:val="20"/>
          <w:szCs w:val="20"/>
          <w:color w:val="auto"/>
        </w:rPr>
      </w:pPr>
      <w:r>
        <w:rPr>
          <w:rFonts w:ascii="Arial" w:cs="Arial" w:eastAsia="Arial" w:hAnsi="Arial"/>
          <w:sz w:val="17"/>
          <w:szCs w:val="17"/>
          <w:color w:val="auto"/>
        </w:rPr>
        <w:t>1803 Gears Road</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7"/>
          <w:szCs w:val="17"/>
          <w:color w:val="auto"/>
        </w:rPr>
        <w:t>Houston, TX 77067</w:t>
      </w:r>
    </w:p>
    <w:p>
      <w:pPr>
        <w:spacing w:after="0" w:line="15" w:lineRule="exact"/>
        <w:rPr>
          <w:sz w:val="24"/>
          <w:szCs w:val="24"/>
          <w:color w:val="auto"/>
        </w:rPr>
      </w:pPr>
    </w:p>
    <w:p>
      <w:pPr>
        <w:jc w:val="right"/>
        <w:spacing w:after="0"/>
        <w:rPr>
          <w:sz w:val="20"/>
          <w:szCs w:val="20"/>
          <w:color w:val="auto"/>
        </w:rPr>
      </w:pPr>
      <w:r>
        <w:rPr>
          <w:rFonts w:ascii="Arial" w:cs="Arial" w:eastAsia="Arial" w:hAnsi="Arial"/>
          <w:sz w:val="17"/>
          <w:szCs w:val="17"/>
          <w:color w:val="auto"/>
        </w:rPr>
        <w:t>Phone 281 591 4414</w:t>
      </w:r>
    </w:p>
    <w:p>
      <w:pPr>
        <w:spacing w:after="0" w:line="15" w:lineRule="exact"/>
        <w:rPr>
          <w:sz w:val="24"/>
          <w:szCs w:val="24"/>
          <w:color w:val="auto"/>
        </w:rPr>
      </w:pPr>
    </w:p>
    <w:p>
      <w:pPr>
        <w:jc w:val="right"/>
        <w:spacing w:after="0"/>
        <w:rPr>
          <w:sz w:val="20"/>
          <w:szCs w:val="20"/>
          <w:color w:val="auto"/>
        </w:rPr>
      </w:pPr>
      <w:r>
        <w:rPr>
          <w:rFonts w:ascii="Arial" w:cs="Arial" w:eastAsia="Arial" w:hAnsi="Arial"/>
          <w:sz w:val="17"/>
          <w:szCs w:val="17"/>
          <w:color w:val="auto"/>
        </w:rPr>
        <w:t>Fax 281 591 4422</w:t>
      </w:r>
    </w:p>
    <w:p>
      <w:pPr>
        <w:spacing w:after="0" w:line="166" w:lineRule="exact"/>
        <w:rPr>
          <w:sz w:val="24"/>
          <w:szCs w:val="24"/>
          <w:color w:val="auto"/>
        </w:rPr>
      </w:pPr>
    </w:p>
    <w:p>
      <w:pPr>
        <w:spacing w:after="0"/>
        <w:rPr>
          <w:sz w:val="20"/>
          <w:szCs w:val="20"/>
          <w:color w:val="auto"/>
        </w:rPr>
      </w:pPr>
      <w:r>
        <w:rPr>
          <w:rFonts w:ascii="Arial" w:cs="Arial" w:eastAsia="Arial" w:hAnsi="Arial"/>
          <w:sz w:val="17"/>
          <w:szCs w:val="17"/>
          <w:color w:val="auto"/>
        </w:rPr>
        <w:t>FMC Technologies</w:t>
      </w:r>
    </w:p>
    <w:p>
      <w:pPr>
        <w:spacing w:after="0" w:line="172" w:lineRule="exact"/>
        <w:rPr>
          <w:sz w:val="24"/>
          <w:szCs w:val="24"/>
          <w:color w:val="auto"/>
        </w:rPr>
      </w:pPr>
    </w:p>
    <w:p>
      <w:pPr>
        <w:spacing w:after="0"/>
        <w:rPr>
          <w:sz w:val="20"/>
          <w:szCs w:val="20"/>
          <w:color w:val="auto"/>
        </w:rPr>
      </w:pPr>
      <w:r>
        <w:rPr>
          <w:rFonts w:ascii="Arial" w:cs="Arial" w:eastAsia="Arial" w:hAnsi="Arial"/>
          <w:sz w:val="17"/>
          <w:szCs w:val="17"/>
          <w:b w:val="1"/>
          <w:bCs w:val="1"/>
          <w:i w:val="1"/>
          <w:iCs w:val="1"/>
          <w:color w:val="auto"/>
        </w:rPr>
        <w:t>Via Telecopier &amp; Courier</w:t>
      </w:r>
    </w:p>
    <w:p>
      <w:pPr>
        <w:spacing w:after="0" w:line="172" w:lineRule="exact"/>
        <w:rPr>
          <w:sz w:val="24"/>
          <w:szCs w:val="24"/>
          <w:color w:val="auto"/>
        </w:rPr>
      </w:pPr>
    </w:p>
    <w:p>
      <w:pPr>
        <w:spacing w:after="0"/>
        <w:rPr>
          <w:sz w:val="20"/>
          <w:szCs w:val="20"/>
          <w:color w:val="auto"/>
        </w:rPr>
      </w:pPr>
      <w:r>
        <w:rPr>
          <w:rFonts w:ascii="Arial" w:cs="Arial" w:eastAsia="Arial" w:hAnsi="Arial"/>
          <w:sz w:val="17"/>
          <w:szCs w:val="17"/>
          <w:color w:val="auto"/>
        </w:rPr>
        <w:t>May 10, 2010</w:t>
      </w:r>
    </w:p>
    <w:p>
      <w:pPr>
        <w:spacing w:after="0" w:line="172" w:lineRule="exact"/>
        <w:rPr>
          <w:sz w:val="24"/>
          <w:szCs w:val="24"/>
          <w:color w:val="auto"/>
        </w:rPr>
      </w:pPr>
    </w:p>
    <w:p>
      <w:pPr>
        <w:spacing w:after="0"/>
        <w:rPr>
          <w:sz w:val="20"/>
          <w:szCs w:val="20"/>
          <w:color w:val="auto"/>
        </w:rPr>
      </w:pPr>
      <w:r>
        <w:rPr>
          <w:rFonts w:ascii="Arial" w:cs="Arial" w:eastAsia="Arial" w:hAnsi="Arial"/>
          <w:sz w:val="17"/>
          <w:szCs w:val="17"/>
          <w:color w:val="auto"/>
        </w:rPr>
        <w:t>H. Roger Schwall</w:t>
      </w:r>
    </w:p>
    <w:p>
      <w:pPr>
        <w:spacing w:after="0" w:line="21" w:lineRule="exact"/>
        <w:rPr>
          <w:sz w:val="24"/>
          <w:szCs w:val="24"/>
          <w:color w:val="auto"/>
        </w:rPr>
      </w:pPr>
    </w:p>
    <w:p>
      <w:pPr>
        <w:spacing w:after="0"/>
        <w:rPr>
          <w:sz w:val="20"/>
          <w:szCs w:val="20"/>
          <w:color w:val="auto"/>
        </w:rPr>
      </w:pPr>
      <w:r>
        <w:rPr>
          <w:rFonts w:ascii="Arial" w:cs="Arial" w:eastAsia="Arial" w:hAnsi="Arial"/>
          <w:sz w:val="17"/>
          <w:szCs w:val="17"/>
          <w:color w:val="auto"/>
        </w:rPr>
        <w:t>Assistant Director</w:t>
      </w:r>
    </w:p>
    <w:p>
      <w:pPr>
        <w:spacing w:after="0" w:line="15" w:lineRule="exact"/>
        <w:rPr>
          <w:sz w:val="24"/>
          <w:szCs w:val="24"/>
          <w:color w:val="auto"/>
        </w:rPr>
      </w:pPr>
    </w:p>
    <w:p>
      <w:pPr>
        <w:spacing w:after="0"/>
        <w:rPr>
          <w:sz w:val="20"/>
          <w:szCs w:val="20"/>
          <w:color w:val="auto"/>
        </w:rPr>
      </w:pPr>
      <w:r>
        <w:rPr>
          <w:rFonts w:ascii="Arial" w:cs="Arial" w:eastAsia="Arial" w:hAnsi="Arial"/>
          <w:sz w:val="17"/>
          <w:szCs w:val="17"/>
          <w:color w:val="auto"/>
        </w:rPr>
        <w:t>United States Securities and Exchange Commission</w:t>
      </w:r>
    </w:p>
    <w:p>
      <w:pPr>
        <w:spacing w:after="0" w:line="15" w:lineRule="exact"/>
        <w:rPr>
          <w:sz w:val="24"/>
          <w:szCs w:val="24"/>
          <w:color w:val="auto"/>
        </w:rPr>
      </w:pPr>
    </w:p>
    <w:p>
      <w:pPr>
        <w:spacing w:after="0"/>
        <w:rPr>
          <w:sz w:val="20"/>
          <w:szCs w:val="20"/>
          <w:color w:val="auto"/>
        </w:rPr>
      </w:pPr>
      <w:r>
        <w:rPr>
          <w:rFonts w:ascii="Arial" w:cs="Arial" w:eastAsia="Arial" w:hAnsi="Arial"/>
          <w:sz w:val="17"/>
          <w:szCs w:val="17"/>
          <w:color w:val="auto"/>
        </w:rPr>
        <w:t>100 F Street, N.E.</w:t>
      </w:r>
    </w:p>
    <w:p>
      <w:pPr>
        <w:spacing w:after="0" w:line="15" w:lineRule="exact"/>
        <w:rPr>
          <w:sz w:val="24"/>
          <w:szCs w:val="24"/>
          <w:color w:val="auto"/>
        </w:rPr>
      </w:pPr>
    </w:p>
    <w:p>
      <w:pPr>
        <w:spacing w:after="0"/>
        <w:rPr>
          <w:sz w:val="20"/>
          <w:szCs w:val="20"/>
          <w:color w:val="auto"/>
        </w:rPr>
      </w:pPr>
      <w:r>
        <w:rPr>
          <w:rFonts w:ascii="Arial" w:cs="Arial" w:eastAsia="Arial" w:hAnsi="Arial"/>
          <w:sz w:val="17"/>
          <w:szCs w:val="17"/>
          <w:color w:val="auto"/>
        </w:rPr>
        <w:t>Washington, DC, 20549-4628</w:t>
      </w:r>
    </w:p>
    <w:p>
      <w:pPr>
        <w:spacing w:after="0" w:line="205" w:lineRule="exact"/>
        <w:rPr>
          <w:sz w:val="24"/>
          <w:szCs w:val="24"/>
          <w:color w:val="auto"/>
        </w:rPr>
      </w:pPr>
    </w:p>
    <w:p>
      <w:pPr>
        <w:spacing w:after="0"/>
        <w:rPr>
          <w:sz w:val="20"/>
          <w:szCs w:val="20"/>
          <w:color w:val="auto"/>
        </w:rPr>
      </w:pPr>
      <w:r>
        <w:rPr>
          <w:rFonts w:ascii="Arial" w:cs="Arial" w:eastAsia="Arial" w:hAnsi="Arial"/>
          <w:sz w:val="17"/>
          <w:szCs w:val="17"/>
          <w:color w:val="auto"/>
        </w:rPr>
        <w:t>Attn: Parker Morrill, Division of Corporate Finance</w:t>
      </w:r>
    </w:p>
    <w:p>
      <w:pPr>
        <w:spacing w:after="0" w:line="211" w:lineRule="exact"/>
        <w:rPr>
          <w:sz w:val="24"/>
          <w:szCs w:val="24"/>
          <w:color w:val="auto"/>
        </w:rPr>
      </w:pPr>
    </w:p>
    <w:p>
      <w:pPr>
        <w:spacing w:after="0"/>
        <w:tabs>
          <w:tab w:leader="none" w:pos="440" w:val="left"/>
        </w:tabs>
        <w:rPr>
          <w:sz w:val="20"/>
          <w:szCs w:val="20"/>
          <w:color w:val="auto"/>
        </w:rPr>
      </w:pPr>
      <w:r>
        <w:rPr>
          <w:rFonts w:ascii="Arial" w:cs="Arial" w:eastAsia="Arial" w:hAnsi="Arial"/>
          <w:sz w:val="17"/>
          <w:szCs w:val="17"/>
          <w:color w:val="auto"/>
        </w:rPr>
        <w:t>RE:</w:t>
        <w:tab/>
        <w:t>FMC Technologies, Inc.</w:t>
      </w:r>
    </w:p>
    <w:p>
      <w:pPr>
        <w:spacing w:after="0" w:line="21" w:lineRule="exact"/>
        <w:rPr>
          <w:sz w:val="24"/>
          <w:szCs w:val="24"/>
          <w:color w:val="auto"/>
        </w:rPr>
      </w:pPr>
    </w:p>
    <w:p>
      <w:pPr>
        <w:ind w:left="460"/>
        <w:spacing w:after="0"/>
        <w:rPr>
          <w:sz w:val="20"/>
          <w:szCs w:val="20"/>
          <w:color w:val="auto"/>
        </w:rPr>
      </w:pPr>
      <w:r>
        <w:rPr>
          <w:rFonts w:ascii="Arial" w:cs="Arial" w:eastAsia="Arial" w:hAnsi="Arial"/>
          <w:sz w:val="17"/>
          <w:szCs w:val="17"/>
          <w:color w:val="auto"/>
        </w:rPr>
        <w:t>Form 10-K for the Fiscal Year Ended December 31, 2009 (“Form 10-K”)</w:t>
      </w:r>
    </w:p>
    <w:p>
      <w:pPr>
        <w:spacing w:after="0" w:line="15" w:lineRule="exact"/>
        <w:rPr>
          <w:sz w:val="24"/>
          <w:szCs w:val="24"/>
          <w:color w:val="auto"/>
        </w:rPr>
      </w:pPr>
    </w:p>
    <w:p>
      <w:pPr>
        <w:ind w:left="460"/>
        <w:spacing w:after="0"/>
        <w:rPr>
          <w:sz w:val="20"/>
          <w:szCs w:val="20"/>
          <w:color w:val="auto"/>
        </w:rPr>
      </w:pPr>
      <w:r>
        <w:rPr>
          <w:rFonts w:ascii="Arial" w:cs="Arial" w:eastAsia="Arial" w:hAnsi="Arial"/>
          <w:sz w:val="17"/>
          <w:szCs w:val="17"/>
          <w:color w:val="auto"/>
        </w:rPr>
        <w:t>Filed March 1, 2010</w:t>
      </w:r>
    </w:p>
    <w:p>
      <w:pPr>
        <w:spacing w:after="0" w:line="15" w:lineRule="exact"/>
        <w:rPr>
          <w:sz w:val="24"/>
          <w:szCs w:val="24"/>
          <w:color w:val="auto"/>
        </w:rPr>
      </w:pPr>
    </w:p>
    <w:p>
      <w:pPr>
        <w:ind w:left="460"/>
        <w:spacing w:after="0"/>
        <w:rPr>
          <w:sz w:val="20"/>
          <w:szCs w:val="20"/>
          <w:color w:val="auto"/>
        </w:rPr>
      </w:pPr>
      <w:r>
        <w:rPr>
          <w:rFonts w:ascii="Arial" w:cs="Arial" w:eastAsia="Arial" w:hAnsi="Arial"/>
          <w:sz w:val="17"/>
          <w:szCs w:val="17"/>
          <w:color w:val="auto"/>
        </w:rPr>
        <w:t>File No. 1-16489</w:t>
      </w:r>
    </w:p>
    <w:p>
      <w:pPr>
        <w:spacing w:after="0" w:line="166" w:lineRule="exact"/>
        <w:rPr>
          <w:sz w:val="24"/>
          <w:szCs w:val="24"/>
          <w:color w:val="auto"/>
        </w:rPr>
      </w:pPr>
    </w:p>
    <w:p>
      <w:pPr>
        <w:spacing w:after="0"/>
        <w:rPr>
          <w:sz w:val="20"/>
          <w:szCs w:val="20"/>
          <w:color w:val="auto"/>
        </w:rPr>
      </w:pPr>
      <w:r>
        <w:rPr>
          <w:rFonts w:ascii="Arial" w:cs="Arial" w:eastAsia="Arial" w:hAnsi="Arial"/>
          <w:sz w:val="17"/>
          <w:szCs w:val="17"/>
          <w:color w:val="auto"/>
        </w:rPr>
        <w:t>Dear Mr. Schwall:</w:t>
      </w:r>
    </w:p>
    <w:p>
      <w:pPr>
        <w:spacing w:after="0" w:line="172" w:lineRule="exact"/>
        <w:rPr>
          <w:sz w:val="24"/>
          <w:szCs w:val="24"/>
          <w:color w:val="auto"/>
        </w:rPr>
      </w:pPr>
    </w:p>
    <w:p>
      <w:pPr>
        <w:spacing w:after="0" w:line="322" w:lineRule="auto"/>
        <w:rPr>
          <w:sz w:val="20"/>
          <w:szCs w:val="20"/>
          <w:color w:val="auto"/>
        </w:rPr>
      </w:pPr>
      <w:r>
        <w:rPr>
          <w:rFonts w:ascii="Arial" w:cs="Arial" w:eastAsia="Arial" w:hAnsi="Arial"/>
          <w:sz w:val="15"/>
          <w:szCs w:val="15"/>
          <w:color w:val="auto"/>
        </w:rPr>
        <w:t>On behalf of FMC Technologies, Inc. (the “Company”), set forth below is the response of the Company to the comment received from the staff of the Division of Corporation Finance (the “Staff”) of the Securities and Exchange Commission (the “Commission”) by letter dated April 30, 2010, with respect to the Company’s April 8, 2010 response to the Commission’s March 26, 2010 letter with respect to the Company’s Annual Report on Form 10-K for the year ended December 31, 2010.</w:t>
      </w:r>
    </w:p>
    <w:p>
      <w:pPr>
        <w:spacing w:after="0" w:line="93" w:lineRule="exact"/>
        <w:rPr>
          <w:sz w:val="24"/>
          <w:szCs w:val="24"/>
          <w:color w:val="auto"/>
        </w:rPr>
      </w:pPr>
    </w:p>
    <w:p>
      <w:pPr>
        <w:spacing w:after="0"/>
        <w:rPr>
          <w:sz w:val="20"/>
          <w:szCs w:val="20"/>
          <w:color w:val="auto"/>
        </w:rPr>
      </w:pPr>
      <w:r>
        <w:rPr>
          <w:rFonts w:ascii="Arial" w:cs="Arial" w:eastAsia="Arial" w:hAnsi="Arial"/>
          <w:sz w:val="17"/>
          <w:szCs w:val="17"/>
          <w:color w:val="auto"/>
        </w:rPr>
        <w:t>For your convenience, each response is prefaced by the queries presented by the Staff’s corresponding comment in bold and italicized text.</w:t>
      </w:r>
    </w:p>
    <w:p>
      <w:pPr>
        <w:spacing w:after="0" w:line="211" w:lineRule="exact"/>
        <w:rPr>
          <w:sz w:val="24"/>
          <w:szCs w:val="24"/>
          <w:color w:val="auto"/>
        </w:rPr>
      </w:pPr>
    </w:p>
    <w:p>
      <w:pPr>
        <w:ind w:left="900" w:right="120" w:hanging="449"/>
        <w:spacing w:after="0" w:line="354" w:lineRule="auto"/>
        <w:tabs>
          <w:tab w:leader="none" w:pos="900" w:val="left"/>
        </w:tabs>
        <w:numPr>
          <w:ilvl w:val="0"/>
          <w:numId w:val="1"/>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We note your responses to comments 1 and 3 of our letter dated March 26, 2010. We note also the representation in the January 2008 report on your website, referenced in our prior comment 1, that you were delivering a “huge PD metre based metering system to Sudan.” Please expand your discussion of the qualitative factors impacting your materiality analysis to address specifically the significance of this metering system to Sudan.</w:t>
      </w:r>
    </w:p>
    <w:p>
      <w:pPr>
        <w:spacing w:after="0" w:line="75" w:lineRule="exact"/>
        <w:rPr>
          <w:sz w:val="24"/>
          <w:szCs w:val="24"/>
          <w:color w:val="auto"/>
        </w:rPr>
      </w:pPr>
    </w:p>
    <w:p>
      <w:pPr>
        <w:ind w:right="60"/>
        <w:spacing w:after="0" w:line="307" w:lineRule="auto"/>
        <w:rPr>
          <w:sz w:val="20"/>
          <w:szCs w:val="20"/>
          <w:color w:val="auto"/>
        </w:rPr>
      </w:pPr>
      <w:r>
        <w:rPr>
          <w:rFonts w:ascii="Arial" w:cs="Arial" w:eastAsia="Arial" w:hAnsi="Arial"/>
          <w:sz w:val="15"/>
          <w:szCs w:val="15"/>
          <w:color w:val="auto"/>
        </w:rPr>
        <w:t>As previously noted, the PD meter for utilization in Sudan referenced in your letter was sold by FMC Kongsberg Metering A.S., one of the Company’s wholly owned, non-US subsidiaries. As indicated in Schedule 1 attached to the Company’s April 8, 2010 letter, the Company maintains that the total value of sales to Sudan during the relevant period is not material on a quantitative or qualitative basis. We believe the adjective “huge” used in an article from a non-Company publication but appearing on the website was neither a “representation” nor an objective statement related to materiality. Instead, it is our belief that the reference was to the physical size of parts of the system. The Company produces standard positive displacement (“PD”) meters in eight sizes: two (2”), three (3”), four (4”), six (6”),</w:t>
      </w:r>
    </w:p>
    <w:p>
      <w:pPr>
        <w:sectPr>
          <w:pgSz w:w="11900" w:h="16838" w:orient="portrait"/>
          <w:cols w:equalWidth="0" w:num="1">
            <w:col w:w="11420"/>
          </w:cols>
          <w:pgMar w:left="240" w:top="236" w:right="239" w:bottom="1440" w:gutter="0" w:footer="0" w:header="0"/>
        </w:sectPr>
      </w:pPr>
    </w:p>
    <w:bookmarkStart w:id="1" w:name="page2"/>
    <w:bookmarkEnd w:id="1"/>
    <w:p>
      <w:pPr>
        <w:ind w:right="20"/>
        <w:spacing w:after="0" w:line="26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92340" cy="37465"/>
                    </a:xfrm>
                    <a:prstGeom prst="rect">
                      <a:avLst/>
                    </a:prstGeom>
                    <a:noFill/>
                  </pic:spPr>
                </pic:pic>
              </a:graphicData>
            </a:graphic>
          </wp:anchor>
        </w:drawing>
        <w:t>eight (8”), ten (10”), twelve (12”), and sixteen (16”). These sizes relate to the diameter of the pipelines attached to the meters. The 16” meter provided for this project is our largest PD meter. For your reference, the enclosed document provides a product comparison and visual depiction of the actual difference in size between our standard 6” and 8” meters and the 16” meter. While the system provided for this application was large, it was produced in the ordinary course of business and was not atypical for a system equipped with 16” meters. A system utilizing 16” meters is larger than a system using 6” or 8” meters simply because of its required layout, pipe size and equipment arrangement. Although physically larger than some of our systems, this shipment was neither unusual, significant, nor material in terms of the Company’s consolidated operations.</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color w:val="auto"/>
        </w:rPr>
        <w:t>In connection with this response, the Company acknowledges that:</w:t>
      </w:r>
    </w:p>
    <w:p>
      <w:pPr>
        <w:spacing w:after="0" w:line="93" w:lineRule="exact"/>
        <w:rPr>
          <w:sz w:val="20"/>
          <w:szCs w:val="20"/>
          <w:color w:val="auto"/>
        </w:rPr>
      </w:pPr>
    </w:p>
    <w:p>
      <w:pPr>
        <w:ind w:left="900" w:hanging="331"/>
        <w:spacing w:after="0"/>
        <w:tabs>
          <w:tab w:leader="none" w:pos="90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Company is responsible for the adequacy and accuracy of the disclosures in the filing;</w:t>
      </w:r>
    </w:p>
    <w:p>
      <w:pPr>
        <w:spacing w:after="0" w:line="93" w:lineRule="exact"/>
        <w:rPr>
          <w:rFonts w:ascii="Arial" w:cs="Arial" w:eastAsia="Arial" w:hAnsi="Arial"/>
          <w:sz w:val="17"/>
          <w:szCs w:val="17"/>
          <w:color w:val="auto"/>
        </w:rPr>
      </w:pPr>
    </w:p>
    <w:p>
      <w:pPr>
        <w:ind w:left="900" w:hanging="331"/>
        <w:spacing w:after="0" w:line="283" w:lineRule="auto"/>
        <w:tabs>
          <w:tab w:leader="none" w:pos="900" w:val="left"/>
        </w:tabs>
        <w:numPr>
          <w:ilvl w:val="0"/>
          <w:numId w:val="2"/>
        </w:numPr>
        <w:rPr>
          <w:rFonts w:ascii="Arial" w:cs="Arial" w:eastAsia="Arial" w:hAnsi="Arial"/>
          <w:sz w:val="17"/>
          <w:szCs w:val="17"/>
          <w:color w:val="auto"/>
        </w:rPr>
      </w:pPr>
      <w:r>
        <w:rPr>
          <w:rFonts w:ascii="Arial" w:cs="Arial" w:eastAsia="Arial" w:hAnsi="Arial"/>
          <w:sz w:val="17"/>
          <w:szCs w:val="17"/>
          <w:color w:val="auto"/>
        </w:rPr>
        <w:t>Staff comments or changes to disclosure in response to staff comments do not foreclose the Commission from taking any action with respect to the filing; and</w:t>
      </w:r>
    </w:p>
    <w:p>
      <w:pPr>
        <w:spacing w:after="0" w:line="37" w:lineRule="exact"/>
        <w:rPr>
          <w:rFonts w:ascii="Arial" w:cs="Arial" w:eastAsia="Arial" w:hAnsi="Arial"/>
          <w:sz w:val="17"/>
          <w:szCs w:val="17"/>
          <w:color w:val="auto"/>
        </w:rPr>
      </w:pPr>
    </w:p>
    <w:p>
      <w:pPr>
        <w:ind w:left="900" w:right="80" w:hanging="331"/>
        <w:spacing w:after="0" w:line="283" w:lineRule="auto"/>
        <w:tabs>
          <w:tab w:leader="none" w:pos="90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Company may not assert staff comments as a defense in any proceeding initiated by the Commission or any person under the federal securities laws of the United States.</w:t>
      </w:r>
    </w:p>
    <w:p>
      <w:pPr>
        <w:spacing w:after="0" w:line="116" w:lineRule="exact"/>
        <w:rPr>
          <w:sz w:val="20"/>
          <w:szCs w:val="20"/>
          <w:color w:val="auto"/>
        </w:rPr>
      </w:pPr>
    </w:p>
    <w:p>
      <w:pPr>
        <w:ind w:right="920"/>
        <w:spacing w:after="0" w:line="283" w:lineRule="auto"/>
        <w:rPr>
          <w:sz w:val="20"/>
          <w:szCs w:val="20"/>
          <w:color w:val="auto"/>
        </w:rPr>
      </w:pPr>
      <w:r>
        <w:rPr>
          <w:rFonts w:ascii="Arial" w:cs="Arial" w:eastAsia="Arial" w:hAnsi="Arial"/>
          <w:sz w:val="17"/>
          <w:szCs w:val="17"/>
          <w:color w:val="auto"/>
        </w:rPr>
        <w:t xml:space="preserve">Should the staff have any questions with respect to the information provided in this letter, please contact me by telephone at 281-591-4585 or by email to </w:t>
      </w:r>
      <w:r>
        <w:rPr>
          <w:rFonts w:ascii="Arial" w:cs="Arial" w:eastAsia="Arial" w:hAnsi="Arial"/>
          <w:sz w:val="17"/>
          <w:szCs w:val="17"/>
          <w:u w:val="single" w:color="auto"/>
          <w:color w:val="auto"/>
        </w:rPr>
        <w:t>jeffrey.carr@fmcti.com</w:t>
      </w:r>
      <w:r>
        <w:rPr>
          <w:rFonts w:ascii="Arial" w:cs="Arial" w:eastAsia="Arial" w:hAnsi="Arial"/>
          <w:sz w:val="17"/>
          <w:szCs w:val="17"/>
          <w:color w:val="auto"/>
        </w:rPr>
        <w:t>.</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color w:val="auto"/>
        </w:rPr>
        <w:t>FMC Technologies, Inc.</w:t>
      </w:r>
    </w:p>
    <w:p>
      <w:pPr>
        <w:spacing w:after="0" w:line="224" w:lineRule="exact"/>
        <w:rPr>
          <w:sz w:val="20"/>
          <w:szCs w:val="20"/>
          <w:color w:val="auto"/>
        </w:rPr>
      </w:pPr>
    </w:p>
    <w:p>
      <w:pPr>
        <w:spacing w:after="0"/>
        <w:tabs>
          <w:tab w:leader="none" w:pos="40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5"/>
          <w:szCs w:val="15"/>
          <w:color w:val="auto"/>
        </w:rPr>
        <w:t>/s/ JEFFREY W. CARR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14605</wp:posOffset>
            </wp:positionV>
            <wp:extent cx="26670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667000" cy="8255"/>
                    </a:xfrm>
                    <a:prstGeom prst="rect">
                      <a:avLst/>
                    </a:prstGeom>
                    <a:noFill/>
                  </pic:spPr>
                </pic:pic>
              </a:graphicData>
            </a:graphic>
          </wp:anchor>
        </w:drawing>
      </w:r>
    </w:p>
    <w:p>
      <w:pPr>
        <w:spacing w:after="0" w:line="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Jeffrey W. Carr</w:t>
      </w:r>
    </w:p>
    <w:p>
      <w:pPr>
        <w:spacing w:after="0" w:line="2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Vice President, General Counsel &amp; Secretary</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Page - 2</w:t>
      </w:r>
    </w:p>
    <w:p>
      <w:pPr>
        <w:sectPr>
          <w:pgSz w:w="11900" w:h="16838" w:orient="portrait"/>
          <w:cols w:equalWidth="0" w:num="1">
            <w:col w:w="11380"/>
          </w:cols>
          <w:pgMar w:left="240" w:top="275" w:right="279" w:bottom="1440" w:gutter="0" w:footer="0" w:header="0"/>
        </w:sectPr>
      </w:pPr>
    </w:p>
    <w:bookmarkStart w:id="2" w:name="page3"/>
    <w:bookmarkEnd w:id="2"/>
    <w:p>
      <w:pPr>
        <w:spacing w:after="0"/>
        <w:rPr>
          <w:sz w:val="20"/>
          <w:szCs w:val="20"/>
          <w:color w:val="auto"/>
        </w:rPr>
      </w:pPr>
      <w:r>
        <w:rPr>
          <w:rFonts w:ascii="Arial" w:cs="Arial" w:eastAsia="Arial" w:hAnsi="Arial"/>
          <w:sz w:val="49"/>
          <w:szCs w:val="49"/>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92340" cy="37465"/>
                    </a:xfrm>
                    <a:prstGeom prst="rect">
                      <a:avLst/>
                    </a:prstGeom>
                    <a:noFill/>
                  </pic:spPr>
                </pic:pic>
              </a:graphicData>
            </a:graphic>
          </wp:anchor>
        </w:drawing>
        <w:t>PD Meter Comparison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-179705</wp:posOffset>
            </wp:positionH>
            <wp:positionV relativeFrom="paragraph">
              <wp:posOffset>160655</wp:posOffset>
            </wp:positionV>
            <wp:extent cx="7150735" cy="30753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0735" cy="3075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80" w:type="dxa"/>
        <w:tblCellMar>
          <w:top w:w="0" w:type="dxa"/>
          <w:left w:w="0" w:type="dxa"/>
          <w:bottom w:w="0" w:type="dxa"/>
          <w:right w:w="0" w:type="dxa"/>
        </w:tblCellMar>
      </w:tblPr>
      <w:tr>
        <w:trPr>
          <w:trHeight w:val="407"/>
        </w:trPr>
        <w:tc>
          <w:tcPr>
            <w:tcW w:w="3540" w:type="dxa"/>
            <w:vAlign w:val="bottom"/>
            <w:gridSpan w:val="2"/>
          </w:tcPr>
          <w:p>
            <w:pPr>
              <w:ind w:left="560"/>
              <w:spacing w:after="0"/>
              <w:rPr>
                <w:sz w:val="20"/>
                <w:szCs w:val="20"/>
                <w:color w:val="auto"/>
              </w:rPr>
            </w:pPr>
            <w:r>
              <w:rPr>
                <w:rFonts w:ascii="Arial" w:cs="Arial" w:eastAsia="Arial" w:hAnsi="Arial"/>
                <w:sz w:val="31"/>
                <w:szCs w:val="31"/>
                <w:b w:val="1"/>
                <w:bCs w:val="1"/>
                <w:color w:val="auto"/>
              </w:rPr>
              <w:t>Model M16-S3</w:t>
            </w:r>
          </w:p>
        </w:tc>
        <w:tc>
          <w:tcPr>
            <w:tcW w:w="4220" w:type="dxa"/>
            <w:vAlign w:val="bottom"/>
            <w:gridSpan w:val="2"/>
          </w:tcPr>
          <w:p>
            <w:pPr>
              <w:ind w:left="1420"/>
              <w:spacing w:after="0"/>
              <w:rPr>
                <w:sz w:val="20"/>
                <w:szCs w:val="20"/>
                <w:color w:val="auto"/>
              </w:rPr>
            </w:pPr>
            <w:r>
              <w:rPr>
                <w:rFonts w:ascii="Arial" w:cs="Arial" w:eastAsia="Arial" w:hAnsi="Arial"/>
                <w:sz w:val="31"/>
                <w:szCs w:val="31"/>
                <w:b w:val="1"/>
                <w:bCs w:val="1"/>
                <w:color w:val="auto"/>
              </w:rPr>
              <w:t>Model H8-S8</w:t>
            </w:r>
          </w:p>
        </w:tc>
        <w:tc>
          <w:tcPr>
            <w:tcW w:w="3100" w:type="dxa"/>
            <w:vAlign w:val="bottom"/>
            <w:gridSpan w:val="2"/>
          </w:tcPr>
          <w:p>
            <w:pPr>
              <w:ind w:left="1200"/>
              <w:spacing w:after="0"/>
              <w:rPr>
                <w:sz w:val="20"/>
                <w:szCs w:val="20"/>
                <w:color w:val="auto"/>
              </w:rPr>
            </w:pPr>
            <w:r>
              <w:rPr>
                <w:rFonts w:ascii="Arial" w:cs="Arial" w:eastAsia="Arial" w:hAnsi="Arial"/>
                <w:sz w:val="31"/>
                <w:szCs w:val="31"/>
                <w:b w:val="1"/>
                <w:bCs w:val="1"/>
                <w:color w:val="auto"/>
              </w:rPr>
              <w:t>Model G6-S6</w:t>
            </w:r>
          </w:p>
        </w:tc>
      </w:tr>
      <w:tr>
        <w:trPr>
          <w:trHeight w:val="381"/>
        </w:trPr>
        <w:tc>
          <w:tcPr>
            <w:tcW w:w="1160" w:type="dxa"/>
            <w:vAlign w:val="bottom"/>
          </w:tcPr>
          <w:p>
            <w:pPr>
              <w:spacing w:after="0"/>
              <w:rPr>
                <w:sz w:val="20"/>
                <w:szCs w:val="20"/>
                <w:color w:val="auto"/>
              </w:rPr>
            </w:pPr>
            <w:r>
              <w:rPr>
                <w:rFonts w:ascii="Arial" w:cs="Arial" w:eastAsia="Arial" w:hAnsi="Arial"/>
                <w:sz w:val="31"/>
                <w:szCs w:val="31"/>
                <w:color w:val="auto"/>
              </w:rPr>
              <w:t>Size:</w:t>
            </w:r>
          </w:p>
        </w:tc>
        <w:tc>
          <w:tcPr>
            <w:tcW w:w="2380" w:type="dxa"/>
            <w:vAlign w:val="bottom"/>
          </w:tcPr>
          <w:p>
            <w:pPr>
              <w:ind w:left="100"/>
              <w:spacing w:after="0"/>
              <w:rPr>
                <w:sz w:val="20"/>
                <w:szCs w:val="20"/>
                <w:color w:val="auto"/>
              </w:rPr>
            </w:pPr>
            <w:r>
              <w:rPr>
                <w:rFonts w:ascii="Arial" w:cs="Arial" w:eastAsia="Arial" w:hAnsi="Arial"/>
                <w:sz w:val="31"/>
                <w:szCs w:val="31"/>
                <w:color w:val="auto"/>
              </w:rPr>
              <w:t>16”</w:t>
            </w:r>
          </w:p>
        </w:tc>
        <w:tc>
          <w:tcPr>
            <w:tcW w:w="2040" w:type="dxa"/>
            <w:vAlign w:val="bottom"/>
          </w:tcPr>
          <w:p>
            <w:pPr>
              <w:ind w:left="880"/>
              <w:spacing w:after="0"/>
              <w:rPr>
                <w:sz w:val="20"/>
                <w:szCs w:val="20"/>
                <w:color w:val="auto"/>
              </w:rPr>
            </w:pPr>
            <w:r>
              <w:rPr>
                <w:rFonts w:ascii="Arial" w:cs="Arial" w:eastAsia="Arial" w:hAnsi="Arial"/>
                <w:sz w:val="31"/>
                <w:szCs w:val="31"/>
                <w:color w:val="auto"/>
              </w:rPr>
              <w:t>Size:</w:t>
            </w:r>
          </w:p>
        </w:tc>
        <w:tc>
          <w:tcPr>
            <w:tcW w:w="2180" w:type="dxa"/>
            <w:vAlign w:val="bottom"/>
          </w:tcPr>
          <w:p>
            <w:pPr>
              <w:ind w:left="100"/>
              <w:spacing w:after="0"/>
              <w:rPr>
                <w:sz w:val="20"/>
                <w:szCs w:val="20"/>
                <w:color w:val="auto"/>
              </w:rPr>
            </w:pPr>
            <w:r>
              <w:rPr>
                <w:rFonts w:ascii="Arial" w:cs="Arial" w:eastAsia="Arial" w:hAnsi="Arial"/>
                <w:sz w:val="31"/>
                <w:szCs w:val="31"/>
                <w:color w:val="auto"/>
              </w:rPr>
              <w:t>8”</w:t>
            </w:r>
          </w:p>
        </w:tc>
        <w:tc>
          <w:tcPr>
            <w:tcW w:w="1860" w:type="dxa"/>
            <w:vAlign w:val="bottom"/>
          </w:tcPr>
          <w:p>
            <w:pPr>
              <w:ind w:left="700"/>
              <w:spacing w:after="0"/>
              <w:rPr>
                <w:sz w:val="20"/>
                <w:szCs w:val="20"/>
                <w:color w:val="auto"/>
              </w:rPr>
            </w:pPr>
            <w:r>
              <w:rPr>
                <w:rFonts w:ascii="Arial" w:cs="Arial" w:eastAsia="Arial" w:hAnsi="Arial"/>
                <w:sz w:val="31"/>
                <w:szCs w:val="31"/>
                <w:color w:val="auto"/>
              </w:rPr>
              <w:t>Size:</w:t>
            </w:r>
          </w:p>
        </w:tc>
        <w:tc>
          <w:tcPr>
            <w:tcW w:w="1240" w:type="dxa"/>
            <w:vAlign w:val="bottom"/>
          </w:tcPr>
          <w:p>
            <w:pPr>
              <w:ind w:left="100"/>
              <w:spacing w:after="0"/>
              <w:rPr>
                <w:sz w:val="20"/>
                <w:szCs w:val="20"/>
                <w:color w:val="auto"/>
              </w:rPr>
            </w:pPr>
            <w:r>
              <w:rPr>
                <w:rFonts w:ascii="Arial" w:cs="Arial" w:eastAsia="Arial" w:hAnsi="Arial"/>
                <w:sz w:val="31"/>
                <w:szCs w:val="31"/>
                <w:color w:val="auto"/>
              </w:rPr>
              <w:t>6”</w:t>
            </w:r>
          </w:p>
        </w:tc>
      </w:tr>
      <w:tr>
        <w:trPr>
          <w:trHeight w:val="381"/>
        </w:trPr>
        <w:tc>
          <w:tcPr>
            <w:tcW w:w="1160" w:type="dxa"/>
            <w:vAlign w:val="bottom"/>
          </w:tcPr>
          <w:p>
            <w:pPr>
              <w:spacing w:after="0"/>
              <w:rPr>
                <w:sz w:val="20"/>
                <w:szCs w:val="20"/>
                <w:color w:val="auto"/>
              </w:rPr>
            </w:pPr>
            <w:r>
              <w:rPr>
                <w:rFonts w:ascii="Arial" w:cs="Arial" w:eastAsia="Arial" w:hAnsi="Arial"/>
                <w:sz w:val="31"/>
                <w:szCs w:val="31"/>
                <w:color w:val="auto"/>
              </w:rPr>
              <w:t>Width:</w:t>
            </w:r>
          </w:p>
        </w:tc>
        <w:tc>
          <w:tcPr>
            <w:tcW w:w="2380" w:type="dxa"/>
            <w:vAlign w:val="bottom"/>
          </w:tcPr>
          <w:p>
            <w:pPr>
              <w:ind w:left="100"/>
              <w:spacing w:after="0"/>
              <w:rPr>
                <w:sz w:val="20"/>
                <w:szCs w:val="20"/>
                <w:color w:val="auto"/>
              </w:rPr>
            </w:pPr>
            <w:r>
              <w:rPr>
                <w:rFonts w:ascii="Arial" w:cs="Arial" w:eastAsia="Arial" w:hAnsi="Arial"/>
                <w:sz w:val="31"/>
                <w:szCs w:val="31"/>
                <w:color w:val="auto"/>
              </w:rPr>
              <w:t>46”</w:t>
            </w:r>
          </w:p>
        </w:tc>
        <w:tc>
          <w:tcPr>
            <w:tcW w:w="2040" w:type="dxa"/>
            <w:vAlign w:val="bottom"/>
          </w:tcPr>
          <w:p>
            <w:pPr>
              <w:ind w:left="880"/>
              <w:spacing w:after="0"/>
              <w:rPr>
                <w:sz w:val="20"/>
                <w:szCs w:val="20"/>
                <w:color w:val="auto"/>
              </w:rPr>
            </w:pPr>
            <w:r>
              <w:rPr>
                <w:rFonts w:ascii="Arial" w:cs="Arial" w:eastAsia="Arial" w:hAnsi="Arial"/>
                <w:sz w:val="31"/>
                <w:szCs w:val="31"/>
                <w:color w:val="auto"/>
              </w:rPr>
              <w:t>Width:</w:t>
            </w:r>
          </w:p>
        </w:tc>
        <w:tc>
          <w:tcPr>
            <w:tcW w:w="2180" w:type="dxa"/>
            <w:vAlign w:val="bottom"/>
          </w:tcPr>
          <w:p>
            <w:pPr>
              <w:ind w:left="100"/>
              <w:spacing w:after="0"/>
              <w:rPr>
                <w:sz w:val="20"/>
                <w:szCs w:val="20"/>
                <w:color w:val="auto"/>
              </w:rPr>
            </w:pPr>
            <w:r>
              <w:rPr>
                <w:rFonts w:ascii="Arial" w:cs="Arial" w:eastAsia="Arial" w:hAnsi="Arial"/>
                <w:sz w:val="31"/>
                <w:szCs w:val="31"/>
                <w:color w:val="auto"/>
              </w:rPr>
              <w:t>40.3”</w:t>
            </w:r>
          </w:p>
        </w:tc>
        <w:tc>
          <w:tcPr>
            <w:tcW w:w="1860" w:type="dxa"/>
            <w:vAlign w:val="bottom"/>
          </w:tcPr>
          <w:p>
            <w:pPr>
              <w:ind w:left="700"/>
              <w:spacing w:after="0"/>
              <w:rPr>
                <w:sz w:val="20"/>
                <w:szCs w:val="20"/>
                <w:color w:val="auto"/>
              </w:rPr>
            </w:pPr>
            <w:r>
              <w:rPr>
                <w:rFonts w:ascii="Arial" w:cs="Arial" w:eastAsia="Arial" w:hAnsi="Arial"/>
                <w:sz w:val="31"/>
                <w:szCs w:val="31"/>
                <w:color w:val="auto"/>
              </w:rPr>
              <w:t>Width:</w:t>
            </w:r>
          </w:p>
        </w:tc>
        <w:tc>
          <w:tcPr>
            <w:tcW w:w="1240" w:type="dxa"/>
            <w:vAlign w:val="bottom"/>
          </w:tcPr>
          <w:p>
            <w:pPr>
              <w:ind w:left="100"/>
              <w:spacing w:after="0"/>
              <w:rPr>
                <w:sz w:val="20"/>
                <w:szCs w:val="20"/>
                <w:color w:val="auto"/>
              </w:rPr>
            </w:pPr>
            <w:r>
              <w:rPr>
                <w:rFonts w:ascii="Arial" w:cs="Arial" w:eastAsia="Arial" w:hAnsi="Arial"/>
                <w:sz w:val="31"/>
                <w:szCs w:val="31"/>
                <w:color w:val="auto"/>
              </w:rPr>
              <w:t>28.9”</w:t>
            </w:r>
          </w:p>
        </w:tc>
      </w:tr>
      <w:tr>
        <w:trPr>
          <w:trHeight w:val="381"/>
        </w:trPr>
        <w:tc>
          <w:tcPr>
            <w:tcW w:w="1160" w:type="dxa"/>
            <w:vAlign w:val="bottom"/>
          </w:tcPr>
          <w:p>
            <w:pPr>
              <w:spacing w:after="0"/>
              <w:rPr>
                <w:sz w:val="20"/>
                <w:szCs w:val="20"/>
                <w:color w:val="auto"/>
              </w:rPr>
            </w:pPr>
            <w:r>
              <w:rPr>
                <w:rFonts w:ascii="Arial" w:cs="Arial" w:eastAsia="Arial" w:hAnsi="Arial"/>
                <w:sz w:val="31"/>
                <w:szCs w:val="31"/>
                <w:color w:val="auto"/>
              </w:rPr>
              <w:t>Height:</w:t>
            </w:r>
          </w:p>
        </w:tc>
        <w:tc>
          <w:tcPr>
            <w:tcW w:w="2380" w:type="dxa"/>
            <w:vAlign w:val="bottom"/>
          </w:tcPr>
          <w:p>
            <w:pPr>
              <w:ind w:left="100"/>
              <w:spacing w:after="0"/>
              <w:rPr>
                <w:sz w:val="20"/>
                <w:szCs w:val="20"/>
                <w:color w:val="auto"/>
              </w:rPr>
            </w:pPr>
            <w:r>
              <w:rPr>
                <w:rFonts w:ascii="Arial" w:cs="Arial" w:eastAsia="Arial" w:hAnsi="Arial"/>
                <w:sz w:val="31"/>
                <w:szCs w:val="31"/>
                <w:color w:val="auto"/>
              </w:rPr>
              <w:t>65.8”</w:t>
            </w:r>
          </w:p>
        </w:tc>
        <w:tc>
          <w:tcPr>
            <w:tcW w:w="2040" w:type="dxa"/>
            <w:vAlign w:val="bottom"/>
          </w:tcPr>
          <w:p>
            <w:pPr>
              <w:ind w:left="880"/>
              <w:spacing w:after="0"/>
              <w:rPr>
                <w:sz w:val="20"/>
                <w:szCs w:val="20"/>
                <w:color w:val="auto"/>
              </w:rPr>
            </w:pPr>
            <w:r>
              <w:rPr>
                <w:rFonts w:ascii="Arial" w:cs="Arial" w:eastAsia="Arial" w:hAnsi="Arial"/>
                <w:sz w:val="31"/>
                <w:szCs w:val="31"/>
                <w:color w:val="auto"/>
              </w:rPr>
              <w:t>Height:</w:t>
            </w:r>
          </w:p>
        </w:tc>
        <w:tc>
          <w:tcPr>
            <w:tcW w:w="2180" w:type="dxa"/>
            <w:vAlign w:val="bottom"/>
          </w:tcPr>
          <w:p>
            <w:pPr>
              <w:ind w:left="100"/>
              <w:spacing w:after="0"/>
              <w:rPr>
                <w:sz w:val="20"/>
                <w:szCs w:val="20"/>
                <w:color w:val="auto"/>
              </w:rPr>
            </w:pPr>
            <w:r>
              <w:rPr>
                <w:rFonts w:ascii="Arial" w:cs="Arial" w:eastAsia="Arial" w:hAnsi="Arial"/>
                <w:sz w:val="31"/>
                <w:szCs w:val="31"/>
                <w:color w:val="auto"/>
              </w:rPr>
              <w:t>46.9”</w:t>
            </w:r>
          </w:p>
        </w:tc>
        <w:tc>
          <w:tcPr>
            <w:tcW w:w="1860" w:type="dxa"/>
            <w:vAlign w:val="bottom"/>
          </w:tcPr>
          <w:p>
            <w:pPr>
              <w:ind w:left="700"/>
              <w:spacing w:after="0"/>
              <w:rPr>
                <w:sz w:val="20"/>
                <w:szCs w:val="20"/>
                <w:color w:val="auto"/>
              </w:rPr>
            </w:pPr>
            <w:r>
              <w:rPr>
                <w:rFonts w:ascii="Arial" w:cs="Arial" w:eastAsia="Arial" w:hAnsi="Arial"/>
                <w:sz w:val="31"/>
                <w:szCs w:val="31"/>
                <w:color w:val="auto"/>
              </w:rPr>
              <w:t>Height:</w:t>
            </w:r>
          </w:p>
        </w:tc>
        <w:tc>
          <w:tcPr>
            <w:tcW w:w="1240" w:type="dxa"/>
            <w:vAlign w:val="bottom"/>
          </w:tcPr>
          <w:p>
            <w:pPr>
              <w:ind w:left="100"/>
              <w:spacing w:after="0"/>
              <w:rPr>
                <w:sz w:val="20"/>
                <w:szCs w:val="20"/>
                <w:color w:val="auto"/>
              </w:rPr>
            </w:pPr>
            <w:r>
              <w:rPr>
                <w:rFonts w:ascii="Arial" w:cs="Arial" w:eastAsia="Arial" w:hAnsi="Arial"/>
                <w:sz w:val="31"/>
                <w:szCs w:val="31"/>
                <w:color w:val="auto"/>
              </w:rPr>
              <w:t>29.6”</w:t>
            </w:r>
          </w:p>
        </w:tc>
      </w:tr>
      <w:tr>
        <w:trPr>
          <w:trHeight w:val="418"/>
        </w:trPr>
        <w:tc>
          <w:tcPr>
            <w:tcW w:w="1160" w:type="dxa"/>
            <w:vAlign w:val="bottom"/>
          </w:tcPr>
          <w:p>
            <w:pPr>
              <w:spacing w:after="0"/>
              <w:rPr>
                <w:sz w:val="20"/>
                <w:szCs w:val="20"/>
                <w:color w:val="auto"/>
              </w:rPr>
            </w:pPr>
            <w:r>
              <w:rPr>
                <w:rFonts w:ascii="Arial" w:cs="Arial" w:eastAsia="Arial" w:hAnsi="Arial"/>
                <w:sz w:val="31"/>
                <w:szCs w:val="31"/>
                <w:color w:val="auto"/>
              </w:rPr>
              <w:t>Weight:</w:t>
            </w:r>
          </w:p>
        </w:tc>
        <w:tc>
          <w:tcPr>
            <w:tcW w:w="2380" w:type="dxa"/>
            <w:vAlign w:val="bottom"/>
          </w:tcPr>
          <w:p>
            <w:pPr>
              <w:ind w:left="100"/>
              <w:spacing w:after="0"/>
              <w:rPr>
                <w:sz w:val="20"/>
                <w:szCs w:val="20"/>
                <w:color w:val="auto"/>
              </w:rPr>
            </w:pPr>
            <w:r>
              <w:rPr>
                <w:rFonts w:ascii="Arial" w:cs="Arial" w:eastAsia="Arial" w:hAnsi="Arial"/>
                <w:sz w:val="31"/>
                <w:szCs w:val="31"/>
                <w:color w:val="auto"/>
              </w:rPr>
              <w:t>6,505 lbs.</w:t>
            </w:r>
          </w:p>
        </w:tc>
        <w:tc>
          <w:tcPr>
            <w:tcW w:w="2040" w:type="dxa"/>
            <w:vAlign w:val="bottom"/>
          </w:tcPr>
          <w:p>
            <w:pPr>
              <w:ind w:left="880"/>
              <w:spacing w:after="0"/>
              <w:rPr>
                <w:sz w:val="20"/>
                <w:szCs w:val="20"/>
                <w:color w:val="auto"/>
              </w:rPr>
            </w:pPr>
            <w:r>
              <w:rPr>
                <w:rFonts w:ascii="Arial" w:cs="Arial" w:eastAsia="Arial" w:hAnsi="Arial"/>
                <w:sz w:val="31"/>
                <w:szCs w:val="31"/>
                <w:color w:val="auto"/>
              </w:rPr>
              <w:t>Weight:</w:t>
            </w:r>
          </w:p>
        </w:tc>
        <w:tc>
          <w:tcPr>
            <w:tcW w:w="2180" w:type="dxa"/>
            <w:vAlign w:val="bottom"/>
          </w:tcPr>
          <w:p>
            <w:pPr>
              <w:ind w:left="100"/>
              <w:spacing w:after="0"/>
              <w:rPr>
                <w:sz w:val="20"/>
                <w:szCs w:val="20"/>
                <w:color w:val="auto"/>
              </w:rPr>
            </w:pPr>
            <w:r>
              <w:rPr>
                <w:rFonts w:ascii="Arial" w:cs="Arial" w:eastAsia="Arial" w:hAnsi="Arial"/>
                <w:sz w:val="31"/>
                <w:szCs w:val="31"/>
                <w:color w:val="auto"/>
              </w:rPr>
              <w:t>4,530 lbs.</w:t>
            </w:r>
          </w:p>
        </w:tc>
        <w:tc>
          <w:tcPr>
            <w:tcW w:w="1860" w:type="dxa"/>
            <w:vAlign w:val="bottom"/>
          </w:tcPr>
          <w:p>
            <w:pPr>
              <w:ind w:left="700"/>
              <w:spacing w:after="0"/>
              <w:rPr>
                <w:sz w:val="20"/>
                <w:szCs w:val="20"/>
                <w:color w:val="auto"/>
              </w:rPr>
            </w:pPr>
            <w:r>
              <w:rPr>
                <w:rFonts w:ascii="Arial" w:cs="Arial" w:eastAsia="Arial" w:hAnsi="Arial"/>
                <w:sz w:val="31"/>
                <w:szCs w:val="31"/>
                <w:color w:val="auto"/>
              </w:rPr>
              <w:t>Weight:</w:t>
            </w:r>
          </w:p>
        </w:tc>
        <w:tc>
          <w:tcPr>
            <w:tcW w:w="1240" w:type="dxa"/>
            <w:vAlign w:val="bottom"/>
          </w:tcPr>
          <w:p>
            <w:pPr>
              <w:ind w:left="100"/>
              <w:spacing w:after="0"/>
              <w:rPr>
                <w:sz w:val="20"/>
                <w:szCs w:val="20"/>
                <w:color w:val="auto"/>
              </w:rPr>
            </w:pPr>
            <w:r>
              <w:rPr>
                <w:rFonts w:ascii="Arial" w:cs="Arial" w:eastAsia="Arial" w:hAnsi="Arial"/>
                <w:sz w:val="31"/>
                <w:szCs w:val="31"/>
                <w:color w:val="auto"/>
              </w:rPr>
              <w:t>930 lbs.</w:t>
            </w:r>
          </w:p>
        </w:tc>
      </w:tr>
    </w:tbl>
    <w:p>
      <w:pPr>
        <w:spacing w:after="0" w:line="1" w:lineRule="exact"/>
        <w:rPr>
          <w:sz w:val="20"/>
          <w:szCs w:val="20"/>
          <w:color w:val="auto"/>
        </w:rPr>
      </w:pPr>
    </w:p>
    <w:sectPr>
      <w:pgSz w:w="11900" w:h="16838" w:orient="portrait"/>
      <w:cols w:equalWidth="0" w:num="1">
        <w:col w:w="10940"/>
      </w:cols>
      <w:pgMar w:left="660" w:top="242"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2019-12-10T20:34:20Z</dcterms:created>
  <dcterms:modified xsi:type="dcterms:W3CDTF">2019-12-10T20:34:20Z</dcterms:modified>
</cp:coreProperties>
</file>