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245"/>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245"/>
        <w:spacing w:after="0"/>
        <w:rPr>
          <w:sz w:val="20"/>
          <w:szCs w:val="20"/>
          <w:color w:val="auto"/>
        </w:rPr>
      </w:pPr>
      <w:r>
        <w:rPr>
          <w:rFonts w:ascii="Arial" w:cs="Arial" w:eastAsia="Arial" w:hAnsi="Arial"/>
          <w:sz w:val="22"/>
          <w:szCs w:val="22"/>
          <w:b w:val="1"/>
          <w:bCs w:val="1"/>
          <w:color w:val="auto"/>
        </w:rPr>
        <w:t>SCHEDULE 13D</w:t>
      </w:r>
    </w:p>
    <w:p>
      <w:pPr>
        <w:spacing w:after="0" w:line="19" w:lineRule="exact"/>
        <w:rPr>
          <w:sz w:val="24"/>
          <w:szCs w:val="24"/>
          <w:color w:val="auto"/>
        </w:rPr>
      </w:pPr>
    </w:p>
    <w:p>
      <w:pPr>
        <w:jc w:val="center"/>
        <w:ind w:right="-425"/>
        <w:spacing w:after="0"/>
        <w:rPr>
          <w:sz w:val="20"/>
          <w:szCs w:val="20"/>
          <w:color w:val="auto"/>
        </w:rPr>
      </w:pPr>
      <w:r>
        <w:rPr>
          <w:rFonts w:ascii="Arial" w:cs="Arial" w:eastAsia="Arial" w:hAnsi="Arial"/>
          <w:sz w:val="18"/>
          <w:szCs w:val="18"/>
          <w:b w:val="1"/>
          <w:bCs w:val="1"/>
          <w:color w:val="auto"/>
        </w:rPr>
        <w:t>(Rule 13d-101)</w:t>
      </w:r>
    </w:p>
    <w:p>
      <w:pPr>
        <w:spacing w:after="0" w:line="205"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9" w:lineRule="exact"/>
        <w:rPr>
          <w:sz w:val="24"/>
          <w:szCs w:val="24"/>
          <w:color w:val="auto"/>
        </w:rPr>
      </w:pPr>
    </w:p>
    <w:p>
      <w:pPr>
        <w:jc w:val="center"/>
        <w:ind w:right="-225"/>
        <w:spacing w:after="0"/>
        <w:rPr>
          <w:sz w:val="20"/>
          <w:szCs w:val="20"/>
          <w:color w:val="auto"/>
        </w:rPr>
      </w:pPr>
      <w:r>
        <w:rPr>
          <w:rFonts w:ascii="Arial" w:cs="Arial" w:eastAsia="Arial" w:hAnsi="Arial"/>
          <w:sz w:val="32"/>
          <w:szCs w:val="32"/>
          <w:b w:val="1"/>
          <w:bCs w:val="1"/>
          <w:color w:val="auto"/>
        </w:rPr>
        <w:t>TechnipFMC plc</w:t>
      </w:r>
    </w:p>
    <w:p>
      <w:pPr>
        <w:spacing w:after="0" w:line="64"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Ordinary Shares, $1.00 par value per share</w:t>
      </w:r>
    </w:p>
    <w:p>
      <w:pPr>
        <w:spacing w:after="0" w:line="40"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G87110105</w:t>
      </w:r>
    </w:p>
    <w:p>
      <w:pPr>
        <w:spacing w:after="0" w:line="54"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Sophie Paquin</w:t>
      </w:r>
    </w:p>
    <w:p>
      <w:pPr>
        <w:spacing w:after="0" w:line="27"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Bpifrance Participations S.A.</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27-31, avenue du Général Leclerc</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94710 Maisons-Alfort Cedex</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+33 1 53 89 87 89</w:t>
      </w:r>
    </w:p>
    <w:p>
      <w:pPr>
        <w:spacing w:after="0" w:line="207"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With copy to:</w:t>
      </w:r>
    </w:p>
    <w:p>
      <w:pPr>
        <w:spacing w:after="0" w:line="225"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Linda A. Hesse</w:t>
      </w:r>
    </w:p>
    <w:p>
      <w:pPr>
        <w:spacing w:after="0" w:line="27"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Jones Day</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2, rue Saint Florentin</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75001 Paris</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France</w:t>
      </w:r>
    </w:p>
    <w:p>
      <w:pPr>
        <w:spacing w:after="0" w:line="9"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+33 1 56 59 39 39</w:t>
      </w:r>
    </w:p>
    <w:p>
      <w:pPr>
        <w:spacing w:after="0" w:line="35"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(Name, Address and Telephone Number of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Authorized to Receive Notices and Communications)</w:t>
      </w:r>
    </w:p>
    <w:p>
      <w:pPr>
        <w:spacing w:after="0" w:line="234" w:lineRule="exact"/>
        <w:rPr>
          <w:sz w:val="24"/>
          <w:szCs w:val="24"/>
          <w:color w:val="auto"/>
        </w:rPr>
      </w:pPr>
    </w:p>
    <w:p>
      <w:pPr>
        <w:jc w:val="center"/>
        <w:ind w:right="-225"/>
        <w:spacing w:after="0"/>
        <w:rPr>
          <w:sz w:val="20"/>
          <w:szCs w:val="20"/>
          <w:color w:val="auto"/>
        </w:rPr>
      </w:pPr>
      <w:r>
        <w:rPr>
          <w:rFonts w:ascii="Arial" w:cs="Arial" w:eastAsia="Arial" w:hAnsi="Arial"/>
          <w:sz w:val="18"/>
          <w:szCs w:val="18"/>
          <w:b w:val="1"/>
          <w:bCs w:val="1"/>
          <w:color w:val="auto"/>
        </w:rPr>
        <w:t>May 18, 2017</w:t>
      </w:r>
    </w:p>
    <w:p>
      <w:pPr>
        <w:spacing w:after="0" w:line="40" w:lineRule="exact"/>
        <w:rPr>
          <w:sz w:val="24"/>
          <w:szCs w:val="24"/>
          <w:color w:val="auto"/>
        </w:rPr>
      </w:pPr>
    </w:p>
    <w:p>
      <w:pPr>
        <w:jc w:val="center"/>
        <w:ind w:right="-225"/>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-282575</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ind w:left="206"/>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o</w:t>
      </w:r>
    </w:p>
    <w:p>
      <w:pPr>
        <w:spacing w:after="0" w:line="45" w:lineRule="exact"/>
        <w:rPr>
          <w:sz w:val="24"/>
          <w:szCs w:val="24"/>
          <w:color w:val="auto"/>
        </w:rPr>
      </w:pPr>
    </w:p>
    <w:p>
      <w:pPr>
        <w:ind w:left="206" w:right="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w:t>
      </w:r>
      <w:r>
        <w:rPr>
          <w:rFonts w:ascii="Arial" w:cs="Arial" w:eastAsia="Arial" w:hAnsi="Arial"/>
          <w:sz w:val="18"/>
          <w:szCs w:val="18"/>
          <w:b w:val="1"/>
          <w:bCs w:val="1"/>
          <w:color w:val="auto"/>
        </w:rPr>
        <w:t xml:space="preserve"> </w:t>
      </w:r>
      <w:r>
        <w:rPr>
          <w:rFonts w:ascii="Arial" w:cs="Arial" w:eastAsia="Arial" w:hAnsi="Arial"/>
          <w:sz w:val="18"/>
          <w:szCs w:val="18"/>
          <w:color w:val="auto"/>
        </w:rPr>
        <w:t>for other parties to whom copies are to be sent.</w:t>
      </w:r>
    </w:p>
    <w:p>
      <w:pPr>
        <w:spacing w:after="0" w:line="44" w:lineRule="exact"/>
        <w:rPr>
          <w:sz w:val="24"/>
          <w:szCs w:val="24"/>
          <w:color w:val="auto"/>
        </w:rPr>
      </w:pPr>
    </w:p>
    <w:p>
      <w:pPr>
        <w:ind w:left="206" w:right="340"/>
        <w:spacing w:after="0" w:line="334"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 w:lineRule="exact"/>
        <w:rPr>
          <w:sz w:val="24"/>
          <w:szCs w:val="24"/>
          <w:color w:val="auto"/>
        </w:rPr>
      </w:pPr>
    </w:p>
    <w:p>
      <w:pPr>
        <w:ind w:left="206" w:right="38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-284480</wp:posOffset>
            </wp:positionH>
            <wp:positionV relativeFrom="paragraph">
              <wp:posOffset>190500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646" w:right="7520" w:hanging="646"/>
        <w:spacing w:after="0" w:line="342" w:lineRule="auto"/>
        <w:tabs>
          <w:tab w:leader="none" w:pos="646" w:val="left"/>
        </w:tabs>
        <w:numPr>
          <w:ilvl w:val="0"/>
          <w:numId w:val="1"/>
        </w:numPr>
        <w:rPr>
          <w:rFonts w:ascii="Arial" w:cs="Arial" w:eastAsia="Arial" w:hAnsi="Arial"/>
          <w:sz w:val="16"/>
          <w:szCs w:val="16"/>
          <w:color w:val="auto"/>
        </w:rPr>
      </w:pPr>
      <w:r>
        <w:rPr>
          <w:rFonts w:ascii="Arial" w:cs="Arial" w:eastAsia="Arial" w:hAnsi="Arial"/>
          <w:sz w:val="16"/>
          <w:szCs w:val="16"/>
          <w:color w:val="auto"/>
        </w:rPr>
        <w:t>Name of Reporting Person Bpifrance Participations S.A.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wp:posOffset>
            </wp:positionH>
            <wp:positionV relativeFrom="paragraph">
              <wp:posOffset>27940</wp:posOffset>
            </wp:positionV>
            <wp:extent cx="65862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646" w:hanging="646"/>
        <w:spacing w:after="0"/>
        <w:tabs>
          <w:tab w:leader="none" w:pos="646"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1706" w:hanging="1058"/>
        <w:spacing w:after="0"/>
        <w:tabs>
          <w:tab w:leader="none" w:pos="1706"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1706" w:hanging="1058"/>
        <w:spacing w:after="0"/>
        <w:tabs>
          <w:tab w:leader="none" w:pos="1706"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1020445</wp:posOffset>
            </wp:positionH>
            <wp:positionV relativeFrom="paragraph">
              <wp:posOffset>40640</wp:posOffset>
            </wp:positionV>
            <wp:extent cx="5942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1020445</wp:posOffset>
            </wp:positionH>
            <wp:positionV relativeFrom="paragraph">
              <wp:posOffset>-215900</wp:posOffset>
            </wp:positionV>
            <wp:extent cx="59429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646" w:hanging="646"/>
        <w:spacing w:after="0"/>
        <w:tabs>
          <w:tab w:leader="none" w:pos="64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6"/>
          <w:szCs w:val="16"/>
          <w:color w:val="auto"/>
        </w:rPr>
        <w:t>Source of Funds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wp:posOffset>
            </wp:positionH>
            <wp:positionV relativeFrom="paragraph">
              <wp:posOffset>-507365</wp:posOffset>
            </wp:positionV>
            <wp:extent cx="65862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286"/>
          </w:cols>
          <w:pgMar w:left="694" w:top="436" w:right="919" w:bottom="0" w:gutter="0" w:footer="0" w:header="0"/>
        </w:sectPr>
      </w:pPr>
    </w:p>
    <w:bookmarkStart w:id="1" w:name="page2"/>
    <w:bookmarkEnd w:id="1"/>
    <w:p>
      <w:pPr>
        <w:ind w:left="1040"/>
        <w:spacing w:after="0"/>
        <w:rPr>
          <w:sz w:val="20"/>
          <w:szCs w:val="20"/>
          <w:color w:val="auto"/>
        </w:rPr>
      </w:pPr>
      <w:r>
        <w:rPr>
          <w:rFonts w:ascii="Arial" w:cs="Arial" w:eastAsia="Arial" w:hAnsi="Arial"/>
          <w:sz w:val="18"/>
          <w:szCs w:val="18"/>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0"/>
        <w:spacing w:after="0"/>
        <w:tabs>
          <w:tab w:leader="none" w:pos="1020" w:val="left"/>
          <w:tab w:leader="none" w:pos="76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99060</wp:posOffset>
            </wp:positionV>
            <wp:extent cx="65862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6499" w:hanging="646"/>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159"/>
          </w:cols>
          <w:pgMar w:left="300" w:top="125" w:right="1440" w:bottom="2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tcPr>
          <w:p>
            <w:pPr>
              <w:spacing w:after="0"/>
              <w:rPr>
                <w:sz w:val="18"/>
                <w:szCs w:val="18"/>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420"/>
            <w:col w:w="8179"/>
          </w:cols>
          <w:pgMar w:left="300" w:top="125" w:right="1440" w:bottom="221"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1980" w:right="6319" w:hanging="506"/>
        <w:spacing w:after="0" w:line="277" w:lineRule="auto"/>
        <w:tabs>
          <w:tab w:leader="none" w:pos="1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57150</wp:posOffset>
            </wp:positionV>
            <wp:extent cx="59944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40" w:right="4319" w:hanging="646"/>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Check Box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106680</wp:posOffset>
            </wp:positionV>
            <wp:extent cx="65862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40" w:right="5239" w:hanging="646"/>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-654050</wp:posOffset>
            </wp:positionV>
            <wp:extent cx="6586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40" w:hanging="646"/>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Caisse des Dépôts et Consignations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40" w:hanging="646"/>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40640</wp:posOffset>
            </wp:positionV>
            <wp:extent cx="59429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-215900</wp:posOffset>
            </wp:positionV>
            <wp:extent cx="59429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040" w:hanging="646"/>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92075</wp:posOffset>
            </wp:positionV>
            <wp:extent cx="65862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159"/>
          </w:cols>
          <w:pgMar w:left="300" w:top="125" w:right="1440" w:bottom="221" w:gutter="0" w:footer="0" w:header="0"/>
          <w:type w:val="continuous"/>
        </w:sectPr>
      </w:pPr>
    </w:p>
    <w:bookmarkStart w:id="2" w:name="page3"/>
    <w:bookmarkEnd w:id="2"/>
    <w:p>
      <w:pPr>
        <w:ind w:left="1040" w:hanging="646"/>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tabs>
          <w:tab w:leader="none" w:pos="1020" w:val="left"/>
          <w:tab w:leader="none" w:pos="76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99060</wp:posOffset>
            </wp:positionV>
            <wp:extent cx="65862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6499" w:hanging="646"/>
        <w:spacing w:after="0" w:line="277" w:lineRule="auto"/>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Citizenship or Place of Organization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159"/>
          </w:cols>
          <w:pgMar w:left="300" w:top="22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tcPr>
          <w:p>
            <w:pPr>
              <w:spacing w:after="0"/>
              <w:rPr>
                <w:sz w:val="18"/>
                <w:szCs w:val="18"/>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420"/>
            <w:col w:w="8179"/>
          </w:cols>
          <w:pgMar w:left="300" w:top="220" w:right="1440"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1980" w:right="6319" w:hanging="506"/>
        <w:spacing w:after="0" w:line="277" w:lineRule="auto"/>
        <w:tabs>
          <w:tab w:leader="none" w:pos="1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Shared Dispositive Power 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57150</wp:posOffset>
            </wp:positionV>
            <wp:extent cx="59944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40" w:right="4319" w:hanging="646"/>
        <w:spacing w:after="0" w:line="277"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Check Box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106680</wp:posOffset>
            </wp:positionV>
            <wp:extent cx="65862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40" w:right="5239" w:hanging="646"/>
        <w:spacing w:after="0" w:line="277" w:lineRule="auto"/>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-654050</wp:posOffset>
            </wp:positionV>
            <wp:extent cx="65862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40" w:right="7199" w:hanging="646"/>
        <w:spacing w:after="0" w:line="277" w:lineRule="auto"/>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Name of Reporting Person EPIC Bpifrance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40" w:hanging="646"/>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40640</wp:posOffset>
            </wp:positionV>
            <wp:extent cx="59429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-215900</wp:posOffset>
            </wp:positionV>
            <wp:extent cx="59429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0159"/>
          </w:cols>
          <w:pgMar w:left="300" w:top="22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40" w:hanging="646"/>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106680</wp:posOffset>
            </wp:positionV>
            <wp:extent cx="65862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159"/>
          </w:cols>
          <w:pgMar w:left="300" w:top="220" w:right="1440" w:bottom="0" w:gutter="0" w:footer="0" w:header="0"/>
          <w:type w:val="continuous"/>
        </w:sectPr>
      </w:pPr>
    </w:p>
    <w:bookmarkStart w:id="3" w:name="page4"/>
    <w:bookmarkEnd w:id="3"/>
    <w:p>
      <w:pPr>
        <w:ind w:left="1040" w:hanging="646"/>
        <w:spacing w:after="0"/>
        <w:tabs>
          <w:tab w:leader="none" w:pos="10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0"/>
        <w:spacing w:after="0"/>
        <w:tabs>
          <w:tab w:leader="none" w:pos="1020" w:val="left"/>
          <w:tab w:leader="none" w:pos="766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99060</wp:posOffset>
            </wp:positionV>
            <wp:extent cx="65862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040" w:right="6499" w:hanging="646"/>
        <w:spacing w:after="0" w:line="277" w:lineRule="auto"/>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0159"/>
          </w:cols>
          <w:pgMar w:left="300" w:top="598" w:right="1440" w:bottom="39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tcPr>
          <w:p>
            <w:pPr>
              <w:spacing w:after="0"/>
              <w:rPr>
                <w:sz w:val="18"/>
                <w:szCs w:val="18"/>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60" w:space="420"/>
            <w:col w:w="8179"/>
          </w:cols>
          <w:pgMar w:left="300" w:top="598" w:right="1440" w:bottom="397"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1980" w:right="6319" w:hanging="506"/>
        <w:spacing w:after="0" w:line="277" w:lineRule="auto"/>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Shared Dispositive Power 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1219200</wp:posOffset>
            </wp:positionH>
            <wp:positionV relativeFrom="paragraph">
              <wp:posOffset>57150</wp:posOffset>
            </wp:positionV>
            <wp:extent cx="59944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40" w:right="4319" w:hanging="646"/>
        <w:spacing w:after="0" w:line="277"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6"/>
          <w:szCs w:val="16"/>
          <w:color w:val="auto"/>
        </w:rPr>
        <w:t>12</w:t>
      </w:r>
      <w:r>
        <w:rPr>
          <w:sz w:val="20"/>
          <w:szCs w:val="20"/>
          <w:color w:val="auto"/>
        </w:rPr>
        <w:tab/>
      </w:r>
      <w:r>
        <w:rPr>
          <w:rFonts w:ascii="Arial" w:cs="Arial" w:eastAsia="Arial" w:hAnsi="Arial"/>
          <w:sz w:val="16"/>
          <w:szCs w:val="16"/>
          <w:color w:val="auto"/>
        </w:rPr>
        <w:t>Check Box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106680</wp:posOffset>
            </wp:positionV>
            <wp:extent cx="65862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40" w:right="5239" w:hanging="646"/>
        <w:spacing w:after="0" w:line="277"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040" w:hanging="646"/>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83185</wp:posOffset>
            </wp:positionV>
            <wp:extent cx="65862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-654050</wp:posOffset>
            </wp:positionV>
            <wp:extent cx="65862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6"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040" w:right="7199" w:hanging="646"/>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Name of Reporting Person Bpifrance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57150</wp:posOffset>
            </wp:positionV>
            <wp:extent cx="65862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40" w:hanging="646"/>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65" w:lineRule="exact"/>
        <w:rPr>
          <w:rFonts w:ascii="Arial" w:cs="Arial" w:eastAsia="Arial" w:hAnsi="Arial"/>
          <w:sz w:val="18"/>
          <w:szCs w:val="18"/>
          <w:color w:val="auto"/>
        </w:rPr>
      </w:pPr>
    </w:p>
    <w:p>
      <w:pPr>
        <w:ind w:left="2100" w:hanging="1058"/>
        <w:spacing w:after="0"/>
        <w:tabs>
          <w:tab w:leader="none" w:pos="2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w:t>
      </w:r>
    </w:p>
    <w:p>
      <w:pPr>
        <w:spacing w:after="0" w:line="198" w:lineRule="exact"/>
        <w:rPr>
          <w:rFonts w:ascii="Arial" w:cs="Arial" w:eastAsia="Arial" w:hAnsi="Arial"/>
          <w:sz w:val="18"/>
          <w:szCs w:val="18"/>
          <w:color w:val="auto"/>
        </w:rPr>
      </w:pPr>
    </w:p>
    <w:p>
      <w:pPr>
        <w:ind w:left="2100" w:hanging="1058"/>
        <w:spacing w:after="0"/>
        <w:tabs>
          <w:tab w:leader="none" w:pos="21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40640</wp:posOffset>
            </wp:positionV>
            <wp:extent cx="59429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942965" cy="8890"/>
                    </a:xfrm>
                    <a:prstGeom prst="rect">
                      <a:avLst/>
                    </a:prstGeom>
                    <a:noFill/>
                  </pic:spPr>
                </pic:pic>
              </a:graphicData>
            </a:graphic>
          </wp:anchor>
        </w:drawing>
        <w:drawing>
          <wp:anchor simplePos="0" relativeHeight="251657728" behindDoc="1" locked="0" layoutInCell="0" allowOverlap="1">
            <wp:simplePos x="0" y="0"/>
            <wp:positionH relativeFrom="column">
              <wp:posOffset>1270635</wp:posOffset>
            </wp:positionH>
            <wp:positionV relativeFrom="paragraph">
              <wp:posOffset>-215900</wp:posOffset>
            </wp:positionV>
            <wp:extent cx="59429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942965" cy="8890"/>
                    </a:xfrm>
                    <a:prstGeom prst="rect">
                      <a:avLst/>
                    </a:prstGeom>
                    <a:noFill/>
                  </pic:spPr>
                </pic:pic>
              </a:graphicData>
            </a:graphic>
          </wp:anchor>
        </w:drawing>
      </w:r>
    </w:p>
    <w:p>
      <w:pPr>
        <w:sectPr>
          <w:pgSz w:w="11900" w:h="16838" w:orient="portrait"/>
          <w:cols w:equalWidth="0" w:num="1">
            <w:col w:w="10159"/>
          </w:cols>
          <w:pgMar w:left="300" w:top="598" w:right="1440" w:bottom="397" w:gutter="0" w:footer="0" w:header="0"/>
          <w:type w:val="continuous"/>
        </w:sectPr>
      </w:pPr>
    </w:p>
    <w:bookmarkStart w:id="4" w:name="page5"/>
    <w:bookmarkEnd w:id="4"/>
    <w:p>
      <w:pPr>
        <w:ind w:left="1100" w:hanging="646"/>
        <w:spacing w:after="0"/>
        <w:tabs>
          <w:tab w:leader="none" w:pos="11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hanging="646"/>
        <w:spacing w:after="0"/>
        <w:tabs>
          <w:tab w:leader="none" w:pos="11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spacing w:after="0"/>
        <w:tabs>
          <w:tab w:leader="none" w:pos="1080" w:val="left"/>
          <w:tab w:leader="none" w:pos="7720" w:val="left"/>
        </w:tabs>
        <w:rPr>
          <w:sz w:val="20"/>
          <w:szCs w:val="20"/>
          <w:color w:val="auto"/>
        </w:rPr>
      </w:pPr>
      <w:r>
        <w:rPr>
          <w:rFonts w:ascii="Arial" w:cs="Arial" w:eastAsia="Arial" w:hAnsi="Arial"/>
          <w:sz w:val="17"/>
          <w:szCs w:val="17"/>
          <w:color w:val="auto"/>
        </w:rPr>
        <w:t>5</w:t>
      </w:r>
      <w:r>
        <w:rPr>
          <w:sz w:val="20"/>
          <w:szCs w:val="20"/>
          <w:color w:val="auto"/>
        </w:rPr>
        <w:tab/>
      </w:r>
      <w:r>
        <w:rPr>
          <w:rFonts w:ascii="Arial" w:cs="Arial" w:eastAsia="Arial" w:hAnsi="Arial"/>
          <w:sz w:val="17"/>
          <w:szCs w:val="17"/>
          <w:color w:val="auto"/>
        </w:rPr>
        <w:t>Check Box if Disclosure of Legal Proceedings Is Required Pursuant to Items 2(d) or 2(e)</w:t>
      </w:r>
      <w:r>
        <w:rPr>
          <w:sz w:val="20"/>
          <w:szCs w:val="20"/>
          <w:color w:val="auto"/>
        </w:rPr>
        <w:tab/>
      </w:r>
      <w:r>
        <w:rPr>
          <w:rFonts w:ascii="Arial" w:cs="Arial" w:eastAsia="Arial" w:hAnsi="Arial"/>
          <w:sz w:val="14"/>
          <w:szCs w:val="14"/>
          <w:color w:val="auto"/>
        </w:rPr>
        <w: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99060</wp:posOffset>
            </wp:positionV>
            <wp:extent cx="65862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00" w:right="7700" w:hanging="646"/>
        <w:spacing w:after="0" w:line="277" w:lineRule="auto"/>
        <w:tabs>
          <w:tab w:leader="none" w:pos="1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57150</wp:posOffset>
            </wp:positionV>
            <wp:extent cx="65862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1180" w:type="dxa"/>
            <w:vAlign w:val="bottom"/>
          </w:tcPr>
          <w:p>
            <w:pPr>
              <w:spacing w:after="0"/>
              <w:rPr>
                <w:sz w:val="20"/>
                <w:szCs w:val="20"/>
                <w:color w:val="auto"/>
              </w:rPr>
            </w:pPr>
            <w:r>
              <w:rPr>
                <w:rFonts w:ascii="Arial" w:cs="Arial" w:eastAsia="Arial" w:hAnsi="Arial"/>
                <w:sz w:val="18"/>
                <w:szCs w:val="18"/>
                <w:color w:val="auto"/>
              </w:rPr>
              <w:t>Number of</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Owned by</w:t>
            </w:r>
          </w:p>
        </w:tc>
        <w:tc>
          <w:tcPr>
            <w:tcW w:w="380" w:type="dxa"/>
            <w:vAlign w:val="bottom"/>
          </w:tcPr>
          <w:p>
            <w:pPr>
              <w:spacing w:after="0"/>
              <w:rPr>
                <w:sz w:val="18"/>
                <w:szCs w:val="18"/>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380" w:type="dxa"/>
            <w:vAlign w:val="bottom"/>
          </w:tcPr>
          <w:p>
            <w:pPr>
              <w:spacing w:after="0"/>
              <w:rPr>
                <w:sz w:val="18"/>
                <w:szCs w:val="18"/>
                <w:color w:val="auto"/>
              </w:rPr>
            </w:pPr>
          </w:p>
        </w:tc>
      </w:tr>
      <w:tr>
        <w:trPr>
          <w:trHeight w:val="217"/>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Person With</w:t>
            </w:r>
          </w:p>
        </w:tc>
        <w:tc>
          <w:tcPr>
            <w:tcW w:w="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83185</wp:posOffset>
            </wp:positionV>
            <wp:extent cx="59944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20" w:space="420"/>
            <w:col w:w="9380"/>
          </w:cols>
          <w:pgMar w:left="240" w:top="125" w:right="239" w:bottom="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2040" w:right="7520" w:hanging="506"/>
        <w:spacing w:after="0" w:line="277" w:lineRule="auto"/>
        <w:tabs>
          <w:tab w:leader="none" w:pos="2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Shared Dispositive Power 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57150</wp:posOffset>
            </wp:positionV>
            <wp:extent cx="59944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994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00" w:right="5520" w:hanging="646"/>
        <w:spacing w:after="0" w:line="277" w:lineRule="auto"/>
        <w:tabs>
          <w:tab w:leader="none" w:pos="11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24,688,691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57150</wp:posOffset>
            </wp:positionV>
            <wp:extent cx="65862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Check Box if the Aggregate Amount in Row (11) Excludes Certain Shares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92075</wp:posOffset>
            </wp:positionV>
            <wp:extent cx="65862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100" w:right="6440" w:hanging="646"/>
        <w:spacing w:after="0" w:line="277" w:lineRule="auto"/>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5.3%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1100" w:hanging="646"/>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83185</wp:posOffset>
            </wp:positionV>
            <wp:extent cx="65862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86220" cy="8890"/>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-654050</wp:posOffset>
            </wp:positionV>
            <wp:extent cx="65862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86220" cy="88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Security and Issuer.</w:t>
      </w:r>
    </w:p>
    <w:p>
      <w:pPr>
        <w:spacing w:after="0" w:line="229" w:lineRule="exact"/>
        <w:rPr>
          <w:sz w:val="20"/>
          <w:szCs w:val="20"/>
          <w:color w:val="auto"/>
        </w:rPr>
      </w:pPr>
    </w:p>
    <w:p>
      <w:pPr>
        <w:ind w:right="320" w:firstLine="1037"/>
        <w:spacing w:after="0" w:line="264" w:lineRule="auto"/>
        <w:rPr>
          <w:sz w:val="20"/>
          <w:szCs w:val="20"/>
          <w:color w:val="auto"/>
        </w:rPr>
      </w:pPr>
      <w:r>
        <w:rPr>
          <w:rFonts w:ascii="Arial" w:cs="Arial" w:eastAsia="Arial" w:hAnsi="Arial"/>
          <w:sz w:val="18"/>
          <w:szCs w:val="18"/>
          <w:color w:val="auto"/>
        </w:rPr>
        <w:t>This Statement on Schedule 13D relates to the ordinary shares, $1.00 par value per share (“Ordinary Shares”), of TechnipFMC plc, a public limited company incorporated under the laws of England and Wales (the “Issuer”). The Issuer’s principal executive offices are located at One St. Paul’s Churchyard, London EC4M 8AP, United Kingdom.</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Identity and Background.</w:t>
      </w:r>
    </w:p>
    <w:p>
      <w:pPr>
        <w:spacing w:after="0" w:line="229" w:lineRule="exact"/>
        <w:rPr>
          <w:sz w:val="20"/>
          <w:szCs w:val="20"/>
          <w:color w:val="auto"/>
        </w:rPr>
      </w:pPr>
    </w:p>
    <w:p>
      <w:pPr>
        <w:ind w:firstLine="1037"/>
        <w:spacing w:after="0" w:line="312" w:lineRule="auto"/>
        <w:rPr>
          <w:sz w:val="20"/>
          <w:szCs w:val="20"/>
          <w:color w:val="auto"/>
        </w:rPr>
      </w:pPr>
      <w:r>
        <w:rPr>
          <w:rFonts w:ascii="Arial" w:cs="Arial" w:eastAsia="Arial" w:hAnsi="Arial"/>
          <w:sz w:val="16"/>
          <w:szCs w:val="16"/>
          <w:color w:val="auto"/>
        </w:rPr>
        <w:t xml:space="preserve">This Statement on Schedule 13D is filed jointly by (i) Bpifrance Participations S.A., a </w:t>
      </w:r>
      <w:r>
        <w:rPr>
          <w:rFonts w:ascii="Arial" w:cs="Arial" w:eastAsia="Arial" w:hAnsi="Arial"/>
          <w:sz w:val="16"/>
          <w:szCs w:val="16"/>
          <w:i w:val="1"/>
          <w:iCs w:val="1"/>
          <w:color w:val="auto"/>
        </w:rPr>
        <w:t>société anonyme</w:t>
      </w:r>
      <w:r>
        <w:rPr>
          <w:rFonts w:ascii="Arial" w:cs="Arial" w:eastAsia="Arial" w:hAnsi="Arial"/>
          <w:sz w:val="16"/>
          <w:szCs w:val="16"/>
          <w:color w:val="auto"/>
        </w:rPr>
        <w:t xml:space="preserve"> incorporated under the laws of the Republic of France (“Bpifrance Participations”), (ii) the Caisse des Dépôts et Consignations, a French special public entity (</w:t>
      </w:r>
      <w:r>
        <w:rPr>
          <w:rFonts w:ascii="Arial" w:cs="Arial" w:eastAsia="Arial" w:hAnsi="Arial"/>
          <w:sz w:val="16"/>
          <w:szCs w:val="16"/>
          <w:i w:val="1"/>
          <w:iCs w:val="1"/>
          <w:color w:val="auto"/>
        </w:rPr>
        <w:t>établissement special</w:t>
      </w:r>
      <w:r>
        <w:rPr>
          <w:rFonts w:ascii="Arial" w:cs="Arial" w:eastAsia="Arial" w:hAnsi="Arial"/>
          <w:sz w:val="16"/>
          <w:szCs w:val="16"/>
          <w:color w:val="auto"/>
        </w:rPr>
        <w:t>) (“CDC”), (iii) EPIC Bpifrance, a French public institution of industrial and commercial nature (“EPIC”), and (iv) Bpifrance S.A.. Bpifrance Participations, CDC, EPIC</w:t>
      </w:r>
    </w:p>
    <w:p>
      <w:pPr>
        <w:sectPr>
          <w:pgSz w:w="11900" w:h="16838" w:orient="portrait"/>
          <w:cols w:equalWidth="0" w:num="1">
            <w:col w:w="11420"/>
          </w:cols>
          <w:pgMar w:left="240" w:top="125" w:right="239" w:bottom="0" w:gutter="0" w:footer="0" w:header="0"/>
          <w:type w:val="continuous"/>
        </w:sectPr>
      </w:pPr>
    </w:p>
    <w:bookmarkStart w:id="5" w:name="page6"/>
    <w:bookmarkEnd w:id="5"/>
    <w:p>
      <w:pPr>
        <w:spacing w:after="0" w:line="342" w:lineRule="auto"/>
        <w:rPr>
          <w:sz w:val="20"/>
          <w:szCs w:val="20"/>
          <w:color w:val="auto"/>
        </w:rPr>
      </w:pPr>
      <w:r>
        <w:rPr>
          <w:rFonts w:ascii="Arial" w:cs="Arial" w:eastAsia="Arial" w:hAnsi="Arial"/>
          <w:sz w:val="16"/>
          <w:szCs w:val="16"/>
          <w:color w:val="auto"/>
        </w:rPr>
        <w:t>and Bpifrance S.A. are referred to herein collectively as the “Reporting Persons.” The principal address for CDC is 56, rue de Lille, 75007 Paris, France. The principal address for Bpifrance Participations S.A., EPIC and Bpifrance S.A. is 27-31, avenue du Général Leclerc, 94710 Maisons-Alfort Cedex, France.</w:t>
      </w:r>
    </w:p>
    <w:p>
      <w:pPr>
        <w:spacing w:after="0" w:line="124" w:lineRule="exact"/>
        <w:rPr>
          <w:sz w:val="20"/>
          <w:szCs w:val="20"/>
          <w:color w:val="auto"/>
        </w:rPr>
      </w:pPr>
    </w:p>
    <w:p>
      <w:pPr>
        <w:ind w:right="180" w:firstLine="1037"/>
        <w:spacing w:after="0" w:line="259" w:lineRule="auto"/>
        <w:rPr>
          <w:sz w:val="20"/>
          <w:szCs w:val="20"/>
          <w:color w:val="auto"/>
        </w:rPr>
      </w:pPr>
      <w:r>
        <w:rPr>
          <w:rFonts w:ascii="Arial" w:cs="Arial" w:eastAsia="Arial" w:hAnsi="Arial"/>
          <w:sz w:val="18"/>
          <w:szCs w:val="18"/>
          <w:color w:val="auto"/>
        </w:rPr>
        <w:t>Bpifrance Participations is a French public investment fund specializing in the business of equity financing via direct investments or fund of funds. Bpifrance Participations is a wholly-owned subsidiary of Bpifrance S.A., a French financial institution especially created for this purpose. CDC and EPIC each hold 50% of the share capital of Bpifrance S.A. and jointly control Bpifrance S.A. CDC is principally engaged in the business of long-term investments. EPIC is principally engaged in the business of banking finance.</w:t>
      </w:r>
    </w:p>
    <w:p>
      <w:pPr>
        <w:spacing w:after="0" w:line="187" w:lineRule="exact"/>
        <w:rPr>
          <w:sz w:val="20"/>
          <w:szCs w:val="20"/>
          <w:color w:val="auto"/>
        </w:rPr>
      </w:pPr>
    </w:p>
    <w:p>
      <w:pPr>
        <w:ind w:right="80" w:firstLine="1037"/>
        <w:spacing w:after="0" w:line="259" w:lineRule="auto"/>
        <w:rPr>
          <w:sz w:val="20"/>
          <w:szCs w:val="20"/>
          <w:color w:val="auto"/>
        </w:rPr>
      </w:pPr>
      <w:r>
        <w:rPr>
          <w:rFonts w:ascii="Arial" w:cs="Arial" w:eastAsia="Arial" w:hAnsi="Arial"/>
          <w:sz w:val="18"/>
          <w:szCs w:val="18"/>
          <w:color w:val="auto"/>
        </w:rPr>
        <w:t>As of the date hereof, Bpifrance Participations holds directly 24,688,691 Ordinary Shares. As of the date hereof, none of Bpifrance S.A., CDC or EPIC holds any Ordinary Shares directly. Bpifrance S.A. may be deemed to be the beneficial owner of 24,688,691 Ordinary Shares, indirectly through its sole ownership of Bpifrance Participations. CDC and EPIC may be deemed to be the beneficial owner of 24,688,691 Ordinary Shares, indirectly through their joint ownership and control of Bpifrance S.A.</w:t>
      </w:r>
    </w:p>
    <w:p>
      <w:pPr>
        <w:spacing w:after="0" w:line="187" w:lineRule="exact"/>
        <w:rPr>
          <w:sz w:val="20"/>
          <w:szCs w:val="20"/>
          <w:color w:val="auto"/>
        </w:rPr>
      </w:pPr>
    </w:p>
    <w:p>
      <w:pPr>
        <w:ind w:right="360" w:firstLine="1037"/>
        <w:spacing w:after="0" w:line="342" w:lineRule="auto"/>
        <w:rPr>
          <w:sz w:val="20"/>
          <w:szCs w:val="20"/>
          <w:color w:val="auto"/>
        </w:rPr>
      </w:pPr>
      <w:r>
        <w:rPr>
          <w:rFonts w:ascii="Arial" w:cs="Arial" w:eastAsia="Arial" w:hAnsi="Arial"/>
          <w:sz w:val="16"/>
          <w:szCs w:val="16"/>
          <w:color w:val="auto"/>
        </w:rPr>
        <w:t>Attached as Appendices A, B, C and D to Item 2 is information concerning the executive officers and directors of Bpifrance Participations, Bpifrance S.A., CDC and EPIC, respectively, required to be disclosed in response to Item 2 and General Instruction C to Schedule 13D.</w:t>
      </w:r>
    </w:p>
    <w:p>
      <w:pPr>
        <w:spacing w:after="0" w:line="124" w:lineRule="exact"/>
        <w:rPr>
          <w:sz w:val="20"/>
          <w:szCs w:val="20"/>
          <w:color w:val="auto"/>
        </w:rPr>
      </w:pPr>
    </w:p>
    <w:p>
      <w:pPr>
        <w:ind w:right="200" w:firstLine="1037"/>
        <w:spacing w:after="0" w:line="257" w:lineRule="auto"/>
        <w:rPr>
          <w:sz w:val="20"/>
          <w:szCs w:val="20"/>
          <w:color w:val="auto"/>
        </w:rPr>
      </w:pPr>
      <w:r>
        <w:rPr>
          <w:rFonts w:ascii="Arial" w:cs="Arial" w:eastAsia="Arial" w:hAnsi="Arial"/>
          <w:sz w:val="18"/>
          <w:szCs w:val="18"/>
          <w:color w:val="auto"/>
        </w:rPr>
        <w:t>None of the Reporting Persons, nor, to the best of their knowledge, any of the persons referred to in Appendices A, B, C and D to Item 2 has, during the last five years, been convicted in a criminal proceeding (excluding traffic violations and similar misdemeanors) or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4"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Source and Amount of Funds or Other Consideration.</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January 16, 2017, Bpifrance Participations acquired 18,669,654 Ordinary Shares as a result of the automatic exchange of the 9,334,827 ordinary shares it held in Technip S.A. (“Technip”), pursuant to the business combination among FMC Technologies, Inc. (“FMCTI”), Technip and the Issuer (the “Business Combination”).</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Between April 28, 2017 and May 25, 2017, Bpifrance Participations purchased 6,019,037 Ordinary Shares on the open market. The number of shares purchased on each day and the price for such shares are set forth in Schedule I to this Statement on Schedule 13D and incorporated herein by reference. Bpifrance Participations obtained the funds to purchase the Ordinary Shares from working capital.</w:t>
      </w:r>
    </w:p>
    <w:p>
      <w:pPr>
        <w:spacing w:after="0" w:line="177"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Purpose of Transaction.</w:t>
      </w:r>
    </w:p>
    <w:p>
      <w:pPr>
        <w:spacing w:after="0" w:line="229"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All of the Ordinary Shares that are held of record by the Reporting Persons as reported herein were acquired for investment purposes. The Reporting Persons retain the right to change their investment intent, from time to time to acquire additional Ordinary Shares or other securities of the Issuer, or to sell or otherwise dispose of all or part of the Ordinary Shares or other securities of the Issuer, if any, beneficially owned by them, in any manner permitted by law.</w:t>
      </w:r>
    </w:p>
    <w:p>
      <w:pPr>
        <w:ind w:right="520" w:firstLine="42"/>
        <w:spacing w:after="0" w:line="261" w:lineRule="auto"/>
        <w:rPr>
          <w:sz w:val="20"/>
          <w:szCs w:val="20"/>
          <w:color w:val="auto"/>
        </w:rPr>
      </w:pPr>
      <w:r>
        <w:rPr>
          <w:rFonts w:ascii="Arial" w:cs="Arial" w:eastAsia="Arial" w:hAnsi="Arial"/>
          <w:sz w:val="18"/>
          <w:szCs w:val="18"/>
          <w:color w:val="auto"/>
        </w:rPr>
        <w:t>The Reporting Persons may engage from time to time in ordinary course transactions with financial institutions with respect to the securities described herein.</w:t>
      </w:r>
    </w:p>
    <w:p>
      <w:pPr>
        <w:spacing w:after="0" w:line="184"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Except as set forth above, none of the Reporting Persons currently has any plans or proposals which would be related to or would result in any of the matters described in Items 4(a)-(j) of the Instructions to Schedule 13D. However, as part of the ongoing evaluation of investment and investment alternatives, the Reporting Persons may consider such matters and, subject to applicable law, may formulate a plan with respect to such matters, and, from time to time, may hold discussions with or make formal proposals to management or the board of directors of the Issuer or other third parties regarding such matters.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 in Securities of the Issuer.</w:t>
      </w:r>
    </w:p>
    <w:p>
      <w:pPr>
        <w:spacing w:after="0" w:line="22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As of the date hereof, Bpifrance Participations holds directly 24,688,691 Ordinary Shares, which represents approximately 5.3% of the Issuer’s Ordinary Shares. As of the date hereof, none of Bpifrance S.A., CDC or EPIC holds any Ordinary Shares directly. Bpifrance S.A. may be deemed to be the beneficial owner of 24,688,691 Ordinary Shares, indirectly through its sole ownership of Bpifrance Participations. CDC and EPIC may be deemed to be the beneficial owner of 24,688,691 Ordinary Shares, indirectly through their joint ownership and control of Bpifrance S.A.</w:t>
      </w:r>
    </w:p>
    <w:p>
      <w:pPr>
        <w:spacing w:after="0" w:line="171" w:lineRule="exact"/>
        <w:rPr>
          <w:sz w:val="20"/>
          <w:szCs w:val="20"/>
          <w:color w:val="auto"/>
        </w:rPr>
      </w:pPr>
    </w:p>
    <w:p>
      <w:pPr>
        <w:jc w:val="both"/>
        <w:ind w:right="160" w:firstLine="656"/>
        <w:spacing w:after="0" w:line="259" w:lineRule="auto"/>
        <w:tabs>
          <w:tab w:leader="none" w:pos="1294"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See also the information contained on the cover pages of this Statement on Schedule 13D which is incorporated herein by reference. The percentage of Ordinary Shares beneficially owned by each Reporting Person is based on 466,592,009 outstanding Ordinary Shares of the Issuer as set out in the Issuer’s Quarterly Report on Form 10-Q for the quarterly period ended March 31, 2017 filed with the Securities and Exchange Commission on May 4, 2017.</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See the information contained on the cover pages of this Statement on Schedule 13D, which is incorporated herein by reference.</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See the information contained in Item 3 and Schedule I to this Statement on Schedule 13D, which is incorporated herein by reference.</w:t>
      </w:r>
    </w:p>
    <w:p>
      <w:pPr>
        <w:spacing w:after="0" w:line="236" w:lineRule="exact"/>
        <w:rPr>
          <w:rFonts w:ascii="Arial" w:cs="Arial" w:eastAsia="Arial" w:hAnsi="Arial"/>
          <w:sz w:val="17"/>
          <w:szCs w:val="17"/>
          <w:color w:val="auto"/>
        </w:rPr>
      </w:pPr>
    </w:p>
    <w:p>
      <w:pPr>
        <w:ind w:left="1320" w:hanging="66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Contracts, Arrangements, Understandings or Relationships with Respect to Securities of the Issuer.</w:t>
      </w:r>
    </w:p>
    <w:p>
      <w:pPr>
        <w:spacing w:after="0" w:line="229" w:lineRule="exact"/>
        <w:rPr>
          <w:sz w:val="20"/>
          <w:szCs w:val="20"/>
          <w:color w:val="auto"/>
        </w:rPr>
      </w:pPr>
    </w:p>
    <w:p>
      <w:pPr>
        <w:ind w:right="80" w:firstLine="743"/>
        <w:spacing w:after="0" w:line="302" w:lineRule="auto"/>
        <w:rPr>
          <w:sz w:val="20"/>
          <w:szCs w:val="20"/>
          <w:color w:val="auto"/>
        </w:rPr>
      </w:pPr>
      <w:r>
        <w:rPr>
          <w:rFonts w:ascii="Arial" w:cs="Arial" w:eastAsia="Arial" w:hAnsi="Arial"/>
          <w:sz w:val="16"/>
          <w:szCs w:val="16"/>
          <w:color w:val="auto"/>
        </w:rPr>
        <w:t>On May 18, 2016, in connection with the Business Combination, Technip entered into a support agreement with Bpifrance Participations, pursuant to which, among other things, (i) Bpifrance Participations undertook for a period of two years following completion of the Business Combination to maintain its shareholding in the Issuer below 6% of the share capital, on a fully diluted basis, and (ii) Technip and FMCTI undertook that a Bpifrance Participations designee would be appointed to the Issuer’s board of directors upon the consummation of the Business Combination, among the directors designated by</w:t>
      </w:r>
    </w:p>
    <w:p>
      <w:pPr>
        <w:sectPr>
          <w:pgSz w:w="11900" w:h="16838" w:orient="portrait"/>
          <w:cols w:equalWidth="0" w:num="1">
            <w:col w:w="11420"/>
          </w:cols>
          <w:pgMar w:left="240" w:top="125" w:right="239" w:bottom="0" w:gutter="0" w:footer="0" w:header="0"/>
        </w:sectPr>
      </w:pPr>
    </w:p>
    <w:bookmarkStart w:id="6" w:name="page7"/>
    <w:bookmarkEnd w:id="6"/>
    <w:p>
      <w:pPr>
        <w:spacing w:after="0" w:line="6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Technip. The support agreement is attached as Exhibit 99.1 to this Statement on Schedule 13D and incorporated herein by reference. FMCTI accepted the terms of the support agreement in a separate letter sent to Bpifrance Participations on May 18, 2016.</w:t>
      </w:r>
    </w:p>
    <w:p>
      <w:pPr>
        <w:spacing w:after="0" w:line="166"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Material to be Filed as Exhibits.</w:t>
      </w:r>
    </w:p>
    <w:p>
      <w:pPr>
        <w:spacing w:after="0" w:line="22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99.1 Support Agreement, dated as of May 18, 2016, by and among Bpifrance Participations and Technip (incorporated herein by reference to Annex A-2 to Amendment No. 3 to the Issuer’s Registration Statement on Form S-4 filed with the Securities and Exchange Commission on October 21, 2016 (File No. 333-213067)).</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Joint Filing Agreement dated as of May 30, 2017, by and among the Reporting Persons.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color w:val="auto"/>
              </w:rPr>
              <w:t>Dated: May 30, 2017</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Bpifrance Participations S.A.</w:t>
            </w:r>
          </w:p>
        </w:tc>
      </w:tr>
      <w:tr>
        <w:trPr>
          <w:trHeight w:val="432"/>
        </w:trPr>
        <w:tc>
          <w:tcPr>
            <w:tcW w:w="362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Dufourcq</w:t>
            </w: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Nicolas Dufourcq</w:t>
            </w: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CEO</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May 30, 2017</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Caisse Des Dépôts et Consignations</w:t>
            </w:r>
          </w:p>
        </w:tc>
      </w:tr>
      <w:tr>
        <w:trPr>
          <w:trHeight w:val="432"/>
        </w:trPr>
        <w:tc>
          <w:tcPr>
            <w:tcW w:w="362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Prohin*</w:t>
            </w: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Joel Prohin</w:t>
            </w: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 of asset management</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May 30, 2017</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Epic Bpifrance</w:t>
            </w:r>
          </w:p>
        </w:tc>
      </w:tr>
      <w:tr>
        <w:trPr>
          <w:trHeight w:val="432"/>
        </w:trPr>
        <w:tc>
          <w:tcPr>
            <w:tcW w:w="362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Sophie Paquin**</w:t>
            </w: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Sophie Paquin</w:t>
            </w: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 of Legal Affairs</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May 30, 2017</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Bpifrance S.A.</w:t>
            </w:r>
          </w:p>
        </w:tc>
      </w:tr>
      <w:tr>
        <w:trPr>
          <w:trHeight w:val="432"/>
        </w:trPr>
        <w:tc>
          <w:tcPr>
            <w:tcW w:w="362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Dufourcq</w:t>
            </w: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Nicolas Dufourcq</w:t>
            </w: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CEO</w:t>
            </w:r>
          </w:p>
        </w:tc>
      </w:tr>
    </w:tbl>
    <w:p>
      <w:pPr>
        <w:spacing w:after="0" w:line="202" w:lineRule="exact"/>
        <w:rPr>
          <w:sz w:val="20"/>
          <w:szCs w:val="20"/>
          <w:color w:val="auto"/>
        </w:rPr>
      </w:pPr>
    </w:p>
    <w:p>
      <w:pPr>
        <w:ind w:right="120" w:firstLine="8"/>
        <w:spacing w:after="0" w:line="264" w:lineRule="auto"/>
        <w:tabs>
          <w:tab w:leader="none" w:pos="135" w:val="left"/>
        </w:tabs>
        <w:numPr>
          <w:ilvl w:val="0"/>
          <w:numId w:val="33"/>
        </w:numPr>
        <w:rPr>
          <w:rFonts w:ascii="Arial" w:cs="Arial" w:eastAsia="Arial" w:hAnsi="Arial"/>
          <w:sz w:val="18"/>
          <w:szCs w:val="18"/>
          <w:color w:val="auto"/>
        </w:rPr>
      </w:pPr>
      <w:r>
        <w:rPr>
          <w:rFonts w:ascii="Arial" w:cs="Arial" w:eastAsia="Arial" w:hAnsi="Arial"/>
          <w:sz w:val="18"/>
          <w:szCs w:val="18"/>
          <w:color w:val="auto"/>
        </w:rPr>
        <w:t>Joel Prohin is signing on behalf of Caisse des Dépôts et Consignations by executive order from the general manager of Caisse des Dépôts et Consignations previously filed with the Securities and Exchange Commission on February 14, 2017 as Exhibit 2 to Schedule 13G, and hereby incorporated herein by reference.</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**Sophie Paquin is signing on behalf of EPIC Bpifrance by power of attorney previously filed with the Securities and Exchange Commission on February 14, 2017 as Exhibit 3 to Schedule 13G, and hereby incorporated herein by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Transaction</w:t>
            </w: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Transaction</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Quantity of</w:t>
            </w:r>
          </w:p>
        </w:tc>
        <w:tc>
          <w:tcPr>
            <w:tcW w:w="1940" w:type="dxa"/>
            <w:vAlign w:val="bottom"/>
            <w:gridSpan w:val="2"/>
          </w:tcPr>
          <w:p>
            <w:pPr>
              <w:ind w:left="240"/>
              <w:spacing w:after="0"/>
              <w:rPr>
                <w:sz w:val="20"/>
                <w:szCs w:val="20"/>
                <w:color w:val="auto"/>
              </w:rPr>
            </w:pPr>
            <w:r>
              <w:rPr>
                <w:rFonts w:ascii="Arial" w:cs="Arial" w:eastAsia="Arial" w:hAnsi="Arial"/>
                <w:sz w:val="14"/>
                <w:szCs w:val="14"/>
                <w:b w:val="1"/>
                <w:bCs w:val="1"/>
                <w:color w:val="auto"/>
              </w:rPr>
              <w:t>Price per Ordinary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9"/>
              </w:rPr>
              <w:t>Place of</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960" w:type="dxa"/>
            <w:vAlign w:val="bottom"/>
            <w:gridSpan w:val="2"/>
            <w:vMerge w:val="continue"/>
          </w:tcPr>
          <w:p>
            <w:pPr>
              <w:spacing w:after="0"/>
              <w:rPr>
                <w:sz w:val="14"/>
                <w:szCs w:val="14"/>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Ordinary Shares</w:t>
            </w:r>
          </w:p>
        </w:tc>
        <w:tc>
          <w:tcPr>
            <w:tcW w:w="19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 (€)</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0" w:type="dxa"/>
            <w:vAlign w:val="bottom"/>
          </w:tcPr>
          <w:p>
            <w:pPr>
              <w:spacing w:after="0"/>
              <w:rPr>
                <w:sz w:val="1"/>
                <w:szCs w:val="1"/>
                <w:color w:val="auto"/>
              </w:rPr>
            </w:pPr>
          </w:p>
        </w:tc>
      </w:tr>
      <w:tr>
        <w:trPr>
          <w:trHeight w:val="182"/>
        </w:trPr>
        <w:tc>
          <w:tcPr>
            <w:tcW w:w="2020" w:type="dxa"/>
            <w:vAlign w:val="bottom"/>
            <w:tcBorders>
              <w:top w:val="single" w:sz="8" w:color="CCEEFF"/>
            </w:tcBorders>
            <w:shd w:val="clear" w:color="auto" w:fill="CCEEFF"/>
          </w:tcPr>
          <w:p>
            <w:pPr>
              <w:jc w:val="center"/>
              <w:ind w:right="190"/>
              <w:spacing w:after="0" w:line="182" w:lineRule="exact"/>
              <w:rPr>
                <w:sz w:val="20"/>
                <w:szCs w:val="20"/>
                <w:color w:val="auto"/>
              </w:rPr>
            </w:pPr>
            <w:r>
              <w:rPr>
                <w:rFonts w:ascii="Arial" w:cs="Arial" w:eastAsia="Arial" w:hAnsi="Arial"/>
                <w:sz w:val="18"/>
                <w:szCs w:val="18"/>
                <w:color w:val="auto"/>
                <w:w w:val="92"/>
              </w:rPr>
              <w:t>Bpifrance</w:t>
            </w:r>
          </w:p>
        </w:tc>
        <w:tc>
          <w:tcPr>
            <w:tcW w:w="16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i w:val="1"/>
                <w:iCs w:val="1"/>
                <w:color w:val="auto"/>
                <w:w w:val="89"/>
              </w:rPr>
              <w:t>(Open market</w:t>
            </w:r>
          </w:p>
        </w:tc>
        <w:tc>
          <w:tcPr>
            <w:tcW w:w="3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1"/>
              </w:rPr>
              <w:t>04/28/17</w:t>
            </w:r>
          </w:p>
        </w:tc>
        <w:tc>
          <w:tcPr>
            <w:tcW w:w="280" w:type="dxa"/>
            <w:vAlign w:val="bottom"/>
            <w:tcBorders>
              <w:top w:val="single" w:sz="8" w:color="CCEEFF"/>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+220,545</w:t>
            </w:r>
          </w:p>
        </w:tc>
        <w:tc>
          <w:tcPr>
            <w:tcW w:w="28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ind w:left="1160"/>
              <w:spacing w:after="0" w:line="182" w:lineRule="exact"/>
              <w:rPr>
                <w:sz w:val="20"/>
                <w:szCs w:val="20"/>
                <w:color w:val="auto"/>
              </w:rPr>
            </w:pPr>
            <w:r>
              <w:rPr>
                <w:rFonts w:ascii="Arial" w:cs="Arial" w:eastAsia="Arial" w:hAnsi="Arial"/>
                <w:sz w:val="18"/>
                <w:szCs w:val="18"/>
                <w:color w:val="auto"/>
                <w:w w:val="83"/>
              </w:rPr>
              <w:t>27.606</w:t>
            </w:r>
          </w:p>
        </w:tc>
        <w:tc>
          <w:tcPr>
            <w:tcW w:w="300" w:type="dxa"/>
            <w:vAlign w:val="bottom"/>
            <w:tcBorders>
              <w:top w:val="single" w:sz="8" w:color="CCEEFF"/>
            </w:tcBorders>
            <w:shd w:val="clear" w:color="auto" w:fill="CCEEFF"/>
          </w:tcPr>
          <w:p>
            <w:pPr>
              <w:spacing w:after="0"/>
              <w:rPr>
                <w:sz w:val="15"/>
                <w:szCs w:val="15"/>
                <w:color w:val="auto"/>
              </w:rPr>
            </w:pPr>
          </w:p>
        </w:tc>
        <w:tc>
          <w:tcPr>
            <w:tcW w:w="164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Euronext Paris</w:t>
            </w:r>
          </w:p>
        </w:tc>
        <w:tc>
          <w:tcPr>
            <w:tcW w:w="0" w:type="dxa"/>
            <w:vAlign w:val="bottom"/>
          </w:tcPr>
          <w:p>
            <w:pPr>
              <w:spacing w:after="0"/>
              <w:rPr>
                <w:sz w:val="1"/>
                <w:szCs w:val="1"/>
                <w:color w:val="auto"/>
              </w:rPr>
            </w:pPr>
          </w:p>
        </w:tc>
      </w:tr>
      <w:tr>
        <w:trPr>
          <w:trHeight w:val="244"/>
        </w:trPr>
        <w:tc>
          <w:tcPr>
            <w:tcW w:w="20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Participations</w:t>
            </w:r>
          </w:p>
        </w:tc>
        <w:tc>
          <w:tcPr>
            <w:tcW w:w="19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i w:val="1"/>
                <w:iCs w:val="1"/>
                <w:color w:val="auto"/>
                <w:w w:val="87"/>
              </w:rPr>
              <w:t>purchase)</w:t>
            </w:r>
          </w:p>
        </w:tc>
        <w:tc>
          <w:tcPr>
            <w:tcW w:w="1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2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92"/>
              </w:rPr>
              <w:t>Bpifrance</w:t>
            </w:r>
          </w:p>
        </w:tc>
        <w:tc>
          <w:tcPr>
            <w:tcW w:w="1960" w:type="dxa"/>
            <w:vAlign w:val="bottom"/>
            <w:gridSpan w:val="2"/>
          </w:tcPr>
          <w:p>
            <w:pPr>
              <w:jc w:val="center"/>
              <w:ind w:right="300"/>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05/02/17</w:t>
            </w:r>
          </w:p>
        </w:tc>
        <w:tc>
          <w:tcPr>
            <w:tcW w:w="280" w:type="dxa"/>
            <w:vAlign w:val="bottom"/>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89"/>
              </w:rPr>
              <w:t>+295,049</w:t>
            </w:r>
          </w:p>
        </w:tc>
        <w:tc>
          <w:tcPr>
            <w:tcW w:w="280" w:type="dxa"/>
            <w:vAlign w:val="bottom"/>
          </w:tcPr>
          <w:p>
            <w:pPr>
              <w:spacing w:after="0"/>
              <w:rPr>
                <w:sz w:val="17"/>
                <w:szCs w:val="17"/>
                <w:color w:val="auto"/>
              </w:rPr>
            </w:pPr>
          </w:p>
        </w:tc>
        <w:tc>
          <w:tcPr>
            <w:tcW w:w="1940" w:type="dxa"/>
            <w:vAlign w:val="bottom"/>
            <w:gridSpan w:val="2"/>
          </w:tcPr>
          <w:p>
            <w:pPr>
              <w:ind w:left="1160"/>
              <w:spacing w:after="0" w:line="201" w:lineRule="exact"/>
              <w:rPr>
                <w:sz w:val="20"/>
                <w:szCs w:val="20"/>
                <w:color w:val="auto"/>
              </w:rPr>
            </w:pPr>
            <w:r>
              <w:rPr>
                <w:rFonts w:ascii="Arial" w:cs="Arial" w:eastAsia="Arial" w:hAnsi="Arial"/>
                <w:sz w:val="18"/>
                <w:szCs w:val="18"/>
                <w:color w:val="auto"/>
              </w:rPr>
              <w:t>28.209</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Euronext Paris</w:t>
            </w:r>
          </w:p>
        </w:tc>
        <w:tc>
          <w:tcPr>
            <w:tcW w:w="0" w:type="dxa"/>
            <w:vAlign w:val="bottom"/>
          </w:tcPr>
          <w:p>
            <w:pPr>
              <w:spacing w:after="0"/>
              <w:rPr>
                <w:sz w:val="1"/>
                <w:szCs w:val="1"/>
                <w:color w:val="auto"/>
              </w:rPr>
            </w:pPr>
          </w:p>
        </w:tc>
      </w:tr>
      <w:tr>
        <w:trPr>
          <w:trHeight w:val="230"/>
        </w:trPr>
        <w:tc>
          <w:tcPr>
            <w:tcW w:w="2020" w:type="dxa"/>
            <w:vAlign w:val="bottom"/>
          </w:tcPr>
          <w:p>
            <w:pPr>
              <w:jc w:val="center"/>
              <w:ind w:right="190"/>
              <w:spacing w:after="0"/>
              <w:rPr>
                <w:sz w:val="20"/>
                <w:szCs w:val="20"/>
                <w:color w:val="auto"/>
              </w:rPr>
            </w:pPr>
            <w:r>
              <w:rPr>
                <w:rFonts w:ascii="Arial" w:cs="Arial" w:eastAsia="Arial" w:hAnsi="Arial"/>
                <w:sz w:val="18"/>
                <w:szCs w:val="18"/>
                <w:color w:val="auto"/>
                <w:w w:val="90"/>
              </w:rPr>
              <w:t>Participations</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87"/>
              </w:rPr>
              <w:t>purchase)</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jc w:val="center"/>
              <w:ind w:right="190"/>
              <w:spacing w:after="0" w:line="201" w:lineRule="exact"/>
              <w:rPr>
                <w:sz w:val="20"/>
                <w:szCs w:val="20"/>
                <w:color w:val="auto"/>
              </w:rPr>
            </w:pPr>
            <w:r>
              <w:rPr>
                <w:rFonts w:ascii="Arial" w:cs="Arial" w:eastAsia="Arial" w:hAnsi="Arial"/>
                <w:sz w:val="18"/>
                <w:szCs w:val="18"/>
                <w:color w:val="auto"/>
                <w:w w:val="92"/>
              </w:rPr>
              <w:t>Bpifrance</w:t>
            </w:r>
          </w:p>
        </w:tc>
        <w:tc>
          <w:tcPr>
            <w:tcW w:w="196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05/03/17</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+133,658</w:t>
            </w:r>
          </w:p>
        </w:tc>
        <w:tc>
          <w:tcPr>
            <w:tcW w:w="2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160"/>
              <w:spacing w:after="0" w:line="201" w:lineRule="exact"/>
              <w:rPr>
                <w:sz w:val="20"/>
                <w:szCs w:val="20"/>
                <w:color w:val="auto"/>
              </w:rPr>
            </w:pPr>
            <w:r>
              <w:rPr>
                <w:rFonts w:ascii="Arial" w:cs="Arial" w:eastAsia="Arial" w:hAnsi="Arial"/>
                <w:sz w:val="18"/>
                <w:szCs w:val="18"/>
                <w:color w:val="auto"/>
              </w:rPr>
              <w:t>28.437</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Euronext Paris</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Participations</w:t>
            </w:r>
          </w:p>
        </w:tc>
        <w:tc>
          <w:tcPr>
            <w:tcW w:w="19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i w:val="1"/>
                <w:iCs w:val="1"/>
                <w:color w:val="auto"/>
                <w:w w:val="87"/>
              </w:rPr>
              <w:t>purchase)</w:t>
            </w:r>
          </w:p>
        </w:tc>
        <w:tc>
          <w:tcPr>
            <w:tcW w:w="1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92"/>
              </w:rPr>
              <w:t>Bpifrance</w:t>
            </w:r>
          </w:p>
        </w:tc>
        <w:tc>
          <w:tcPr>
            <w:tcW w:w="1960" w:type="dxa"/>
            <w:vAlign w:val="bottom"/>
            <w:gridSpan w:val="2"/>
          </w:tcPr>
          <w:p>
            <w:pPr>
              <w:jc w:val="center"/>
              <w:ind w:right="300"/>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05/04/17</w:t>
            </w:r>
          </w:p>
        </w:tc>
        <w:tc>
          <w:tcPr>
            <w:tcW w:w="280" w:type="dxa"/>
            <w:vAlign w:val="bottom"/>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89"/>
              </w:rPr>
              <w:t>+287,871</w:t>
            </w:r>
          </w:p>
        </w:tc>
        <w:tc>
          <w:tcPr>
            <w:tcW w:w="280" w:type="dxa"/>
            <w:vAlign w:val="bottom"/>
          </w:tcPr>
          <w:p>
            <w:pPr>
              <w:spacing w:after="0"/>
              <w:rPr>
                <w:sz w:val="17"/>
                <w:szCs w:val="17"/>
                <w:color w:val="auto"/>
              </w:rPr>
            </w:pPr>
          </w:p>
        </w:tc>
        <w:tc>
          <w:tcPr>
            <w:tcW w:w="1940" w:type="dxa"/>
            <w:vAlign w:val="bottom"/>
            <w:gridSpan w:val="2"/>
          </w:tcPr>
          <w:p>
            <w:pPr>
              <w:ind w:left="1160"/>
              <w:spacing w:after="0" w:line="201" w:lineRule="exact"/>
              <w:rPr>
                <w:sz w:val="20"/>
                <w:szCs w:val="20"/>
                <w:color w:val="auto"/>
              </w:rPr>
            </w:pPr>
            <w:r>
              <w:rPr>
                <w:rFonts w:ascii="Arial" w:cs="Arial" w:eastAsia="Arial" w:hAnsi="Arial"/>
                <w:sz w:val="18"/>
                <w:szCs w:val="18"/>
                <w:color w:val="auto"/>
              </w:rPr>
              <w:t>28.479</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Euronext Paris</w:t>
            </w:r>
          </w:p>
        </w:tc>
        <w:tc>
          <w:tcPr>
            <w:tcW w:w="0" w:type="dxa"/>
            <w:vAlign w:val="bottom"/>
          </w:tcPr>
          <w:p>
            <w:pPr>
              <w:spacing w:after="0"/>
              <w:rPr>
                <w:sz w:val="1"/>
                <w:szCs w:val="1"/>
                <w:color w:val="auto"/>
              </w:rPr>
            </w:pPr>
          </w:p>
        </w:tc>
      </w:tr>
      <w:tr>
        <w:trPr>
          <w:trHeight w:val="230"/>
        </w:trPr>
        <w:tc>
          <w:tcPr>
            <w:tcW w:w="2020" w:type="dxa"/>
            <w:vAlign w:val="bottom"/>
          </w:tcPr>
          <w:p>
            <w:pPr>
              <w:jc w:val="center"/>
              <w:ind w:right="190"/>
              <w:spacing w:after="0"/>
              <w:rPr>
                <w:sz w:val="20"/>
                <w:szCs w:val="20"/>
                <w:color w:val="auto"/>
              </w:rPr>
            </w:pPr>
            <w:r>
              <w:rPr>
                <w:rFonts w:ascii="Arial" w:cs="Arial" w:eastAsia="Arial" w:hAnsi="Arial"/>
                <w:sz w:val="18"/>
                <w:szCs w:val="18"/>
                <w:color w:val="auto"/>
                <w:w w:val="90"/>
              </w:rPr>
              <w:t>Participations</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87"/>
              </w:rPr>
              <w:t>purchase)</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jc w:val="center"/>
              <w:ind w:right="190"/>
              <w:spacing w:after="0" w:line="201" w:lineRule="exact"/>
              <w:rPr>
                <w:sz w:val="20"/>
                <w:szCs w:val="20"/>
                <w:color w:val="auto"/>
              </w:rPr>
            </w:pPr>
            <w:r>
              <w:rPr>
                <w:rFonts w:ascii="Arial" w:cs="Arial" w:eastAsia="Arial" w:hAnsi="Arial"/>
                <w:sz w:val="18"/>
                <w:szCs w:val="18"/>
                <w:color w:val="auto"/>
                <w:w w:val="92"/>
              </w:rPr>
              <w:t>Bpifrance</w:t>
            </w:r>
          </w:p>
        </w:tc>
        <w:tc>
          <w:tcPr>
            <w:tcW w:w="196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05/05/17</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+160,550</w:t>
            </w:r>
          </w:p>
        </w:tc>
        <w:tc>
          <w:tcPr>
            <w:tcW w:w="2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160"/>
              <w:spacing w:after="0" w:line="201" w:lineRule="exact"/>
              <w:rPr>
                <w:sz w:val="20"/>
                <w:szCs w:val="20"/>
                <w:color w:val="auto"/>
              </w:rPr>
            </w:pPr>
            <w:r>
              <w:rPr>
                <w:rFonts w:ascii="Arial" w:cs="Arial" w:eastAsia="Arial" w:hAnsi="Arial"/>
                <w:sz w:val="18"/>
                <w:szCs w:val="18"/>
                <w:color w:val="auto"/>
              </w:rPr>
              <w:t>28.620</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Euronext Paris</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Participations</w:t>
            </w:r>
          </w:p>
        </w:tc>
        <w:tc>
          <w:tcPr>
            <w:tcW w:w="19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i w:val="1"/>
                <w:iCs w:val="1"/>
                <w:color w:val="auto"/>
                <w:w w:val="87"/>
              </w:rPr>
              <w:t>purchase)</w:t>
            </w:r>
          </w:p>
        </w:tc>
        <w:tc>
          <w:tcPr>
            <w:tcW w:w="1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92"/>
              </w:rPr>
              <w:t>Bpifrance</w:t>
            </w:r>
          </w:p>
        </w:tc>
        <w:tc>
          <w:tcPr>
            <w:tcW w:w="1960" w:type="dxa"/>
            <w:vAlign w:val="bottom"/>
            <w:gridSpan w:val="2"/>
          </w:tcPr>
          <w:p>
            <w:pPr>
              <w:jc w:val="center"/>
              <w:ind w:right="300"/>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05/08/17</w:t>
            </w:r>
          </w:p>
        </w:tc>
        <w:tc>
          <w:tcPr>
            <w:tcW w:w="280" w:type="dxa"/>
            <w:vAlign w:val="bottom"/>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89"/>
              </w:rPr>
              <w:t>+116,000</w:t>
            </w:r>
          </w:p>
        </w:tc>
        <w:tc>
          <w:tcPr>
            <w:tcW w:w="280" w:type="dxa"/>
            <w:vAlign w:val="bottom"/>
          </w:tcPr>
          <w:p>
            <w:pPr>
              <w:spacing w:after="0"/>
              <w:rPr>
                <w:sz w:val="17"/>
                <w:szCs w:val="17"/>
                <w:color w:val="auto"/>
              </w:rPr>
            </w:pPr>
          </w:p>
        </w:tc>
        <w:tc>
          <w:tcPr>
            <w:tcW w:w="1940" w:type="dxa"/>
            <w:vAlign w:val="bottom"/>
            <w:gridSpan w:val="2"/>
          </w:tcPr>
          <w:p>
            <w:pPr>
              <w:ind w:left="1160"/>
              <w:spacing w:after="0" w:line="201" w:lineRule="exact"/>
              <w:rPr>
                <w:sz w:val="20"/>
                <w:szCs w:val="20"/>
                <w:color w:val="auto"/>
              </w:rPr>
            </w:pPr>
            <w:r>
              <w:rPr>
                <w:rFonts w:ascii="Arial" w:cs="Arial" w:eastAsia="Arial" w:hAnsi="Arial"/>
                <w:sz w:val="18"/>
                <w:szCs w:val="18"/>
                <w:color w:val="auto"/>
              </w:rPr>
              <w:t>28.888</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Euronext Paris</w:t>
            </w:r>
          </w:p>
        </w:tc>
        <w:tc>
          <w:tcPr>
            <w:tcW w:w="0" w:type="dxa"/>
            <w:vAlign w:val="bottom"/>
          </w:tcPr>
          <w:p>
            <w:pPr>
              <w:spacing w:after="0"/>
              <w:rPr>
                <w:sz w:val="1"/>
                <w:szCs w:val="1"/>
                <w:color w:val="auto"/>
              </w:rPr>
            </w:pPr>
          </w:p>
        </w:tc>
      </w:tr>
      <w:tr>
        <w:trPr>
          <w:trHeight w:val="230"/>
        </w:trPr>
        <w:tc>
          <w:tcPr>
            <w:tcW w:w="2020" w:type="dxa"/>
            <w:vAlign w:val="bottom"/>
          </w:tcPr>
          <w:p>
            <w:pPr>
              <w:jc w:val="center"/>
              <w:ind w:right="190"/>
              <w:spacing w:after="0"/>
              <w:rPr>
                <w:sz w:val="20"/>
                <w:szCs w:val="20"/>
                <w:color w:val="auto"/>
              </w:rPr>
            </w:pPr>
            <w:r>
              <w:rPr>
                <w:rFonts w:ascii="Arial" w:cs="Arial" w:eastAsia="Arial" w:hAnsi="Arial"/>
                <w:sz w:val="18"/>
                <w:szCs w:val="18"/>
                <w:color w:val="auto"/>
                <w:w w:val="90"/>
              </w:rPr>
              <w:t>Participations</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87"/>
              </w:rPr>
              <w:t>purchase)</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shd w:val="clear" w:color="auto" w:fill="CCEEFF"/>
          </w:tcPr>
          <w:p>
            <w:pPr>
              <w:jc w:val="center"/>
              <w:ind w:right="190"/>
              <w:spacing w:after="0" w:line="201" w:lineRule="exact"/>
              <w:rPr>
                <w:sz w:val="20"/>
                <w:szCs w:val="20"/>
                <w:color w:val="auto"/>
              </w:rPr>
            </w:pPr>
            <w:r>
              <w:rPr>
                <w:rFonts w:ascii="Arial" w:cs="Arial" w:eastAsia="Arial" w:hAnsi="Arial"/>
                <w:sz w:val="18"/>
                <w:szCs w:val="18"/>
                <w:color w:val="auto"/>
                <w:w w:val="92"/>
              </w:rPr>
              <w:t>Bpifrance</w:t>
            </w:r>
          </w:p>
        </w:tc>
        <w:tc>
          <w:tcPr>
            <w:tcW w:w="196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05/09/17</w:t>
            </w: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+139,570</w:t>
            </w:r>
          </w:p>
        </w:tc>
        <w:tc>
          <w:tcPr>
            <w:tcW w:w="28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ind w:left="1160"/>
              <w:spacing w:after="0" w:line="201" w:lineRule="exact"/>
              <w:rPr>
                <w:sz w:val="20"/>
                <w:szCs w:val="20"/>
                <w:color w:val="auto"/>
              </w:rPr>
            </w:pPr>
            <w:r>
              <w:rPr>
                <w:rFonts w:ascii="Arial" w:cs="Arial" w:eastAsia="Arial" w:hAnsi="Arial"/>
                <w:sz w:val="18"/>
                <w:szCs w:val="18"/>
                <w:color w:val="auto"/>
              </w:rPr>
              <w:t>28.924</w:t>
            </w: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Euronext Paris</w:t>
            </w:r>
          </w:p>
        </w:tc>
        <w:tc>
          <w:tcPr>
            <w:tcW w:w="0" w:type="dxa"/>
            <w:vAlign w:val="bottom"/>
          </w:tcPr>
          <w:p>
            <w:pPr>
              <w:spacing w:after="0"/>
              <w:rPr>
                <w:sz w:val="1"/>
                <w:szCs w:val="1"/>
                <w:color w:val="auto"/>
              </w:rPr>
            </w:pPr>
          </w:p>
        </w:tc>
      </w:tr>
      <w:tr>
        <w:trPr>
          <w:trHeight w:val="230"/>
        </w:trPr>
        <w:tc>
          <w:tcPr>
            <w:tcW w:w="2020" w:type="dxa"/>
            <w:vAlign w:val="bottom"/>
            <w:shd w:val="clear" w:color="auto" w:fill="CCEEFF"/>
          </w:tcPr>
          <w:p>
            <w:pPr>
              <w:jc w:val="center"/>
              <w:ind w:right="190"/>
              <w:spacing w:after="0"/>
              <w:rPr>
                <w:sz w:val="20"/>
                <w:szCs w:val="20"/>
                <w:color w:val="auto"/>
              </w:rPr>
            </w:pPr>
            <w:r>
              <w:rPr>
                <w:rFonts w:ascii="Arial" w:cs="Arial" w:eastAsia="Arial" w:hAnsi="Arial"/>
                <w:sz w:val="18"/>
                <w:szCs w:val="18"/>
                <w:color w:val="auto"/>
                <w:w w:val="90"/>
              </w:rPr>
              <w:t>Participations</w:t>
            </w:r>
          </w:p>
        </w:tc>
        <w:tc>
          <w:tcPr>
            <w:tcW w:w="196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i w:val="1"/>
                <w:iCs w:val="1"/>
                <w:color w:val="auto"/>
                <w:w w:val="87"/>
              </w:rPr>
              <w:t>purchase)</w:t>
            </w:r>
          </w:p>
        </w:tc>
        <w:tc>
          <w:tcPr>
            <w:tcW w:w="1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20" w:type="dxa"/>
            <w:vAlign w:val="bottom"/>
          </w:tcPr>
          <w:p>
            <w:pPr>
              <w:jc w:val="center"/>
              <w:ind w:right="190"/>
              <w:spacing w:after="0" w:line="201" w:lineRule="exact"/>
              <w:rPr>
                <w:sz w:val="20"/>
                <w:szCs w:val="20"/>
                <w:color w:val="auto"/>
              </w:rPr>
            </w:pPr>
            <w:r>
              <w:rPr>
                <w:rFonts w:ascii="Arial" w:cs="Arial" w:eastAsia="Arial" w:hAnsi="Arial"/>
                <w:sz w:val="18"/>
                <w:szCs w:val="18"/>
                <w:color w:val="auto"/>
                <w:w w:val="92"/>
              </w:rPr>
              <w:t>Bpifrance</w:t>
            </w:r>
          </w:p>
        </w:tc>
        <w:tc>
          <w:tcPr>
            <w:tcW w:w="1960" w:type="dxa"/>
            <w:vAlign w:val="bottom"/>
            <w:gridSpan w:val="2"/>
          </w:tcPr>
          <w:p>
            <w:pPr>
              <w:jc w:val="center"/>
              <w:ind w:right="300"/>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91"/>
              </w:rPr>
              <w:t>05/10/17</w:t>
            </w:r>
          </w:p>
        </w:tc>
        <w:tc>
          <w:tcPr>
            <w:tcW w:w="280" w:type="dxa"/>
            <w:vAlign w:val="bottom"/>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91"/>
              </w:rPr>
              <w:t>+39,342</w:t>
            </w:r>
          </w:p>
        </w:tc>
        <w:tc>
          <w:tcPr>
            <w:tcW w:w="280" w:type="dxa"/>
            <w:vAlign w:val="bottom"/>
          </w:tcPr>
          <w:p>
            <w:pPr>
              <w:spacing w:after="0"/>
              <w:rPr>
                <w:sz w:val="17"/>
                <w:szCs w:val="17"/>
                <w:color w:val="auto"/>
              </w:rPr>
            </w:pPr>
          </w:p>
        </w:tc>
        <w:tc>
          <w:tcPr>
            <w:tcW w:w="1940" w:type="dxa"/>
            <w:vAlign w:val="bottom"/>
            <w:gridSpan w:val="2"/>
          </w:tcPr>
          <w:p>
            <w:pPr>
              <w:ind w:left="1160"/>
              <w:spacing w:after="0" w:line="201" w:lineRule="exact"/>
              <w:rPr>
                <w:sz w:val="20"/>
                <w:szCs w:val="20"/>
                <w:color w:val="auto"/>
              </w:rPr>
            </w:pPr>
            <w:r>
              <w:rPr>
                <w:rFonts w:ascii="Arial" w:cs="Arial" w:eastAsia="Arial" w:hAnsi="Arial"/>
                <w:sz w:val="18"/>
                <w:szCs w:val="18"/>
                <w:color w:val="auto"/>
              </w:rPr>
              <w:t>29.039</w:t>
            </w:r>
          </w:p>
        </w:tc>
        <w:tc>
          <w:tcPr>
            <w:tcW w:w="1640" w:type="dxa"/>
            <w:vAlign w:val="bottom"/>
          </w:tcPr>
          <w:p>
            <w:pPr>
              <w:jc w:val="center"/>
              <w:spacing w:after="0" w:line="201" w:lineRule="exact"/>
              <w:rPr>
                <w:sz w:val="20"/>
                <w:szCs w:val="20"/>
                <w:color w:val="auto"/>
              </w:rPr>
            </w:pPr>
            <w:r>
              <w:rPr>
                <w:rFonts w:ascii="Arial" w:cs="Arial" w:eastAsia="Arial" w:hAnsi="Arial"/>
                <w:sz w:val="18"/>
                <w:szCs w:val="18"/>
                <w:color w:val="auto"/>
                <w:w w:val="89"/>
              </w:rPr>
              <w:t>Euronext Paris</w:t>
            </w:r>
          </w:p>
        </w:tc>
        <w:tc>
          <w:tcPr>
            <w:tcW w:w="0" w:type="dxa"/>
            <w:vAlign w:val="bottom"/>
          </w:tcPr>
          <w:p>
            <w:pPr>
              <w:spacing w:after="0"/>
              <w:rPr>
                <w:sz w:val="1"/>
                <w:szCs w:val="1"/>
                <w:color w:val="auto"/>
              </w:rPr>
            </w:pPr>
          </w:p>
        </w:tc>
      </w:tr>
      <w:tr>
        <w:trPr>
          <w:trHeight w:val="230"/>
        </w:trPr>
        <w:tc>
          <w:tcPr>
            <w:tcW w:w="2020" w:type="dxa"/>
            <w:vAlign w:val="bottom"/>
          </w:tcPr>
          <w:p>
            <w:pPr>
              <w:jc w:val="center"/>
              <w:ind w:right="190"/>
              <w:spacing w:after="0"/>
              <w:rPr>
                <w:sz w:val="20"/>
                <w:szCs w:val="20"/>
                <w:color w:val="auto"/>
              </w:rPr>
            </w:pPr>
            <w:r>
              <w:rPr>
                <w:rFonts w:ascii="Arial" w:cs="Arial" w:eastAsia="Arial" w:hAnsi="Arial"/>
                <w:sz w:val="18"/>
                <w:szCs w:val="18"/>
                <w:color w:val="auto"/>
                <w:w w:val="90"/>
              </w:rPr>
              <w:t>Participations</w:t>
            </w:r>
          </w:p>
        </w:tc>
        <w:tc>
          <w:tcPr>
            <w:tcW w:w="196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87"/>
              </w:rPr>
              <w:t>purchase)</w:t>
            </w:r>
          </w:p>
        </w:tc>
        <w:tc>
          <w:tcPr>
            <w:tcW w:w="1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202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2"/>
              </w:rPr>
              <w:t>Bpifrance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(Open market</w:t>
            </w:r>
          </w:p>
        </w:tc>
        <w:tc>
          <w:tcPr>
            <w:tcW w:w="1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05/11/17</w:t>
            </w:r>
          </w:p>
        </w:tc>
        <w:tc>
          <w:tcPr>
            <w:tcW w:w="2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+148,434</w:t>
            </w:r>
          </w:p>
        </w:tc>
        <w:tc>
          <w:tcPr>
            <w:tcW w:w="17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29.148</w:t>
            </w:r>
          </w:p>
        </w:tc>
        <w:tc>
          <w:tcPr>
            <w:tcW w:w="1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05/12/17</w:t>
            </w:r>
          </w:p>
        </w:tc>
        <w:tc>
          <w:tcPr>
            <w:tcW w:w="2660" w:type="dxa"/>
            <w:vAlign w:val="bottom"/>
          </w:tcPr>
          <w:p>
            <w:pPr>
              <w:jc w:val="center"/>
              <w:spacing w:after="0" w:line="201" w:lineRule="exact"/>
              <w:rPr>
                <w:sz w:val="20"/>
                <w:szCs w:val="20"/>
                <w:color w:val="auto"/>
              </w:rPr>
            </w:pPr>
            <w:r>
              <w:rPr>
                <w:rFonts w:ascii="Arial" w:cs="Arial" w:eastAsia="Arial" w:hAnsi="Arial"/>
                <w:sz w:val="18"/>
                <w:szCs w:val="18"/>
                <w:color w:val="auto"/>
                <w:w w:val="89"/>
              </w:rPr>
              <w:t>+601,582</w:t>
            </w:r>
          </w:p>
        </w:tc>
        <w:tc>
          <w:tcPr>
            <w:tcW w:w="17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28.682</w:t>
            </w:r>
          </w:p>
        </w:tc>
        <w:tc>
          <w:tcPr>
            <w:tcW w:w="1640" w:type="dxa"/>
            <w:vAlign w:val="bottom"/>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05/15/17</w:t>
            </w:r>
          </w:p>
        </w:tc>
        <w:tc>
          <w:tcPr>
            <w:tcW w:w="2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+256,000</w:t>
            </w:r>
          </w:p>
        </w:tc>
        <w:tc>
          <w:tcPr>
            <w:tcW w:w="17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28.827</w:t>
            </w:r>
          </w:p>
        </w:tc>
        <w:tc>
          <w:tcPr>
            <w:tcW w:w="16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05/16/17</w:t>
            </w:r>
          </w:p>
        </w:tc>
        <w:tc>
          <w:tcPr>
            <w:tcW w:w="2660" w:type="dxa"/>
            <w:vAlign w:val="bottom"/>
          </w:tcPr>
          <w:p>
            <w:pPr>
              <w:jc w:val="center"/>
              <w:spacing w:after="0" w:line="201" w:lineRule="exact"/>
              <w:rPr>
                <w:sz w:val="20"/>
                <w:szCs w:val="20"/>
                <w:color w:val="auto"/>
              </w:rPr>
            </w:pPr>
            <w:r>
              <w:rPr>
                <w:rFonts w:ascii="Arial" w:cs="Arial" w:eastAsia="Arial" w:hAnsi="Arial"/>
                <w:sz w:val="18"/>
                <w:szCs w:val="18"/>
                <w:color w:val="auto"/>
                <w:w w:val="89"/>
              </w:rPr>
              <w:t>+522,643</w:t>
            </w:r>
          </w:p>
        </w:tc>
        <w:tc>
          <w:tcPr>
            <w:tcW w:w="17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28.618</w:t>
            </w:r>
          </w:p>
        </w:tc>
        <w:tc>
          <w:tcPr>
            <w:tcW w:w="1640" w:type="dxa"/>
            <w:vAlign w:val="bottom"/>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05/17/17</w:t>
            </w:r>
          </w:p>
        </w:tc>
        <w:tc>
          <w:tcPr>
            <w:tcW w:w="2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+797,718</w:t>
            </w:r>
          </w:p>
        </w:tc>
        <w:tc>
          <w:tcPr>
            <w:tcW w:w="17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28.092</w:t>
            </w:r>
          </w:p>
        </w:tc>
        <w:tc>
          <w:tcPr>
            <w:tcW w:w="16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05/18/17</w:t>
            </w:r>
          </w:p>
        </w:tc>
        <w:tc>
          <w:tcPr>
            <w:tcW w:w="2660" w:type="dxa"/>
            <w:vAlign w:val="bottom"/>
          </w:tcPr>
          <w:p>
            <w:pPr>
              <w:jc w:val="center"/>
              <w:spacing w:after="0" w:line="201" w:lineRule="exact"/>
              <w:rPr>
                <w:sz w:val="20"/>
                <w:szCs w:val="20"/>
                <w:color w:val="auto"/>
              </w:rPr>
            </w:pPr>
            <w:r>
              <w:rPr>
                <w:rFonts w:ascii="Arial" w:cs="Arial" w:eastAsia="Arial" w:hAnsi="Arial"/>
                <w:sz w:val="18"/>
                <w:szCs w:val="18"/>
                <w:color w:val="auto"/>
                <w:w w:val="90"/>
              </w:rPr>
              <w:t>+1,321,285</w:t>
            </w:r>
          </w:p>
        </w:tc>
        <w:tc>
          <w:tcPr>
            <w:tcW w:w="17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27.773</w:t>
            </w:r>
          </w:p>
        </w:tc>
        <w:tc>
          <w:tcPr>
            <w:tcW w:w="1640" w:type="dxa"/>
            <w:vAlign w:val="bottom"/>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05/19/17</w:t>
            </w:r>
          </w:p>
        </w:tc>
        <w:tc>
          <w:tcPr>
            <w:tcW w:w="2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+113,222</w:t>
            </w:r>
          </w:p>
        </w:tc>
        <w:tc>
          <w:tcPr>
            <w:tcW w:w="17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28.424</w:t>
            </w:r>
          </w:p>
        </w:tc>
        <w:tc>
          <w:tcPr>
            <w:tcW w:w="16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05/22/17</w:t>
            </w:r>
          </w:p>
        </w:tc>
        <w:tc>
          <w:tcPr>
            <w:tcW w:w="2660" w:type="dxa"/>
            <w:vAlign w:val="bottom"/>
          </w:tcPr>
          <w:p>
            <w:pPr>
              <w:jc w:val="center"/>
              <w:spacing w:after="0" w:line="201" w:lineRule="exact"/>
              <w:rPr>
                <w:sz w:val="20"/>
                <w:szCs w:val="20"/>
                <w:color w:val="auto"/>
              </w:rPr>
            </w:pPr>
            <w:r>
              <w:rPr>
                <w:rFonts w:ascii="Arial" w:cs="Arial" w:eastAsia="Arial" w:hAnsi="Arial"/>
                <w:sz w:val="18"/>
                <w:szCs w:val="18"/>
                <w:color w:val="auto"/>
                <w:w w:val="89"/>
              </w:rPr>
              <w:t>+140,774</w:t>
            </w:r>
          </w:p>
        </w:tc>
        <w:tc>
          <w:tcPr>
            <w:tcW w:w="17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28.683</w:t>
            </w:r>
          </w:p>
        </w:tc>
        <w:tc>
          <w:tcPr>
            <w:tcW w:w="1640" w:type="dxa"/>
            <w:vAlign w:val="bottom"/>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05/23/17</w:t>
            </w:r>
          </w:p>
        </w:tc>
        <w:tc>
          <w:tcPr>
            <w:tcW w:w="2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+138,065</w:t>
            </w:r>
          </w:p>
        </w:tc>
        <w:tc>
          <w:tcPr>
            <w:tcW w:w="17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28.510</w:t>
            </w:r>
          </w:p>
        </w:tc>
        <w:tc>
          <w:tcPr>
            <w:tcW w:w="16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tcPr>
          <w:p>
            <w:pPr>
              <w:jc w:val="right"/>
              <w:ind w:right="190"/>
              <w:spacing w:after="0" w:line="201" w:lineRule="exact"/>
              <w:rPr>
                <w:sz w:val="20"/>
                <w:szCs w:val="20"/>
                <w:color w:val="auto"/>
              </w:rPr>
            </w:pPr>
            <w:r>
              <w:rPr>
                <w:rFonts w:ascii="Arial" w:cs="Arial" w:eastAsia="Arial" w:hAnsi="Arial"/>
                <w:sz w:val="18"/>
                <w:szCs w:val="18"/>
                <w:color w:val="auto"/>
              </w:rPr>
              <w:t>05/24/17</w:t>
            </w:r>
          </w:p>
        </w:tc>
        <w:tc>
          <w:tcPr>
            <w:tcW w:w="2660" w:type="dxa"/>
            <w:vAlign w:val="bottom"/>
          </w:tcPr>
          <w:p>
            <w:pPr>
              <w:jc w:val="center"/>
              <w:spacing w:after="0" w:line="201" w:lineRule="exact"/>
              <w:rPr>
                <w:sz w:val="20"/>
                <w:szCs w:val="20"/>
                <w:color w:val="auto"/>
              </w:rPr>
            </w:pPr>
            <w:r>
              <w:rPr>
                <w:rFonts w:ascii="Arial" w:cs="Arial" w:eastAsia="Arial" w:hAnsi="Arial"/>
                <w:sz w:val="18"/>
                <w:szCs w:val="18"/>
                <w:color w:val="auto"/>
                <w:w w:val="89"/>
              </w:rPr>
              <w:t>+213,781</w:t>
            </w:r>
          </w:p>
        </w:tc>
        <w:tc>
          <w:tcPr>
            <w:tcW w:w="1720" w:type="dxa"/>
            <w:vAlign w:val="bottom"/>
          </w:tcPr>
          <w:p>
            <w:pPr>
              <w:jc w:val="right"/>
              <w:ind w:right="210"/>
              <w:spacing w:after="0" w:line="201" w:lineRule="exact"/>
              <w:rPr>
                <w:sz w:val="20"/>
                <w:szCs w:val="20"/>
                <w:color w:val="auto"/>
              </w:rPr>
            </w:pPr>
            <w:r>
              <w:rPr>
                <w:rFonts w:ascii="Arial" w:cs="Arial" w:eastAsia="Arial" w:hAnsi="Arial"/>
                <w:sz w:val="18"/>
                <w:szCs w:val="18"/>
                <w:color w:val="auto"/>
              </w:rPr>
              <w:t>28.340</w:t>
            </w:r>
          </w:p>
        </w:tc>
        <w:tc>
          <w:tcPr>
            <w:tcW w:w="1640" w:type="dxa"/>
            <w:vAlign w:val="bottom"/>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1860" w:type="dxa"/>
            <w:vAlign w:val="bottom"/>
            <w:shd w:val="clear" w:color="auto" w:fill="CCEEFF"/>
          </w:tcPr>
          <w:p>
            <w:pPr>
              <w:jc w:val="center"/>
              <w:ind w:right="30"/>
              <w:spacing w:after="0" w:line="201" w:lineRule="exact"/>
              <w:rPr>
                <w:sz w:val="20"/>
                <w:szCs w:val="20"/>
                <w:color w:val="auto"/>
              </w:rPr>
            </w:pPr>
            <w:r>
              <w:rPr>
                <w:rFonts w:ascii="Arial" w:cs="Arial" w:eastAsia="Arial" w:hAnsi="Arial"/>
                <w:sz w:val="18"/>
                <w:szCs w:val="18"/>
                <w:color w:val="auto"/>
                <w:w w:val="92"/>
              </w:rPr>
              <w:t>Bpifrance</w:t>
            </w:r>
          </w:p>
        </w:tc>
        <w:tc>
          <w:tcPr>
            <w:tcW w:w="20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i w:val="1"/>
                <w:iCs w:val="1"/>
                <w:color w:val="auto"/>
                <w:w w:val="89"/>
              </w:rPr>
              <w:t>(Open market</w:t>
            </w:r>
          </w:p>
        </w:tc>
        <w:tc>
          <w:tcPr>
            <w:tcW w:w="1480" w:type="dxa"/>
            <w:vAlign w:val="bottom"/>
            <w:shd w:val="clear" w:color="auto" w:fill="CCEEFF"/>
          </w:tcPr>
          <w:p>
            <w:pPr>
              <w:jc w:val="right"/>
              <w:ind w:right="190"/>
              <w:spacing w:after="0" w:line="201" w:lineRule="exact"/>
              <w:rPr>
                <w:sz w:val="20"/>
                <w:szCs w:val="20"/>
                <w:color w:val="auto"/>
              </w:rPr>
            </w:pPr>
            <w:r>
              <w:rPr>
                <w:rFonts w:ascii="Arial" w:cs="Arial" w:eastAsia="Arial" w:hAnsi="Arial"/>
                <w:sz w:val="18"/>
                <w:szCs w:val="18"/>
                <w:color w:val="auto"/>
              </w:rPr>
              <w:t>05/25/17</w:t>
            </w:r>
          </w:p>
        </w:tc>
        <w:tc>
          <w:tcPr>
            <w:tcW w:w="26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+372,948</w:t>
            </w:r>
          </w:p>
        </w:tc>
        <w:tc>
          <w:tcPr>
            <w:tcW w:w="1720" w:type="dxa"/>
            <w:vAlign w:val="bottom"/>
            <w:shd w:val="clear" w:color="auto" w:fill="CCEEFF"/>
          </w:tcPr>
          <w:p>
            <w:pPr>
              <w:jc w:val="right"/>
              <w:ind w:right="210"/>
              <w:spacing w:after="0" w:line="201" w:lineRule="exact"/>
              <w:rPr>
                <w:sz w:val="20"/>
                <w:szCs w:val="20"/>
                <w:color w:val="auto"/>
              </w:rPr>
            </w:pPr>
            <w:r>
              <w:rPr>
                <w:rFonts w:ascii="Arial" w:cs="Arial" w:eastAsia="Arial" w:hAnsi="Arial"/>
                <w:sz w:val="18"/>
                <w:szCs w:val="18"/>
                <w:color w:val="auto"/>
              </w:rPr>
              <w:t>28.030</w:t>
            </w:r>
          </w:p>
        </w:tc>
        <w:tc>
          <w:tcPr>
            <w:tcW w:w="1640" w:type="dxa"/>
            <w:vAlign w:val="bottom"/>
            <w:shd w:val="clear" w:color="auto" w:fill="CCEEFF"/>
          </w:tcPr>
          <w:p>
            <w:pPr>
              <w:ind w:left="280"/>
              <w:spacing w:after="0" w:line="201" w:lineRule="exact"/>
              <w:rPr>
                <w:sz w:val="20"/>
                <w:szCs w:val="20"/>
                <w:color w:val="auto"/>
              </w:rPr>
            </w:pPr>
            <w:r>
              <w:rPr>
                <w:rFonts w:ascii="Arial" w:cs="Arial" w:eastAsia="Arial" w:hAnsi="Arial"/>
                <w:sz w:val="18"/>
                <w:szCs w:val="18"/>
                <w:color w:val="auto"/>
              </w:rPr>
              <w:t>Euronext Paris</w:t>
            </w:r>
          </w:p>
        </w:tc>
        <w:tc>
          <w:tcPr>
            <w:tcW w:w="40" w:type="dxa"/>
            <w:vAlign w:val="bottom"/>
          </w:tcPr>
          <w:p>
            <w:pPr>
              <w:spacing w:after="0"/>
              <w:rPr>
                <w:sz w:val="17"/>
                <w:szCs w:val="17"/>
                <w:color w:val="auto"/>
              </w:rPr>
            </w:pPr>
          </w:p>
        </w:tc>
      </w:tr>
      <w:tr>
        <w:trPr>
          <w:trHeight w:val="230"/>
        </w:trPr>
        <w:tc>
          <w:tcPr>
            <w:tcW w:w="186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0"/>
              </w:rPr>
              <w:t>Participations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7"/>
              </w:rPr>
              <w:t>purchase)</w:t>
            </w:r>
          </w:p>
        </w:tc>
        <w:tc>
          <w:tcPr>
            <w:tcW w:w="148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18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660" w:type="dxa"/>
            <w:vAlign w:val="bottom"/>
          </w:tcPr>
          <w:p>
            <w:pPr>
              <w:jc w:val="right"/>
              <w:ind w:right="2210"/>
              <w:spacing w:after="0"/>
              <w:rPr>
                <w:sz w:val="20"/>
                <w:szCs w:val="20"/>
                <w:color w:val="auto"/>
              </w:rPr>
            </w:pPr>
            <w:r>
              <w:rPr>
                <w:rFonts w:ascii="Arial" w:cs="Arial" w:eastAsia="Arial" w:hAnsi="Arial"/>
                <w:sz w:val="18"/>
                <w:szCs w:val="18"/>
                <w:color w:val="auto"/>
              </w:rPr>
              <w:t>9</w:t>
            </w:r>
          </w:p>
        </w:tc>
        <w:tc>
          <w:tcPr>
            <w:tcW w:w="17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860" w:type="dxa"/>
            <w:vAlign w:val="bottom"/>
            <w:tcBorders>
              <w:bottom w:val="single" w:sz="8" w:color="808080"/>
            </w:tcBorders>
          </w:tcPr>
          <w:p>
            <w:pPr>
              <w:spacing w:after="0"/>
              <w:rPr>
                <w:sz w:val="11"/>
                <w:szCs w:val="11"/>
                <w:color w:val="auto"/>
              </w:rPr>
            </w:pPr>
          </w:p>
        </w:tc>
        <w:tc>
          <w:tcPr>
            <w:tcW w:w="206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BPIFRANCE PARTICIPATIONS S.A.</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The name, business address and present principal occupation or employment of each of the directors and executive officers of Bpifrance Participations S.A. are set forth below. The business address of each director and executive officer is Bpifrance Participations S.A., 27-31, avenue du Général Leclerc, 94710 Maisons-Alfort Cedex, France. Unless otherwise indicated, each director and executive officer is a citizen of France.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71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210"/>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198"/>
        </w:trPr>
        <w:tc>
          <w:tcPr>
            <w:tcW w:w="362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NICOLAS DUFOURCQ</w:t>
            </w:r>
          </w:p>
        </w:tc>
        <w:tc>
          <w:tcPr>
            <w:tcW w:w="7320" w:type="dxa"/>
            <w:vAlign w:val="bottom"/>
            <w:gridSpan w:val="2"/>
            <w:shd w:val="clear" w:color="auto" w:fill="CCEEFF"/>
          </w:tcPr>
          <w:p>
            <w:pPr>
              <w:ind w:left="200"/>
              <w:spacing w:after="0" w:line="198" w:lineRule="exact"/>
              <w:rPr>
                <w:sz w:val="20"/>
                <w:szCs w:val="20"/>
                <w:color w:val="auto"/>
              </w:rPr>
            </w:pPr>
            <w:r>
              <w:rPr>
                <w:rFonts w:ascii="Arial" w:cs="Arial" w:eastAsia="Arial" w:hAnsi="Arial"/>
                <w:sz w:val="18"/>
                <w:szCs w:val="18"/>
                <w:b w:val="1"/>
                <w:bCs w:val="1"/>
                <w:color w:val="auto"/>
              </w:rPr>
              <w:t>Director, Chairman , Chief Executive Officer of Bpifrance Participations, and Chief</w:t>
            </w:r>
          </w:p>
        </w:tc>
      </w:tr>
      <w:tr>
        <w:trPr>
          <w:trHeight w:val="234"/>
        </w:trPr>
        <w:tc>
          <w:tcPr>
            <w:tcW w:w="3620" w:type="dxa"/>
            <w:vAlign w:val="bottom"/>
            <w:shd w:val="clear" w:color="auto" w:fill="CCEEFF"/>
          </w:tcPr>
          <w:p>
            <w:pPr>
              <w:spacing w:after="0"/>
              <w:rPr>
                <w:sz w:val="20"/>
                <w:szCs w:val="20"/>
                <w:color w:val="auto"/>
              </w:rPr>
            </w:pP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Executive Officer of Bpifrance</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FRANCK SILVENT</w:t>
            </w:r>
          </w:p>
        </w:tc>
        <w:tc>
          <w:tcPr>
            <w:tcW w:w="73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Director of the Caisse des Dépôts group Finance, Strategy, Subsidiaries and</w:t>
            </w:r>
          </w:p>
        </w:tc>
      </w:tr>
      <w:tr>
        <w:trPr>
          <w:trHeight w:val="230"/>
        </w:trPr>
        <w:tc>
          <w:tcPr>
            <w:tcW w:w="3620" w:type="dxa"/>
            <w:vAlign w:val="bottom"/>
            <w:shd w:val="clear" w:color="auto" w:fill="CCEEFF"/>
          </w:tcPr>
          <w:p>
            <w:pPr>
              <w:spacing w:after="0"/>
              <w:rPr>
                <w:sz w:val="20"/>
                <w:szCs w:val="20"/>
                <w:color w:val="auto"/>
              </w:rPr>
            </w:pP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International Department</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ANTOINE COLAS</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Special advisor to the Chief Executive Officer of the Caisse des Dépôts</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CATHERINE MAYENOBE</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Corporate Secretary of the Caisse des Dépôts</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PASCAL FAURE</w:t>
            </w:r>
          </w:p>
        </w:tc>
        <w:tc>
          <w:tcPr>
            <w:tcW w:w="73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b w:val="1"/>
                <w:bCs w:val="1"/>
                <w:color w:val="auto"/>
                <w:w w:val="93"/>
              </w:rPr>
              <w:t>Director</w:t>
            </w:r>
            <w:r>
              <w:rPr>
                <w:rFonts w:ascii="Arial" w:cs="Arial" w:eastAsia="Arial" w:hAnsi="Arial"/>
                <w:sz w:val="18"/>
                <w:szCs w:val="18"/>
                <w:color w:val="auto"/>
                <w:w w:val="93"/>
              </w:rPr>
              <w:t>, General Director of the General Directorate for Competitiveness, Industry and service</w:t>
            </w:r>
          </w:p>
        </w:tc>
      </w:tr>
      <w:tr>
        <w:trPr>
          <w:trHeight w:val="230"/>
        </w:trPr>
        <w:tc>
          <w:tcPr>
            <w:tcW w:w="3620" w:type="dxa"/>
            <w:vAlign w:val="bottom"/>
            <w:shd w:val="clear" w:color="auto" w:fill="CCEEFF"/>
          </w:tcPr>
          <w:p>
            <w:pPr>
              <w:spacing w:after="0"/>
              <w:rPr>
                <w:sz w:val="20"/>
                <w:szCs w:val="20"/>
                <w:color w:val="auto"/>
              </w:rPr>
            </w:pP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the Ministry of Economy and Finance</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02"/>
        </w:trPr>
        <w:tc>
          <w:tcPr>
            <w:tcW w:w="3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FREDERIC SAINT-GEOURS</w:t>
            </w:r>
          </w:p>
        </w:tc>
        <w:tc>
          <w:tcPr>
            <w:tcW w:w="732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b w:val="1"/>
                <w:bCs w:val="1"/>
                <w:color w:val="auto"/>
                <w:w w:val="96"/>
              </w:rPr>
              <w:t>Director</w:t>
            </w:r>
            <w:r>
              <w:rPr>
                <w:rFonts w:ascii="Arial" w:cs="Arial" w:eastAsia="Arial" w:hAnsi="Arial"/>
                <w:sz w:val="18"/>
                <w:szCs w:val="18"/>
                <w:color w:val="auto"/>
                <w:w w:val="96"/>
              </w:rPr>
              <w:t>, President of France’s Metallurgy Industries Confederation (UIMM), president of the</w:t>
            </w:r>
          </w:p>
        </w:tc>
      </w:tr>
      <w:tr>
        <w:trPr>
          <w:trHeight w:val="230"/>
        </w:trPr>
        <w:tc>
          <w:tcPr>
            <w:tcW w:w="3620" w:type="dxa"/>
            <w:vAlign w:val="bottom"/>
            <w:shd w:val="clear" w:color="auto" w:fill="CCEEFF"/>
          </w:tcPr>
          <w:p>
            <w:pPr>
              <w:spacing w:after="0"/>
              <w:rPr>
                <w:sz w:val="20"/>
                <w:szCs w:val="20"/>
                <w:color w:val="auto"/>
              </w:rPr>
            </w:pP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supervisory board of SNCF</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MARTINE GEROW</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Executive Vice-President, Finance and Administration at CWT</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BERTRAND WALCKENAER</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95"/>
              </w:rPr>
              <w:t>Director</w:t>
            </w:r>
            <w:r>
              <w:rPr>
                <w:rFonts w:ascii="Arial" w:cs="Arial" w:eastAsia="Arial" w:hAnsi="Arial"/>
                <w:sz w:val="18"/>
                <w:szCs w:val="18"/>
                <w:color w:val="auto"/>
                <w:w w:val="95"/>
              </w:rPr>
              <w:t>, Director of Agence des Participations de l’Etat (French State Shareholding Agency)</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ANNE-HELENE CHANTAL ROIGNAN</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Deputy Corporate Secretary of the French Treasury</w:t>
            </w:r>
          </w:p>
        </w:tc>
      </w:tr>
      <w:tr>
        <w:trPr>
          <w:trHeight w:val="216"/>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BARBARA LAVERNOS</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Executive Vice-President Operations at L’Oreal</w:t>
            </w:r>
          </w:p>
        </w:tc>
      </w:tr>
      <w:tr>
        <w:trPr>
          <w:trHeight w:val="432"/>
        </w:trPr>
        <w:tc>
          <w:tcPr>
            <w:tcW w:w="362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20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365"/>
        </w:trPr>
        <w:tc>
          <w:tcPr>
            <w:tcW w:w="3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24"/>
                <w:szCs w:val="24"/>
                <w:color w:val="auto"/>
              </w:rPr>
            </w:pPr>
          </w:p>
        </w:tc>
        <w:tc>
          <w:tcPr>
            <w:tcW w:w="7120" w:type="dxa"/>
            <w:vAlign w:val="bottom"/>
            <w:tcBorders>
              <w:bottom w:val="single" w:sz="8" w:color="auto"/>
            </w:tcBorders>
          </w:tcPr>
          <w:p>
            <w:pPr>
              <w:ind w:left="2160"/>
              <w:spacing w:after="0"/>
              <w:rPr>
                <w:sz w:val="20"/>
                <w:szCs w:val="20"/>
                <w:color w:val="auto"/>
              </w:rPr>
            </w:pPr>
            <w:r>
              <w:rPr>
                <w:rFonts w:ascii="Arial" w:cs="Arial" w:eastAsia="Arial" w:hAnsi="Arial"/>
                <w:sz w:val="14"/>
                <w:szCs w:val="14"/>
                <w:b w:val="1"/>
                <w:bCs w:val="1"/>
                <w:color w:val="auto"/>
              </w:rPr>
              <w:t>Present Principal Occupation or Employment</w:t>
            </w:r>
          </w:p>
        </w:tc>
      </w:tr>
      <w:tr>
        <w:trPr>
          <w:trHeight w:val="210"/>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1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NICOLAS DUFOURCQ</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Chief Executive Officer</w:t>
            </w:r>
          </w:p>
        </w:tc>
      </w:tr>
      <w:tr>
        <w:trPr>
          <w:trHeight w:val="216"/>
        </w:trPr>
        <w:tc>
          <w:tcPr>
            <w:tcW w:w="3620" w:type="dxa"/>
            <w:vAlign w:val="bottom"/>
          </w:tcPr>
          <w:p>
            <w:pPr>
              <w:spacing w:after="0"/>
              <w:rPr>
                <w:sz w:val="18"/>
                <w:szCs w:val="18"/>
                <w:color w:val="auto"/>
              </w:rPr>
            </w:pPr>
          </w:p>
        </w:tc>
        <w:tc>
          <w:tcPr>
            <w:tcW w:w="7320" w:type="dxa"/>
            <w:vAlign w:val="bottom"/>
            <w:gridSpan w:val="2"/>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JOSÉ GONZALO</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Executive Director</w:t>
            </w:r>
          </w:p>
        </w:tc>
      </w:tr>
      <w:tr>
        <w:trPr>
          <w:trHeight w:val="216"/>
        </w:trPr>
        <w:tc>
          <w:tcPr>
            <w:tcW w:w="3620" w:type="dxa"/>
            <w:vAlign w:val="bottom"/>
          </w:tcPr>
          <w:p>
            <w:pPr>
              <w:spacing w:after="0"/>
              <w:rPr>
                <w:sz w:val="18"/>
                <w:szCs w:val="18"/>
                <w:color w:val="auto"/>
              </w:rPr>
            </w:pPr>
          </w:p>
        </w:tc>
        <w:tc>
          <w:tcPr>
            <w:tcW w:w="7320" w:type="dxa"/>
            <w:vAlign w:val="bottom"/>
            <w:gridSpan w:val="2"/>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PIERRE BENEDETTI</w:t>
            </w:r>
          </w:p>
        </w:tc>
        <w:tc>
          <w:tcPr>
            <w:tcW w:w="732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Chief Financial Officer</w:t>
            </w:r>
          </w:p>
        </w:tc>
      </w:tr>
    </w:tbl>
    <w:p>
      <w:pPr>
        <w:spacing w:after="0" w:line="200" w:lineRule="exact"/>
        <w:rPr>
          <w:sz w:val="20"/>
          <w:szCs w:val="20"/>
          <w:color w:val="auto"/>
        </w:rPr>
      </w:pPr>
    </w:p>
    <w:p>
      <w:pPr>
        <w:sectPr>
          <w:pgSz w:w="11900" w:h="16838" w:orient="portrait"/>
          <w:cols w:equalWidth="0" w:num="1">
            <w:col w:w="11460"/>
          </w:cols>
          <w:pgMar w:left="240" w:top="134" w:right="199" w:bottom="0" w:gutter="0" w:footer="0" w:header="0"/>
        </w:sectPr>
      </w:pP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4" w:right="199" w:bottom="0" w:gutter="0" w:footer="0" w:header="0"/>
          <w:type w:val="continuous"/>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APPENDIX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BPIFRANCE S.A.</w:t>
      </w:r>
    </w:p>
    <w:p>
      <w:pPr>
        <w:spacing w:after="0" w:line="229"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The name, business address and present principal occupation or employment of each of the directors and executive officers of BPI-Groupe (bpifrance) are set forth below. The business address of each director and executive officer is BPI-Groupe (bpifrance), 27-31, avenue du Général Leclerc, 94710 Maisons-Alfort Cedex, France. Unless otherwise indicated, each director and executive officer is a citizen of France.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980" w:type="dxa"/>
            <w:vAlign w:val="bottom"/>
          </w:tcPr>
          <w:p>
            <w:pPr>
              <w:ind w:left="2580"/>
              <w:spacing w:after="0"/>
              <w:rPr>
                <w:sz w:val="20"/>
                <w:szCs w:val="20"/>
                <w:color w:val="auto"/>
              </w:rPr>
            </w:pPr>
            <w:r>
              <w:rPr>
                <w:rFonts w:ascii="Arial" w:cs="Arial" w:eastAsia="Arial" w:hAnsi="Arial"/>
                <w:sz w:val="14"/>
                <w:szCs w:val="14"/>
                <w:b w:val="1"/>
                <w:bCs w:val="1"/>
                <w:color w:val="auto"/>
              </w:rPr>
              <w:t>Present Principal Occupation or Employment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PIERRE-RENE LEMAS</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Chairman, Chief Executive Officer of the Caisse des Dépôts et Consignations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NICOLAS DUFOURCQ</w:t>
            </w:r>
          </w:p>
        </w:tc>
        <w:tc>
          <w:tcPr>
            <w:tcW w:w="7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Director, Chairman and Chief Executive Officer of Bpifrance Participations, and Chief Executive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Officer of Bpifrance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 SCHWEITZER</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Public Investment General Commissioner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MAUD BAILLY-TURCHI</w:t>
            </w: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Director</w:t>
            </w:r>
            <w:r>
              <w:rPr>
                <w:rFonts w:ascii="Arial" w:cs="Arial" w:eastAsia="Arial" w:hAnsi="Arial"/>
                <w:sz w:val="18"/>
                <w:szCs w:val="18"/>
                <w:color w:val="auto"/>
                <w:w w:val="94"/>
              </w:rPr>
              <w:t>, Senior Financial Controller with the State Financial Audit Department of the Ministry of Economy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and Finance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MARIE-MARGUERITE DUFAY</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Chairman of the Regional Council of Franche-Comté</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VIAL</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Chairman of the Agence des Participations de l’Etat (French State Shareholding Agency)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FRANCK SILVENT</w:t>
            </w: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Director of the Caisse des Dépôts group Finance, Strategy, Subsidiaries and International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Department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ELISABETH HENRY-PEREZ</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representing the employees</w:t>
            </w: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VERKANT</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 representing the employees</w:t>
            </w: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AMELIE FAURE</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Entrepreneur, Chairman of the Board of Directors of Augure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VIRGINIE CHAPRON DU JEU</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Group Finance Director of the Caisse des Dépôts et Consignations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FLORENCE MAS</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ERIC LOMBARD</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Director, </w:t>
            </w:r>
            <w:r>
              <w:rPr>
                <w:rFonts w:ascii="Arial" w:cs="Arial" w:eastAsia="Arial" w:hAnsi="Arial"/>
                <w:sz w:val="18"/>
                <w:szCs w:val="18"/>
                <w:color w:val="auto"/>
              </w:rPr>
              <w:t>Managing Director of Generali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SANDRINE GAUDIN</w:t>
            </w: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8"/>
              </w:rPr>
              <w:t>Director</w:t>
            </w:r>
            <w:r>
              <w:rPr>
                <w:rFonts w:ascii="Arial" w:cs="Arial" w:eastAsia="Arial" w:hAnsi="Arial"/>
                <w:sz w:val="18"/>
                <w:szCs w:val="18"/>
                <w:color w:val="auto"/>
                <w:w w:val="98"/>
              </w:rPr>
              <w:t>, Head of Bilateral and International Matters at the French Treasury (Ministry of Economy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Finance)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HERVE MORIN</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Chairman of the Regional Council of Normandie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80" w:type="dxa"/>
            <w:vAlign w:val="bottom"/>
          </w:tcPr>
          <w:p>
            <w:pPr>
              <w:ind w:left="2180"/>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CAISSE DES DÉPÔTS ET CONSIGNATIONS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name, business address and present principal occupation or employment of each of the members of the Management Committee of Caisse des Dépôts et Consignations are set forth below. The business address of each director and executive officer is Caisse des Dépôts et Consignations, c/o 56, rue de Lille, 75007 Paris, France. Unless otherwise indicated, each such person is a citizen of France.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COMMITTEE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980" w:type="dxa"/>
            <w:vAlign w:val="bottom"/>
          </w:tcPr>
          <w:p>
            <w:pPr>
              <w:ind w:left="2580"/>
              <w:spacing w:after="0"/>
              <w:rPr>
                <w:sz w:val="20"/>
                <w:szCs w:val="20"/>
                <w:color w:val="auto"/>
              </w:rPr>
            </w:pPr>
            <w:r>
              <w:rPr>
                <w:rFonts w:ascii="Arial" w:cs="Arial" w:eastAsia="Arial" w:hAnsi="Arial"/>
                <w:sz w:val="14"/>
                <w:szCs w:val="14"/>
                <w:b w:val="1"/>
                <w:bCs w:val="1"/>
                <w:color w:val="auto"/>
              </w:rPr>
              <w:t>Present Principal Occupation or Employment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PIERRE-RENE LEMAS</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OLIVIER MAREUSE</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Savings Fund Director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color w:val="auto"/>
              </w:rPr>
              <w:t>ANDRE LAURENT MICHELSON</w:t>
            </w:r>
          </w:p>
        </w:tc>
        <w:tc>
          <w:tcPr>
            <w:tcW w:w="7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General Financial Officer, Head of Financial Transaction Processing, director coordinating the Caisse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des Dépôts Group for Greater Paris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SOPHIE QUATREHOMME</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Group Corporate Communications Director</w:t>
            </w: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ELIZABETH VIOLA</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Banking Services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PAUL PENY</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Group Human Resources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ANNE-SOPHIE GRAVE</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Pensions and Solidarity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GABRIELLE GAUTHEY</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Local Development and Investment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VIRGINIE CHAPRON DU JEU</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Group Finance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JEAN MARC MORIN</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Head of Legal and Tax Department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FRANCK SILVENT</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Director of Finance, Strategy and Holdings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MARC ABADIE</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Local Development and Network Director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CATHERINE MAYENOBE</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Secretary General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8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LAURENT ZYLBERBERG</w:t>
            </w:r>
          </w:p>
        </w:tc>
        <w:tc>
          <w:tcPr>
            <w:tcW w:w="852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Director of International and European Relationships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8520" w:type="dxa"/>
            <w:vAlign w:val="bottom"/>
          </w:tcPr>
          <w:p>
            <w:pPr>
              <w:ind w:left="272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80" w:type="dxa"/>
            <w:vAlign w:val="bottom"/>
            <w:tcBorders>
              <w:bottom w:val="single" w:sz="8" w:color="808080"/>
            </w:tcBorders>
          </w:tcPr>
          <w:p>
            <w:pPr>
              <w:spacing w:after="0"/>
              <w:rPr>
                <w:sz w:val="11"/>
                <w:szCs w:val="11"/>
                <w:color w:val="auto"/>
              </w:rPr>
            </w:pPr>
          </w:p>
        </w:tc>
        <w:tc>
          <w:tcPr>
            <w:tcW w:w="85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 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Name, business address, present principal occupation or employment and place of citizenship of the directors and executive officers of</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EPIC BPIFRANCE</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name, business address and present principal occupation or employment of each of the directors and executive officers of EPIC BPI-Groupe are set forth below. The business address of each director and executive officer is EPIC BPI-Groupe, 27-31, avenue du Général Leclerc, 94710 Maisons-Alfort Cedex, France. Unless otherwise indicated, each director and executive officer is a citizen of France.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980" w:type="dxa"/>
            <w:vAlign w:val="bottom"/>
          </w:tcPr>
          <w:p>
            <w:pPr>
              <w:ind w:left="2580"/>
              <w:spacing w:after="0"/>
              <w:rPr>
                <w:sz w:val="20"/>
                <w:szCs w:val="20"/>
                <w:color w:val="auto"/>
              </w:rPr>
            </w:pPr>
            <w:r>
              <w:rPr>
                <w:rFonts w:ascii="Arial" w:cs="Arial" w:eastAsia="Arial" w:hAnsi="Arial"/>
                <w:sz w:val="14"/>
                <w:szCs w:val="14"/>
                <w:b w:val="1"/>
                <w:bCs w:val="1"/>
                <w:color w:val="auto"/>
              </w:rPr>
              <w:t>Present Principal Occupation or Employment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PIERRE LEPETIT</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Chairman, Chief Executive Officer of EPIC Bpifrance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FRANCOIS JAMET</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 Head of department SETTAR at the Research and Innovation Ministry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ARNAUD JULLIAN</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Director</w:t>
            </w:r>
            <w:r>
              <w:rPr>
                <w:rFonts w:ascii="Arial" w:cs="Arial" w:eastAsia="Arial" w:hAnsi="Arial"/>
                <w:sz w:val="18"/>
                <w:szCs w:val="18"/>
                <w:color w:val="auto"/>
                <w:w w:val="96"/>
              </w:rPr>
              <w:t>, Deputy Director at the General Directorate for Budget of the Ministry of Economy and Finance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SEBASTIEN RASPILLER</w:t>
            </w:r>
          </w:p>
        </w:tc>
        <w:tc>
          <w:tcPr>
            <w:tcW w:w="79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5"/>
              </w:rPr>
              <w:t>Director</w:t>
            </w:r>
            <w:r>
              <w:rPr>
                <w:rFonts w:ascii="Arial" w:cs="Arial" w:eastAsia="Arial" w:hAnsi="Arial"/>
                <w:sz w:val="18"/>
                <w:szCs w:val="18"/>
                <w:color w:val="auto"/>
                <w:w w:val="95"/>
              </w:rPr>
              <w:t>, Deputy Director at the Directorate of Financing, Industry and Marke of the Ministry of Economy</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and Finance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BENJAMIN GALLEZOT</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Director</w:t>
            </w: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FRANCOISE LOMBARD</w:t>
            </w: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Director</w:t>
            </w:r>
            <w:r>
              <w:rPr>
                <w:rFonts w:ascii="Arial" w:cs="Arial" w:eastAsia="Arial" w:hAnsi="Arial"/>
                <w:sz w:val="18"/>
                <w:szCs w:val="18"/>
                <w:color w:val="auto"/>
                <w:w w:val="95"/>
              </w:rPr>
              <w:t>, Deputy Director at the Agence des Participations de l’Etat (French State Shareholding Agency)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980" w:type="dxa"/>
            <w:vAlign w:val="bottom"/>
          </w:tcPr>
          <w:p>
            <w:pPr>
              <w:ind w:left="218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2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7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0" w:name="page11"/>
    <w:bookmarkEnd w:id="10"/>
    <w:p>
      <w:pPr>
        <w:ind w:left="10300"/>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undersigned acknowledge and agree that the foregoing statement on Schedule 13D is filed on behalf of each of the undersigned and that all subsequent amendments to this foregoing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others, except to the extent that it knows or has reason to believe that such information is inaccurate.</w:t>
      </w:r>
    </w:p>
    <w:p>
      <w:pPr>
        <w:spacing w:after="0" w:line="17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This Agreement may be executed in counterparts and each of such counterparts taken together shall constitute one and the same instrument.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color w:val="auto"/>
              </w:rPr>
              <w:t>Dated: May 30, 2017</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Bpifrance Participations S.A.</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Dufourcq</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Nicolas Dufourcq</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CEO</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May 30, 2017</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Caisse Des Dépôts et Consignations</w:t>
            </w:r>
          </w:p>
        </w:tc>
        <w:tc>
          <w:tcPr>
            <w:tcW w:w="4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Joel Prohin</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Joel Prohin</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 of asset management</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May 30, 2017</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Epic Bpifrance</w:t>
            </w:r>
          </w:p>
        </w:tc>
        <w:tc>
          <w:tcPr>
            <w:tcW w:w="4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Sophie Paquin</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Sophie Paquin</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Director of Legal Affairs</w:t>
            </w:r>
          </w:p>
        </w:tc>
        <w:tc>
          <w:tcPr>
            <w:tcW w:w="40" w:type="dxa"/>
            <w:vAlign w:val="bottom"/>
          </w:tcPr>
          <w:p>
            <w:pPr>
              <w:spacing w:after="0"/>
              <w:rPr>
                <w:sz w:val="20"/>
                <w:szCs w:val="20"/>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Dated: May 30, 2017</w:t>
            </w:r>
          </w:p>
        </w:tc>
        <w:tc>
          <w:tcPr>
            <w:tcW w:w="7800" w:type="dxa"/>
            <w:vAlign w:val="bottom"/>
            <w:gridSpan w:val="2"/>
          </w:tcPr>
          <w:p>
            <w:pPr>
              <w:ind w:left="2100"/>
              <w:spacing w:after="0"/>
              <w:rPr>
                <w:sz w:val="20"/>
                <w:szCs w:val="20"/>
                <w:color w:val="auto"/>
              </w:rPr>
            </w:pPr>
            <w:r>
              <w:rPr>
                <w:rFonts w:ascii="Arial" w:cs="Arial" w:eastAsia="Arial" w:hAnsi="Arial"/>
                <w:sz w:val="18"/>
                <w:szCs w:val="18"/>
                <w:b w:val="1"/>
                <w:bCs w:val="1"/>
                <w:color w:val="auto"/>
              </w:rPr>
              <w:t>Bpifrance S.A.</w:t>
            </w:r>
          </w:p>
        </w:tc>
        <w:tc>
          <w:tcPr>
            <w:tcW w:w="40" w:type="dxa"/>
            <w:vAlign w:val="bottom"/>
          </w:tcPr>
          <w:p>
            <w:pPr>
              <w:spacing w:after="0"/>
              <w:rPr>
                <w:sz w:val="24"/>
                <w:szCs w:val="24"/>
                <w:color w:val="auto"/>
              </w:rPr>
            </w:pPr>
          </w:p>
        </w:tc>
      </w:tr>
      <w:tr>
        <w:trPr>
          <w:trHeight w:val="432"/>
        </w:trPr>
        <w:tc>
          <w:tcPr>
            <w:tcW w:w="3620" w:type="dxa"/>
            <w:vAlign w:val="bottom"/>
          </w:tcPr>
          <w:p>
            <w:pPr>
              <w:spacing w:after="0"/>
              <w:rPr>
                <w:sz w:val="24"/>
                <w:szCs w:val="24"/>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Nicolas Dufourcq</w:t>
            </w:r>
          </w:p>
        </w:tc>
        <w:tc>
          <w:tcPr>
            <w:tcW w:w="40" w:type="dxa"/>
            <w:vAlign w:val="bottom"/>
          </w:tcPr>
          <w:p>
            <w:pPr>
              <w:spacing w:after="0"/>
              <w:rPr>
                <w:sz w:val="24"/>
                <w:szCs w:val="24"/>
                <w:color w:val="auto"/>
              </w:rPr>
            </w:pPr>
          </w:p>
        </w:tc>
      </w:tr>
      <w:tr>
        <w:trPr>
          <w:trHeight w:val="195"/>
        </w:trPr>
        <w:tc>
          <w:tcPr>
            <w:tcW w:w="3620" w:type="dxa"/>
            <w:vAlign w:val="bottom"/>
          </w:tcPr>
          <w:p>
            <w:pPr>
              <w:spacing w:after="0"/>
              <w:rPr>
                <w:sz w:val="16"/>
                <w:szCs w:val="16"/>
                <w:color w:val="auto"/>
              </w:rPr>
            </w:pPr>
          </w:p>
        </w:tc>
        <w:tc>
          <w:tcPr>
            <w:tcW w:w="2840" w:type="dxa"/>
            <w:vAlign w:val="bottom"/>
          </w:tcPr>
          <w:p>
            <w:pPr>
              <w:ind w:left="210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Nicolas Dufourcq</w:t>
            </w:r>
          </w:p>
        </w:tc>
        <w:tc>
          <w:tcPr>
            <w:tcW w:w="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2840" w:type="dxa"/>
            <w:vAlign w:val="bottom"/>
          </w:tcPr>
          <w:p>
            <w:pPr>
              <w:ind w:left="210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CEO</w:t>
            </w:r>
          </w:p>
        </w:tc>
        <w:tc>
          <w:tcPr>
            <w:tcW w:w="40" w:type="dxa"/>
            <w:vAlign w:val="bottom"/>
          </w:tcPr>
          <w:p>
            <w:pPr>
              <w:spacing w:after="0"/>
              <w:rPr>
                <w:sz w:val="20"/>
                <w:szCs w:val="20"/>
                <w:color w:val="auto"/>
              </w:rPr>
            </w:pPr>
          </w:p>
        </w:tc>
      </w:tr>
      <w:tr>
        <w:trPr>
          <w:trHeight w:val="348"/>
        </w:trPr>
        <w:tc>
          <w:tcPr>
            <w:tcW w:w="36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49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bullet"/>
      <w:start w:val="1"/>
    </w:lvl>
  </w:abstractNum>
  <w:abstractNum w:abstractNumId="1">
    <w:nsid w:val="519B500D"/>
    <w:multiLevelType w:val="hybridMultilevel"/>
    <w:lvl w:ilvl="0">
      <w:lvlJc w:val="left"/>
      <w:lvlText w:val="2"/>
      <w:numFmt w:val="bullet"/>
      <w:start w:val="1"/>
    </w:lvl>
    <w:lvl w:ilvl="1">
      <w:lvlJc w:val="left"/>
      <w:lvlText w:val="(%2)"/>
      <w:numFmt w:val="lowerLetter"/>
      <w:start w:val="1"/>
    </w:lvl>
  </w:abstractNum>
  <w:abstractNum w:abstractNumId="2">
    <w:nsid w:val="431BD7B7"/>
    <w:multiLevelType w:val="hybridMultilevel"/>
    <w:lvl w:ilvl="0">
      <w:lvlJc w:val="left"/>
      <w:lvlText w:val="3"/>
      <w:numFmt w:val="bullet"/>
      <w:start w:val="1"/>
    </w:lvl>
  </w:abstractNum>
  <w:abstractNum w:abstractNumId="3">
    <w:nsid w:val="3F2DBA31"/>
    <w:multiLevelType w:val="hybridMultilevel"/>
    <w:lvl w:ilvl="0">
      <w:lvlJc w:val="left"/>
      <w:lvlText w:val="6"/>
      <w:numFmt w:val="bullet"/>
      <w:start w:val="1"/>
    </w:lvl>
  </w:abstractNum>
  <w:abstractNum w:abstractNumId="4">
    <w:nsid w:val="7C83E458"/>
    <w:multiLevelType w:val="hybridMultilevel"/>
    <w:lvl w:ilvl="0">
      <w:lvlJc w:val="left"/>
      <w:lvlText w:val="%1"/>
      <w:numFmt w:val="decimal"/>
      <w:start w:val="10"/>
    </w:lvl>
  </w:abstractNum>
  <w:abstractNum w:abstractNumId="5">
    <w:nsid w:val="257130A3"/>
    <w:multiLevelType w:val="hybridMultilevel"/>
    <w:lvl w:ilvl="0">
      <w:lvlJc w:val="left"/>
      <w:lvlText w:val="%1"/>
      <w:numFmt w:val="decimal"/>
      <w:start w:val="11"/>
    </w:lvl>
  </w:abstractNum>
  <w:abstractNum w:abstractNumId="6">
    <w:nsid w:val="62BBD95A"/>
    <w:multiLevelType w:val="hybridMultilevel"/>
    <w:lvl w:ilvl="0">
      <w:lvlJc w:val="left"/>
      <w:lvlText w:val="%1"/>
      <w:numFmt w:val="decimal"/>
      <w:start w:val="13"/>
    </w:lvl>
  </w:abstractNum>
  <w:abstractNum w:abstractNumId="7">
    <w:nsid w:val="436C6125"/>
    <w:multiLevelType w:val="hybridMultilevel"/>
    <w:lvl w:ilvl="0">
      <w:lvlJc w:val="left"/>
      <w:lvlText w:val="1"/>
      <w:numFmt w:val="bullet"/>
      <w:start w:val="1"/>
    </w:lvl>
  </w:abstractNum>
  <w:abstractNum w:abstractNumId="8">
    <w:nsid w:val="628C895D"/>
    <w:multiLevelType w:val="hybridMultilevel"/>
    <w:lvl w:ilvl="0">
      <w:lvlJc w:val="left"/>
      <w:lvlText w:val="2"/>
      <w:numFmt w:val="bullet"/>
      <w:start w:val="1"/>
    </w:lvl>
    <w:lvl w:ilvl="1">
      <w:lvlJc w:val="left"/>
      <w:lvlText w:val="(%2)"/>
      <w:numFmt w:val="lowerLetter"/>
      <w:start w:val="1"/>
    </w:lvl>
  </w:abstractNum>
  <w:abstractNum w:abstractNumId="9">
    <w:nsid w:val="333AB105"/>
    <w:multiLevelType w:val="hybridMultilevel"/>
    <w:lvl w:ilvl="0">
      <w:lvlJc w:val="left"/>
      <w:lvlText w:val="3"/>
      <w:numFmt w:val="bullet"/>
      <w:start w:val="1"/>
    </w:lvl>
  </w:abstractNum>
  <w:abstractNum w:abstractNumId="10">
    <w:nsid w:val="721DA317"/>
    <w:multiLevelType w:val="hybridMultilevel"/>
    <w:lvl w:ilvl="0">
      <w:lvlJc w:val="left"/>
      <w:lvlText w:val="4"/>
      <w:numFmt w:val="bullet"/>
      <w:start w:val="1"/>
    </w:lvl>
  </w:abstractNum>
  <w:abstractNum w:abstractNumId="11">
    <w:nsid w:val="2443A858"/>
    <w:multiLevelType w:val="hybridMultilevel"/>
    <w:lvl w:ilvl="0">
      <w:lvlJc w:val="left"/>
      <w:lvlText w:val="6"/>
      <w:numFmt w:val="bullet"/>
      <w:start w:val="1"/>
    </w:lvl>
  </w:abstractNum>
  <w:abstractNum w:abstractNumId="12">
    <w:nsid w:val="2D1D5AE9"/>
    <w:multiLevelType w:val="hybridMultilevel"/>
    <w:lvl w:ilvl="0">
      <w:lvlJc w:val="left"/>
      <w:lvlText w:val="%1"/>
      <w:numFmt w:val="decimal"/>
      <w:start w:val="10"/>
    </w:lvl>
  </w:abstractNum>
  <w:abstractNum w:abstractNumId="13">
    <w:nsid w:val="6763845E"/>
    <w:multiLevelType w:val="hybridMultilevel"/>
    <w:lvl w:ilvl="0">
      <w:lvlJc w:val="left"/>
      <w:lvlText w:val="%1"/>
      <w:numFmt w:val="decimal"/>
      <w:start w:val="11"/>
    </w:lvl>
  </w:abstractNum>
  <w:abstractNum w:abstractNumId="14">
    <w:nsid w:val="75A2A8D4"/>
    <w:multiLevelType w:val="hybridMultilevel"/>
    <w:lvl w:ilvl="0">
      <w:lvlJc w:val="left"/>
      <w:lvlText w:val="%1"/>
      <w:numFmt w:val="decimal"/>
      <w:start w:val="13"/>
    </w:lvl>
  </w:abstractNum>
  <w:abstractNum w:abstractNumId="15">
    <w:nsid w:val="8EDBDAB"/>
    <w:multiLevelType w:val="hybridMultilevel"/>
    <w:lvl w:ilvl="0">
      <w:lvlJc w:val="left"/>
      <w:lvlText w:val="1"/>
      <w:numFmt w:val="bullet"/>
      <w:start w:val="1"/>
    </w:lvl>
  </w:abstractNum>
  <w:abstractNum w:abstractNumId="16">
    <w:nsid w:val="79838CB2"/>
    <w:multiLevelType w:val="hybridMultilevel"/>
    <w:lvl w:ilvl="0">
      <w:lvlJc w:val="left"/>
      <w:lvlText w:val="2"/>
      <w:numFmt w:val="bullet"/>
      <w:start w:val="1"/>
    </w:lvl>
    <w:lvl w:ilvl="1">
      <w:lvlJc w:val="left"/>
      <w:lvlText w:val="(%2)"/>
      <w:numFmt w:val="lowerLetter"/>
      <w:start w:val="1"/>
    </w:lvl>
  </w:abstractNum>
  <w:abstractNum w:abstractNumId="17">
    <w:nsid w:val="4353D0CD"/>
    <w:multiLevelType w:val="hybridMultilevel"/>
    <w:lvl w:ilvl="0">
      <w:lvlJc w:val="left"/>
      <w:lvlText w:val="3"/>
      <w:numFmt w:val="bullet"/>
      <w:start w:val="1"/>
    </w:lvl>
  </w:abstractNum>
  <w:abstractNum w:abstractNumId="18">
    <w:nsid w:val="B03E0C6"/>
    <w:multiLevelType w:val="hybridMultilevel"/>
    <w:lvl w:ilvl="0">
      <w:lvlJc w:val="left"/>
      <w:lvlText w:val="4"/>
      <w:numFmt w:val="bullet"/>
      <w:start w:val="1"/>
    </w:lvl>
  </w:abstractNum>
  <w:abstractNum w:abstractNumId="19">
    <w:nsid w:val="189A769B"/>
    <w:multiLevelType w:val="hybridMultilevel"/>
    <w:lvl w:ilvl="0">
      <w:lvlJc w:val="left"/>
      <w:lvlText w:val="6"/>
      <w:numFmt w:val="bullet"/>
      <w:start w:val="1"/>
    </w:lvl>
  </w:abstractNum>
  <w:abstractNum w:abstractNumId="20">
    <w:nsid w:val="54E49EB4"/>
    <w:multiLevelType w:val="hybridMultilevel"/>
    <w:lvl w:ilvl="0">
      <w:lvlJc w:val="left"/>
      <w:lvlText w:val="%1"/>
      <w:numFmt w:val="decimal"/>
      <w:start w:val="10"/>
    </w:lvl>
  </w:abstractNum>
  <w:abstractNum w:abstractNumId="21">
    <w:nsid w:val="71F32454"/>
    <w:multiLevelType w:val="hybridMultilevel"/>
    <w:lvl w:ilvl="0">
      <w:lvlJc w:val="left"/>
      <w:lvlText w:val="%1"/>
      <w:numFmt w:val="decimal"/>
      <w:start w:val="11"/>
    </w:lvl>
  </w:abstractNum>
  <w:abstractNum w:abstractNumId="22">
    <w:nsid w:val="2CA88611"/>
    <w:multiLevelType w:val="hybridMultilevel"/>
    <w:lvl w:ilvl="0">
      <w:lvlJc w:val="left"/>
      <w:lvlText w:val="%1"/>
      <w:numFmt w:val="decimal"/>
      <w:start w:val="13"/>
    </w:lvl>
  </w:abstractNum>
  <w:abstractNum w:abstractNumId="23">
    <w:nsid w:val="836C40E"/>
    <w:multiLevelType w:val="hybridMultilevel"/>
    <w:lvl w:ilvl="0">
      <w:lvlJc w:val="left"/>
      <w:lvlText w:val="1"/>
      <w:numFmt w:val="bullet"/>
      <w:start w:val="1"/>
    </w:lvl>
  </w:abstractNum>
  <w:abstractNum w:abstractNumId="24">
    <w:nsid w:val="2901D82"/>
    <w:multiLevelType w:val="hybridMultilevel"/>
    <w:lvl w:ilvl="0">
      <w:lvlJc w:val="left"/>
      <w:lvlText w:val="2"/>
      <w:numFmt w:val="bullet"/>
      <w:start w:val="1"/>
    </w:lvl>
    <w:lvl w:ilvl="1">
      <w:lvlJc w:val="left"/>
      <w:lvlText w:val="(%2)"/>
      <w:numFmt w:val="lowerLetter"/>
      <w:start w:val="1"/>
    </w:lvl>
  </w:abstractNum>
  <w:abstractNum w:abstractNumId="25">
    <w:nsid w:val="3A95F874"/>
    <w:multiLevelType w:val="hybridMultilevel"/>
    <w:lvl w:ilvl="0">
      <w:lvlJc w:val="left"/>
      <w:lvlText w:val="3"/>
      <w:numFmt w:val="bullet"/>
      <w:start w:val="1"/>
    </w:lvl>
  </w:abstractNum>
  <w:abstractNum w:abstractNumId="26">
    <w:nsid w:val="8138641"/>
    <w:multiLevelType w:val="hybridMultilevel"/>
    <w:lvl w:ilvl="0">
      <w:lvlJc w:val="left"/>
      <w:lvlText w:val="4"/>
      <w:numFmt w:val="bullet"/>
      <w:start w:val="1"/>
    </w:lvl>
  </w:abstractNum>
  <w:abstractNum w:abstractNumId="27">
    <w:nsid w:val="1E7FF521"/>
    <w:multiLevelType w:val="hybridMultilevel"/>
    <w:lvl w:ilvl="0">
      <w:lvlJc w:val="left"/>
      <w:lvlText w:val="6"/>
      <w:numFmt w:val="bullet"/>
      <w:start w:val="1"/>
    </w:lvl>
  </w:abstractNum>
  <w:abstractNum w:abstractNumId="28">
    <w:nsid w:val="7C3DBD3D"/>
    <w:multiLevelType w:val="hybridMultilevel"/>
    <w:lvl w:ilvl="0">
      <w:lvlJc w:val="left"/>
      <w:lvlText w:val="%1"/>
      <w:numFmt w:val="decimal"/>
      <w:start w:val="10"/>
    </w:lvl>
  </w:abstractNum>
  <w:abstractNum w:abstractNumId="29">
    <w:nsid w:val="737B8DDC"/>
    <w:multiLevelType w:val="hybridMultilevel"/>
    <w:lvl w:ilvl="0">
      <w:lvlJc w:val="left"/>
      <w:lvlText w:val="%1"/>
      <w:numFmt w:val="decimal"/>
      <w:start w:val="11"/>
    </w:lvl>
  </w:abstractNum>
  <w:abstractNum w:abstractNumId="30">
    <w:nsid w:val="6CEAF087"/>
    <w:multiLevelType w:val="hybridMultilevel"/>
    <w:lvl w:ilvl="0">
      <w:lvlJc w:val="left"/>
      <w:lvlText w:val="%1"/>
      <w:numFmt w:val="decimal"/>
      <w:start w:val="13"/>
    </w:lvl>
  </w:abstractNum>
  <w:abstractNum w:abstractNumId="31">
    <w:nsid w:val="22221A70"/>
    <w:multiLevelType w:val="hybridMultilevel"/>
    <w:lvl w:ilvl="0">
      <w:lvlJc w:val="left"/>
      <w:lvlText w:val="(%1)"/>
      <w:numFmt w:val="lowerLetter"/>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2019-12-16T22:28:59Z</dcterms:created>
  <dcterms:modified xsi:type="dcterms:W3CDTF">2019-12-16T22:28:59Z</dcterms:modified>
</cp:coreProperties>
</file>