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4309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30911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54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gridSpan w:val="4"/>
            <w:vMerge w:val="restart"/>
          </w:tcPr>
          <w:p>
            <w:pPr>
              <w:spacing w:after="0" w:line="237" w:lineRule="exact"/>
              <w:rPr>
                <w:rFonts w:ascii="Arial" w:cs="Arial" w:eastAsia="Arial" w:hAnsi="Arial"/>
                <w:sz w:val="21"/>
                <w:szCs w:val="21"/>
                <w:color w:val="0000EE"/>
                <w:w w:val="88"/>
              </w:rPr>
            </w:pPr>
            <w:hyperlink r:id="rId12">
              <w:r>
                <w:rPr>
                  <w:rFonts w:ascii="Arial" w:cs="Arial" w:eastAsia="Arial" w:hAnsi="Arial"/>
                  <w:sz w:val="21"/>
                  <w:szCs w:val="21"/>
                  <w:color w:val="0000EE"/>
                  <w:w w:val="88"/>
                </w:rPr>
                <w:t>Mannen Maryann T.</w:t>
              </w:r>
            </w:hyperlink>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gridSpan w:val="5"/>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TechnipFMC plc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FTI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80" w:type="dxa"/>
            <w:vAlign w:val="bottom"/>
            <w:tcBorders>
              <w:bottom w:val="single" w:sz="8" w:color="0000EE"/>
            </w:tcBorders>
            <w:gridSpan w:val="4"/>
            <w:vMerge w:val="continue"/>
          </w:tcPr>
          <w:p>
            <w:pPr>
              <w:spacing w:after="0"/>
              <w:rPr>
                <w:sz w:val="4"/>
                <w:szCs w:val="4"/>
                <w:color w:val="auto"/>
              </w:rPr>
            </w:pPr>
          </w:p>
        </w:tc>
        <w:tc>
          <w:tcPr>
            <w:tcW w:w="74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80" w:type="dxa"/>
            <w:vAlign w:val="bottom"/>
            <w:gridSpan w:val="4"/>
          </w:tcPr>
          <w:p>
            <w:pPr>
              <w:spacing w:after="0"/>
              <w:rPr>
                <w:sz w:val="3"/>
                <w:szCs w:val="3"/>
                <w:color w:val="auto"/>
              </w:rPr>
            </w:pPr>
          </w:p>
        </w:tc>
        <w:tc>
          <w:tcPr>
            <w:tcW w:w="7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1"/>
                <w:szCs w:val="11"/>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680" w:type="dxa"/>
            <w:vAlign w:val="bottom"/>
          </w:tcPr>
          <w:p>
            <w:pPr>
              <w:ind w:left="160"/>
              <w:spacing w:after="0" w:line="96" w:lineRule="exact"/>
              <w:rPr>
                <w:sz w:val="20"/>
                <w:szCs w:val="20"/>
                <w:color w:val="auto"/>
              </w:rPr>
            </w:pPr>
            <w:r>
              <w:rPr>
                <w:rFonts w:ascii="Arial" w:cs="Arial" w:eastAsia="Arial" w:hAnsi="Arial"/>
                <w:sz w:val="11"/>
                <w:szCs w:val="11"/>
                <w:color w:val="auto"/>
              </w:rPr>
              <w:t>below)</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200"/>
              <w:spacing w:after="0" w:line="96"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line="115" w:lineRule="exact"/>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180" w:type="dxa"/>
            <w:vAlign w:val="bottom"/>
            <w:gridSpan w:val="3"/>
          </w:tcPr>
          <w:p>
            <w:pPr>
              <w:ind w:left="40"/>
              <w:spacing w:after="0" w:line="115" w:lineRule="exact"/>
              <w:rPr>
                <w:sz w:val="20"/>
                <w:szCs w:val="20"/>
                <w:color w:val="auto"/>
              </w:rPr>
            </w:pPr>
            <w:r>
              <w:rPr>
                <w:rFonts w:ascii="Arial" w:cs="Arial" w:eastAsia="Arial" w:hAnsi="Arial"/>
                <w:sz w:val="13"/>
                <w:szCs w:val="13"/>
                <w:color w:val="auto"/>
              </w:rPr>
              <w:t>(First)</w:t>
            </w:r>
          </w:p>
        </w:tc>
        <w:tc>
          <w:tcPr>
            <w:tcW w:w="1100" w:type="dxa"/>
            <w:vAlign w:val="bottom"/>
          </w:tcPr>
          <w:p>
            <w:pPr>
              <w:ind w:left="120"/>
              <w:spacing w:after="0" w:line="115" w:lineRule="exact"/>
              <w:rPr>
                <w:sz w:val="20"/>
                <w:szCs w:val="20"/>
                <w:color w:val="auto"/>
              </w:rPr>
            </w:pPr>
            <w:r>
              <w:rPr>
                <w:rFonts w:ascii="Arial" w:cs="Arial" w:eastAsia="Arial" w:hAnsi="Arial"/>
                <w:sz w:val="13"/>
                <w:szCs w:val="13"/>
                <w:color w:val="auto"/>
              </w:rPr>
              <w:t>(Middle)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80" w:type="dxa"/>
            <w:vAlign w:val="bottom"/>
            <w:gridSpan w:val="7"/>
            <w:vMerge w:val="restart"/>
          </w:tcPr>
          <w:p>
            <w:pPr>
              <w:ind w:left="220"/>
              <w:spacing w:after="0"/>
              <w:rPr>
                <w:sz w:val="20"/>
                <w:szCs w:val="20"/>
                <w:color w:val="auto"/>
              </w:rPr>
            </w:pPr>
            <w:r>
              <w:rPr>
                <w:rFonts w:ascii="Arial" w:cs="Arial" w:eastAsia="Arial" w:hAnsi="Arial"/>
                <w:sz w:val="17"/>
                <w:szCs w:val="17"/>
                <w:color w:val="0000FF"/>
              </w:rPr>
              <w:t>EVP &amp; Chief Financial Officer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TECHNIPFMC PLC</w:t>
            </w: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continue"/>
          </w:tcPr>
          <w:p>
            <w:pPr>
              <w:spacing w:after="0"/>
              <w:rPr>
                <w:sz w:val="18"/>
                <w:szCs w:val="18"/>
                <w:color w:val="auto"/>
              </w:rPr>
            </w:pPr>
          </w:p>
        </w:tc>
        <w:tc>
          <w:tcPr>
            <w:tcW w:w="1100" w:type="dxa"/>
            <w:vAlign w:val="bottom"/>
          </w:tcPr>
          <w:p>
            <w:pPr>
              <w:spacing w:after="0"/>
              <w:rPr>
                <w:sz w:val="18"/>
                <w:szCs w:val="18"/>
                <w:color w:val="auto"/>
              </w:rPr>
            </w:pPr>
          </w:p>
        </w:tc>
        <w:tc>
          <w:tcPr>
            <w:tcW w:w="1820" w:type="dxa"/>
            <w:vAlign w:val="bottom"/>
            <w:gridSpan w:val="5"/>
          </w:tcPr>
          <w:p>
            <w:pPr>
              <w:ind w:left="420"/>
              <w:spacing w:after="0"/>
              <w:rPr>
                <w:sz w:val="20"/>
                <w:szCs w:val="20"/>
                <w:color w:val="auto"/>
              </w:rPr>
            </w:pPr>
            <w:r>
              <w:rPr>
                <w:rFonts w:ascii="Arial" w:cs="Arial" w:eastAsia="Arial" w:hAnsi="Arial"/>
                <w:sz w:val="17"/>
                <w:szCs w:val="17"/>
                <w:color w:val="0000FF"/>
              </w:rPr>
              <w:t>03/12/2019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6"/>
          </w:tcPr>
          <w:p>
            <w:pPr>
              <w:ind w:left="20"/>
              <w:spacing w:after="0"/>
              <w:rPr>
                <w:sz w:val="20"/>
                <w:szCs w:val="20"/>
                <w:color w:val="auto"/>
              </w:rPr>
            </w:pPr>
            <w:r>
              <w:rPr>
                <w:rFonts w:ascii="Arial" w:cs="Arial" w:eastAsia="Arial" w:hAnsi="Arial"/>
                <w:sz w:val="17"/>
                <w:szCs w:val="17"/>
                <w:color w:val="0000FF"/>
                <w:w w:val="93"/>
              </w:rPr>
              <w:t>ONE ST. PAUL'S CHURCHYARD</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0" w:type="dxa"/>
            <w:vAlign w:val="bottom"/>
            <w:tcBorders>
              <w:bottom w:val="single" w:sz="8" w:color="808080"/>
            </w:tcBorders>
            <w:gridSpan w:val="2"/>
          </w:tcPr>
          <w:p>
            <w:pPr>
              <w:spacing w:after="0"/>
              <w:rPr>
                <w:sz w:val="17"/>
                <w:szCs w:val="17"/>
                <w:color w:val="auto"/>
              </w:rPr>
            </w:pPr>
          </w:p>
        </w:tc>
        <w:tc>
          <w:tcPr>
            <w:tcW w:w="180" w:type="dxa"/>
            <w:vAlign w:val="bottom"/>
            <w:tcBorders>
              <w:bottom w:val="single" w:sz="8" w:color="808080"/>
            </w:tcBorders>
            <w:gridSpan w:val="2"/>
          </w:tcPr>
          <w:p>
            <w:pPr>
              <w:spacing w:after="0"/>
              <w:rPr>
                <w:sz w:val="17"/>
                <w:szCs w:val="17"/>
                <w:color w:val="auto"/>
              </w:rPr>
            </w:pPr>
          </w:p>
        </w:tc>
        <w:tc>
          <w:tcPr>
            <w:tcW w:w="1920" w:type="dxa"/>
            <w:vAlign w:val="bottom"/>
            <w:tcBorders>
              <w:bottom w:val="single" w:sz="8" w:color="808080"/>
            </w:tcBorders>
            <w:gridSpan w:val="3"/>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980" w:type="dxa"/>
            <w:vAlign w:val="bottom"/>
            <w:tcBorders>
              <w:bottom w:val="single" w:sz="8" w:color="808080"/>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50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LONDON</w:t>
            </w:r>
          </w:p>
        </w:tc>
        <w:tc>
          <w:tcPr>
            <w:tcW w:w="1180" w:type="dxa"/>
            <w:vAlign w:val="bottom"/>
            <w:gridSpan w:val="3"/>
          </w:tcPr>
          <w:p>
            <w:pPr>
              <w:ind w:left="40"/>
              <w:spacing w:after="0"/>
              <w:rPr>
                <w:sz w:val="20"/>
                <w:szCs w:val="20"/>
                <w:color w:val="auto"/>
              </w:rPr>
            </w:pPr>
            <w:r>
              <w:rPr>
                <w:rFonts w:ascii="Arial" w:cs="Arial" w:eastAsia="Arial" w:hAnsi="Arial"/>
                <w:sz w:val="17"/>
                <w:szCs w:val="17"/>
                <w:color w:val="0000FF"/>
              </w:rPr>
              <w:t>X0</w:t>
            </w:r>
          </w:p>
        </w:tc>
        <w:tc>
          <w:tcPr>
            <w:tcW w:w="1100" w:type="dxa"/>
            <w:vAlign w:val="bottom"/>
          </w:tcPr>
          <w:p>
            <w:pPr>
              <w:ind w:left="120"/>
              <w:spacing w:after="0"/>
              <w:rPr>
                <w:sz w:val="20"/>
                <w:szCs w:val="20"/>
                <w:color w:val="auto"/>
              </w:rPr>
            </w:pPr>
            <w:r>
              <w:rPr>
                <w:rFonts w:ascii="Arial" w:cs="Arial" w:eastAsia="Arial" w:hAnsi="Arial"/>
                <w:sz w:val="17"/>
                <w:szCs w:val="17"/>
                <w:color w:val="0000FF"/>
              </w:rPr>
              <w:t>EC4M 8AP</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ind w:left="2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gridSpan w:val="7"/>
          </w:tcPr>
          <w:p>
            <w:pPr>
              <w:ind w:left="16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12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gridSpan w:val="5"/>
          </w:tcPr>
          <w:p>
            <w:pPr>
              <w:ind w:left="1000"/>
              <w:spacing w:after="0" w:line="126"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6"/>
          </w:tcPr>
          <w:p>
            <w:pPr>
              <w:ind w:left="60"/>
              <w:spacing w:after="0" w:line="126"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gridSpan w:val="5"/>
          </w:tcPr>
          <w:p>
            <w:pPr>
              <w:ind w:left="10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6"/>
              </w:rPr>
              <w:t>Amount</w:t>
            </w:r>
          </w:p>
        </w:tc>
        <w:tc>
          <w:tcPr>
            <w:tcW w:w="86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800" w:type="dxa"/>
            <w:vAlign w:val="bottom"/>
            <w:tcBorders>
              <w:bottom w:val="single" w:sz="8" w:color="2C2C2C"/>
            </w:tcBorders>
            <w:gridSpan w:val="6"/>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5"/>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00" w:type="dxa"/>
            <w:vAlign w:val="bottom"/>
            <w:gridSpan w:val="14"/>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23,541.155</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99" w:lineRule="exact"/>
              <w:rPr>
                <w:sz w:val="20"/>
                <w:szCs w:val="20"/>
                <w:color w:val="auto"/>
              </w:rPr>
            </w:pPr>
            <w:r>
              <w:rPr>
                <w:rFonts w:ascii="Arial" w:cs="Arial" w:eastAsia="Arial" w:hAnsi="Arial"/>
                <w:sz w:val="11"/>
                <w:szCs w:val="11"/>
                <w:color w:val="0000FF"/>
              </w:rPr>
              <w:t>Stock</w:t>
            </w: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right"/>
              <w:ind w:right="220"/>
              <w:spacing w:after="0" w:line="99" w:lineRule="exact"/>
              <w:rPr>
                <w:sz w:val="20"/>
                <w:szCs w:val="20"/>
                <w:color w:val="auto"/>
              </w:rPr>
            </w:pPr>
            <w:r>
              <w:rPr>
                <w:rFonts w:ascii="Arial" w:cs="Arial" w:eastAsia="Arial" w:hAnsi="Arial"/>
                <w:sz w:val="11"/>
                <w:szCs w:val="11"/>
                <w:color w:val="0000FF"/>
              </w:rPr>
              <w:t>03/12/2019</w:t>
            </w:r>
          </w:p>
        </w:tc>
        <w:tc>
          <w:tcPr>
            <w:tcW w:w="1100" w:type="dxa"/>
            <w:vAlign w:val="bottom"/>
          </w:tcPr>
          <w:p>
            <w:pPr>
              <w:spacing w:after="0"/>
              <w:rPr>
                <w:sz w:val="4"/>
                <w:szCs w:val="4"/>
                <w:color w:val="auto"/>
              </w:rPr>
            </w:pPr>
          </w:p>
        </w:tc>
        <w:tc>
          <w:tcPr>
            <w:tcW w:w="860" w:type="dxa"/>
            <w:vAlign w:val="bottom"/>
            <w:gridSpan w:val="4"/>
            <w:vMerge w:val="restart"/>
          </w:tcPr>
          <w:p>
            <w:pPr>
              <w:ind w:left="180"/>
              <w:spacing w:after="0" w:line="99" w:lineRule="exact"/>
              <w:rPr>
                <w:sz w:val="20"/>
                <w:szCs w:val="20"/>
                <w:color w:val="auto"/>
              </w:rPr>
            </w:pPr>
            <w:r>
              <w:rPr>
                <w:rFonts w:ascii="Arial" w:cs="Arial" w:eastAsia="Arial" w:hAnsi="Arial"/>
                <w:sz w:val="11"/>
                <w:szCs w:val="11"/>
                <w:color w:val="0000FF"/>
              </w:rPr>
              <w:t>I</w:t>
            </w:r>
          </w:p>
        </w:tc>
        <w:tc>
          <w:tcPr>
            <w:tcW w:w="960" w:type="dxa"/>
            <w:vAlign w:val="bottom"/>
            <w:vMerge w:val="restart"/>
          </w:tcPr>
          <w:p>
            <w:pPr>
              <w:ind w:left="300"/>
              <w:spacing w:after="0" w:line="99" w:lineRule="exact"/>
              <w:rPr>
                <w:sz w:val="20"/>
                <w:szCs w:val="20"/>
                <w:color w:val="auto"/>
              </w:rPr>
            </w:pPr>
            <w:r>
              <w:rPr>
                <w:rFonts w:ascii="Arial" w:cs="Arial" w:eastAsia="Arial" w:hAnsi="Arial"/>
                <w:sz w:val="11"/>
                <w:szCs w:val="11"/>
                <w:color w:val="0000FF"/>
              </w:rPr>
              <w:t>23,541.155</w:t>
            </w:r>
          </w:p>
        </w:tc>
        <w:tc>
          <w:tcPr>
            <w:tcW w:w="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680" w:type="dxa"/>
            <w:vAlign w:val="bottom"/>
            <w:vMerge w:val="restart"/>
          </w:tcPr>
          <w:p>
            <w:pPr>
              <w:ind w:left="20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11.6</w:t>
            </w:r>
          </w:p>
        </w:tc>
        <w:tc>
          <w:tcPr>
            <w:tcW w:w="580" w:type="dxa"/>
            <w:vAlign w:val="bottom"/>
            <w:vMerge w:val="restart"/>
          </w:tcPr>
          <w:p>
            <w:pPr>
              <w:ind w:left="440"/>
              <w:spacing w:after="0" w:line="99" w:lineRule="exact"/>
              <w:rPr>
                <w:sz w:val="20"/>
                <w:szCs w:val="20"/>
                <w:color w:val="auto"/>
              </w:rPr>
            </w:pPr>
            <w:r>
              <w:rPr>
                <w:rFonts w:ascii="Arial" w:cs="Arial" w:eastAsia="Arial" w:hAnsi="Arial"/>
                <w:sz w:val="11"/>
                <w:szCs w:val="11"/>
                <w:color w:val="0000FF"/>
              </w:rPr>
              <w:t>0</w:t>
            </w:r>
          </w:p>
        </w:tc>
        <w:tc>
          <w:tcPr>
            <w:tcW w:w="340" w:type="dxa"/>
            <w:vAlign w:val="bottom"/>
          </w:tcPr>
          <w:p>
            <w:pPr>
              <w:spacing w:after="0"/>
              <w:rPr>
                <w:sz w:val="4"/>
                <w:szCs w:val="4"/>
                <w:color w:val="auto"/>
              </w:rPr>
            </w:pPr>
          </w:p>
        </w:tc>
        <w:tc>
          <w:tcPr>
            <w:tcW w:w="640" w:type="dxa"/>
            <w:vAlign w:val="bottom"/>
            <w:vMerge w:val="restart"/>
          </w:tcPr>
          <w:p>
            <w:pPr>
              <w:ind w:left="340"/>
              <w:spacing w:after="0" w:line="99" w:lineRule="exact"/>
              <w:rPr>
                <w:sz w:val="20"/>
                <w:szCs w:val="20"/>
                <w:color w:val="auto"/>
              </w:rPr>
            </w:pPr>
            <w:r>
              <w:rPr>
                <w:rFonts w:ascii="Arial" w:cs="Arial" w:eastAsia="Arial" w:hAnsi="Arial"/>
                <w:sz w:val="11"/>
                <w:szCs w:val="11"/>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tcPr>
          <w:p>
            <w:pPr>
              <w:ind w:left="40"/>
              <w:spacing w:after="0" w:line="52" w:lineRule="exact"/>
              <w:rPr>
                <w:sz w:val="20"/>
                <w:szCs w:val="20"/>
                <w:color w:val="auto"/>
              </w:rPr>
            </w:pPr>
            <w:r>
              <w:rPr>
                <w:rFonts w:ascii="Arial" w:cs="Arial" w:eastAsia="Arial" w:hAnsi="Arial"/>
                <w:sz w:val="5"/>
                <w:szCs w:val="5"/>
                <w:color w:val="0000FF"/>
              </w:rPr>
              <w:t>Shares</w:t>
            </w:r>
            <w:r>
              <w:rPr>
                <w:rFonts w:ascii="Arial" w:cs="Arial" w:eastAsia="Arial" w:hAnsi="Arial"/>
                <w:sz w:val="6"/>
                <w:szCs w:val="6"/>
                <w:color w:val="008000"/>
                <w:vertAlign w:val="superscript"/>
              </w:rPr>
              <w:t>(3)</w:t>
            </w:r>
          </w:p>
        </w:tc>
        <w:tc>
          <w:tcPr>
            <w:tcW w:w="88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Units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N/A</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accordance with the Issuer's U.S. Non-Qualified Savings Plan (the "NQ Plan"), the reporting person has elected to dispose of her interest in the NQ Plan represented by Phantom Stock Units.</w:t>
      </w:r>
    </w:p>
    <w:p>
      <w:pPr>
        <w:spacing w:after="0" w:line="43" w:lineRule="exact"/>
        <w:rPr>
          <w:rFonts w:ascii="Arial" w:cs="Arial" w:eastAsia="Arial" w:hAnsi="Arial"/>
          <w:sz w:val="13"/>
          <w:szCs w:val="13"/>
          <w:color w:val="008000"/>
        </w:rPr>
      </w:pPr>
    </w:p>
    <w:p>
      <w:pPr>
        <w:ind w:left="40" w:right="26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w w:val="95"/>
              </w:rPr>
              <w:t>/s/ Lisa P. Wang, Attorney-In-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03/14/2019</w:t>
            </w:r>
          </w:p>
        </w:tc>
        <w:tc>
          <w:tcPr>
            <w:tcW w:w="0" w:type="dxa"/>
            <w:vAlign w:val="bottom"/>
          </w:tcPr>
          <w:p>
            <w:pPr>
              <w:spacing w:after="0"/>
              <w:rPr>
                <w:sz w:val="1"/>
                <w:szCs w:val="1"/>
                <w:color w:val="auto"/>
              </w:rPr>
            </w:pPr>
          </w:p>
        </w:tc>
      </w:tr>
      <w:tr>
        <w:trPr>
          <w:trHeight w:val="83"/>
        </w:trPr>
        <w:tc>
          <w:tcPr>
            <w:tcW w:w="30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4"/>
              </w:rPr>
              <w:t>Fact</w:t>
            </w:r>
          </w:p>
        </w:tc>
        <w:tc>
          <w:tcPr>
            <w:tcW w:w="17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60" w:firstLine="1"/>
        <w:spacing w:after="0" w:line="333"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8964"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2019-12-24T09:05:06Z</dcterms:created>
  <dcterms:modified xsi:type="dcterms:W3CDTF">2019-12-24T09:05:06Z</dcterms:modified>
</cp:coreProperties>
</file>