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February 15, 2021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TechnipFMC plc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tbl>
      <w:tblPr>
        <w:tblLayout w:type="fixed"/>
        <w:tblInd w:w="220" w:type="dxa"/>
        <w:tblCellMar>
          <w:top w:w="0" w:type="dxa"/>
          <w:left w:w="0" w:type="dxa"/>
          <w:bottom w:w="0" w:type="dxa"/>
          <w:right w:w="0" w:type="dxa"/>
        </w:tblCellMar>
      </w:tblPr>
      <w:tr>
        <w:trPr>
          <w:trHeight w:val="220"/>
        </w:trPr>
        <w:tc>
          <w:tcPr>
            <w:tcW w:w="334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United Kingdom</w:t>
            </w:r>
          </w:p>
        </w:tc>
        <w:tc>
          <w:tcPr>
            <w:tcW w:w="426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001-37983</w:t>
            </w:r>
          </w:p>
        </w:tc>
        <w:tc>
          <w:tcPr>
            <w:tcW w:w="2920" w:type="dxa"/>
            <w:vAlign w:val="bottom"/>
          </w:tcPr>
          <w:p>
            <w:pPr>
              <w:jc w:val="right"/>
              <w:ind w:right="790"/>
              <w:spacing w:after="0"/>
              <w:rPr>
                <w:sz w:val="20"/>
                <w:szCs w:val="20"/>
                <w:color w:val="auto"/>
              </w:rPr>
            </w:pPr>
            <w:r>
              <w:rPr>
                <w:rFonts w:ascii="Arial" w:cs="Arial" w:eastAsia="Arial" w:hAnsi="Arial"/>
                <w:sz w:val="18"/>
                <w:szCs w:val="18"/>
                <w:b w:val="1"/>
                <w:bCs w:val="1"/>
                <w:color w:val="auto"/>
              </w:rPr>
              <w:t>98-1283037</w:t>
            </w:r>
          </w:p>
        </w:tc>
      </w:tr>
      <w:tr>
        <w:trPr>
          <w:trHeight w:val="212"/>
        </w:trPr>
        <w:tc>
          <w:tcPr>
            <w:tcW w:w="3340" w:type="dxa"/>
            <w:vAlign w:val="bottom"/>
          </w:tcPr>
          <w:p>
            <w:pPr>
              <w:jc w:val="center"/>
              <w:ind w:right="90"/>
              <w:spacing w:after="0"/>
              <w:rPr>
                <w:sz w:val="20"/>
                <w:szCs w:val="20"/>
                <w:color w:val="auto"/>
              </w:rPr>
            </w:pPr>
            <w:r>
              <w:rPr>
                <w:rFonts w:ascii="Arial" w:cs="Arial" w:eastAsia="Arial" w:hAnsi="Arial"/>
                <w:sz w:val="18"/>
                <w:szCs w:val="18"/>
                <w:color w:val="auto"/>
                <w:w w:val="92"/>
              </w:rPr>
              <w:t>(State or other jurisdiction of incorporation)</w:t>
            </w:r>
          </w:p>
        </w:tc>
        <w:tc>
          <w:tcPr>
            <w:tcW w:w="4260" w:type="dxa"/>
            <w:vAlign w:val="bottom"/>
          </w:tcPr>
          <w:p>
            <w:pPr>
              <w:jc w:val="center"/>
              <w:ind w:right="70"/>
              <w:spacing w:after="0"/>
              <w:rPr>
                <w:sz w:val="20"/>
                <w:szCs w:val="20"/>
                <w:color w:val="auto"/>
              </w:rPr>
            </w:pPr>
            <w:r>
              <w:rPr>
                <w:rFonts w:ascii="Arial" w:cs="Arial" w:eastAsia="Arial" w:hAnsi="Arial"/>
                <w:sz w:val="18"/>
                <w:szCs w:val="18"/>
                <w:color w:val="auto"/>
                <w:w w:val="92"/>
              </w:rPr>
              <w:t>(Commission File Number)</w:t>
            </w:r>
          </w:p>
        </w:tc>
        <w:tc>
          <w:tcPr>
            <w:tcW w:w="2920" w:type="dxa"/>
            <w:vAlign w:val="bottom"/>
          </w:tcPr>
          <w:p>
            <w:pPr>
              <w:jc w:val="center"/>
              <w:ind w:left="210"/>
              <w:spacing w:after="0"/>
              <w:rPr>
                <w:sz w:val="20"/>
                <w:szCs w:val="20"/>
                <w:color w:val="auto"/>
              </w:rPr>
            </w:pPr>
            <w:r>
              <w:rPr>
                <w:rFonts w:ascii="Arial" w:cs="Arial" w:eastAsia="Arial" w:hAnsi="Arial"/>
                <w:sz w:val="18"/>
                <w:szCs w:val="18"/>
                <w:color w:val="auto"/>
                <w:w w:val="94"/>
              </w:rPr>
              <w:t>(I.R.S. Employer Identification No.)</w:t>
            </w:r>
          </w:p>
        </w:tc>
      </w:tr>
      <w:tr>
        <w:trPr>
          <w:trHeight w:val="216"/>
        </w:trPr>
        <w:tc>
          <w:tcPr>
            <w:tcW w:w="334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One St. Paul’s Churchyard</w:t>
            </w:r>
          </w:p>
        </w:tc>
        <w:tc>
          <w:tcPr>
            <w:tcW w:w="426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16"/>
        </w:trPr>
        <w:tc>
          <w:tcPr>
            <w:tcW w:w="33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London</w:t>
            </w:r>
          </w:p>
        </w:tc>
        <w:tc>
          <w:tcPr>
            <w:tcW w:w="426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20"/>
        </w:trPr>
        <w:tc>
          <w:tcPr>
            <w:tcW w:w="334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United Kingdom</w:t>
            </w:r>
          </w:p>
        </w:tc>
        <w:tc>
          <w:tcPr>
            <w:tcW w:w="4260" w:type="dxa"/>
            <w:vAlign w:val="bottom"/>
          </w:tcPr>
          <w:p>
            <w:pPr>
              <w:spacing w:after="0"/>
              <w:rPr>
                <w:sz w:val="19"/>
                <w:szCs w:val="19"/>
                <w:color w:val="auto"/>
              </w:rPr>
            </w:pPr>
          </w:p>
        </w:tc>
        <w:tc>
          <w:tcPr>
            <w:tcW w:w="2920" w:type="dxa"/>
            <w:vAlign w:val="bottom"/>
          </w:tcPr>
          <w:p>
            <w:pPr>
              <w:jc w:val="center"/>
              <w:ind w:left="210"/>
              <w:spacing w:after="0"/>
              <w:rPr>
                <w:sz w:val="20"/>
                <w:szCs w:val="20"/>
                <w:color w:val="auto"/>
              </w:rPr>
            </w:pPr>
            <w:r>
              <w:rPr>
                <w:rFonts w:ascii="Arial" w:cs="Arial" w:eastAsia="Arial" w:hAnsi="Arial"/>
                <w:sz w:val="18"/>
                <w:szCs w:val="18"/>
                <w:b w:val="1"/>
                <w:bCs w:val="1"/>
                <w:color w:val="auto"/>
                <w:w w:val="99"/>
              </w:rPr>
              <w:t>EC4M 8AP</w:t>
            </w:r>
          </w:p>
        </w:tc>
      </w:tr>
      <w:tr>
        <w:trPr>
          <w:trHeight w:val="230"/>
        </w:trPr>
        <w:tc>
          <w:tcPr>
            <w:tcW w:w="3340" w:type="dxa"/>
            <w:vAlign w:val="bottom"/>
          </w:tcPr>
          <w:p>
            <w:pPr>
              <w:jc w:val="center"/>
              <w:ind w:right="70"/>
              <w:spacing w:after="0"/>
              <w:rPr>
                <w:sz w:val="20"/>
                <w:szCs w:val="20"/>
                <w:color w:val="auto"/>
              </w:rPr>
            </w:pPr>
            <w:r>
              <w:rPr>
                <w:rFonts w:ascii="Arial" w:cs="Arial" w:eastAsia="Arial" w:hAnsi="Arial"/>
                <w:sz w:val="18"/>
                <w:szCs w:val="18"/>
                <w:color w:val="auto"/>
                <w:w w:val="92"/>
              </w:rPr>
              <w:t>(Address of principal executive offices)</w:t>
            </w:r>
          </w:p>
        </w:tc>
        <w:tc>
          <w:tcPr>
            <w:tcW w:w="4260" w:type="dxa"/>
            <w:vAlign w:val="bottom"/>
          </w:tcPr>
          <w:p>
            <w:pPr>
              <w:spacing w:after="0"/>
              <w:rPr>
                <w:sz w:val="20"/>
                <w:szCs w:val="20"/>
                <w:color w:val="auto"/>
              </w:rPr>
            </w:pPr>
          </w:p>
        </w:tc>
        <w:tc>
          <w:tcPr>
            <w:tcW w:w="2920" w:type="dxa"/>
            <w:vAlign w:val="bottom"/>
          </w:tcPr>
          <w:p>
            <w:pPr>
              <w:jc w:val="center"/>
              <w:ind w:left="210"/>
              <w:spacing w:after="0"/>
              <w:rPr>
                <w:sz w:val="20"/>
                <w:szCs w:val="20"/>
                <w:color w:val="auto"/>
              </w:rPr>
            </w:pPr>
            <w:r>
              <w:rPr>
                <w:rFonts w:ascii="Arial" w:cs="Arial" w:eastAsia="Arial" w:hAnsi="Arial"/>
                <w:sz w:val="18"/>
                <w:szCs w:val="18"/>
                <w:color w:val="auto"/>
                <w:w w:val="91"/>
              </w:rPr>
              <w:t>(Zip Code)</w:t>
            </w:r>
          </w:p>
        </w:tc>
      </w:tr>
      <w:tr>
        <w:trPr>
          <w:trHeight w:val="445"/>
        </w:trPr>
        <w:tc>
          <w:tcPr>
            <w:tcW w:w="3340" w:type="dxa"/>
            <w:vAlign w:val="bottom"/>
          </w:tcPr>
          <w:p>
            <w:pPr>
              <w:spacing w:after="0"/>
              <w:rPr>
                <w:sz w:val="24"/>
                <w:szCs w:val="24"/>
                <w:color w:val="auto"/>
              </w:rPr>
            </w:pPr>
          </w:p>
        </w:tc>
        <w:tc>
          <w:tcPr>
            <w:tcW w:w="42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+44 203-429-3950</w:t>
            </w:r>
          </w:p>
        </w:tc>
        <w:tc>
          <w:tcPr>
            <w:tcW w:w="2920" w:type="dxa"/>
            <w:vAlign w:val="bottom"/>
          </w:tcPr>
          <w:p>
            <w:pPr>
              <w:spacing w:after="0"/>
              <w:rPr>
                <w:sz w:val="24"/>
                <w:szCs w:val="24"/>
                <w:color w:val="auto"/>
              </w:rPr>
            </w:pPr>
          </w:p>
        </w:tc>
      </w:tr>
      <w:tr>
        <w:trPr>
          <w:trHeight w:val="230"/>
        </w:trPr>
        <w:tc>
          <w:tcPr>
            <w:tcW w:w="3340" w:type="dxa"/>
            <w:vAlign w:val="bottom"/>
          </w:tcPr>
          <w:p>
            <w:pPr>
              <w:spacing w:after="0"/>
              <w:rPr>
                <w:sz w:val="20"/>
                <w:szCs w:val="20"/>
                <w:color w:val="auto"/>
              </w:rPr>
            </w:pPr>
          </w:p>
        </w:tc>
        <w:tc>
          <w:tcPr>
            <w:tcW w:w="4260" w:type="dxa"/>
            <w:vAlign w:val="bottom"/>
          </w:tcPr>
          <w:p>
            <w:pPr>
              <w:jc w:val="center"/>
              <w:ind w:right="50"/>
              <w:spacing w:after="0"/>
              <w:rPr>
                <w:sz w:val="20"/>
                <w:szCs w:val="20"/>
                <w:color w:val="auto"/>
              </w:rPr>
            </w:pPr>
            <w:r>
              <w:rPr>
                <w:rFonts w:ascii="Arial" w:cs="Arial" w:eastAsia="Arial" w:hAnsi="Arial"/>
                <w:sz w:val="18"/>
                <w:szCs w:val="18"/>
                <w:color w:val="auto"/>
                <w:w w:val="89"/>
              </w:rPr>
              <w:t>(Registrant’s telephone number, including area code)</w:t>
            </w:r>
          </w:p>
        </w:tc>
        <w:tc>
          <w:tcPr>
            <w:tcW w:w="2920" w:type="dxa"/>
            <w:vAlign w:val="bottom"/>
          </w:tcPr>
          <w:p>
            <w:pPr>
              <w:spacing w:after="0"/>
              <w:rPr>
                <w:sz w:val="20"/>
                <w:szCs w:val="20"/>
                <w:color w:val="auto"/>
              </w:rPr>
            </w:pP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9" w:lineRule="exact"/>
        <w:rPr>
          <w:sz w:val="24"/>
          <w:szCs w:val="24"/>
          <w:color w:val="auto"/>
        </w:rPr>
      </w:pPr>
    </w:p>
    <w:p>
      <w:pPr>
        <w:ind w:left="3200"/>
        <w:spacing w:after="0"/>
        <w:rPr>
          <w:sz w:val="20"/>
          <w:szCs w:val="20"/>
          <w:color w:val="auto"/>
        </w:rPr>
      </w:pPr>
      <w:r>
        <w:rPr>
          <w:rFonts w:ascii="Arial" w:cs="Arial" w:eastAsia="Arial" w:hAnsi="Arial"/>
          <w:sz w:val="18"/>
          <w:szCs w:val="18"/>
          <w:color w:val="auto"/>
        </w:rPr>
        <w:t>______________________________________________________</w:t>
      </w:r>
    </w:p>
    <w:p>
      <w:pPr>
        <w:spacing w:after="0" w:line="238"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38" w:lineRule="exact"/>
        <w:rPr>
          <w:sz w:val="24"/>
          <w:szCs w:val="24"/>
          <w:color w:val="auto"/>
        </w:rPr>
      </w:pPr>
    </w:p>
    <w:p>
      <w:pPr>
        <w:ind w:left="740" w:hanging="732"/>
        <w:spacing w:after="0"/>
        <w:tabs>
          <w:tab w:leader="none" w:pos="7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72" w:lineRule="exact"/>
        <w:rPr>
          <w:rFonts w:ascii="MS PGothic" w:cs="MS PGothic" w:eastAsia="MS PGothic" w:hAnsi="MS PGothic"/>
          <w:sz w:val="22"/>
          <w:szCs w:val="22"/>
          <w:color w:val="auto"/>
        </w:rPr>
      </w:pPr>
    </w:p>
    <w:p>
      <w:pPr>
        <w:ind w:left="740" w:hanging="732"/>
        <w:spacing w:after="0"/>
        <w:tabs>
          <w:tab w:leader="none" w:pos="7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72" w:lineRule="exact"/>
        <w:rPr>
          <w:rFonts w:ascii="MS PGothic" w:cs="MS PGothic" w:eastAsia="MS PGothic" w:hAnsi="MS PGothic"/>
          <w:sz w:val="22"/>
          <w:szCs w:val="22"/>
          <w:color w:val="auto"/>
        </w:rPr>
      </w:pPr>
    </w:p>
    <w:p>
      <w:pPr>
        <w:ind w:left="740" w:hanging="732"/>
        <w:spacing w:after="0"/>
        <w:tabs>
          <w:tab w:leader="none" w:pos="7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72" w:lineRule="exact"/>
        <w:rPr>
          <w:rFonts w:ascii="MS PGothic" w:cs="MS PGothic" w:eastAsia="MS PGothic" w:hAnsi="MS PGothic"/>
          <w:sz w:val="22"/>
          <w:szCs w:val="22"/>
          <w:color w:val="auto"/>
        </w:rPr>
      </w:pPr>
    </w:p>
    <w:p>
      <w:pPr>
        <w:ind w:left="740" w:hanging="732"/>
        <w:spacing w:after="0"/>
        <w:tabs>
          <w:tab w:leader="none" w:pos="7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7" w:lineRule="exact"/>
        <w:rPr>
          <w:sz w:val="24"/>
          <w:szCs w:val="24"/>
          <w:color w:val="auto"/>
        </w:rPr>
      </w:pPr>
    </w:p>
    <w:p>
      <w:pPr>
        <w:ind w:left="760" w:right="520" w:firstLine="803"/>
        <w:spacing w:after="0" w:line="250" w:lineRule="auto"/>
        <w:rPr>
          <w:sz w:val="20"/>
          <w:szCs w:val="20"/>
          <w:color w:val="auto"/>
        </w:rPr>
      </w:pPr>
      <w:r>
        <w:rPr>
          <w:rFonts w:ascii="Arial" w:cs="Arial" w:eastAsia="Arial" w:hAnsi="Arial"/>
          <w:sz w:val="18"/>
          <w:szCs w:val="18"/>
          <w:b w:val="1"/>
          <w:bCs w:val="1"/>
          <w:color w:val="auto"/>
        </w:rPr>
        <w:t xml:space="preserve">Title of Each Class Trading Symbol Name of Each Exchange on Which Registered </w:t>
      </w:r>
      <w:r>
        <w:rPr>
          <w:rFonts w:ascii="Arial" w:cs="Arial" w:eastAsia="Arial" w:hAnsi="Arial"/>
          <w:sz w:val="18"/>
          <w:szCs w:val="18"/>
          <w:color w:val="auto"/>
        </w:rPr>
        <w:t>Ordinary shares, $1.00 par value per share FTI New York Stock Exchange</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Securities registered pursuant to Section 12(g) of the Act: </w:t>
      </w:r>
      <w:r>
        <w:rPr>
          <w:rFonts w:ascii="Arial" w:cs="Arial" w:eastAsia="Arial" w:hAnsi="Arial"/>
          <w:sz w:val="18"/>
          <w:szCs w:val="18"/>
          <w:color w:val="auto"/>
        </w:rPr>
        <w:t>None.</w:t>
      </w:r>
    </w:p>
    <w:p>
      <w:pPr>
        <w:spacing w:after="0" w:line="238"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 w:name="page2"/>
    <w:bookmarkEnd w:id="1"/>
    <w:p>
      <w:pPr>
        <w:spacing w:after="0"/>
        <w:tabs>
          <w:tab w:leader="none" w:pos="12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February 15 and 16, 2021, TechnipFMC plc (the “Company”) entered into certain agreements related to its separation into two industry-leading, independent, publicly traded companies: the Company, a fully integrated technology and services provider; and Technip Energies N.V., a leading engineering and technology player (“Technip Energies”). The transaction is structured as a spin-off (the “Spin-off”) of a majority stake in the Company’s Technip Energies segment in the form of a share dividend pursuant to which holders of TechnipFMC shares will receive ordinary shares, €0.01 nominal value per share, of Technip Energies (the “Technip Energies Shares”). The agreements include the following:</w:t>
      </w:r>
    </w:p>
    <w:p>
      <w:pPr>
        <w:spacing w:after="0" w:line="203"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Tax Matters Agreement (the “TMA”) with Technip Energies;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Employee Matters Agreement (the “EMA”) with Technip Energies;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Transition Services Agreement (the “TSA”) with Technip Energies;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Patent License Agreement and a Co-Existence and Trademark Matters Agreement, each with Technip Energies (collectively, the “Intellectual Property Agreements”);</w:t>
      </w:r>
    </w:p>
    <w:p>
      <w:pPr>
        <w:jc w:val="both"/>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Credit Agreement with JPMorgan Chase Bank, N.A., Citigroup Global Markets Inc. or an affiliate, DNB Capital, LLC or an affiliate, Société Générale, Sumitomo Mitsui Banking Corporation, Wells Fargo Securities, LLC and BofA Securities, Inc., collectively, as lead arrangers, JPMorgan Chase Bank, N.A., as administrative agent, Standard Chartered Bank, as documentation agent, and the lenders party thereto (the “Credit Agreement”);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 Supplemental Indenture with the guarantors named therein and U.S. Bank National Association, as trustee (the “Supplemental Indenture”).</w:t>
      </w:r>
    </w:p>
    <w:p>
      <w:pPr>
        <w:spacing w:after="0" w:line="2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descriptions below of the TMA, EMA, TSA, the Intellectual Property Agreements, the Credit Agreement and the Supplemental Indenture, and the transactions contemplated thereby, do not purport to be complete and are subject to, and qualified in their entirety by reference to, the complete terms and conditions of the TMA, EMA, TSA, the Intellectual Property Agreements, the Credit Agreement and the Supplemental Indenture, copies of which are attached as Exhibits 10.1, 10.2, 10.3, 10.4, 10.5, 10.6 and 4.1 respectively, to this Current Report on Form 8-K and which are incorporated herein by reference.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Tax Matters Agreement</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TMA governs the Company’s and Technip Energies’ respective rights, responsibilities, and obligations with respect to tax liabilities and benefits, tax attributes, the preparation and filing of tax returns, the control of audits and other tax proceedings, and certain other matters regarding taxes.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Generally, the Company is liable for all pre-Spin-off taxes attributable to the business of Technip Energies required to be reported on either combined, consolidated, unitary or similar returns that include one or more of the Company and its subsidiaries (other than Technip Energies and its subsidiaries) and one or more of Technip Energies and its subsidiaries or returns that include only one or more of the Company and its subsidiaries (other than Technip Energies and its subsidiaries). Technip Energies is generally liable for all taxes attributable to the Technip Energies business required to be reported on returns that include only one or more of Technip Energies and its subsidiaries. In addition, the TMA addresses the allocation of liability for taxes that are incurred as a result of the separation undertaken to effectuate the Spin-off.</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Employee Matters Agreement</w:t>
      </w:r>
    </w:p>
    <w:p>
      <w:pPr>
        <w:spacing w:after="0" w:line="2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u w:val="single" w:color="auto"/>
          <w:color w:val="auto"/>
        </w:rPr>
        <w:t>Allocation of employment liabilities</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certain exceptions, the general principle for the allocation of employment and service-related liabilities is</w:t>
      </w:r>
      <w:r>
        <w:rPr>
          <w:rFonts w:ascii="Arial" w:cs="Arial" w:eastAsia="Arial" w:hAnsi="Arial"/>
          <w:sz w:val="16"/>
          <w:szCs w:val="16"/>
          <w:i w:val="1"/>
          <w:iCs w:val="1"/>
          <w:color w:val="auto"/>
        </w:rPr>
        <w:t xml:space="preserve"> </w:t>
      </w:r>
      <w:r>
        <w:rPr>
          <w:rFonts w:ascii="Arial" w:cs="Arial" w:eastAsia="Arial" w:hAnsi="Arial"/>
          <w:sz w:val="16"/>
          <w:szCs w:val="16"/>
          <w:color w:val="auto"/>
        </w:rPr>
        <w:t>that (i) Technip Energies assumes all such liabilities relating to Technip Energies’ employees and former employees of the Company who worked wholly or substantially in the business of Technip Energies as of the date of the termination of their employment (“former Technip Energies employees”) and (ii) the Company retains all such liabilities relating to all other current and former employees of the Company (including employees who are identified as Technip Energies employees, but do not in fact transfer to Technip Energies), in each case, regardless of when such liabilities arise.</w:t>
      </w:r>
    </w:p>
    <w:p>
      <w:pPr>
        <w:spacing w:after="0" w:line="18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u w:val="single" w:color="auto"/>
          <w:color w:val="auto"/>
        </w:rPr>
        <w:t>Terms and conditions of Technip Energies 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As of the completion of the Spin-off, Technip Energies will provide each of its current 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same basic salary and contractual benefits that he or she received prior to the date of his or her transfer to Technip 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2" w:name="page3"/>
    <w:bookmarkEnd w:id="2"/>
    <w:p>
      <w:pPr>
        <w:jc w:val="both"/>
        <w:spacing w:after="0" w:line="286" w:lineRule="auto"/>
        <w:rPr>
          <w:sz w:val="20"/>
          <w:szCs w:val="20"/>
          <w:color w:val="auto"/>
        </w:rPr>
      </w:pPr>
      <w:r>
        <w:rPr>
          <w:rFonts w:ascii="Arial" w:cs="Arial" w:eastAsia="Arial" w:hAnsi="Arial"/>
          <w:sz w:val="17"/>
          <w:szCs w:val="17"/>
          <w:i w:val="1"/>
          <w:iCs w:val="1"/>
          <w:u w:val="single" w:color="auto"/>
          <w:color w:val="auto"/>
        </w:rPr>
        <w:t>Employee benefit and cash bonus plans</w:t>
      </w:r>
      <w:r>
        <w:rPr>
          <w:rFonts w:ascii="Arial" w:cs="Arial" w:eastAsia="Arial" w:hAnsi="Arial"/>
          <w:sz w:val="17"/>
          <w:szCs w:val="17"/>
          <w:color w:val="auto"/>
        </w:rPr>
        <w:t>. The employees of Technip Energies will generally, as of the date of the Spin-off or as of the date of such</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employee’s applicable employment transfer date, be eligible to participate in Technip Energies employee benefit plans that are substantially similar to those that apply to them prior to the date of the Spin-off. Technip Energies will establish a cash bonus plan for the 2021 performance period.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Share-based incentive schemes</w:t>
      </w:r>
      <w:r>
        <w:rPr>
          <w:rFonts w:ascii="Arial" w:cs="Arial" w:eastAsia="Arial" w:hAnsi="Arial"/>
          <w:sz w:val="18"/>
          <w:szCs w:val="18"/>
          <w:color w:val="auto"/>
        </w:rPr>
        <w:t>. Awards granted under share-based incentive schemes will be treated as follows:</w:t>
      </w:r>
    </w:p>
    <w:p>
      <w:pPr>
        <w:spacing w:after="0" w:line="252" w:lineRule="exact"/>
        <w:rPr>
          <w:sz w:val="20"/>
          <w:szCs w:val="20"/>
          <w:color w:val="auto"/>
        </w:rPr>
      </w:pPr>
    </w:p>
    <w:p>
      <w:pPr>
        <w:jc w:val="both"/>
        <w:ind w:left="460" w:hanging="128"/>
        <w:spacing w:after="0" w:line="254"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Generally, the restricted stock units of the Company (the “RSUs”) that were scheduled to vest in less than one year from the closing of the Spin-off, to the extent not previously vested, were accelerated, and were settled into the Company shares prior to the Spin-off and are eligible to receive the dividend in kind resulting from the Spin-off if such shares continue to be held on February 17, 2021 (the “Record Date”). This acceleration did not apply to Company executives.</w:t>
      </w:r>
    </w:p>
    <w:p>
      <w:pPr>
        <w:spacing w:after="0" w:line="2" w:lineRule="exact"/>
        <w:rPr>
          <w:rFonts w:ascii="Arial" w:cs="Arial" w:eastAsia="Arial" w:hAnsi="Arial"/>
          <w:sz w:val="18"/>
          <w:szCs w:val="18"/>
          <w:color w:val="auto"/>
        </w:rPr>
      </w:pPr>
    </w:p>
    <w:p>
      <w:pPr>
        <w:jc w:val="both"/>
        <w:ind w:left="460" w:hanging="128"/>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restricted stock units of the Company (the “PSUs”) that were scheduled to vest in less than one year from the closing of the Spin-off, to the extent not previously accelerated, and were settled into the Company shares prior to the Spin-off based on actual performance as of immediately prior to the acceleration and are eligible to receive the dividend in kind resulting from the Spin-off if such shares continue to be held on the Record Date. This acceleration did not apply to Company executives.</w:t>
      </w:r>
    </w:p>
    <w:p>
      <w:pPr>
        <w:spacing w:after="0" w:line="1" w:lineRule="exact"/>
        <w:rPr>
          <w:rFonts w:ascii="Arial" w:cs="Arial" w:eastAsia="Arial" w:hAnsi="Arial"/>
          <w:sz w:val="18"/>
          <w:szCs w:val="18"/>
          <w:color w:val="auto"/>
        </w:rPr>
      </w:pPr>
    </w:p>
    <w:p>
      <w:pPr>
        <w:jc w:val="both"/>
        <w:ind w:left="460" w:hanging="128"/>
        <w:spacing w:after="0" w:line="255"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Holders of the Company unvested options, RSUs, and PSUs will not receive the dividend in kind resulting from the Spin-off, and such awards will be treated as described in Technip Energies’ registration statement on Form F-1 (the “Form F-1”) depending upon whether the holder is employed by or is a director of the Company or Technip Energies following the Spin-off.</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Technip Energies will establish, and employees may be eligible to participate in, the incentive plan described in the Form F-1 following the Spin-off.</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u w:val="single" w:color="auto"/>
          <w:color w:val="auto"/>
        </w:rPr>
        <w:t>Long-term employee benefits</w:t>
      </w:r>
      <w:r>
        <w:rPr>
          <w:rFonts w:ascii="Arial" w:cs="Arial" w:eastAsia="Arial" w:hAnsi="Arial"/>
          <w:sz w:val="17"/>
          <w:szCs w:val="17"/>
          <w:i w:val="1"/>
          <w:iCs w:val="1"/>
          <w:color w:val="auto"/>
        </w:rPr>
        <w:t xml:space="preserve">. </w:t>
      </w:r>
      <w:r>
        <w:rPr>
          <w:rFonts w:ascii="Arial" w:cs="Arial" w:eastAsia="Arial" w:hAnsi="Arial"/>
          <w:sz w:val="17"/>
          <w:szCs w:val="17"/>
          <w:color w:val="auto"/>
        </w:rPr>
        <w:t>As of the date of the Spin-off or as of the date of the applicable employment transfer date of the employees of Technip</w:t>
      </w:r>
      <w:r>
        <w:rPr>
          <w:rFonts w:ascii="Arial" w:cs="Arial" w:eastAsia="Arial" w:hAnsi="Arial"/>
          <w:sz w:val="17"/>
          <w:szCs w:val="17"/>
          <w:i w:val="1"/>
          <w:iCs w:val="1"/>
          <w:color w:val="auto"/>
        </w:rPr>
        <w:t xml:space="preserve"> </w:t>
      </w:r>
      <w:r>
        <w:rPr>
          <w:rFonts w:ascii="Arial" w:cs="Arial" w:eastAsia="Arial" w:hAnsi="Arial"/>
          <w:sz w:val="17"/>
          <w:szCs w:val="17"/>
          <w:color w:val="auto"/>
        </w:rPr>
        <w:t>Energies, Technip Energies will generally assume sponsorship of and responsibility for any stand-alone employee benefit arrangements relating to its employees and former Technip Energies employees. Further, subject to certain exceptions, the accrued (past service) liabilities, as well as any associated assets, relating to Technip Energies employees and former Technip Energies employees under the plans of the Company providing retirement, disability or death, old-age or jubilee benefits, will transfer to Technip Energies. However, any liabilities for Technip Energies’ employees under the FMC Technologies Employees’ Retirement Program will be specifically retained by the Company.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Transition Services Agreement</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and Technip Energies will, to the extent that shared business functions have not been separated prior to the Spin-off, each provide to the other various services and support on an interim transitional basis until such time as Technip Energies (or the Company in the case of services Technip Energies will provide to the Company) have developed the capability to provide the relevant services and support themselves or have appointed a third-party provider to provide those services and support.</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TSA is reciprocal with approximately 33% of services being provided by the Company to Technip Energies, and 67% being reverse services provided by Technip Energies to the Company. Services and support will be provided with the same standard of care, quality, priority, timeliness and skill as during the one-year period prior to the Spin-off. The Company anticipates that the charges for the services will be on a cost-plus basis (with a mark-up to reflect the management and administrative cost of providing the services). The services generally commenced on the date of the Spin-off and are generally intended to terminate between three and twelve months after the date of the Spin-off. The recipient of the services will generally have the ability to: (i) extend the term that a service is provided for by up to six months, subject to a maximum aggregate service term of 24 months; and (ii) terminate any or all services early subject to a 30-day notice period. Each party, as provider, has standard termination rights for unremedied material breach or non-payment of charges by the 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 w:name="page4"/>
    <w:bookmarkEnd w:id="3"/>
    <w:p>
      <w:pPr>
        <w:jc w:val="both"/>
        <w:spacing w:after="0" w:line="342" w:lineRule="auto"/>
        <w:rPr>
          <w:sz w:val="20"/>
          <w:szCs w:val="20"/>
          <w:color w:val="auto"/>
        </w:rPr>
      </w:pPr>
      <w:r>
        <w:rPr>
          <w:rFonts w:ascii="Arial" w:cs="Arial" w:eastAsia="Arial" w:hAnsi="Arial"/>
          <w:sz w:val="16"/>
          <w:szCs w:val="16"/>
          <w:color w:val="auto"/>
        </w:rPr>
        <w:t>Neither Technip Energies nor the Company are liable under the TSA for any claim or cause of action arising thereunder except to the extent that claims arise from a provider’s gross negligence or willful misconduct, and consequential damages are excluded to the extent permitted under applicable law.</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services and support to be provided by the Company to Technip Energies include: IT, administration, human resources, real estate and facilities, non-strategic corporate services, procurement services, enterprise management services, rental and facility management services, tax, treasury and financial reporting and accounting services.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Intellectual Property Agreements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u w:val="single" w:color="auto"/>
          <w:color w:val="auto"/>
        </w:rPr>
        <w:t>Patent License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and Technip Energies have each been granted the right to continue to use patent rights that are owned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or Technip Energies in connection with their respective businesses and which are used or anticipated to be used by both the Company and Technip Energies in our and their respective businesses following the completion of the Spin-off. The licenses are on a perpetual, worldwide, and royalty-free basis, each limited to the field of the respective licensee’s business. The licenses contain a termination right for the licensor in the event of assignment by licensee to a competitor of licensor. The Patent License Agreement also contains royalty-free licenses in favor of Technip Energies with respect to certain patents related to flexibles and fixed offshore platform technologies.</w:t>
      </w:r>
    </w:p>
    <w:p>
      <w:pPr>
        <w:spacing w:after="0" w:line="20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u w:val="single" w:color="auto"/>
          <w:color w:val="auto"/>
        </w:rPr>
        <w:t>Coexistence and Trademark Matters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and Technip Energies entered into a perpetual Coexistence and Trademark Matters</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regulating each party’s use of its own trademarks containing or consisting of the name “Technip,” including Technip Energies’ use of “Technip Energies” trademarks. Under the agreement, if either of the Company or Technip Energies is acquired by a competitor of the other party, the non-acquired party may require the acquired party to cease all use of any trademarks containing or consisting of the name “Technip” within twelve months of the date of completion of the acquisition. The Coexistence and Trademark Matters Agreement also contains a transitional license in favor of Technip Energies with respect to ongoing use by Technip Energies of certain marks related to the loading systems business unit.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Credit Agreement</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entered into the Credit Agreement on February 16, 2021, which is a $1,000,000,000 three-year senior secured multicurrency revolving credit facility. The Credit Agreement provides for a $450,000,000 letter of credit subfacility.</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will access funding of $400 million of the revolving credit facility established by the Credit Agreement in conjunction with the Spin-off and plans to use the proceeds of the draw to fund short-term needs associated with the Spin-off. The need for short-term funding is primarily due to:</w:t>
      </w:r>
    </w:p>
    <w:p>
      <w:pPr>
        <w:spacing w:after="0" w:line="146" w:lineRule="exact"/>
        <w:rPr>
          <w:sz w:val="20"/>
          <w:szCs w:val="20"/>
          <w:color w:val="auto"/>
        </w:rPr>
      </w:pPr>
    </w:p>
    <w:p>
      <w:pPr>
        <w:ind w:left="66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Acceleration of the effective date of the Spin-off relative to the timing of ongoing restructuring of the Company’s global portfolio of cash and liquidity in a manner suitable for the needs of the Company following the Spin-off;</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Timing of the receipt of Bpifrance Participations SA’s (“BPI”) $200 million investment, for which BPI is awaiting final regulatory approval from one competition authority beyond the European Union; and</w:t>
      </w:r>
    </w:p>
    <w:p>
      <w:pPr>
        <w:ind w:left="660" w:hanging="328"/>
        <w:spacing w:after="0" w:line="2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Maturity of $80 million in fixed but not yet realized foreign exchange gains, associated with hedges of debt borrowings repaid at the time of separation.</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Pro forma for the events of the Transactions through the effective date of the Spin-off, including the aforementioned draw, we expect our cash and debt profile to consist of the following:</w:t>
      </w:r>
    </w:p>
    <w:p>
      <w:pPr>
        <w:spacing w:after="0" w:line="17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Cash and cash equivalents of approximately $600 million;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Debt of approximately $2,800 million; and</w:t>
      </w:r>
    </w:p>
    <w:p>
      <w:pPr>
        <w:spacing w:after="0" w:line="9"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debt of approximately $2,200 million, which is modestly above the Company's previous guidance of $1,700 million when excluding the temporary draw on the revolving credit facility due to the items discussed above.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revolving credit facility bear interest at the following rates, plus an applicable margin, depending on currency:</w:t>
      </w:r>
    </w:p>
    <w:p>
      <w:pPr>
        <w:spacing w:after="0" w:line="225" w:lineRule="exact"/>
        <w:rPr>
          <w:sz w:val="20"/>
          <w:szCs w:val="20"/>
          <w:color w:val="auto"/>
        </w:rPr>
      </w:pPr>
    </w:p>
    <w:p>
      <w:pPr>
        <w:ind w:left="660" w:hanging="328"/>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U.S. dollar denominated loans bear interest, at the Borrowers’ option, at a base rate or an adjusted rate linked to the London interbank offered rate (“Adjusted LIBOR”);</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Sterling denominated loans bear interest at Adjusted LIBOR;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Euro-denominated loans bear interest on adjusted rate linked to the Euro interbank offered rate.</w:t>
      </w:r>
    </w:p>
    <w:p>
      <w:pPr>
        <w:spacing w:after="0" w:line="21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applicable margin for borrowings under the revolving credit facility ranges from 2.50% to 3.50% for eurocurrency loans and 1.50% to 2.50% for base rate loans, depending on a total leverage ratio. The Credit Agreement is subject to customary representations and warranties, covenants, events of default, mandatory repayment provisions and financial covenants.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Supplemental Indenture</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previously announced, on January 29, 2021, the Company closed its offering of $1,000,000,000 in aggregate principal amount of 6.500% senior notes due 2026 (the “Notes”). The Notes were issued pursuant to, and are governed by, an indenture, dated as of January 29, 2021 (the “Indenture”), between the Company, the guarantors named therein and U.S. Bank National Association, as trustee. The Notes and related guarantees were issued in a private offering exempt from the Securities Act of 1933, as amended (the “Securities Act”) and have not been, and will not be, registered under the Securities Act and may not be offered or sold in the United States absent registration or an applicable exemption from, or in a transaction not subject to, the registration requirements of the Securities Act and other applicable securities laws.</w:t>
      </w:r>
    </w:p>
    <w:p>
      <w:pPr>
        <w:spacing w:after="0" w:line="20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closing of the Spin-off, the Company and certain of its non-U.S. subsidiaries entered into the Supplemental Indenture, pursuant to which the Company and such subsidiaries became guarantors of the Notes under the Indenture. Pursuant to the Supplemental Indenture, the Notes are fully and unconditionally guaranteed on a senior unsecured basis by the Company and substantially all of the Company’s non-U.S. subsidiaries in Brazil, the Netherlands, Norway, Singapore and the United Kingdom (subject to applicable limitations contained in the Indenture).</w:t>
      </w:r>
    </w:p>
    <w:p>
      <w:pPr>
        <w:spacing w:after="0" w:line="19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addition, in connection with the closing of the Spin-Off, the Company used the net proceeds from the issuance of the Notes, together with cash on hand, to repay, discharge, repurchase, retire and/or redeem certain existing indebtedness of the Company, including the $500.0 million 3.45% Senior Notes due</w:t>
      </w:r>
    </w:p>
    <w:p>
      <w:pPr>
        <w:sectPr>
          <w:pgSz w:w="11900" w:h="16838" w:orient="portrait"/>
          <w:cols w:equalWidth="0" w:num="1">
            <w:col w:w="11240"/>
          </w:cols>
          <w:pgMar w:left="320" w:top="368" w:right="339" w:bottom="0" w:gutter="0" w:footer="0" w:header="0"/>
        </w:sectPr>
      </w:pPr>
    </w:p>
    <w:bookmarkStart w:id="4" w:name="page5"/>
    <w:bookmarkEnd w:id="4"/>
    <w:p>
      <w:pPr>
        <w:spacing w:after="0" w:line="277" w:lineRule="auto"/>
        <w:rPr>
          <w:sz w:val="20"/>
          <w:szCs w:val="20"/>
          <w:color w:val="auto"/>
        </w:rPr>
      </w:pPr>
      <w:r>
        <w:rPr>
          <w:rFonts w:ascii="Arial" w:cs="Arial" w:eastAsia="Arial" w:hAnsi="Arial"/>
          <w:sz w:val="18"/>
          <w:szCs w:val="18"/>
          <w:color w:val="auto"/>
        </w:rPr>
        <w:t>2022, the $2.5 billion revolving senior unsecured revolving credit facility agreement dated January 17, 2017 and €500.0 million revolving credit facility dated May 19,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tabs>
          <w:tab w:leader="none" w:pos="124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25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February 16, 2021, the Company completed the Spin-off. Technip Energies’ business consists of those activities that previously comprised the Company’s Technip Energies business segment, as described in the Form F-1. Technip Energies is now an independent public company and its shares trade on the Euronext Paris stock exchange.</w:t>
      </w:r>
    </w:p>
    <w:p>
      <w:pPr>
        <w:spacing w:after="0" w:line="21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Spin-off occurred by way of a pro rata dividend to the Company’s shareholders of 50.1% of Technip Energies Shares. Each of the Company’s shareholders received one Technip Energies Share for every five shares of the Company held at 5:00 p.m., New York City time, on the Record Date, and cash in lieu of any fractional Technip Energies Shares.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Form F-1 was filed by Technip Energies with the Securities and Exchange Commission and was declared effective on February 12, 2021.</w:t>
      </w:r>
    </w:p>
    <w:p>
      <w:pPr>
        <w:spacing w:after="0" w:line="28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set forth in Item 1.01 relating to the Credit Agreement under the heading “Credit Agreement” and relating to the Supplemental Indenture under the heading “Supplemental Indenture” is hereby incorporated into this Item 2.03 by reference.</w:t>
      </w:r>
    </w:p>
    <w:p>
      <w:pPr>
        <w:spacing w:after="0" w:line="22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Spin-off, effective on February 16, 2021, (i) Arnaud Pieton resigned as an officer of the Company and (ii) Arnaud Caudoux, Pascal Colombani, Marie Ange Debon, Didier Houssin, Olivier Piou and Joseph Rinaldi resigned from the board of directors of the Company and any respective committees of the board to which they belonged, which resignations were not the result of any disagreements with the Company relating to the Company’s operations, policies or practices.</w:t>
      </w:r>
    </w:p>
    <w:p>
      <w:pPr>
        <w:spacing w:after="0" w:line="23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15, 2021, the Company and Technip Energies issued a joint press release. A copy of the press release is furnished herewith as Exhibit 99.1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6" w:name="page7"/>
    <w:bookmarkEnd w:id="6"/>
    <w:p>
      <w:pPr>
        <w:spacing w:after="0"/>
        <w:tabs>
          <w:tab w:leader="none" w:pos="12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firstLine="8"/>
        <w:spacing w:after="0" w:line="277" w:lineRule="auto"/>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Unaudited pro forma condensed combined financial information of the Company giving effect to the Spin-off and required by Article 11 of Regulation S-X is attached hereto as Exhibit 99.2 and is incorporated by reference 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6"/>
              </w:rPr>
              <w:t>Exhibit</w:t>
            </w:r>
          </w:p>
        </w:tc>
        <w:tc>
          <w:tcPr>
            <w:tcW w:w="9860" w:type="dxa"/>
            <w:vAlign w:val="bottom"/>
          </w:tcPr>
          <w:p>
            <w:pPr>
              <w:spacing w:after="0"/>
              <w:rPr>
                <w:sz w:val="18"/>
                <w:szCs w:val="18"/>
                <w:color w:val="auto"/>
              </w:rPr>
            </w:pPr>
          </w:p>
        </w:tc>
      </w:tr>
      <w:tr>
        <w:trPr>
          <w:trHeight w:val="241"/>
        </w:trPr>
        <w:tc>
          <w:tcPr>
            <w:tcW w:w="13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No.</w:t>
            </w:r>
          </w:p>
        </w:tc>
        <w:tc>
          <w:tcPr>
            <w:tcW w:w="9860" w:type="dxa"/>
            <w:vAlign w:val="bottom"/>
          </w:tcPr>
          <w:p>
            <w:pPr>
              <w:ind w:left="4480"/>
              <w:spacing w:after="0"/>
              <w:rPr>
                <w:sz w:val="20"/>
                <w:szCs w:val="20"/>
                <w:color w:val="auto"/>
              </w:rPr>
            </w:pPr>
            <w:r>
              <w:rPr>
                <w:rFonts w:ascii="Arial" w:cs="Arial" w:eastAsia="Arial" w:hAnsi="Arial"/>
                <w:sz w:val="18"/>
                <w:szCs w:val="18"/>
                <w:b w:val="1"/>
                <w:bCs w:val="1"/>
                <w:color w:val="auto"/>
              </w:rPr>
              <w:t>Description</w:t>
            </w:r>
          </w:p>
        </w:tc>
      </w:tr>
      <w:tr>
        <w:trPr>
          <w:trHeight w:val="202"/>
        </w:trPr>
        <w:tc>
          <w:tcPr>
            <w:tcW w:w="980" w:type="dxa"/>
            <w:vAlign w:val="bottom"/>
            <w:tcBorders>
              <w:top w:val="single" w:sz="8" w:color="auto"/>
            </w:tcBorders>
          </w:tcPr>
          <w:p>
            <w:pPr>
              <w:jc w:val="center"/>
              <w:spacing w:after="0" w:line="201" w:lineRule="exact"/>
              <w:rPr>
                <w:rFonts w:ascii="Arial" w:cs="Arial" w:eastAsia="Arial" w:hAnsi="Arial"/>
                <w:sz w:val="18"/>
                <w:szCs w:val="18"/>
                <w:u w:val="single" w:color="auto"/>
                <w:color w:val="0000EE"/>
                <w:w w:val="87"/>
              </w:rPr>
            </w:pPr>
            <w:hyperlink w:anchor="page9">
              <w:r>
                <w:rPr>
                  <w:rFonts w:ascii="Arial" w:cs="Arial" w:eastAsia="Arial" w:hAnsi="Arial"/>
                  <w:sz w:val="18"/>
                  <w:szCs w:val="18"/>
                  <w:u w:val="single" w:color="auto"/>
                  <w:color w:val="0000EE"/>
                  <w:w w:val="87"/>
                </w:rPr>
                <w:t>4.1</w:t>
              </w:r>
            </w:hyperlink>
          </w:p>
        </w:tc>
        <w:tc>
          <w:tcPr>
            <w:tcW w:w="400" w:type="dxa"/>
            <w:vAlign w:val="bottom"/>
          </w:tcPr>
          <w:p>
            <w:pPr>
              <w:spacing w:after="0"/>
              <w:rPr>
                <w:sz w:val="17"/>
                <w:szCs w:val="17"/>
                <w:color w:val="auto"/>
              </w:rPr>
            </w:pPr>
          </w:p>
        </w:tc>
        <w:tc>
          <w:tcPr>
            <w:tcW w:w="98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2"/>
              </w:rPr>
              <w:t>Supplemental Indenture, dated February 16, 2021, by and among the Company, the guarantors party thereto, and U.S. Bank National</w:t>
            </w:r>
          </w:p>
        </w:tc>
      </w:tr>
      <w:tr>
        <w:trPr>
          <w:trHeight w:val="216"/>
        </w:trPr>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Association, as trustee</w:t>
            </w:r>
          </w:p>
        </w:tc>
      </w:tr>
      <w:tr>
        <w:trPr>
          <w:trHeight w:val="216"/>
        </w:trPr>
        <w:tc>
          <w:tcPr>
            <w:tcW w:w="980" w:type="dxa"/>
            <w:vAlign w:val="bottom"/>
          </w:tcPr>
          <w:p>
            <w:pPr>
              <w:jc w:val="center"/>
              <w:spacing w:after="0"/>
              <w:rPr>
                <w:rFonts w:ascii="Arial" w:cs="Arial" w:eastAsia="Arial" w:hAnsi="Arial"/>
                <w:sz w:val="18"/>
                <w:szCs w:val="18"/>
                <w:color w:val="0000EE"/>
                <w:w w:val="95"/>
              </w:rPr>
            </w:pPr>
            <w:hyperlink w:anchor="page47">
              <w:r>
                <w:rPr>
                  <w:rFonts w:ascii="Arial" w:cs="Arial" w:eastAsia="Arial" w:hAnsi="Arial"/>
                  <w:sz w:val="18"/>
                  <w:szCs w:val="18"/>
                  <w:u w:val="single" w:color="auto"/>
                  <w:color w:val="0000EE"/>
                  <w:w w:val="95"/>
                </w:rPr>
                <w:t>10.1</w:t>
              </w:r>
            </w:hyperlink>
            <w:r>
              <w:rPr>
                <w:rFonts w:ascii="Arial" w:cs="Arial" w:eastAsia="Arial" w:hAnsi="Arial"/>
                <w:sz w:val="18"/>
                <w:szCs w:val="18"/>
                <w:color w:val="000000"/>
                <w:w w:val="95"/>
              </w:rPr>
              <w:t>*</w:t>
            </w:r>
          </w:p>
        </w:tc>
        <w:tc>
          <w:tcPr>
            <w:tcW w:w="400" w:type="dxa"/>
            <w:vAlign w:val="bottom"/>
          </w:tcPr>
          <w:p>
            <w:pPr>
              <w:spacing w:after="0"/>
              <w:rPr>
                <w:sz w:val="18"/>
                <w:szCs w:val="18"/>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Tax Matters Agreement, dated as of February 16, 2021 by and between the Company and Technip Energies</w:t>
            </w:r>
          </w:p>
        </w:tc>
      </w:tr>
      <w:tr>
        <w:trPr>
          <w:trHeight w:val="216"/>
        </w:trPr>
        <w:tc>
          <w:tcPr>
            <w:tcW w:w="980" w:type="dxa"/>
            <w:vAlign w:val="bottom"/>
          </w:tcPr>
          <w:p>
            <w:pPr>
              <w:jc w:val="center"/>
              <w:spacing w:after="0"/>
              <w:rPr>
                <w:rFonts w:ascii="Arial" w:cs="Arial" w:eastAsia="Arial" w:hAnsi="Arial"/>
                <w:sz w:val="18"/>
                <w:szCs w:val="18"/>
                <w:u w:val="single" w:color="auto"/>
                <w:color w:val="0000EE"/>
                <w:w w:val="91"/>
              </w:rPr>
            </w:pPr>
            <w:hyperlink w:anchor="page82">
              <w:r>
                <w:rPr>
                  <w:rFonts w:ascii="Arial" w:cs="Arial" w:eastAsia="Arial" w:hAnsi="Arial"/>
                  <w:sz w:val="18"/>
                  <w:szCs w:val="18"/>
                  <w:u w:val="single" w:color="auto"/>
                  <w:color w:val="0000EE"/>
                  <w:w w:val="91"/>
                </w:rPr>
                <w:t>10.2</w:t>
              </w:r>
            </w:hyperlink>
          </w:p>
        </w:tc>
        <w:tc>
          <w:tcPr>
            <w:tcW w:w="400" w:type="dxa"/>
            <w:vAlign w:val="bottom"/>
          </w:tcPr>
          <w:p>
            <w:pPr>
              <w:spacing w:after="0"/>
              <w:rPr>
                <w:sz w:val="18"/>
                <w:szCs w:val="18"/>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Employee Matters Agreement, dated as of February 15, by and between the Company and Technip Energies</w:t>
            </w:r>
          </w:p>
        </w:tc>
      </w:tr>
      <w:tr>
        <w:trPr>
          <w:trHeight w:val="216"/>
        </w:trPr>
        <w:tc>
          <w:tcPr>
            <w:tcW w:w="980" w:type="dxa"/>
            <w:vAlign w:val="bottom"/>
          </w:tcPr>
          <w:p>
            <w:pPr>
              <w:jc w:val="center"/>
              <w:spacing w:after="0"/>
              <w:rPr>
                <w:rFonts w:ascii="Arial" w:cs="Arial" w:eastAsia="Arial" w:hAnsi="Arial"/>
                <w:sz w:val="18"/>
                <w:szCs w:val="18"/>
                <w:color w:val="0000EE"/>
                <w:w w:val="95"/>
              </w:rPr>
            </w:pPr>
            <w:hyperlink w:anchor="page119">
              <w:r>
                <w:rPr>
                  <w:rFonts w:ascii="Arial" w:cs="Arial" w:eastAsia="Arial" w:hAnsi="Arial"/>
                  <w:sz w:val="18"/>
                  <w:szCs w:val="18"/>
                  <w:u w:val="single" w:color="auto"/>
                  <w:color w:val="0000EE"/>
                  <w:w w:val="95"/>
                </w:rPr>
                <w:t>10.3</w:t>
              </w:r>
            </w:hyperlink>
            <w:r>
              <w:rPr>
                <w:rFonts w:ascii="Arial" w:cs="Arial" w:eastAsia="Arial" w:hAnsi="Arial"/>
                <w:sz w:val="18"/>
                <w:szCs w:val="18"/>
                <w:color w:val="000000"/>
                <w:w w:val="95"/>
              </w:rPr>
              <w:t>*</w:t>
            </w:r>
          </w:p>
        </w:tc>
        <w:tc>
          <w:tcPr>
            <w:tcW w:w="400" w:type="dxa"/>
            <w:vAlign w:val="bottom"/>
          </w:tcPr>
          <w:p>
            <w:pPr>
              <w:spacing w:after="0"/>
              <w:rPr>
                <w:sz w:val="18"/>
                <w:szCs w:val="18"/>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Transition Services Agreement, dated as of February 15, 2021 by and between the Company and Technip Energies</w:t>
            </w:r>
          </w:p>
        </w:tc>
      </w:tr>
      <w:tr>
        <w:trPr>
          <w:trHeight w:val="216"/>
        </w:trPr>
        <w:tc>
          <w:tcPr>
            <w:tcW w:w="980" w:type="dxa"/>
            <w:vAlign w:val="bottom"/>
          </w:tcPr>
          <w:p>
            <w:pPr>
              <w:jc w:val="center"/>
              <w:spacing w:after="0"/>
              <w:rPr>
                <w:rFonts w:ascii="Arial" w:cs="Arial" w:eastAsia="Arial" w:hAnsi="Arial"/>
                <w:sz w:val="18"/>
                <w:szCs w:val="18"/>
                <w:color w:val="0000EE"/>
                <w:w w:val="95"/>
              </w:rPr>
            </w:pPr>
            <w:hyperlink w:anchor="page146">
              <w:r>
                <w:rPr>
                  <w:rFonts w:ascii="Arial" w:cs="Arial" w:eastAsia="Arial" w:hAnsi="Arial"/>
                  <w:sz w:val="18"/>
                  <w:szCs w:val="18"/>
                  <w:u w:val="single" w:color="auto"/>
                  <w:color w:val="0000EE"/>
                  <w:w w:val="95"/>
                </w:rPr>
                <w:t>10.4</w:t>
              </w:r>
            </w:hyperlink>
            <w:r>
              <w:rPr>
                <w:rFonts w:ascii="Arial" w:cs="Arial" w:eastAsia="Arial" w:hAnsi="Arial"/>
                <w:sz w:val="18"/>
                <w:szCs w:val="18"/>
                <w:color w:val="000000"/>
                <w:w w:val="95"/>
              </w:rPr>
              <w:t>*</w:t>
            </w:r>
          </w:p>
        </w:tc>
        <w:tc>
          <w:tcPr>
            <w:tcW w:w="400" w:type="dxa"/>
            <w:vAlign w:val="bottom"/>
          </w:tcPr>
          <w:p>
            <w:pPr>
              <w:spacing w:after="0"/>
              <w:rPr>
                <w:sz w:val="18"/>
                <w:szCs w:val="18"/>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Patent License Agreement, dated as of February 15, 2021 by and between the Company and Technip Energies</w:t>
            </w:r>
          </w:p>
        </w:tc>
      </w:tr>
      <w:tr>
        <w:trPr>
          <w:trHeight w:val="216"/>
        </w:trPr>
        <w:tc>
          <w:tcPr>
            <w:tcW w:w="980" w:type="dxa"/>
            <w:vAlign w:val="bottom"/>
          </w:tcPr>
          <w:p>
            <w:pPr>
              <w:jc w:val="center"/>
              <w:spacing w:after="0"/>
              <w:rPr>
                <w:rFonts w:ascii="Arial" w:cs="Arial" w:eastAsia="Arial" w:hAnsi="Arial"/>
                <w:sz w:val="18"/>
                <w:szCs w:val="18"/>
                <w:color w:val="0000EE"/>
                <w:w w:val="95"/>
              </w:rPr>
            </w:pPr>
            <w:hyperlink w:anchor="page160">
              <w:r>
                <w:rPr>
                  <w:rFonts w:ascii="Arial" w:cs="Arial" w:eastAsia="Arial" w:hAnsi="Arial"/>
                  <w:sz w:val="18"/>
                  <w:szCs w:val="18"/>
                  <w:u w:val="single" w:color="auto"/>
                  <w:color w:val="0000EE"/>
                  <w:w w:val="95"/>
                </w:rPr>
                <w:t>10.5</w:t>
              </w:r>
            </w:hyperlink>
            <w:r>
              <w:rPr>
                <w:rFonts w:ascii="Arial" w:cs="Arial" w:eastAsia="Arial" w:hAnsi="Arial"/>
                <w:sz w:val="18"/>
                <w:szCs w:val="18"/>
                <w:color w:val="000000"/>
                <w:w w:val="95"/>
              </w:rPr>
              <w:t>*</w:t>
            </w:r>
          </w:p>
        </w:tc>
        <w:tc>
          <w:tcPr>
            <w:tcW w:w="400" w:type="dxa"/>
            <w:vAlign w:val="bottom"/>
          </w:tcPr>
          <w:p>
            <w:pPr>
              <w:spacing w:after="0"/>
              <w:rPr>
                <w:sz w:val="18"/>
                <w:szCs w:val="18"/>
                <w:color w:val="auto"/>
              </w:rPr>
            </w:pPr>
          </w:p>
        </w:tc>
        <w:tc>
          <w:tcPr>
            <w:tcW w:w="9860" w:type="dxa"/>
            <w:vAlign w:val="bottom"/>
          </w:tcPr>
          <w:p>
            <w:pPr>
              <w:spacing w:after="0"/>
              <w:rPr>
                <w:sz w:val="20"/>
                <w:szCs w:val="20"/>
                <w:color w:val="auto"/>
              </w:rPr>
            </w:pPr>
            <w:r>
              <w:rPr>
                <w:rFonts w:ascii="Arial" w:cs="Arial" w:eastAsia="Arial" w:hAnsi="Arial"/>
                <w:sz w:val="18"/>
                <w:szCs w:val="18"/>
                <w:color w:val="auto"/>
                <w:w w:val="92"/>
              </w:rPr>
              <w:t>Coexistence and Trademark Matters Agreement, dated as of February 15, 2021 by and between the Company and Technip Energies</w:t>
            </w:r>
          </w:p>
        </w:tc>
      </w:tr>
      <w:tr>
        <w:trPr>
          <w:trHeight w:val="216"/>
        </w:trPr>
        <w:tc>
          <w:tcPr>
            <w:tcW w:w="980" w:type="dxa"/>
            <w:vAlign w:val="bottom"/>
          </w:tcPr>
          <w:p>
            <w:pPr>
              <w:jc w:val="center"/>
              <w:spacing w:after="0"/>
              <w:rPr>
                <w:rFonts w:ascii="Arial" w:cs="Arial" w:eastAsia="Arial" w:hAnsi="Arial"/>
                <w:sz w:val="18"/>
                <w:szCs w:val="18"/>
                <w:color w:val="0000EE"/>
                <w:w w:val="95"/>
              </w:rPr>
            </w:pPr>
            <w:hyperlink w:anchor="page178">
              <w:r>
                <w:rPr>
                  <w:rFonts w:ascii="Arial" w:cs="Arial" w:eastAsia="Arial" w:hAnsi="Arial"/>
                  <w:sz w:val="18"/>
                  <w:szCs w:val="18"/>
                  <w:u w:val="single" w:color="auto"/>
                  <w:color w:val="0000EE"/>
                  <w:w w:val="95"/>
                </w:rPr>
                <w:t>10.6</w:t>
              </w:r>
            </w:hyperlink>
            <w:r>
              <w:rPr>
                <w:rFonts w:ascii="Arial" w:cs="Arial" w:eastAsia="Arial" w:hAnsi="Arial"/>
                <w:sz w:val="18"/>
                <w:szCs w:val="18"/>
                <w:color w:val="000000"/>
                <w:w w:val="95"/>
              </w:rPr>
              <w:t>*</w:t>
            </w:r>
          </w:p>
        </w:tc>
        <w:tc>
          <w:tcPr>
            <w:tcW w:w="400" w:type="dxa"/>
            <w:vAlign w:val="bottom"/>
          </w:tcPr>
          <w:p>
            <w:pPr>
              <w:spacing w:after="0"/>
              <w:rPr>
                <w:sz w:val="18"/>
                <w:szCs w:val="18"/>
                <w:color w:val="auto"/>
              </w:rPr>
            </w:pPr>
          </w:p>
        </w:tc>
        <w:tc>
          <w:tcPr>
            <w:tcW w:w="9860" w:type="dxa"/>
            <w:vAlign w:val="bottom"/>
          </w:tcPr>
          <w:p>
            <w:pPr>
              <w:spacing w:after="0"/>
              <w:rPr>
                <w:sz w:val="20"/>
                <w:szCs w:val="20"/>
                <w:color w:val="auto"/>
              </w:rPr>
            </w:pPr>
            <w:r>
              <w:rPr>
                <w:rFonts w:ascii="Arial" w:cs="Arial" w:eastAsia="Arial" w:hAnsi="Arial"/>
                <w:sz w:val="18"/>
                <w:szCs w:val="18"/>
                <w:color w:val="auto"/>
                <w:w w:val="92"/>
              </w:rPr>
              <w:t>Credit Agreement, dated February 16, 2021, by and among JPMorgan Chase Bank, N.A., Citigroup Global Markets Inc. or an affiliate,</w:t>
            </w:r>
          </w:p>
        </w:tc>
      </w:tr>
      <w:tr>
        <w:trPr>
          <w:trHeight w:val="216"/>
        </w:trPr>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60" w:type="dxa"/>
            <w:vAlign w:val="bottom"/>
          </w:tcPr>
          <w:p>
            <w:pPr>
              <w:spacing w:after="0"/>
              <w:rPr>
                <w:sz w:val="20"/>
                <w:szCs w:val="20"/>
                <w:color w:val="auto"/>
              </w:rPr>
            </w:pPr>
            <w:r>
              <w:rPr>
                <w:rFonts w:ascii="Arial" w:cs="Arial" w:eastAsia="Arial" w:hAnsi="Arial"/>
                <w:sz w:val="18"/>
                <w:szCs w:val="18"/>
                <w:color w:val="auto"/>
                <w:w w:val="96"/>
              </w:rPr>
              <w:t>DNB Capital, LLC or an affiliate, Société Générale, Sumitomo Mitsui Banking Corporation, Wells Fargo Securities, LLC and BofA</w:t>
            </w:r>
          </w:p>
        </w:tc>
      </w:tr>
      <w:tr>
        <w:trPr>
          <w:trHeight w:val="216"/>
        </w:trPr>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60" w:type="dxa"/>
            <w:vAlign w:val="bottom"/>
          </w:tcPr>
          <w:p>
            <w:pPr>
              <w:spacing w:after="0"/>
              <w:rPr>
                <w:sz w:val="20"/>
                <w:szCs w:val="20"/>
                <w:color w:val="auto"/>
              </w:rPr>
            </w:pPr>
            <w:r>
              <w:rPr>
                <w:rFonts w:ascii="Arial" w:cs="Arial" w:eastAsia="Arial" w:hAnsi="Arial"/>
                <w:sz w:val="18"/>
                <w:szCs w:val="18"/>
                <w:color w:val="auto"/>
                <w:w w:val="94"/>
              </w:rPr>
              <w:t>Securities, Inc., collectively, as lead arrangers, JPMorgan Chase Bank, N.A., as administrative agent, Standard Chartered Bank, as</w:t>
            </w:r>
          </w:p>
        </w:tc>
      </w:tr>
      <w:tr>
        <w:trPr>
          <w:trHeight w:val="216"/>
        </w:trPr>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documentation agent, and the lenders party thereto</w:t>
            </w:r>
          </w:p>
        </w:tc>
      </w:tr>
      <w:tr>
        <w:trPr>
          <w:trHeight w:val="216"/>
        </w:trPr>
        <w:tc>
          <w:tcPr>
            <w:tcW w:w="980" w:type="dxa"/>
            <w:vAlign w:val="bottom"/>
          </w:tcPr>
          <w:p>
            <w:pPr>
              <w:jc w:val="center"/>
              <w:spacing w:after="0"/>
              <w:rPr>
                <w:rFonts w:ascii="Arial" w:cs="Arial" w:eastAsia="Arial" w:hAnsi="Arial"/>
                <w:sz w:val="18"/>
                <w:szCs w:val="18"/>
                <w:u w:val="single" w:color="auto"/>
                <w:color w:val="0000EE"/>
                <w:w w:val="91"/>
              </w:rPr>
            </w:pPr>
            <w:hyperlink w:anchor="page353">
              <w:r>
                <w:rPr>
                  <w:rFonts w:ascii="Arial" w:cs="Arial" w:eastAsia="Arial" w:hAnsi="Arial"/>
                  <w:sz w:val="18"/>
                  <w:szCs w:val="18"/>
                  <w:u w:val="single" w:color="auto"/>
                  <w:color w:val="0000EE"/>
                  <w:w w:val="91"/>
                </w:rPr>
                <w:t>99.1</w:t>
              </w:r>
            </w:hyperlink>
          </w:p>
        </w:tc>
        <w:tc>
          <w:tcPr>
            <w:tcW w:w="400" w:type="dxa"/>
            <w:vAlign w:val="bottom"/>
          </w:tcPr>
          <w:p>
            <w:pPr>
              <w:spacing w:after="0"/>
              <w:rPr>
                <w:sz w:val="18"/>
                <w:szCs w:val="18"/>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News Release issued by the Company and Technip Energies, dated February 15, 2021</w:t>
            </w:r>
          </w:p>
        </w:tc>
      </w:tr>
      <w:tr>
        <w:trPr>
          <w:trHeight w:val="216"/>
        </w:trPr>
        <w:tc>
          <w:tcPr>
            <w:tcW w:w="980" w:type="dxa"/>
            <w:vAlign w:val="bottom"/>
          </w:tcPr>
          <w:p>
            <w:pPr>
              <w:jc w:val="center"/>
              <w:spacing w:after="0"/>
              <w:rPr>
                <w:rFonts w:ascii="Arial" w:cs="Arial" w:eastAsia="Arial" w:hAnsi="Arial"/>
                <w:sz w:val="18"/>
                <w:szCs w:val="18"/>
                <w:u w:val="single" w:color="auto"/>
                <w:color w:val="0000EE"/>
                <w:w w:val="91"/>
              </w:rPr>
            </w:pPr>
            <w:hyperlink w:anchor="page356">
              <w:r>
                <w:rPr>
                  <w:rFonts w:ascii="Arial" w:cs="Arial" w:eastAsia="Arial" w:hAnsi="Arial"/>
                  <w:sz w:val="18"/>
                  <w:szCs w:val="18"/>
                  <w:u w:val="single" w:color="auto"/>
                  <w:color w:val="0000EE"/>
                  <w:w w:val="91"/>
                </w:rPr>
                <w:t>99.2</w:t>
              </w:r>
            </w:hyperlink>
          </w:p>
        </w:tc>
        <w:tc>
          <w:tcPr>
            <w:tcW w:w="400" w:type="dxa"/>
            <w:vAlign w:val="bottom"/>
          </w:tcPr>
          <w:p>
            <w:pPr>
              <w:spacing w:after="0"/>
              <w:rPr>
                <w:sz w:val="18"/>
                <w:szCs w:val="18"/>
                <w:color w:val="auto"/>
              </w:rPr>
            </w:pPr>
          </w:p>
        </w:tc>
        <w:tc>
          <w:tcPr>
            <w:tcW w:w="9860" w:type="dxa"/>
            <w:vAlign w:val="bottom"/>
          </w:tcPr>
          <w:p>
            <w:pPr>
              <w:spacing w:after="0"/>
              <w:rPr>
                <w:sz w:val="20"/>
                <w:szCs w:val="20"/>
                <w:color w:val="auto"/>
              </w:rPr>
            </w:pPr>
            <w:r>
              <w:rPr>
                <w:rFonts w:ascii="Arial" w:cs="Arial" w:eastAsia="Arial" w:hAnsi="Arial"/>
                <w:sz w:val="18"/>
                <w:szCs w:val="18"/>
                <w:color w:val="auto"/>
                <w:w w:val="90"/>
              </w:rPr>
              <w:t>Unaudited pro forma condensed consolidated statements of income for the nine months ended September 30, 2020 and the years ended</w:t>
            </w:r>
          </w:p>
        </w:tc>
      </w:tr>
      <w:tr>
        <w:trPr>
          <w:trHeight w:val="216"/>
        </w:trPr>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60" w:type="dxa"/>
            <w:vAlign w:val="bottom"/>
          </w:tcPr>
          <w:p>
            <w:pPr>
              <w:spacing w:after="0"/>
              <w:rPr>
                <w:sz w:val="20"/>
                <w:szCs w:val="20"/>
                <w:color w:val="auto"/>
              </w:rPr>
            </w:pPr>
            <w:r>
              <w:rPr>
                <w:rFonts w:ascii="Arial" w:cs="Arial" w:eastAsia="Arial" w:hAnsi="Arial"/>
                <w:sz w:val="18"/>
                <w:szCs w:val="18"/>
                <w:color w:val="auto"/>
                <w:w w:val="93"/>
              </w:rPr>
              <w:t>December 31, 2019, 2018 and 2017, and the unaudited pro forma condensed consolidated balance sheet as of September 30, 2020</w:t>
            </w:r>
          </w:p>
        </w:tc>
      </w:tr>
      <w:tr>
        <w:trPr>
          <w:trHeight w:val="230"/>
        </w:trPr>
        <w:tc>
          <w:tcPr>
            <w:tcW w:w="980" w:type="dxa"/>
            <w:vAlign w:val="bottom"/>
          </w:tcPr>
          <w:p>
            <w:pPr>
              <w:jc w:val="center"/>
              <w:spacing w:after="0"/>
              <w:rPr>
                <w:sz w:val="20"/>
                <w:szCs w:val="20"/>
                <w:color w:val="auto"/>
              </w:rPr>
            </w:pPr>
            <w:r>
              <w:rPr>
                <w:rFonts w:ascii="Arial" w:cs="Arial" w:eastAsia="Arial" w:hAnsi="Arial"/>
                <w:sz w:val="18"/>
                <w:szCs w:val="18"/>
                <w:color w:val="auto"/>
                <w:w w:val="86"/>
              </w:rPr>
              <w:t>104</w:t>
            </w:r>
          </w:p>
        </w:tc>
        <w:tc>
          <w:tcPr>
            <w:tcW w:w="400" w:type="dxa"/>
            <w:vAlign w:val="bottom"/>
          </w:tcPr>
          <w:p>
            <w:pPr>
              <w:spacing w:after="0"/>
              <w:rPr>
                <w:sz w:val="20"/>
                <w:szCs w:val="20"/>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Inline XBRL for the cover page of this Current Report on Form 8-K</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schedules and annexes have been omitted pursuant to Item 601(b)(2) of Regulation S-K and will be provided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The Company plc</w:t>
            </w:r>
          </w:p>
        </w:tc>
        <w:tc>
          <w:tcPr>
            <w:tcW w:w="1120" w:type="dxa"/>
            <w:vAlign w:val="bottom"/>
          </w:tcPr>
          <w:p>
            <w:pPr>
              <w:spacing w:after="0"/>
              <w:rPr>
                <w:sz w:val="20"/>
                <w:szCs w:val="20"/>
                <w:color w:val="auto"/>
              </w:rPr>
            </w:pPr>
          </w:p>
        </w:tc>
      </w:tr>
      <w:tr>
        <w:trPr>
          <w:trHeight w:val="668"/>
        </w:trPr>
        <w:tc>
          <w:tcPr>
            <w:tcW w:w="2820" w:type="dxa"/>
            <w:vAlign w:val="bottom"/>
          </w:tcPr>
          <w:p>
            <w:pPr>
              <w:spacing w:after="0"/>
              <w:rPr>
                <w:sz w:val="24"/>
                <w:szCs w:val="24"/>
                <w:color w:val="auto"/>
              </w:rPr>
            </w:pPr>
          </w:p>
        </w:tc>
        <w:tc>
          <w:tcPr>
            <w:tcW w:w="7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Alf Melin</w:t>
            </w:r>
          </w:p>
        </w:tc>
        <w:tc>
          <w:tcPr>
            <w:tcW w:w="1120" w:type="dxa"/>
            <w:vAlign w:val="bottom"/>
          </w:tcPr>
          <w:p>
            <w:pPr>
              <w:spacing w:after="0"/>
              <w:rPr>
                <w:sz w:val="24"/>
                <w:szCs w:val="24"/>
                <w:color w:val="auto"/>
              </w:rPr>
            </w:pPr>
          </w:p>
        </w:tc>
      </w:tr>
      <w:tr>
        <w:trPr>
          <w:trHeight w:val="202"/>
        </w:trPr>
        <w:tc>
          <w:tcPr>
            <w:tcW w:w="2820" w:type="dxa"/>
            <w:vAlign w:val="bottom"/>
          </w:tcPr>
          <w:p>
            <w:pPr>
              <w:spacing w:after="0" w:line="201" w:lineRule="exact"/>
              <w:rPr>
                <w:sz w:val="20"/>
                <w:szCs w:val="20"/>
                <w:color w:val="auto"/>
              </w:rPr>
            </w:pPr>
            <w:r>
              <w:rPr>
                <w:rFonts w:ascii="Arial" w:cs="Arial" w:eastAsia="Arial" w:hAnsi="Arial"/>
                <w:sz w:val="18"/>
                <w:szCs w:val="18"/>
                <w:color w:val="auto"/>
              </w:rPr>
              <w:t>Dated: February 16, 2021</w:t>
            </w:r>
          </w:p>
        </w:tc>
        <w:tc>
          <w:tcPr>
            <w:tcW w:w="7300" w:type="dxa"/>
            <w:vAlign w:val="bottom"/>
          </w:tcPr>
          <w:p>
            <w:pPr>
              <w:spacing w:after="0" w:line="201" w:lineRule="exact"/>
              <w:rPr>
                <w:sz w:val="20"/>
                <w:szCs w:val="20"/>
                <w:color w:val="auto"/>
              </w:rPr>
            </w:pPr>
            <w:r>
              <w:rPr>
                <w:rFonts w:ascii="Arial" w:cs="Arial" w:eastAsia="Arial" w:hAnsi="Arial"/>
                <w:sz w:val="18"/>
                <w:szCs w:val="18"/>
                <w:color w:val="auto"/>
              </w:rPr>
              <w:t>Name: Alf Melin</w:t>
            </w:r>
          </w:p>
        </w:tc>
        <w:tc>
          <w:tcPr>
            <w:tcW w:w="1120" w:type="dxa"/>
            <w:vAlign w:val="bottom"/>
          </w:tcPr>
          <w:p>
            <w:pPr>
              <w:spacing w:after="0"/>
              <w:rPr>
                <w:sz w:val="17"/>
                <w:szCs w:val="17"/>
                <w:color w:val="auto"/>
              </w:rPr>
            </w:pPr>
          </w:p>
        </w:tc>
      </w:tr>
      <w:tr>
        <w:trPr>
          <w:trHeight w:val="230"/>
        </w:trPr>
        <w:tc>
          <w:tcPr>
            <w:tcW w:w="2820" w:type="dxa"/>
            <w:vAlign w:val="bottom"/>
          </w:tcPr>
          <w:p>
            <w:pPr>
              <w:spacing w:after="0"/>
              <w:rPr>
                <w:sz w:val="20"/>
                <w:szCs w:val="20"/>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Title: Executive Vice President and Chief Financial Officer</w:t>
            </w:r>
          </w:p>
        </w:tc>
        <w:tc>
          <w:tcPr>
            <w:tcW w:w="1120" w:type="dxa"/>
            <w:vAlign w:val="bottom"/>
          </w:tcPr>
          <w:p>
            <w:pPr>
              <w:spacing w:after="0"/>
              <w:rPr>
                <w:sz w:val="20"/>
                <w:szCs w:val="20"/>
                <w:color w:val="auto"/>
              </w:rPr>
            </w:pPr>
          </w:p>
        </w:tc>
      </w:tr>
      <w:tr>
        <w:trPr>
          <w:trHeight w:val="358"/>
        </w:trPr>
        <w:tc>
          <w:tcPr>
            <w:tcW w:w="2820" w:type="dxa"/>
            <w:vAlign w:val="bottom"/>
            <w:tcBorders>
              <w:bottom w:val="single" w:sz="8" w:color="auto"/>
            </w:tcBorders>
          </w:tcPr>
          <w:p>
            <w:pPr>
              <w:spacing w:after="0"/>
              <w:rPr>
                <w:sz w:val="24"/>
                <w:szCs w:val="24"/>
                <w:color w:val="auto"/>
              </w:rPr>
            </w:pPr>
          </w:p>
        </w:tc>
        <w:tc>
          <w:tcPr>
            <w:tcW w:w="7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4"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4.1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INDENTURE</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Supplemental Indenture and Guarantee, dated as of February 16, 2021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or “</w:t>
      </w:r>
      <w:r>
        <w:rPr>
          <w:rFonts w:ascii="Arial" w:cs="Arial" w:eastAsia="Arial" w:hAnsi="Arial"/>
          <w:sz w:val="18"/>
          <w:szCs w:val="18"/>
          <w:i w:val="1"/>
          <w:iCs w:val="1"/>
          <w:color w:val="auto"/>
        </w:rPr>
        <w:t>Guarantee</w:t>
      </w:r>
      <w:r>
        <w:rPr>
          <w:rFonts w:ascii="Arial" w:cs="Arial" w:eastAsia="Arial" w:hAnsi="Arial"/>
          <w:sz w:val="18"/>
          <w:szCs w:val="18"/>
          <w:color w:val="auto"/>
        </w:rPr>
        <w:t>”), among the companies listed on Schedule I hereto (each, a “</w:t>
      </w:r>
      <w:r>
        <w:rPr>
          <w:rFonts w:ascii="Arial" w:cs="Arial" w:eastAsia="Arial" w:hAnsi="Arial"/>
          <w:sz w:val="18"/>
          <w:szCs w:val="18"/>
          <w:i w:val="1"/>
          <w:iCs w:val="1"/>
          <w:color w:val="auto"/>
        </w:rPr>
        <w:t>New Guarantor</w:t>
      </w:r>
      <w:r>
        <w:rPr>
          <w:rFonts w:ascii="Arial" w:cs="Arial" w:eastAsia="Arial" w:hAnsi="Arial"/>
          <w:sz w:val="18"/>
          <w:szCs w:val="18"/>
          <w:color w:val="auto"/>
        </w:rPr>
        <w:t>”) and U.S. Bank National Association, as Trustee, paying agent and registrar under such Indenture.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the Issuer, the existing Guarantors and the Trustee have heretofore executed and delivered an Indenture, dated as of January 29, 2021 (as amended, supplemented, waived or otherwise modified, the “</w:t>
      </w:r>
      <w:r>
        <w:rPr>
          <w:rFonts w:ascii="Arial" w:cs="Arial" w:eastAsia="Arial" w:hAnsi="Arial"/>
          <w:sz w:val="18"/>
          <w:szCs w:val="18"/>
          <w:i w:val="1"/>
          <w:iCs w:val="1"/>
          <w:color w:val="auto"/>
        </w:rPr>
        <w:t>Indenture</w:t>
      </w:r>
      <w:r>
        <w:rPr>
          <w:rFonts w:ascii="Arial" w:cs="Arial" w:eastAsia="Arial" w:hAnsi="Arial"/>
          <w:sz w:val="18"/>
          <w:szCs w:val="18"/>
          <w:color w:val="auto"/>
        </w:rPr>
        <w:t>”), providing for the issuance of an unlimited aggregate principal amount 6.500% Senior Notes due 2026 of the Issuer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WHEREAS, </w:t>
      </w:r>
      <w:r>
        <w:rPr>
          <w:rFonts w:ascii="Arial" w:cs="Arial" w:eastAsia="Arial" w:hAnsi="Arial"/>
          <w:sz w:val="18"/>
          <w:szCs w:val="18"/>
          <w:u w:val="single" w:color="auto"/>
          <w:color w:val="auto"/>
        </w:rPr>
        <w:t>Section 4.15</w:t>
      </w:r>
      <w:r>
        <w:rPr>
          <w:rFonts w:ascii="Arial" w:cs="Arial" w:eastAsia="Arial" w:hAnsi="Arial"/>
          <w:sz w:val="18"/>
          <w:szCs w:val="18"/>
          <w:color w:val="auto"/>
        </w:rPr>
        <w:t xml:space="preserve"> of the Indenture provides that the Issuer will cause any Restricted Subsidiary of the Issuer that is not an existing Guarantor that guarantees certain Indebtedness as described therein, to execute and deliver a Guarantee with respect to the Notes on the same terms and conditions as those set forth in the Indenture.</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WHEREAS, pursuant to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of the Indenture, the Trustee is authorized to execute and deliver this Supplemental Indenture to amend the Indenture, without the consent of any Holder to add an additional Guarantor.</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each New Guarantor and the Trustee mutually covenant and agree for the equal and ratable benefit of the Holders as follows:</w:t>
      </w:r>
    </w:p>
    <w:p>
      <w:pPr>
        <w:spacing w:after="0" w:line="19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u w:val="single" w:color="auto"/>
          <w:color w:val="auto"/>
        </w:rPr>
        <w:t>Definitions</w:t>
      </w:r>
    </w:p>
    <w:p>
      <w:pPr>
        <w:spacing w:after="0" w:line="265" w:lineRule="exact"/>
        <w:rPr>
          <w:sz w:val="20"/>
          <w:szCs w:val="20"/>
          <w:color w:val="auto"/>
        </w:rPr>
      </w:pPr>
    </w:p>
    <w:p>
      <w:pPr>
        <w:ind w:left="660"/>
        <w:spacing w:after="0"/>
        <w:tabs>
          <w:tab w:leader="none" w:pos="234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Defined Terms</w:t>
      </w:r>
      <w:r>
        <w:rPr>
          <w:rFonts w:ascii="Arial" w:cs="Arial" w:eastAsia="Arial" w:hAnsi="Arial"/>
          <w:sz w:val="16"/>
          <w:szCs w:val="16"/>
          <w:color w:val="auto"/>
        </w:rPr>
        <w:t>. As used in this Supplemental Indenture, capitalized terms defined in the Indenture or in the preamble or</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recitals thereto are used herein as therein defined. The words “herein,” “hereof” and “hereby” and other words of similar import used in this Supplemental Indenture refer to this Supplemental Indenture as a whole and not to any particular section hereof.</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 to be Bound; Guarantee</w:t>
      </w:r>
    </w:p>
    <w:p>
      <w:pPr>
        <w:spacing w:after="0" w:line="26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Agreement to be Bound</w:t>
      </w:r>
      <w:r>
        <w:rPr>
          <w:rFonts w:ascii="Arial" w:cs="Arial" w:eastAsia="Arial" w:hAnsi="Arial"/>
          <w:sz w:val="17"/>
          <w:szCs w:val="17"/>
          <w:color w:val="auto"/>
        </w:rPr>
        <w:t>. Each New Guarantor hereby becomes a party to the Indenture as a Guarantor and as such shall have all of the rights and be subject to all of the obligations and agreements of a Guarantor under the Indenture, including Article X thereof.</w:t>
      </w:r>
    </w:p>
    <w:p>
      <w:pPr>
        <w:spacing w:after="0" w:line="17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u w:val="single" w:color="auto"/>
          <w:color w:val="auto"/>
        </w:rPr>
        <w:t>Miscellaneous</w:t>
      </w:r>
    </w:p>
    <w:p>
      <w:pPr>
        <w:spacing w:after="0" w:line="2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Supplemental Indenture shall be governed by, and construed in accordance with, the laws of the State of New York.</w:t>
      </w:r>
    </w:p>
    <w:p>
      <w:pPr>
        <w:spacing w:after="0" w:line="2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Severability Clause</w:t>
      </w:r>
      <w:r>
        <w:rPr>
          <w:rFonts w:ascii="Arial" w:cs="Arial" w:eastAsia="Arial" w:hAnsi="Arial"/>
          <w:sz w:val="18"/>
          <w:szCs w:val="18"/>
          <w:color w:val="auto"/>
        </w:rPr>
        <w:t>. In case any provision in this Supplemental Indenture shall be invalid, illegal or unenforceable, the validity, legality and enforceability of the remaining provisions shall not in any way be affected or impaired thereby and such provision shall be ineffective only to the extent of such invalidity, illegality or unenforceability.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9" w:name="page10"/>
    <w:bookmarkEnd w:id="9"/>
    <w:p>
      <w:pPr>
        <w:jc w:val="both"/>
        <w:ind w:firstLine="648"/>
        <w:spacing w:after="0" w:line="254"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Ratification of Indenture; Supplemental Indentures Part of Indenture; No Liability of Trustee</w:t>
      </w:r>
      <w:r>
        <w:rPr>
          <w:rFonts w:ascii="Arial" w:cs="Arial" w:eastAsia="Arial" w:hAnsi="Arial"/>
          <w:sz w:val="18"/>
          <w:szCs w:val="18"/>
          <w:color w:val="auto"/>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a Note heretofore or hereafter authenticated and delivered shall be bound hereby. The Trustee makes no representation or warranty as to the validity or sufficiency of this Supplemental Indenture or each New Guarantor’s Guarantee. Additionally, the Trustee shall not be responsible in any manner whatsoever for or with respect to any of the recitals or statements contained herein, all of which recitals or statements are made solely by each New Guarantor and the Trustee makes no representation with respect to any such matters.</w:t>
      </w:r>
    </w:p>
    <w:p>
      <w:pPr>
        <w:spacing w:after="0" w:line="24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SECTION 3.4 </w:t>
      </w:r>
      <w:r>
        <w:rPr>
          <w:rFonts w:ascii="Arial" w:cs="Arial" w:eastAsia="Arial" w:hAnsi="Arial"/>
          <w:sz w:val="16"/>
          <w:szCs w:val="16"/>
          <w:u w:val="single" w:color="auto"/>
          <w:color w:val="auto"/>
        </w:rPr>
        <w:t>Counterparts</w:t>
      </w:r>
      <w:r>
        <w:rPr>
          <w:rFonts w:ascii="Arial" w:cs="Arial" w:eastAsia="Arial" w:hAnsi="Arial"/>
          <w:sz w:val="16"/>
          <w:szCs w:val="16"/>
          <w:color w:val="auto"/>
        </w:rPr>
        <w:t>. This Supplemental Indenture may be executed in two or more counterparts, which when so executed shall constitute one and the same agreement. The exchange of copies of this Supplemental Indenture and of signature pages by facsimile or PDF transmission shall constitute effective execution and delivery of this Supplemental Indenture as to the parties hereto and may be used in lieu of the original Indenture for all purposes. Signatures of the parties hereto transmitted by facsimile or PDF shall be deemed to be their original signatures for all purposes. The words “execution,” “signed,”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21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Articles and the sections in this Guarantee are for convenience of reference only and shall not be deemed to alter or affect the meaning or interpretation of any provisions hereof.</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10" w:name="page11"/>
    <w:bookmarkEnd w:id="10"/>
    <w:p>
      <w:pPr>
        <w:ind w:left="660"/>
        <w:spacing w:after="0"/>
        <w:rPr>
          <w:sz w:val="20"/>
          <w:szCs w:val="20"/>
          <w:color w:val="auto"/>
        </w:rPr>
      </w:pPr>
      <w:r>
        <w:rPr>
          <w:rFonts w:ascii="Arial" w:cs="Arial" w:eastAsia="Arial" w:hAnsi="Arial"/>
          <w:sz w:val="17"/>
          <w:szCs w:val="17"/>
          <w:color w:val="auto"/>
        </w:rPr>
        <w:t>IN WITNESS WHEREOF, the parties hereto have caused this Supplemental Indenture to be duly executed as of the date first above written.</w:t>
      </w:r>
    </w:p>
    <w:p>
      <w:pPr>
        <w:spacing w:after="0" w:line="23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U.S. BANK NATIONAL ASSOCIATION</w:t>
      </w:r>
      <w:r>
        <w:rPr>
          <w:rFonts w:ascii="Arial" w:cs="Arial" w:eastAsia="Arial" w:hAnsi="Arial"/>
          <w:sz w:val="18"/>
          <w:szCs w:val="18"/>
          <w:color w:val="auto"/>
        </w:rPr>
        <w:t>, as Trustee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00" w:type="dxa"/>
            <w:vAlign w:val="bottom"/>
          </w:tcPr>
          <w:p>
            <w:pPr>
              <w:ind w:left="56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K. Herberger</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Michael K. Herberger</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r>
      <w:tr>
        <w:trPr>
          <w:trHeight w:val="466"/>
        </w:trPr>
        <w:tc>
          <w:tcPr>
            <w:tcW w:w="63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8" w:right="339" w:bottom="1440" w:gutter="0" w:footer="0" w:header="0"/>
        </w:sectPr>
      </w:pPr>
    </w:p>
    <w:bookmarkStart w:id="11" w:name="page12"/>
    <w:bookmarkEnd w:id="11"/>
    <w:p>
      <w:pPr>
        <w:ind w:left="660"/>
        <w:spacing w:after="0"/>
        <w:rPr>
          <w:sz w:val="20"/>
          <w:szCs w:val="20"/>
          <w:color w:val="auto"/>
        </w:rPr>
      </w:pPr>
      <w:r>
        <w:rPr>
          <w:rFonts w:ascii="Arial" w:cs="Arial" w:eastAsia="Arial" w:hAnsi="Arial"/>
          <w:sz w:val="17"/>
          <w:szCs w:val="17"/>
          <w:color w:val="auto"/>
        </w:rPr>
        <w:t>IN WITNESS WHEREOF, the parties hereto have caused this Supplemental Indenture to be duly executed as of the date first above written.</w:t>
      </w:r>
    </w:p>
    <w:p>
      <w:pPr>
        <w:spacing w:after="0" w:line="23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FMC Technologies do Brasil Ltda.</w:t>
      </w:r>
      <w:r>
        <w:rPr>
          <w:rFonts w:ascii="Arial" w:cs="Arial" w:eastAsia="Arial" w:hAnsi="Arial"/>
          <w:sz w:val="18"/>
          <w:szCs w:val="18"/>
          <w:color w:val="auto"/>
        </w:rPr>
        <w:t>, as a Guarantor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00" w:type="dxa"/>
            <w:vAlign w:val="bottom"/>
          </w:tcPr>
          <w:p>
            <w:pPr>
              <w:ind w:left="56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Aparecido Marques Pereira</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Aparecido Marques Pereira</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Administrator</w:t>
            </w:r>
          </w:p>
        </w:tc>
      </w:tr>
      <w:tr>
        <w:trPr>
          <w:trHeight w:val="655"/>
        </w:trPr>
        <w:tc>
          <w:tcPr>
            <w:tcW w:w="6300" w:type="dxa"/>
            <w:vAlign w:val="bottom"/>
          </w:tcPr>
          <w:p>
            <w:pPr>
              <w:ind w:left="56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Luana Duffe</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Luana Duffe</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Administrator</w:t>
            </w:r>
          </w:p>
        </w:tc>
      </w:tr>
      <w:tr>
        <w:trPr>
          <w:trHeight w:val="425"/>
        </w:trPr>
        <w:tc>
          <w:tcPr>
            <w:tcW w:w="63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8" w:right="339" w:bottom="1440" w:gutter="0" w:footer="0" w:header="0"/>
        </w:sectPr>
      </w:pPr>
    </w:p>
    <w:bookmarkStart w:id="12" w:name="page13"/>
    <w:bookmarkEnd w:id="12"/>
    <w:p>
      <w:pPr>
        <w:ind w:left="660"/>
        <w:spacing w:after="0"/>
        <w:rPr>
          <w:sz w:val="20"/>
          <w:szCs w:val="20"/>
          <w:color w:val="auto"/>
        </w:rPr>
      </w:pPr>
      <w:r>
        <w:rPr>
          <w:rFonts w:ascii="Arial" w:cs="Arial" w:eastAsia="Arial" w:hAnsi="Arial"/>
          <w:sz w:val="17"/>
          <w:szCs w:val="17"/>
          <w:color w:val="auto"/>
        </w:rPr>
        <w:t>IN WITNESS WHEREOF, the parties hereto have caused this Supplemental Indenture to be duly executed as of the date first above written.</w:t>
      </w:r>
    </w:p>
    <w:p>
      <w:pPr>
        <w:spacing w:after="0" w:line="237"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auto"/>
        </w:rPr>
        <w:t xml:space="preserve">GLBL Brasil Oleodutos e Serviços Ltda., </w:t>
      </w:r>
      <w:r>
        <w:rPr>
          <w:rFonts w:ascii="Arial" w:cs="Arial" w:eastAsia="Arial" w:hAnsi="Arial"/>
          <w:sz w:val="16"/>
          <w:szCs w:val="16"/>
          <w:color w:val="auto"/>
        </w:rPr>
        <w:t>as a Guarantor</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00" w:type="dxa"/>
            <w:vAlign w:val="bottom"/>
          </w:tcPr>
          <w:p>
            <w:pPr>
              <w:ind w:left="56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Luana Duffe</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Luana Duffe</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Administrator</w:t>
            </w:r>
          </w:p>
        </w:tc>
      </w:tr>
      <w:tr>
        <w:trPr>
          <w:trHeight w:val="466"/>
        </w:trPr>
        <w:tc>
          <w:tcPr>
            <w:tcW w:w="63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8" w:right="339" w:bottom="1440" w:gutter="0" w:footer="0" w:header="0"/>
        </w:sectPr>
      </w:pPr>
    </w:p>
    <w:bookmarkStart w:id="13" w:name="page14"/>
    <w:bookmarkEnd w:id="13"/>
    <w:p>
      <w:pPr>
        <w:ind w:left="660"/>
        <w:spacing w:after="0"/>
        <w:rPr>
          <w:sz w:val="20"/>
          <w:szCs w:val="20"/>
          <w:color w:val="auto"/>
        </w:rPr>
      </w:pPr>
      <w:r>
        <w:rPr>
          <w:rFonts w:ascii="Arial" w:cs="Arial" w:eastAsia="Arial" w:hAnsi="Arial"/>
          <w:sz w:val="17"/>
          <w:szCs w:val="17"/>
          <w:color w:val="auto"/>
        </w:rPr>
        <w:t>IN WITNESS WHEREOF, the parties hereto have caused this Supplemental Indenture to be duly executed as of the date first above written.</w:t>
      </w:r>
    </w:p>
    <w:p>
      <w:pPr>
        <w:spacing w:after="0" w:line="23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Technip Brasil Engenharia, Instalações e Apoio</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Marítimo Ltda.</w:t>
      </w:r>
      <w:r>
        <w:rPr>
          <w:rFonts w:ascii="Arial" w:cs="Arial" w:eastAsia="Arial" w:hAnsi="Arial"/>
          <w:sz w:val="18"/>
          <w:szCs w:val="18"/>
          <w:color w:val="auto"/>
        </w:rPr>
        <w:t>, as a Guarantor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00" w:type="dxa"/>
            <w:vAlign w:val="bottom"/>
          </w:tcPr>
          <w:p>
            <w:pPr>
              <w:ind w:left="56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Luana Duffe</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Luana Duffe</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Administrator</w:t>
            </w:r>
          </w:p>
        </w:tc>
      </w:tr>
      <w:tr>
        <w:trPr>
          <w:trHeight w:val="466"/>
        </w:trPr>
        <w:tc>
          <w:tcPr>
            <w:tcW w:w="63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IN WITNESS WHEREOF, the parties hereto have caused this Supplemental Indenture to be duly executed as of the date first above written.</w:t>
      </w: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FMC TECHNOLOGIES GLOBAL B.V.</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TECHNIP OFFSHORE N.V.</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TECHNIP INTERNATIONAL HOLDINGS B.V.</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FMC TECHNOLOGIES B.V.</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FMC TECHNOLOGIES BRAZIL FINANCE B.V.</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TECHNIP HOLDING BENELUX B.V.</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FMC TECHNOLOGIES INTERNATIONAL SERVICES B.V.</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TECHNIPFMC PIPELAYING B.V.</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TECHNIPFMC PLSV C.V.</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TECHNIPFMC CASH B.V.</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TSLP B.V.,</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each as a Guarantor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00" w:type="dxa"/>
            <w:vAlign w:val="bottom"/>
          </w:tcPr>
          <w:p>
            <w:pPr>
              <w:ind w:left="56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Tomas Bille</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Tomas Bille</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Authorised Person</w:t>
            </w:r>
          </w:p>
        </w:tc>
      </w:tr>
      <w:tr>
        <w:trPr>
          <w:trHeight w:val="466"/>
        </w:trPr>
        <w:tc>
          <w:tcPr>
            <w:tcW w:w="63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8" w:right="339" w:bottom="1440" w:gutter="0" w:footer="0" w:header="0"/>
        </w:sectPr>
      </w:pPr>
    </w:p>
    <w:bookmarkStart w:id="15" w:name="page16"/>
    <w:bookmarkEnd w:id="15"/>
    <w:p>
      <w:pPr>
        <w:ind w:left="660"/>
        <w:spacing w:after="0"/>
        <w:rPr>
          <w:sz w:val="20"/>
          <w:szCs w:val="20"/>
          <w:color w:val="auto"/>
        </w:rPr>
      </w:pPr>
      <w:r>
        <w:rPr>
          <w:rFonts w:ascii="Arial" w:cs="Arial" w:eastAsia="Arial" w:hAnsi="Arial"/>
          <w:sz w:val="17"/>
          <w:szCs w:val="17"/>
          <w:color w:val="auto"/>
        </w:rPr>
        <w:t>IN WITNESS WHEREOF, the parties hereto have caused this Supplemental Indenture to be duly executed as of the date first above written.</w:t>
      </w:r>
    </w:p>
    <w:p>
      <w:pPr>
        <w:spacing w:after="0" w:line="200" w:lineRule="exact"/>
        <w:rPr>
          <w:sz w:val="20"/>
          <w:szCs w:val="20"/>
          <w:color w:val="auto"/>
        </w:rPr>
      </w:pPr>
    </w:p>
    <w:p>
      <w:pPr>
        <w:spacing w:after="0" w:line="27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 xml:space="preserve">FMC TECHNOLOGIES SURFACE WELLHEAD B.V. </w:t>
      </w:r>
      <w:r>
        <w:rPr>
          <w:rFonts w:ascii="Arial" w:cs="Arial" w:eastAsia="Arial" w:hAnsi="Arial"/>
          <w:sz w:val="18"/>
          <w:szCs w:val="18"/>
          <w:color w:val="auto"/>
        </w:rPr>
        <w:t>as Guarantor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00" w:type="dxa"/>
            <w:vAlign w:val="bottom"/>
          </w:tcPr>
          <w:p>
            <w:pPr>
              <w:ind w:left="56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Jocelyn Noël</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Jocelyn Noël</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Authorised Person</w:t>
            </w:r>
          </w:p>
        </w:tc>
      </w:tr>
      <w:tr>
        <w:trPr>
          <w:trHeight w:val="425"/>
        </w:trPr>
        <w:tc>
          <w:tcPr>
            <w:tcW w:w="63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1" w:right="339" w:bottom="1440" w:gutter="0" w:footer="0" w:header="0"/>
        </w:sectPr>
      </w:pPr>
    </w:p>
    <w:bookmarkStart w:id="16" w:name="page17"/>
    <w:bookmarkEnd w:id="16"/>
    <w:p>
      <w:pPr>
        <w:ind w:left="660"/>
        <w:spacing w:after="0"/>
        <w:rPr>
          <w:sz w:val="20"/>
          <w:szCs w:val="20"/>
          <w:color w:val="auto"/>
        </w:rPr>
      </w:pPr>
      <w:r>
        <w:rPr>
          <w:rFonts w:ascii="Arial" w:cs="Arial" w:eastAsia="Arial" w:hAnsi="Arial"/>
          <w:sz w:val="17"/>
          <w:szCs w:val="17"/>
          <w:color w:val="auto"/>
        </w:rPr>
        <w:t>IN WITNESS WHEREOF, the parties hereto have caused this Supplemental Indenture to be duly executed as of the date first above written.</w:t>
      </w:r>
    </w:p>
    <w:p>
      <w:pPr>
        <w:spacing w:after="0" w:line="23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TECHNIP SHIPS NETHERLANDS B.V.</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TECHNIPFMC PSLV B.V.</w:t>
      </w:r>
      <w:r>
        <w:rPr>
          <w:rFonts w:ascii="Arial" w:cs="Arial" w:eastAsia="Arial" w:hAnsi="Arial"/>
          <w:sz w:val="18"/>
          <w:szCs w:val="18"/>
          <w:color w:val="auto"/>
        </w:rPr>
        <w: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each as a Guarantor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00" w:type="dxa"/>
            <w:vAlign w:val="bottom"/>
          </w:tcPr>
          <w:p>
            <w:pPr>
              <w:ind w:left="56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Sian Christie</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Sian Christie</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Authorised Person</w:t>
            </w:r>
          </w:p>
        </w:tc>
      </w:tr>
      <w:tr>
        <w:trPr>
          <w:trHeight w:val="466"/>
        </w:trPr>
        <w:tc>
          <w:tcPr>
            <w:tcW w:w="63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1" w:right="339" w:bottom="1440" w:gutter="0" w:footer="0" w:header="0"/>
        </w:sectPr>
      </w:pPr>
    </w:p>
    <w:bookmarkStart w:id="17" w:name="page18"/>
    <w:bookmarkEnd w:id="17"/>
    <w:p>
      <w:pPr>
        <w:ind w:left="660"/>
        <w:spacing w:after="0"/>
        <w:rPr>
          <w:sz w:val="20"/>
          <w:szCs w:val="20"/>
          <w:color w:val="auto"/>
        </w:rPr>
      </w:pPr>
      <w:r>
        <w:rPr>
          <w:rFonts w:ascii="Arial" w:cs="Arial" w:eastAsia="Arial" w:hAnsi="Arial"/>
          <w:sz w:val="17"/>
          <w:szCs w:val="17"/>
          <w:color w:val="auto"/>
        </w:rPr>
        <w:t>IN WITNESS WHEREOF, the parties hereto have caused this Supplemental Indenture to be duly executed as of the date first above written.</w:t>
      </w:r>
    </w:p>
    <w:p>
      <w:pPr>
        <w:spacing w:after="0" w:line="23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FMC SEPARATION SYSTEMS B.V.</w:t>
      </w:r>
      <w:r>
        <w:rPr>
          <w:rFonts w:ascii="Arial" w:cs="Arial" w:eastAsia="Arial" w:hAnsi="Arial"/>
          <w:sz w:val="18"/>
          <w:szCs w:val="18"/>
          <w:color w:val="auto"/>
        </w:rPr>
        <w:t>, as a Guarantor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00" w:type="dxa"/>
            <w:vAlign w:val="bottom"/>
          </w:tcPr>
          <w:p>
            <w:pPr>
              <w:ind w:left="56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Mohamed Reda Akdim</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Mohamed Reda Akdim</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Authorised Person</w:t>
            </w:r>
          </w:p>
        </w:tc>
      </w:tr>
      <w:tr>
        <w:trPr>
          <w:trHeight w:val="466"/>
        </w:trPr>
        <w:tc>
          <w:tcPr>
            <w:tcW w:w="63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8" w:right="339" w:bottom="1440" w:gutter="0" w:footer="0" w:header="0"/>
        </w:sectPr>
      </w:pPr>
    </w:p>
    <w:bookmarkStart w:id="18" w:name="page19"/>
    <w:bookmarkEnd w:id="18"/>
    <w:p>
      <w:pPr>
        <w:ind w:left="660"/>
        <w:spacing w:after="0"/>
        <w:rPr>
          <w:sz w:val="20"/>
          <w:szCs w:val="20"/>
          <w:color w:val="auto"/>
        </w:rPr>
      </w:pPr>
      <w:r>
        <w:rPr>
          <w:rFonts w:ascii="Arial" w:cs="Arial" w:eastAsia="Arial" w:hAnsi="Arial"/>
          <w:sz w:val="17"/>
          <w:szCs w:val="17"/>
          <w:color w:val="auto"/>
        </w:rPr>
        <w:t>IN WITNESS WHEREOF, the parties hereto have caused this Supplemental Indenture to be duly executed as of the date first above written.</w:t>
      </w:r>
    </w:p>
    <w:p>
      <w:pPr>
        <w:spacing w:after="0" w:line="23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FMC KONGSBERG SUBSEA AS</w:t>
      </w:r>
      <w:r>
        <w:rPr>
          <w:rFonts w:ascii="Arial" w:cs="Arial" w:eastAsia="Arial" w:hAnsi="Arial"/>
          <w:sz w:val="18"/>
          <w:szCs w:val="18"/>
          <w:color w:val="auto"/>
        </w:rPr>
        <w:t>, as a Guarantor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00" w:type="dxa"/>
            <w:vAlign w:val="bottom"/>
          </w:tcPr>
          <w:p>
            <w:pPr>
              <w:ind w:left="56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Tomas Svanes Bille</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Tomas Svanes Bille</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 in Fact</w:t>
            </w:r>
          </w:p>
        </w:tc>
      </w:tr>
      <w:tr>
        <w:trPr>
          <w:trHeight w:val="466"/>
        </w:trPr>
        <w:tc>
          <w:tcPr>
            <w:tcW w:w="63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8" w:right="339" w:bottom="1440" w:gutter="0" w:footer="0" w:header="0"/>
        </w:sectPr>
      </w:pPr>
    </w:p>
    <w:bookmarkStart w:id="19" w:name="page20"/>
    <w:bookmarkEnd w:id="19"/>
    <w:p>
      <w:pPr>
        <w:ind w:left="660"/>
        <w:spacing w:after="0"/>
        <w:rPr>
          <w:sz w:val="20"/>
          <w:szCs w:val="20"/>
          <w:color w:val="auto"/>
        </w:rPr>
      </w:pPr>
      <w:r>
        <w:rPr>
          <w:rFonts w:ascii="Arial" w:cs="Arial" w:eastAsia="Arial" w:hAnsi="Arial"/>
          <w:sz w:val="17"/>
          <w:szCs w:val="17"/>
          <w:color w:val="auto"/>
        </w:rPr>
        <w:t>IN WITNESS WHEREOF, the parties hereto have caused this Supplemental Indenture to be duly executed as of the date first above written.</w:t>
      </w:r>
    </w:p>
    <w:p>
      <w:pPr>
        <w:spacing w:after="0" w:line="23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FMC TECHNOLOGIES NORWAY AS</w:t>
      </w:r>
      <w:r>
        <w:rPr>
          <w:rFonts w:ascii="Arial" w:cs="Arial" w:eastAsia="Arial" w:hAnsi="Arial"/>
          <w:sz w:val="18"/>
          <w:szCs w:val="18"/>
          <w:color w:val="auto"/>
        </w:rPr>
        <w:t>, as a Guarantor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00" w:type="dxa"/>
            <w:vAlign w:val="bottom"/>
          </w:tcPr>
          <w:p>
            <w:pPr>
              <w:ind w:left="56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Tomas Svanes Bille</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Tomas Svanes Bille</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 in Fact</w:t>
            </w:r>
          </w:p>
        </w:tc>
      </w:tr>
      <w:tr>
        <w:trPr>
          <w:trHeight w:val="466"/>
        </w:trPr>
        <w:tc>
          <w:tcPr>
            <w:tcW w:w="63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8" w:right="339" w:bottom="1440" w:gutter="0" w:footer="0" w:header="0"/>
        </w:sectPr>
      </w:pPr>
    </w:p>
    <w:bookmarkStart w:id="20" w:name="page21"/>
    <w:bookmarkEnd w:id="20"/>
    <w:p>
      <w:pPr>
        <w:ind w:left="660"/>
        <w:spacing w:after="0"/>
        <w:rPr>
          <w:sz w:val="20"/>
          <w:szCs w:val="20"/>
          <w:color w:val="auto"/>
        </w:rPr>
      </w:pPr>
      <w:r>
        <w:rPr>
          <w:rFonts w:ascii="Arial" w:cs="Arial" w:eastAsia="Arial" w:hAnsi="Arial"/>
          <w:sz w:val="17"/>
          <w:szCs w:val="17"/>
          <w:color w:val="auto"/>
        </w:rPr>
        <w:t>IN WITNESS WHEREOF, the parties hereto have caused this Supplemental Indenture to be duly executed as of the date first above written.</w:t>
      </w:r>
    </w:p>
    <w:p>
      <w:pPr>
        <w:spacing w:after="0" w:line="23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TECHNIP CHARTERING NORGE AS</w:t>
      </w:r>
      <w:r>
        <w:rPr>
          <w:rFonts w:ascii="Arial" w:cs="Arial" w:eastAsia="Arial" w:hAnsi="Arial"/>
          <w:sz w:val="18"/>
          <w:szCs w:val="18"/>
          <w:color w:val="auto"/>
        </w:rPr>
        <w:t>, as a Guarantor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00" w:type="dxa"/>
            <w:vAlign w:val="bottom"/>
          </w:tcPr>
          <w:p>
            <w:pPr>
              <w:ind w:left="56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Tomas Svanes Bille</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Tomas Svanes Bille</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 in Fact</w:t>
            </w:r>
          </w:p>
        </w:tc>
      </w:tr>
      <w:tr>
        <w:trPr>
          <w:trHeight w:val="466"/>
        </w:trPr>
        <w:tc>
          <w:tcPr>
            <w:tcW w:w="63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8" w:right="339" w:bottom="1440" w:gutter="0" w:footer="0" w:header="0"/>
        </w:sectPr>
      </w:pPr>
    </w:p>
    <w:bookmarkStart w:id="21" w:name="page22"/>
    <w:bookmarkEnd w:id="21"/>
    <w:p>
      <w:pPr>
        <w:ind w:left="660"/>
        <w:spacing w:after="0"/>
        <w:rPr>
          <w:sz w:val="20"/>
          <w:szCs w:val="20"/>
          <w:color w:val="auto"/>
        </w:rPr>
      </w:pPr>
      <w:r>
        <w:rPr>
          <w:rFonts w:ascii="Arial" w:cs="Arial" w:eastAsia="Arial" w:hAnsi="Arial"/>
          <w:sz w:val="17"/>
          <w:szCs w:val="17"/>
          <w:color w:val="auto"/>
        </w:rPr>
        <w:t>IN WITNESS WHEREOF, the parties hereto have caused this Supplemental Indenture to be duly executed as of the date first above written.</w:t>
      </w:r>
    </w:p>
    <w:p>
      <w:pPr>
        <w:spacing w:after="0" w:line="23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TECHNIP COFLEXIP NORGE AS</w:t>
      </w:r>
      <w:r>
        <w:rPr>
          <w:rFonts w:ascii="Arial" w:cs="Arial" w:eastAsia="Arial" w:hAnsi="Arial"/>
          <w:sz w:val="18"/>
          <w:szCs w:val="18"/>
          <w:color w:val="auto"/>
        </w:rPr>
        <w:t>, as a Guarantor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00" w:type="dxa"/>
            <w:vAlign w:val="bottom"/>
          </w:tcPr>
          <w:p>
            <w:pPr>
              <w:ind w:left="56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Tomas Svanes Bille</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Tomas Svanes Bille</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 in Fact</w:t>
            </w:r>
          </w:p>
        </w:tc>
      </w:tr>
      <w:tr>
        <w:trPr>
          <w:trHeight w:val="466"/>
        </w:trPr>
        <w:tc>
          <w:tcPr>
            <w:tcW w:w="63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8" w:right="339" w:bottom="1440" w:gutter="0" w:footer="0" w:header="0"/>
        </w:sectPr>
      </w:pPr>
    </w:p>
    <w:bookmarkStart w:id="22" w:name="page23"/>
    <w:bookmarkEnd w:id="22"/>
    <w:p>
      <w:pPr>
        <w:ind w:left="660"/>
        <w:spacing w:after="0"/>
        <w:rPr>
          <w:sz w:val="20"/>
          <w:szCs w:val="20"/>
          <w:color w:val="auto"/>
        </w:rPr>
      </w:pPr>
      <w:r>
        <w:rPr>
          <w:rFonts w:ascii="Arial" w:cs="Arial" w:eastAsia="Arial" w:hAnsi="Arial"/>
          <w:sz w:val="17"/>
          <w:szCs w:val="17"/>
          <w:color w:val="auto"/>
        </w:rPr>
        <w:t>IN WITNESS WHEREOF, the parties hereto have caused this Supplemental Indenture to be duly executed as of the date first above written.</w:t>
      </w:r>
    </w:p>
    <w:p>
      <w:pPr>
        <w:spacing w:after="0" w:line="23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TECHNIP NORGE AS</w:t>
      </w:r>
      <w:r>
        <w:rPr>
          <w:rFonts w:ascii="Arial" w:cs="Arial" w:eastAsia="Arial" w:hAnsi="Arial"/>
          <w:sz w:val="18"/>
          <w:szCs w:val="18"/>
          <w:color w:val="auto"/>
        </w:rPr>
        <w:t>, as a Guarantor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00" w:type="dxa"/>
            <w:vAlign w:val="bottom"/>
          </w:tcPr>
          <w:p>
            <w:pPr>
              <w:ind w:left="56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Tomas Svanes Bille</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Tomas Svanes Bille</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 in Fact</w:t>
            </w:r>
          </w:p>
        </w:tc>
      </w:tr>
      <w:tr>
        <w:trPr>
          <w:trHeight w:val="466"/>
        </w:trPr>
        <w:tc>
          <w:tcPr>
            <w:tcW w:w="63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23" w:name="page24"/>
    <w:bookmarkEnd w:id="23"/>
    <w:p>
      <w:pPr>
        <w:ind w:left="660"/>
        <w:spacing w:after="0"/>
        <w:rPr>
          <w:sz w:val="20"/>
          <w:szCs w:val="20"/>
          <w:color w:val="auto"/>
        </w:rPr>
      </w:pPr>
      <w:r>
        <w:rPr>
          <w:rFonts w:ascii="Arial" w:cs="Arial" w:eastAsia="Arial" w:hAnsi="Arial"/>
          <w:sz w:val="17"/>
          <w:szCs w:val="17"/>
          <w:color w:val="auto"/>
        </w:rPr>
        <w:t>IN WITNESS WHEREOF, the parties hereto have caused this Supplemental Indenture to be duly executed as of the date first above written.</w:t>
      </w:r>
    </w:p>
    <w:p>
      <w:pPr>
        <w:spacing w:after="0" w:line="23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FMC TECHNOLOGIES GLOBAL SERVICES PTE. LTD.</w:t>
      </w:r>
      <w:r>
        <w:rPr>
          <w:rFonts w:ascii="Arial" w:cs="Arial" w:eastAsia="Arial" w:hAnsi="Arial"/>
          <w:sz w:val="18"/>
          <w:szCs w:val="18"/>
          <w:color w:val="auto"/>
        </w:rPr>
        <w:t>, as a</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Guarantor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00" w:type="dxa"/>
            <w:vAlign w:val="bottom"/>
          </w:tcPr>
          <w:p>
            <w:pPr>
              <w:ind w:left="56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Ho Wen Jie</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Ho Wen Jie</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r>
      <w:tr>
        <w:trPr>
          <w:trHeight w:val="466"/>
        </w:trPr>
        <w:tc>
          <w:tcPr>
            <w:tcW w:w="63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8" w:right="339" w:bottom="1440" w:gutter="0" w:footer="0" w:header="0"/>
        </w:sectPr>
      </w:pPr>
    </w:p>
    <w:bookmarkStart w:id="24" w:name="page25"/>
    <w:bookmarkEnd w:id="24"/>
    <w:p>
      <w:pPr>
        <w:ind w:left="660"/>
        <w:spacing w:after="0"/>
        <w:rPr>
          <w:sz w:val="20"/>
          <w:szCs w:val="20"/>
          <w:color w:val="auto"/>
        </w:rPr>
      </w:pPr>
      <w:r>
        <w:rPr>
          <w:rFonts w:ascii="Arial" w:cs="Arial" w:eastAsia="Arial" w:hAnsi="Arial"/>
          <w:sz w:val="17"/>
          <w:szCs w:val="17"/>
          <w:color w:val="auto"/>
        </w:rPr>
        <w:t>IN WITNESS WHEREOF, the parties hereto have caused this Supplemental Indenture to be duly executed as of the date first above written.</w:t>
      </w:r>
    </w:p>
    <w:p>
      <w:pPr>
        <w:spacing w:after="0" w:line="23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 xml:space="preserve">FMC TECHNOLOGIES SINGAPORE PTE LTD, </w:t>
      </w:r>
      <w:r>
        <w:rPr>
          <w:rFonts w:ascii="Arial" w:cs="Arial" w:eastAsia="Arial" w:hAnsi="Arial"/>
          <w:sz w:val="18"/>
          <w:szCs w:val="18"/>
          <w:color w:val="auto"/>
        </w:rPr>
        <w:t>as a Guarantor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00" w:type="dxa"/>
            <w:vAlign w:val="bottom"/>
          </w:tcPr>
          <w:p>
            <w:pPr>
              <w:ind w:left="56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Ho Wen Jie</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Ho Wen Jie</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r>
      <w:tr>
        <w:trPr>
          <w:trHeight w:val="466"/>
        </w:trPr>
        <w:tc>
          <w:tcPr>
            <w:tcW w:w="63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8" w:right="339" w:bottom="1440" w:gutter="0" w:footer="0" w:header="0"/>
        </w:sectPr>
      </w:pPr>
    </w:p>
    <w:bookmarkStart w:id="25" w:name="page26"/>
    <w:bookmarkEnd w:id="25"/>
    <w:p>
      <w:pPr>
        <w:ind w:left="660"/>
        <w:spacing w:after="0"/>
        <w:rPr>
          <w:sz w:val="20"/>
          <w:szCs w:val="20"/>
          <w:color w:val="auto"/>
        </w:rPr>
      </w:pPr>
      <w:r>
        <w:rPr>
          <w:rFonts w:ascii="Arial" w:cs="Arial" w:eastAsia="Arial" w:hAnsi="Arial"/>
          <w:sz w:val="17"/>
          <w:szCs w:val="17"/>
          <w:color w:val="auto"/>
        </w:rPr>
        <w:t>IN WITNESS WHEREOF, the parties hereto have caused this Supplemental Indenture to be duly executed as of the date first above written.</w:t>
      </w:r>
    </w:p>
    <w:p>
      <w:pPr>
        <w:spacing w:after="0" w:line="23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 xml:space="preserve">TECHNIP SINGAPORE PTE. LTD., </w:t>
      </w:r>
      <w:r>
        <w:rPr>
          <w:rFonts w:ascii="Arial" w:cs="Arial" w:eastAsia="Arial" w:hAnsi="Arial"/>
          <w:sz w:val="18"/>
          <w:szCs w:val="18"/>
          <w:color w:val="auto"/>
        </w:rPr>
        <w:t>as a Guarantor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00" w:type="dxa"/>
            <w:vAlign w:val="bottom"/>
          </w:tcPr>
          <w:p>
            <w:pPr>
              <w:ind w:left="56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Ho Wen Jie</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Ho Wen Jie</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r>
      <w:tr>
        <w:trPr>
          <w:trHeight w:val="466"/>
        </w:trPr>
        <w:tc>
          <w:tcPr>
            <w:tcW w:w="63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8" w:right="339" w:bottom="1440" w:gutter="0" w:footer="0" w:header="0"/>
        </w:sectPr>
      </w:pPr>
    </w:p>
    <w:bookmarkStart w:id="26" w:name="page27"/>
    <w:bookmarkEnd w:id="26"/>
    <w:p>
      <w:pPr>
        <w:ind w:left="660"/>
        <w:spacing w:after="0"/>
        <w:rPr>
          <w:sz w:val="20"/>
          <w:szCs w:val="20"/>
          <w:color w:val="auto"/>
        </w:rPr>
      </w:pPr>
      <w:r>
        <w:rPr>
          <w:rFonts w:ascii="Arial" w:cs="Arial" w:eastAsia="Arial" w:hAnsi="Arial"/>
          <w:sz w:val="17"/>
          <w:szCs w:val="17"/>
          <w:color w:val="auto"/>
        </w:rPr>
        <w:t>IN WITNESS WHEREOF, the parties hereto have caused this Supplemental Indenture to be duly executed as of the date first above written.</w:t>
      </w:r>
    </w:p>
    <w:p>
      <w:pPr>
        <w:spacing w:after="0" w:line="23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 xml:space="preserve">CONTROL SYSTEMS INTERNATIONAL (UK) LIMITED, </w:t>
      </w:r>
      <w:r>
        <w:rPr>
          <w:rFonts w:ascii="Arial" w:cs="Arial" w:eastAsia="Arial" w:hAnsi="Arial"/>
          <w:sz w:val="18"/>
          <w:szCs w:val="18"/>
          <w:color w:val="auto"/>
        </w:rPr>
        <w:t>as a</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Guarantor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00" w:type="dxa"/>
            <w:vAlign w:val="bottom"/>
          </w:tcPr>
          <w:p>
            <w:pPr>
              <w:ind w:left="56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Tomas Bille</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Tomas Bille</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r>
      <w:tr>
        <w:trPr>
          <w:trHeight w:val="466"/>
        </w:trPr>
        <w:tc>
          <w:tcPr>
            <w:tcW w:w="63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8" w:right="339" w:bottom="1440" w:gutter="0" w:footer="0" w:header="0"/>
        </w:sectPr>
      </w:pPr>
    </w:p>
    <w:bookmarkStart w:id="27" w:name="page28"/>
    <w:bookmarkEnd w:id="27"/>
    <w:p>
      <w:pPr>
        <w:ind w:left="660"/>
        <w:spacing w:after="0"/>
        <w:rPr>
          <w:sz w:val="20"/>
          <w:szCs w:val="20"/>
          <w:color w:val="auto"/>
        </w:rPr>
      </w:pPr>
      <w:r>
        <w:rPr>
          <w:rFonts w:ascii="Arial" w:cs="Arial" w:eastAsia="Arial" w:hAnsi="Arial"/>
          <w:sz w:val="17"/>
          <w:szCs w:val="17"/>
          <w:color w:val="auto"/>
        </w:rPr>
        <w:t>IN WITNESS WHEREOF, the parties hereto have caused this Supplemental Indenture to be duly executed as of the date first above written.</w:t>
      </w:r>
    </w:p>
    <w:p>
      <w:pPr>
        <w:spacing w:after="0" w:line="23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 xml:space="preserve">FMC KONGSBERG SERVICES LIMITED, </w:t>
      </w:r>
      <w:r>
        <w:rPr>
          <w:rFonts w:ascii="Arial" w:cs="Arial" w:eastAsia="Arial" w:hAnsi="Arial"/>
          <w:sz w:val="18"/>
          <w:szCs w:val="18"/>
          <w:color w:val="auto"/>
        </w:rPr>
        <w:t>as a Guarantor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00" w:type="dxa"/>
            <w:vAlign w:val="bottom"/>
          </w:tcPr>
          <w:p>
            <w:pPr>
              <w:ind w:left="56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Bjørn Gisle Grønlie</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Bjørn Gisle Grønlie</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r>
      <w:tr>
        <w:trPr>
          <w:trHeight w:val="466"/>
        </w:trPr>
        <w:tc>
          <w:tcPr>
            <w:tcW w:w="63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8" w:right="339" w:bottom="1440" w:gutter="0" w:footer="0" w:header="0"/>
        </w:sectPr>
      </w:pPr>
    </w:p>
    <w:bookmarkStart w:id="28" w:name="page29"/>
    <w:bookmarkEnd w:id="28"/>
    <w:p>
      <w:pPr>
        <w:ind w:left="660"/>
        <w:spacing w:after="0"/>
        <w:rPr>
          <w:sz w:val="20"/>
          <w:szCs w:val="20"/>
          <w:color w:val="auto"/>
        </w:rPr>
      </w:pPr>
      <w:r>
        <w:rPr>
          <w:rFonts w:ascii="Arial" w:cs="Arial" w:eastAsia="Arial" w:hAnsi="Arial"/>
          <w:sz w:val="17"/>
          <w:szCs w:val="17"/>
          <w:color w:val="auto"/>
        </w:rPr>
        <w:t>IN WITNESS WHEREOF, the parties hereto have caused this Supplemental Indenture to be duly executed as of the date first above written.</w:t>
      </w:r>
    </w:p>
    <w:p>
      <w:pPr>
        <w:spacing w:after="0" w:line="23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 xml:space="preserve">FMC KOS WEST AFRICA LIMITED, </w:t>
      </w:r>
      <w:r>
        <w:rPr>
          <w:rFonts w:ascii="Arial" w:cs="Arial" w:eastAsia="Arial" w:hAnsi="Arial"/>
          <w:sz w:val="18"/>
          <w:szCs w:val="18"/>
          <w:color w:val="auto"/>
        </w:rPr>
        <w:t>as a Guarantor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00" w:type="dxa"/>
            <w:vAlign w:val="bottom"/>
          </w:tcPr>
          <w:p>
            <w:pPr>
              <w:ind w:left="56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Graham Horn</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Graham Horn</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r>
      <w:tr>
        <w:trPr>
          <w:trHeight w:val="466"/>
        </w:trPr>
        <w:tc>
          <w:tcPr>
            <w:tcW w:w="63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8" w:right="339" w:bottom="1440" w:gutter="0" w:footer="0" w:header="0"/>
        </w:sectPr>
      </w:pPr>
    </w:p>
    <w:bookmarkStart w:id="29" w:name="page30"/>
    <w:bookmarkEnd w:id="29"/>
    <w:p>
      <w:pPr>
        <w:ind w:left="660"/>
        <w:spacing w:after="0"/>
        <w:rPr>
          <w:sz w:val="20"/>
          <w:szCs w:val="20"/>
          <w:color w:val="auto"/>
        </w:rPr>
      </w:pPr>
      <w:r>
        <w:rPr>
          <w:rFonts w:ascii="Arial" w:cs="Arial" w:eastAsia="Arial" w:hAnsi="Arial"/>
          <w:sz w:val="17"/>
          <w:szCs w:val="17"/>
          <w:color w:val="auto"/>
        </w:rPr>
        <w:t>IN WITNESS WHEREOF, the parties hereto have caused this Supplemental Indenture to be duly executed as of the date first above written.</w:t>
      </w:r>
    </w:p>
    <w:p>
      <w:pPr>
        <w:spacing w:after="0" w:line="23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 xml:space="preserve">FMC TECHNOLOGIES LIMITED, </w:t>
      </w:r>
      <w:r>
        <w:rPr>
          <w:rFonts w:ascii="Arial" w:cs="Arial" w:eastAsia="Arial" w:hAnsi="Arial"/>
          <w:sz w:val="18"/>
          <w:szCs w:val="18"/>
          <w:color w:val="auto"/>
        </w:rPr>
        <w:t>as a Guarantor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00" w:type="dxa"/>
            <w:vAlign w:val="bottom"/>
          </w:tcPr>
          <w:p>
            <w:pPr>
              <w:ind w:left="56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Tomas Bille</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Tomas Bille</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r>
      <w:tr>
        <w:trPr>
          <w:trHeight w:val="466"/>
        </w:trPr>
        <w:tc>
          <w:tcPr>
            <w:tcW w:w="63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8" w:right="339" w:bottom="1440" w:gutter="0" w:footer="0" w:header="0"/>
        </w:sectPr>
      </w:pPr>
    </w:p>
    <w:bookmarkStart w:id="30" w:name="page31"/>
    <w:bookmarkEnd w:id="30"/>
    <w:p>
      <w:pPr>
        <w:ind w:left="660"/>
        <w:spacing w:after="0"/>
        <w:rPr>
          <w:sz w:val="20"/>
          <w:szCs w:val="20"/>
          <w:color w:val="auto"/>
        </w:rPr>
      </w:pPr>
      <w:r>
        <w:rPr>
          <w:rFonts w:ascii="Arial" w:cs="Arial" w:eastAsia="Arial" w:hAnsi="Arial"/>
          <w:sz w:val="17"/>
          <w:szCs w:val="17"/>
          <w:color w:val="auto"/>
        </w:rPr>
        <w:t>IN WITNESS WHEREOF, the parties hereto have caused this Supplemental Indenture to be duly executed as of the date first above written.</w:t>
      </w:r>
    </w:p>
    <w:p>
      <w:pPr>
        <w:spacing w:after="0" w:line="23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 xml:space="preserve">SUBSEA I &amp; C SERVICES LIMITED, </w:t>
      </w:r>
      <w:r>
        <w:rPr>
          <w:rFonts w:ascii="Arial" w:cs="Arial" w:eastAsia="Arial" w:hAnsi="Arial"/>
          <w:sz w:val="18"/>
          <w:szCs w:val="18"/>
          <w:color w:val="auto"/>
        </w:rPr>
        <w:t>as a Guarantor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00" w:type="dxa"/>
            <w:vAlign w:val="bottom"/>
          </w:tcPr>
          <w:p>
            <w:pPr>
              <w:ind w:left="56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Tomas Bille</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Tomas Bille</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r>
      <w:tr>
        <w:trPr>
          <w:trHeight w:val="466"/>
        </w:trPr>
        <w:tc>
          <w:tcPr>
            <w:tcW w:w="63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31" w:name="page32"/>
    <w:bookmarkEnd w:id="31"/>
    <w:p>
      <w:pPr>
        <w:ind w:left="660"/>
        <w:spacing w:after="0"/>
        <w:rPr>
          <w:sz w:val="20"/>
          <w:szCs w:val="20"/>
          <w:color w:val="auto"/>
        </w:rPr>
      </w:pPr>
      <w:r>
        <w:rPr>
          <w:rFonts w:ascii="Arial" w:cs="Arial" w:eastAsia="Arial" w:hAnsi="Arial"/>
          <w:sz w:val="17"/>
          <w:szCs w:val="17"/>
          <w:color w:val="auto"/>
        </w:rPr>
        <w:t>IN WITNESS WHEREOF, the parties hereto have caused this Supplemental Indenture to be duly executed as of the date first above written.</w:t>
      </w:r>
    </w:p>
    <w:p>
      <w:pPr>
        <w:spacing w:after="0" w:line="23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 xml:space="preserve">SUBSEA MARITIME SERVICES LIMITED, </w:t>
      </w:r>
      <w:r>
        <w:rPr>
          <w:rFonts w:ascii="Arial" w:cs="Arial" w:eastAsia="Arial" w:hAnsi="Arial"/>
          <w:sz w:val="18"/>
          <w:szCs w:val="18"/>
          <w:color w:val="auto"/>
        </w:rPr>
        <w:t>as a Guarantor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00" w:type="dxa"/>
            <w:vAlign w:val="bottom"/>
          </w:tcPr>
          <w:p>
            <w:pPr>
              <w:ind w:left="56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Tomas Bille</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Tomas Bille</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r>
      <w:tr>
        <w:trPr>
          <w:trHeight w:val="466"/>
        </w:trPr>
        <w:tc>
          <w:tcPr>
            <w:tcW w:w="63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8" w:right="339" w:bottom="1440" w:gutter="0" w:footer="0" w:header="0"/>
        </w:sectPr>
      </w:pPr>
    </w:p>
    <w:bookmarkStart w:id="32" w:name="page33"/>
    <w:bookmarkEnd w:id="32"/>
    <w:p>
      <w:pPr>
        <w:ind w:left="660"/>
        <w:spacing w:after="0"/>
        <w:rPr>
          <w:sz w:val="20"/>
          <w:szCs w:val="20"/>
          <w:color w:val="auto"/>
        </w:rPr>
      </w:pPr>
      <w:r>
        <w:rPr>
          <w:rFonts w:ascii="Arial" w:cs="Arial" w:eastAsia="Arial" w:hAnsi="Arial"/>
          <w:sz w:val="17"/>
          <w:szCs w:val="17"/>
          <w:color w:val="auto"/>
        </w:rPr>
        <w:t>IN WITNESS WHEREOF, the parties hereto have caused this Supplemental Indenture to be duly executed as of the date first above written.</w:t>
      </w:r>
    </w:p>
    <w:p>
      <w:pPr>
        <w:spacing w:after="0" w:line="23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 xml:space="preserve">SUBSEA OFFSHORE SERVICES LIMITED, </w:t>
      </w:r>
      <w:r>
        <w:rPr>
          <w:rFonts w:ascii="Arial" w:cs="Arial" w:eastAsia="Arial" w:hAnsi="Arial"/>
          <w:sz w:val="18"/>
          <w:szCs w:val="18"/>
          <w:color w:val="auto"/>
        </w:rPr>
        <w:t>as a Guarantor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00" w:type="dxa"/>
            <w:vAlign w:val="bottom"/>
          </w:tcPr>
          <w:p>
            <w:pPr>
              <w:ind w:left="56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Tomas Bille</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Tomas Bille</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r>
      <w:tr>
        <w:trPr>
          <w:trHeight w:val="466"/>
        </w:trPr>
        <w:tc>
          <w:tcPr>
            <w:tcW w:w="63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8" w:right="339" w:bottom="1440" w:gutter="0" w:footer="0" w:header="0"/>
        </w:sectPr>
      </w:pPr>
    </w:p>
    <w:bookmarkStart w:id="33" w:name="page34"/>
    <w:bookmarkEnd w:id="33"/>
    <w:p>
      <w:pPr>
        <w:ind w:left="660"/>
        <w:spacing w:after="0"/>
        <w:rPr>
          <w:sz w:val="20"/>
          <w:szCs w:val="20"/>
          <w:color w:val="auto"/>
        </w:rPr>
      </w:pPr>
      <w:r>
        <w:rPr>
          <w:rFonts w:ascii="Arial" w:cs="Arial" w:eastAsia="Arial" w:hAnsi="Arial"/>
          <w:sz w:val="17"/>
          <w:szCs w:val="17"/>
          <w:color w:val="auto"/>
        </w:rPr>
        <w:t>IN WITNESS WHEREOF, the parties hereto have caused this Supplemental Indenture to be duly executed as of the date first above written.</w:t>
      </w:r>
    </w:p>
    <w:p>
      <w:pPr>
        <w:spacing w:after="0" w:line="23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 xml:space="preserve">TECHNIP OFFSHORE MANNING SERVICES LIMITED, </w:t>
      </w:r>
      <w:r>
        <w:rPr>
          <w:rFonts w:ascii="Arial" w:cs="Arial" w:eastAsia="Arial" w:hAnsi="Arial"/>
          <w:sz w:val="18"/>
          <w:szCs w:val="18"/>
          <w:color w:val="auto"/>
        </w:rPr>
        <w:t>as a</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Guarantor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00" w:type="dxa"/>
            <w:vAlign w:val="bottom"/>
          </w:tcPr>
          <w:p>
            <w:pPr>
              <w:ind w:left="56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Helen Urquhart</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Helen Urquhart</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r>
      <w:tr>
        <w:trPr>
          <w:trHeight w:val="466"/>
        </w:trPr>
        <w:tc>
          <w:tcPr>
            <w:tcW w:w="63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8" w:right="339" w:bottom="1440" w:gutter="0" w:footer="0" w:header="0"/>
        </w:sectPr>
      </w:pPr>
    </w:p>
    <w:bookmarkStart w:id="34" w:name="page35"/>
    <w:bookmarkEnd w:id="34"/>
    <w:p>
      <w:pPr>
        <w:ind w:left="660"/>
        <w:spacing w:after="0"/>
        <w:rPr>
          <w:sz w:val="20"/>
          <w:szCs w:val="20"/>
          <w:color w:val="auto"/>
        </w:rPr>
      </w:pPr>
      <w:r>
        <w:rPr>
          <w:rFonts w:ascii="Arial" w:cs="Arial" w:eastAsia="Arial" w:hAnsi="Arial"/>
          <w:sz w:val="17"/>
          <w:szCs w:val="17"/>
          <w:color w:val="auto"/>
        </w:rPr>
        <w:t>IN WITNESS WHEREOF, the parties hereto have caused this Supplemental Indenture to be duly executed as of the date first above written.</w:t>
      </w:r>
    </w:p>
    <w:p>
      <w:pPr>
        <w:spacing w:after="0" w:line="23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 xml:space="preserve">TECHNIP SERVICES LIMITED, </w:t>
      </w:r>
      <w:r>
        <w:rPr>
          <w:rFonts w:ascii="Arial" w:cs="Arial" w:eastAsia="Arial" w:hAnsi="Arial"/>
          <w:sz w:val="18"/>
          <w:szCs w:val="18"/>
          <w:color w:val="auto"/>
        </w:rPr>
        <w:t>as a Guarantor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00" w:type="dxa"/>
            <w:vAlign w:val="bottom"/>
          </w:tcPr>
          <w:p>
            <w:pPr>
              <w:ind w:left="56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Tomas Bille</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Tomas Bille</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r>
      <w:tr>
        <w:trPr>
          <w:trHeight w:val="425"/>
        </w:trPr>
        <w:tc>
          <w:tcPr>
            <w:tcW w:w="63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35" w:name="page36"/>
    <w:bookmarkEnd w:id="35"/>
    <w:p>
      <w:pPr>
        <w:ind w:left="660"/>
        <w:spacing w:after="0"/>
        <w:rPr>
          <w:sz w:val="20"/>
          <w:szCs w:val="20"/>
          <w:color w:val="auto"/>
        </w:rPr>
      </w:pPr>
      <w:r>
        <w:rPr>
          <w:rFonts w:ascii="Arial" w:cs="Arial" w:eastAsia="Arial" w:hAnsi="Arial"/>
          <w:sz w:val="17"/>
          <w:szCs w:val="17"/>
          <w:color w:val="auto"/>
        </w:rPr>
        <w:t>IN WITNESS WHEREOF, the parties hereto have caused this Supplemental Indenture to be duly executed as of the date first above written.</w:t>
      </w:r>
    </w:p>
    <w:p>
      <w:pPr>
        <w:spacing w:after="0" w:line="23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 xml:space="preserve">TECHNIP SHIPS ONE LIMITED, </w:t>
      </w:r>
      <w:r>
        <w:rPr>
          <w:rFonts w:ascii="Arial" w:cs="Arial" w:eastAsia="Arial" w:hAnsi="Arial"/>
          <w:sz w:val="18"/>
          <w:szCs w:val="18"/>
          <w:color w:val="auto"/>
        </w:rPr>
        <w:t>as a Guarantor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00" w:type="dxa"/>
            <w:vAlign w:val="bottom"/>
          </w:tcPr>
          <w:p>
            <w:pPr>
              <w:ind w:left="56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Tomas Bille</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Tomas Bille</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r>
      <w:tr>
        <w:trPr>
          <w:trHeight w:val="466"/>
        </w:trPr>
        <w:tc>
          <w:tcPr>
            <w:tcW w:w="63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8" w:right="339" w:bottom="1440" w:gutter="0" w:footer="0" w:header="0"/>
        </w:sectPr>
      </w:pPr>
    </w:p>
    <w:bookmarkStart w:id="36" w:name="page37"/>
    <w:bookmarkEnd w:id="36"/>
    <w:p>
      <w:pPr>
        <w:ind w:left="660"/>
        <w:spacing w:after="0"/>
        <w:rPr>
          <w:sz w:val="20"/>
          <w:szCs w:val="20"/>
          <w:color w:val="auto"/>
        </w:rPr>
      </w:pPr>
      <w:r>
        <w:rPr>
          <w:rFonts w:ascii="Arial" w:cs="Arial" w:eastAsia="Arial" w:hAnsi="Arial"/>
          <w:sz w:val="17"/>
          <w:szCs w:val="17"/>
          <w:color w:val="auto"/>
        </w:rPr>
        <w:t>IN WITNESS WHEREOF, the parties hereto have caused this Supplemental Indenture to be duly executed as of the date first above written.</w:t>
      </w:r>
    </w:p>
    <w:p>
      <w:pPr>
        <w:spacing w:after="0" w:line="23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 xml:space="preserve">TECHNIP UK LIMITED, </w:t>
      </w:r>
      <w:r>
        <w:rPr>
          <w:rFonts w:ascii="Arial" w:cs="Arial" w:eastAsia="Arial" w:hAnsi="Arial"/>
          <w:sz w:val="18"/>
          <w:szCs w:val="18"/>
          <w:color w:val="auto"/>
        </w:rPr>
        <w:t>as a Guarantor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00" w:type="dxa"/>
            <w:vAlign w:val="bottom"/>
          </w:tcPr>
          <w:p>
            <w:pPr>
              <w:ind w:left="56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Tomas Bille</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Tomas Bille</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r>
      <w:tr>
        <w:trPr>
          <w:trHeight w:val="466"/>
        </w:trPr>
        <w:tc>
          <w:tcPr>
            <w:tcW w:w="63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37" w:name="page38"/>
    <w:bookmarkEnd w:id="37"/>
    <w:p>
      <w:pPr>
        <w:ind w:left="660"/>
        <w:spacing w:after="0"/>
        <w:rPr>
          <w:sz w:val="20"/>
          <w:szCs w:val="20"/>
          <w:color w:val="auto"/>
        </w:rPr>
      </w:pPr>
      <w:r>
        <w:rPr>
          <w:rFonts w:ascii="Arial" w:cs="Arial" w:eastAsia="Arial" w:hAnsi="Arial"/>
          <w:sz w:val="17"/>
          <w:szCs w:val="17"/>
          <w:color w:val="auto"/>
        </w:rPr>
        <w:t>IN WITNESS WHEREOF, the parties hereto have caused this Supplemental Indenture to be duly executed as of the date first above written.</w:t>
      </w:r>
    </w:p>
    <w:p>
      <w:pPr>
        <w:spacing w:after="0" w:line="23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 xml:space="preserve">TECHNIP-COFLEXIP UK HOLDINGS LIMITED, </w:t>
      </w:r>
      <w:r>
        <w:rPr>
          <w:rFonts w:ascii="Arial" w:cs="Arial" w:eastAsia="Arial" w:hAnsi="Arial"/>
          <w:sz w:val="18"/>
          <w:szCs w:val="18"/>
          <w:color w:val="auto"/>
        </w:rPr>
        <w:t>as a Guarantor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00" w:type="dxa"/>
            <w:vAlign w:val="bottom"/>
          </w:tcPr>
          <w:p>
            <w:pPr>
              <w:ind w:left="56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Tomas Bille</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Tomas Bille</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r>
      <w:tr>
        <w:trPr>
          <w:trHeight w:val="466"/>
        </w:trPr>
        <w:tc>
          <w:tcPr>
            <w:tcW w:w="63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8" w:right="339" w:bottom="1440" w:gutter="0" w:footer="0" w:header="0"/>
        </w:sectPr>
      </w:pPr>
    </w:p>
    <w:bookmarkStart w:id="38" w:name="page39"/>
    <w:bookmarkEnd w:id="38"/>
    <w:p>
      <w:pPr>
        <w:ind w:left="660"/>
        <w:spacing w:after="0"/>
        <w:rPr>
          <w:sz w:val="20"/>
          <w:szCs w:val="20"/>
          <w:color w:val="auto"/>
        </w:rPr>
      </w:pPr>
      <w:r>
        <w:rPr>
          <w:rFonts w:ascii="Arial" w:cs="Arial" w:eastAsia="Arial" w:hAnsi="Arial"/>
          <w:sz w:val="17"/>
          <w:szCs w:val="17"/>
          <w:color w:val="auto"/>
        </w:rPr>
        <w:t>IN WITNESS WHEREOF, the parties hereto have caused this Supplemental Indenture to be duly executed as of the date first above written.</w:t>
      </w:r>
    </w:p>
    <w:p>
      <w:pPr>
        <w:spacing w:after="0" w:line="23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 xml:space="preserve">TECHNIPFMC (EUROPE) LIMITED, </w:t>
      </w:r>
      <w:r>
        <w:rPr>
          <w:rFonts w:ascii="Arial" w:cs="Arial" w:eastAsia="Arial" w:hAnsi="Arial"/>
          <w:sz w:val="18"/>
          <w:szCs w:val="18"/>
          <w:color w:val="auto"/>
        </w:rPr>
        <w:t>as a Guarantor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00" w:type="dxa"/>
            <w:vAlign w:val="bottom"/>
          </w:tcPr>
          <w:p>
            <w:pPr>
              <w:ind w:left="56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Tomas Bille</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Tomas Bille</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r>
      <w:tr>
        <w:trPr>
          <w:trHeight w:val="426"/>
        </w:trPr>
        <w:tc>
          <w:tcPr>
            <w:tcW w:w="63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8" w:right="339" w:bottom="1440" w:gutter="0" w:footer="0" w:header="0"/>
        </w:sectPr>
      </w:pPr>
    </w:p>
    <w:bookmarkStart w:id="39" w:name="page40"/>
    <w:bookmarkEnd w:id="39"/>
    <w:p>
      <w:pPr>
        <w:ind w:left="660"/>
        <w:spacing w:after="0"/>
        <w:rPr>
          <w:sz w:val="20"/>
          <w:szCs w:val="20"/>
          <w:color w:val="auto"/>
        </w:rPr>
      </w:pPr>
      <w:r>
        <w:rPr>
          <w:rFonts w:ascii="Arial" w:cs="Arial" w:eastAsia="Arial" w:hAnsi="Arial"/>
          <w:sz w:val="17"/>
          <w:szCs w:val="17"/>
          <w:color w:val="auto"/>
        </w:rPr>
        <w:t>IN WITNESS WHEREOF, the parties hereto have caused this Supplemental Indenture to be duly executed as of the date first above written.</w:t>
      </w:r>
    </w:p>
    <w:p>
      <w:pPr>
        <w:spacing w:after="0" w:line="23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 xml:space="preserve">TECHNIPFMC CORPORATE HOLDINGS LIMITED, </w:t>
      </w:r>
      <w:r>
        <w:rPr>
          <w:rFonts w:ascii="Arial" w:cs="Arial" w:eastAsia="Arial" w:hAnsi="Arial"/>
          <w:sz w:val="18"/>
          <w:szCs w:val="18"/>
          <w:color w:val="auto"/>
        </w:rPr>
        <w:t>as a Guarantor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00" w:type="dxa"/>
            <w:vAlign w:val="bottom"/>
          </w:tcPr>
          <w:p>
            <w:pPr>
              <w:ind w:left="56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Aurelia Gorman</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Aurelia Gorman</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r>
      <w:tr>
        <w:trPr>
          <w:trHeight w:val="925"/>
        </w:trPr>
        <w:tc>
          <w:tcPr>
            <w:tcW w:w="63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8" w:right="339" w:bottom="1440" w:gutter="0" w:footer="0" w:header="0"/>
        </w:sectPr>
      </w:pPr>
    </w:p>
    <w:bookmarkStart w:id="40" w:name="page41"/>
    <w:bookmarkEnd w:id="40"/>
    <w:p>
      <w:pPr>
        <w:ind w:left="660"/>
        <w:spacing w:after="0"/>
        <w:rPr>
          <w:sz w:val="20"/>
          <w:szCs w:val="20"/>
          <w:color w:val="auto"/>
        </w:rPr>
      </w:pPr>
      <w:r>
        <w:rPr>
          <w:rFonts w:ascii="Arial" w:cs="Arial" w:eastAsia="Arial" w:hAnsi="Arial"/>
          <w:sz w:val="17"/>
          <w:szCs w:val="17"/>
          <w:color w:val="auto"/>
        </w:rPr>
        <w:t>IN WITNESS WHEREOF, the parties hereto have caused this Supplemental Indenture to be duly executed as of the date first above written.</w:t>
      </w:r>
    </w:p>
    <w:p>
      <w:pPr>
        <w:spacing w:after="0" w:line="23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 xml:space="preserve">TECHNIPFMC FINANCE ULC, </w:t>
      </w:r>
      <w:r>
        <w:rPr>
          <w:rFonts w:ascii="Arial" w:cs="Arial" w:eastAsia="Arial" w:hAnsi="Arial"/>
          <w:sz w:val="18"/>
          <w:szCs w:val="18"/>
          <w:color w:val="auto"/>
        </w:rPr>
        <w:t>as a Guarantor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00" w:type="dxa"/>
            <w:vAlign w:val="bottom"/>
          </w:tcPr>
          <w:p>
            <w:pPr>
              <w:ind w:left="56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Tomas Bille</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Tomas Bille</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r>
      <w:tr>
        <w:trPr>
          <w:trHeight w:val="466"/>
        </w:trPr>
        <w:tc>
          <w:tcPr>
            <w:tcW w:w="63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8" w:right="339" w:bottom="1440" w:gutter="0" w:footer="0" w:header="0"/>
        </w:sectPr>
      </w:pPr>
    </w:p>
    <w:bookmarkStart w:id="41" w:name="page42"/>
    <w:bookmarkEnd w:id="41"/>
    <w:p>
      <w:pPr>
        <w:ind w:left="660"/>
        <w:spacing w:after="0"/>
        <w:rPr>
          <w:sz w:val="20"/>
          <w:szCs w:val="20"/>
          <w:color w:val="auto"/>
        </w:rPr>
      </w:pPr>
      <w:r>
        <w:rPr>
          <w:rFonts w:ascii="Arial" w:cs="Arial" w:eastAsia="Arial" w:hAnsi="Arial"/>
          <w:sz w:val="17"/>
          <w:szCs w:val="17"/>
          <w:color w:val="auto"/>
        </w:rPr>
        <w:t>IN WITNESS WHEREOF, the parties hereto have caused this Supplemental Indenture to be duly executed as of the date first above written.</w:t>
      </w:r>
    </w:p>
    <w:p>
      <w:pPr>
        <w:spacing w:after="0" w:line="23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 xml:space="preserve">TECHNIPFMC INTERNATIONAL FINANCE LIMITED, </w:t>
      </w:r>
      <w:r>
        <w:rPr>
          <w:rFonts w:ascii="Arial" w:cs="Arial" w:eastAsia="Arial" w:hAnsi="Arial"/>
          <w:sz w:val="18"/>
          <w:szCs w:val="18"/>
          <w:color w:val="auto"/>
        </w:rPr>
        <w:t>as a</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Guarantor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00" w:type="dxa"/>
            <w:vAlign w:val="bottom"/>
          </w:tcPr>
          <w:p>
            <w:pPr>
              <w:ind w:left="56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Paula Delvaille</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Paula Delvaille</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r>
      <w:tr>
        <w:trPr>
          <w:trHeight w:val="466"/>
        </w:trPr>
        <w:tc>
          <w:tcPr>
            <w:tcW w:w="63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8" w:right="339" w:bottom="1440" w:gutter="0" w:footer="0" w:header="0"/>
        </w:sectPr>
      </w:pPr>
    </w:p>
    <w:bookmarkStart w:id="42" w:name="page43"/>
    <w:bookmarkEnd w:id="42"/>
    <w:p>
      <w:pPr>
        <w:ind w:left="660"/>
        <w:spacing w:after="0"/>
        <w:rPr>
          <w:sz w:val="20"/>
          <w:szCs w:val="20"/>
          <w:color w:val="auto"/>
        </w:rPr>
      </w:pPr>
      <w:r>
        <w:rPr>
          <w:rFonts w:ascii="Arial" w:cs="Arial" w:eastAsia="Arial" w:hAnsi="Arial"/>
          <w:sz w:val="17"/>
          <w:szCs w:val="17"/>
          <w:color w:val="auto"/>
        </w:rPr>
        <w:t>IN WITNESS WHEREOF, the parties hereto have caused this Supplemental Indenture to be duly executed as of the date first above written.</w:t>
      </w:r>
    </w:p>
    <w:p>
      <w:pPr>
        <w:spacing w:after="0" w:line="23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 xml:space="preserve">TECHNIPFMC INTERNATIONAL UK LIMITED, </w:t>
      </w:r>
      <w:r>
        <w:rPr>
          <w:rFonts w:ascii="Arial" w:cs="Arial" w:eastAsia="Arial" w:hAnsi="Arial"/>
          <w:sz w:val="18"/>
          <w:szCs w:val="18"/>
          <w:color w:val="auto"/>
        </w:rPr>
        <w:t>as a Guarantor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00" w:type="dxa"/>
            <w:vAlign w:val="bottom"/>
          </w:tcPr>
          <w:p>
            <w:pPr>
              <w:ind w:left="56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Tomas Bille</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Tomas Bille</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r>
      <w:tr>
        <w:trPr>
          <w:trHeight w:val="426"/>
        </w:trPr>
        <w:tc>
          <w:tcPr>
            <w:tcW w:w="63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8" w:right="339" w:bottom="1440" w:gutter="0" w:footer="0" w:header="0"/>
        </w:sectPr>
      </w:pPr>
    </w:p>
    <w:bookmarkStart w:id="43" w:name="page44"/>
    <w:bookmarkEnd w:id="43"/>
    <w:p>
      <w:pPr>
        <w:ind w:left="660"/>
        <w:spacing w:after="0"/>
        <w:rPr>
          <w:sz w:val="20"/>
          <w:szCs w:val="20"/>
          <w:color w:val="auto"/>
        </w:rPr>
      </w:pPr>
      <w:r>
        <w:rPr>
          <w:rFonts w:ascii="Arial" w:cs="Arial" w:eastAsia="Arial" w:hAnsi="Arial"/>
          <w:sz w:val="17"/>
          <w:szCs w:val="17"/>
          <w:color w:val="auto"/>
        </w:rPr>
        <w:t>IN WITNESS WHEREOF, the parties hereto have caused this Supplemental Indenture to be duly executed as of the date first above written.</w:t>
      </w:r>
    </w:p>
    <w:p>
      <w:pPr>
        <w:spacing w:after="0" w:line="23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 xml:space="preserve">TECHNIPFMC UMBILICALS LTD, </w:t>
      </w:r>
      <w:r>
        <w:rPr>
          <w:rFonts w:ascii="Arial" w:cs="Arial" w:eastAsia="Arial" w:hAnsi="Arial"/>
          <w:sz w:val="18"/>
          <w:szCs w:val="18"/>
          <w:color w:val="auto"/>
        </w:rPr>
        <w:t>as a Guarantor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00" w:type="dxa"/>
            <w:vAlign w:val="bottom"/>
          </w:tcPr>
          <w:p>
            <w:pPr>
              <w:ind w:left="56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Tomas Bille</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Tomas Bille</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r>
      <w:tr>
        <w:trPr>
          <w:trHeight w:val="425"/>
        </w:trPr>
        <w:tc>
          <w:tcPr>
            <w:tcW w:w="63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44" w:name="page45"/>
    <w:bookmarkEnd w:id="44"/>
    <w:p>
      <w:pPr>
        <w:ind w:left="660"/>
        <w:spacing w:after="0"/>
        <w:rPr>
          <w:sz w:val="20"/>
          <w:szCs w:val="20"/>
          <w:color w:val="auto"/>
        </w:rPr>
      </w:pPr>
      <w:r>
        <w:rPr>
          <w:rFonts w:ascii="Arial" w:cs="Arial" w:eastAsia="Arial" w:hAnsi="Arial"/>
          <w:sz w:val="17"/>
          <w:szCs w:val="17"/>
          <w:color w:val="auto"/>
        </w:rPr>
        <w:t>IN WITNESS WHEREOF, the parties hereto have caused this Supplemental Indenture to be duly executed as of the date first above written.</w:t>
      </w:r>
    </w:p>
    <w:p>
      <w:pPr>
        <w:spacing w:after="0" w:line="23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 xml:space="preserve">WEST AFRICA SUBSEA SERVICES LIMITED, </w:t>
      </w:r>
      <w:r>
        <w:rPr>
          <w:rFonts w:ascii="Arial" w:cs="Arial" w:eastAsia="Arial" w:hAnsi="Arial"/>
          <w:sz w:val="18"/>
          <w:szCs w:val="18"/>
          <w:color w:val="auto"/>
        </w:rPr>
        <w:t>as a Guarantor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00" w:type="dxa"/>
            <w:vAlign w:val="bottom"/>
          </w:tcPr>
          <w:p>
            <w:pPr>
              <w:ind w:left="56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Tomas Bille</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Tomas Bille</w:t>
            </w:r>
          </w:p>
        </w:tc>
      </w:tr>
      <w:tr>
        <w:trPr>
          <w:trHeight w:val="223"/>
        </w:trPr>
        <w:tc>
          <w:tcPr>
            <w:tcW w:w="6300" w:type="dxa"/>
            <w:vAlign w:val="bottom"/>
          </w:tcPr>
          <w:p>
            <w:pPr>
              <w:ind w:left="5640"/>
              <w:spacing w:after="0" w:line="203" w:lineRule="exact"/>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r>
      <w:tr>
        <w:trPr>
          <w:trHeight w:val="466"/>
        </w:trPr>
        <w:tc>
          <w:tcPr>
            <w:tcW w:w="63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45" w:name="page46"/>
    <w:bookmarkEnd w:id="4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5080" w:type="dxa"/>
            <w:vAlign w:val="bottom"/>
          </w:tcPr>
          <w:p>
            <w:pPr>
              <w:spacing w:after="0"/>
              <w:rPr>
                <w:sz w:val="17"/>
                <w:szCs w:val="17"/>
                <w:color w:val="auto"/>
              </w:rPr>
            </w:pPr>
          </w:p>
        </w:tc>
        <w:tc>
          <w:tcPr>
            <w:tcW w:w="6160" w:type="dxa"/>
            <w:vAlign w:val="bottom"/>
            <w:gridSpan w:val="3"/>
          </w:tcPr>
          <w:p>
            <w:pPr>
              <w:spacing w:after="0"/>
              <w:rPr>
                <w:sz w:val="20"/>
                <w:szCs w:val="20"/>
                <w:color w:val="auto"/>
              </w:rPr>
            </w:pPr>
            <w:r>
              <w:rPr>
                <w:rFonts w:ascii="Arial" w:cs="Arial" w:eastAsia="Arial" w:hAnsi="Arial"/>
                <w:sz w:val="18"/>
                <w:szCs w:val="18"/>
                <w:b w:val="1"/>
                <w:bCs w:val="1"/>
                <w:color w:val="auto"/>
              </w:rPr>
              <w:t>SCHEDULE I</w:t>
            </w:r>
          </w:p>
        </w:tc>
      </w:tr>
      <w:tr>
        <w:trPr>
          <w:trHeight w:val="270"/>
        </w:trPr>
        <w:tc>
          <w:tcPr>
            <w:tcW w:w="5080" w:type="dxa"/>
            <w:vAlign w:val="bottom"/>
            <w:tcBorders>
              <w:bottom w:val="single" w:sz="8" w:color="auto"/>
            </w:tcBorders>
          </w:tcPr>
          <w:p>
            <w:pPr>
              <w:spacing w:after="0"/>
              <w:rPr>
                <w:sz w:val="23"/>
                <w:szCs w:val="23"/>
                <w:color w:val="auto"/>
              </w:rPr>
            </w:pPr>
          </w:p>
        </w:tc>
        <w:tc>
          <w:tcPr>
            <w:tcW w:w="1100" w:type="dxa"/>
            <w:vAlign w:val="bottom"/>
            <w:tcBorders>
              <w:top w:val="single" w:sz="8" w:color="auto"/>
              <w:bottom w:val="single" w:sz="8" w:color="auto"/>
            </w:tcBorders>
          </w:tcPr>
          <w:p>
            <w:pPr>
              <w:spacing w:after="0"/>
              <w:rPr>
                <w:sz w:val="23"/>
                <w:szCs w:val="23"/>
                <w:color w:val="auto"/>
              </w:rPr>
            </w:pPr>
          </w:p>
        </w:tc>
        <w:tc>
          <w:tcPr>
            <w:tcW w:w="1880" w:type="dxa"/>
            <w:vAlign w:val="bottom"/>
            <w:tcBorders>
              <w:bottom w:val="single" w:sz="8" w:color="auto"/>
            </w:tcBorders>
          </w:tcPr>
          <w:p>
            <w:pPr>
              <w:spacing w:after="0"/>
              <w:rPr>
                <w:sz w:val="23"/>
                <w:szCs w:val="23"/>
                <w:color w:val="auto"/>
              </w:rPr>
            </w:pPr>
          </w:p>
        </w:tc>
        <w:tc>
          <w:tcPr>
            <w:tcW w:w="3180" w:type="dxa"/>
            <w:vAlign w:val="bottom"/>
            <w:tcBorders>
              <w:bottom w:val="single" w:sz="8" w:color="auto"/>
            </w:tcBorders>
          </w:tcPr>
          <w:p>
            <w:pPr>
              <w:spacing w:after="0"/>
              <w:rPr>
                <w:sz w:val="23"/>
                <w:szCs w:val="23"/>
                <w:color w:val="auto"/>
              </w:rPr>
            </w:pPr>
          </w:p>
        </w:tc>
      </w:tr>
      <w:tr>
        <w:trPr>
          <w:trHeight w:val="223"/>
        </w:trPr>
        <w:tc>
          <w:tcPr>
            <w:tcW w:w="5080" w:type="dxa"/>
            <w:vAlign w:val="bottom"/>
            <w:tcBorders>
              <w:left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rPr>
              <w:t>Entity</w:t>
            </w:r>
          </w:p>
        </w:tc>
        <w:tc>
          <w:tcPr>
            <w:tcW w:w="1100" w:type="dxa"/>
            <w:vAlign w:val="bottom"/>
            <w:tcBorders>
              <w:bottom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Country</w:t>
            </w:r>
          </w:p>
        </w:tc>
      </w:tr>
      <w:tr>
        <w:trPr>
          <w:trHeight w:val="223"/>
        </w:trPr>
        <w:tc>
          <w:tcPr>
            <w:tcW w:w="5080" w:type="dxa"/>
            <w:vAlign w:val="bottom"/>
            <w:tcBorders>
              <w:left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FMC Technologies Do Brasil Ltda.</w:t>
            </w:r>
          </w:p>
        </w:tc>
        <w:tc>
          <w:tcPr>
            <w:tcW w:w="1100" w:type="dxa"/>
            <w:vAlign w:val="bottom"/>
            <w:tcBorders>
              <w:bottom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Brazil</w:t>
            </w:r>
          </w:p>
        </w:tc>
      </w:tr>
      <w:tr>
        <w:trPr>
          <w:trHeight w:val="223"/>
        </w:trPr>
        <w:tc>
          <w:tcPr>
            <w:tcW w:w="5080" w:type="dxa"/>
            <w:vAlign w:val="bottom"/>
            <w:tcBorders>
              <w:left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GLBL Brasil Oleodutos e Servicos Ltda.</w:t>
            </w:r>
          </w:p>
        </w:tc>
        <w:tc>
          <w:tcPr>
            <w:tcW w:w="1100" w:type="dxa"/>
            <w:vAlign w:val="bottom"/>
            <w:tcBorders>
              <w:bottom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Brazil</w:t>
            </w:r>
          </w:p>
        </w:tc>
      </w:tr>
      <w:tr>
        <w:trPr>
          <w:trHeight w:val="223"/>
        </w:trPr>
        <w:tc>
          <w:tcPr>
            <w:tcW w:w="5080" w:type="dxa"/>
            <w:vAlign w:val="bottom"/>
            <w:tcBorders>
              <w:left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98"/>
              </w:rPr>
              <w:t>Technip Brasil Engenharia, Instalacoes e Apoio Maritimo Ltda</w:t>
            </w:r>
          </w:p>
        </w:tc>
        <w:tc>
          <w:tcPr>
            <w:tcW w:w="1100" w:type="dxa"/>
            <w:vAlign w:val="bottom"/>
            <w:tcBorders>
              <w:bottom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Brazil</w:t>
            </w:r>
          </w:p>
        </w:tc>
      </w:tr>
      <w:tr>
        <w:trPr>
          <w:trHeight w:val="223"/>
        </w:trPr>
        <w:tc>
          <w:tcPr>
            <w:tcW w:w="5080" w:type="dxa"/>
            <w:vAlign w:val="bottom"/>
            <w:tcBorders>
              <w:left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FMC Separation Systems BV</w:t>
            </w:r>
          </w:p>
        </w:tc>
        <w:tc>
          <w:tcPr>
            <w:tcW w:w="1100" w:type="dxa"/>
            <w:vAlign w:val="bottom"/>
            <w:tcBorders>
              <w:bottom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Netherlands</w:t>
            </w:r>
          </w:p>
        </w:tc>
      </w:tr>
      <w:tr>
        <w:trPr>
          <w:trHeight w:val="223"/>
        </w:trPr>
        <w:tc>
          <w:tcPr>
            <w:tcW w:w="5080" w:type="dxa"/>
            <w:vAlign w:val="bottom"/>
            <w:tcBorders>
              <w:left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FMC Technologies Brazil Finance BV</w:t>
            </w:r>
          </w:p>
        </w:tc>
        <w:tc>
          <w:tcPr>
            <w:tcW w:w="1100" w:type="dxa"/>
            <w:vAlign w:val="bottom"/>
            <w:tcBorders>
              <w:bottom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Netherlands</w:t>
            </w:r>
          </w:p>
        </w:tc>
      </w:tr>
      <w:tr>
        <w:trPr>
          <w:trHeight w:val="223"/>
        </w:trPr>
        <w:tc>
          <w:tcPr>
            <w:tcW w:w="5080" w:type="dxa"/>
            <w:vAlign w:val="bottom"/>
            <w:tcBorders>
              <w:left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FMC Technologies BV</w:t>
            </w:r>
          </w:p>
        </w:tc>
        <w:tc>
          <w:tcPr>
            <w:tcW w:w="1100" w:type="dxa"/>
            <w:vAlign w:val="bottom"/>
            <w:tcBorders>
              <w:bottom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Netherlands</w:t>
            </w:r>
          </w:p>
        </w:tc>
      </w:tr>
      <w:tr>
        <w:trPr>
          <w:trHeight w:val="223"/>
        </w:trPr>
        <w:tc>
          <w:tcPr>
            <w:tcW w:w="5080" w:type="dxa"/>
            <w:vAlign w:val="bottom"/>
            <w:tcBorders>
              <w:left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FMC Technologies Global BV</w:t>
            </w:r>
          </w:p>
        </w:tc>
        <w:tc>
          <w:tcPr>
            <w:tcW w:w="1100" w:type="dxa"/>
            <w:vAlign w:val="bottom"/>
            <w:tcBorders>
              <w:bottom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Netherlands</w:t>
            </w:r>
          </w:p>
        </w:tc>
      </w:tr>
      <w:tr>
        <w:trPr>
          <w:trHeight w:val="223"/>
        </w:trPr>
        <w:tc>
          <w:tcPr>
            <w:tcW w:w="5080" w:type="dxa"/>
            <w:vAlign w:val="bottom"/>
            <w:tcBorders>
              <w:left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FMC Technologies International Services BV</w:t>
            </w:r>
          </w:p>
        </w:tc>
        <w:tc>
          <w:tcPr>
            <w:tcW w:w="1100" w:type="dxa"/>
            <w:vAlign w:val="bottom"/>
            <w:tcBorders>
              <w:bottom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Netherlands</w:t>
            </w:r>
          </w:p>
        </w:tc>
      </w:tr>
      <w:tr>
        <w:trPr>
          <w:trHeight w:val="223"/>
        </w:trPr>
        <w:tc>
          <w:tcPr>
            <w:tcW w:w="5080" w:type="dxa"/>
            <w:vAlign w:val="bottom"/>
            <w:tcBorders>
              <w:left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FMC Technologies Surface Wellhead BV</w:t>
            </w:r>
          </w:p>
        </w:tc>
        <w:tc>
          <w:tcPr>
            <w:tcW w:w="1100" w:type="dxa"/>
            <w:vAlign w:val="bottom"/>
            <w:tcBorders>
              <w:bottom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Netherlands</w:t>
            </w:r>
          </w:p>
        </w:tc>
      </w:tr>
      <w:tr>
        <w:trPr>
          <w:trHeight w:val="223"/>
        </w:trPr>
        <w:tc>
          <w:tcPr>
            <w:tcW w:w="5080" w:type="dxa"/>
            <w:vAlign w:val="bottom"/>
            <w:tcBorders>
              <w:left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Technip Holding Benelux BV</w:t>
            </w:r>
          </w:p>
        </w:tc>
        <w:tc>
          <w:tcPr>
            <w:tcW w:w="1100" w:type="dxa"/>
            <w:vAlign w:val="bottom"/>
            <w:tcBorders>
              <w:bottom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Netherlands</w:t>
            </w:r>
          </w:p>
        </w:tc>
      </w:tr>
      <w:tr>
        <w:trPr>
          <w:trHeight w:val="223"/>
        </w:trPr>
        <w:tc>
          <w:tcPr>
            <w:tcW w:w="5080" w:type="dxa"/>
            <w:vAlign w:val="bottom"/>
            <w:tcBorders>
              <w:left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Technip Offshore Contracting BV</w:t>
            </w:r>
          </w:p>
        </w:tc>
        <w:tc>
          <w:tcPr>
            <w:tcW w:w="1100" w:type="dxa"/>
            <w:vAlign w:val="bottom"/>
            <w:tcBorders>
              <w:bottom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Netherlands</w:t>
            </w:r>
          </w:p>
        </w:tc>
      </w:tr>
      <w:tr>
        <w:trPr>
          <w:trHeight w:val="223"/>
        </w:trPr>
        <w:tc>
          <w:tcPr>
            <w:tcW w:w="5080" w:type="dxa"/>
            <w:vAlign w:val="bottom"/>
            <w:tcBorders>
              <w:left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Technip Offshore NV</w:t>
            </w:r>
          </w:p>
        </w:tc>
        <w:tc>
          <w:tcPr>
            <w:tcW w:w="1100" w:type="dxa"/>
            <w:vAlign w:val="bottom"/>
            <w:tcBorders>
              <w:bottom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Netherlands</w:t>
            </w:r>
          </w:p>
        </w:tc>
      </w:tr>
      <w:tr>
        <w:trPr>
          <w:trHeight w:val="223"/>
        </w:trPr>
        <w:tc>
          <w:tcPr>
            <w:tcW w:w="5080" w:type="dxa"/>
            <w:vAlign w:val="bottom"/>
            <w:tcBorders>
              <w:left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Technip Ships (Netherlands) BV</w:t>
            </w:r>
          </w:p>
        </w:tc>
        <w:tc>
          <w:tcPr>
            <w:tcW w:w="1100" w:type="dxa"/>
            <w:vAlign w:val="bottom"/>
            <w:tcBorders>
              <w:bottom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Netherlands</w:t>
            </w:r>
          </w:p>
        </w:tc>
      </w:tr>
      <w:tr>
        <w:trPr>
          <w:trHeight w:val="223"/>
        </w:trPr>
        <w:tc>
          <w:tcPr>
            <w:tcW w:w="5080" w:type="dxa"/>
            <w:vAlign w:val="bottom"/>
            <w:tcBorders>
              <w:left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TechnipFMC Cash BV</w:t>
            </w:r>
          </w:p>
        </w:tc>
        <w:tc>
          <w:tcPr>
            <w:tcW w:w="1100" w:type="dxa"/>
            <w:vAlign w:val="bottom"/>
            <w:tcBorders>
              <w:bottom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Netherlands</w:t>
            </w:r>
          </w:p>
        </w:tc>
      </w:tr>
      <w:tr>
        <w:trPr>
          <w:trHeight w:val="223"/>
        </w:trPr>
        <w:tc>
          <w:tcPr>
            <w:tcW w:w="5080" w:type="dxa"/>
            <w:vAlign w:val="bottom"/>
            <w:tcBorders>
              <w:left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TechnipFMC International Holdings BV</w:t>
            </w:r>
          </w:p>
        </w:tc>
        <w:tc>
          <w:tcPr>
            <w:tcW w:w="1100" w:type="dxa"/>
            <w:vAlign w:val="bottom"/>
            <w:tcBorders>
              <w:bottom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Netherlands</w:t>
            </w:r>
          </w:p>
        </w:tc>
      </w:tr>
      <w:tr>
        <w:trPr>
          <w:trHeight w:val="223"/>
        </w:trPr>
        <w:tc>
          <w:tcPr>
            <w:tcW w:w="5080" w:type="dxa"/>
            <w:vAlign w:val="bottom"/>
            <w:tcBorders>
              <w:left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TechnipFMC Pipelaying BV</w:t>
            </w:r>
          </w:p>
        </w:tc>
        <w:tc>
          <w:tcPr>
            <w:tcW w:w="1100" w:type="dxa"/>
            <w:vAlign w:val="bottom"/>
            <w:tcBorders>
              <w:bottom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Netherlands</w:t>
            </w:r>
          </w:p>
        </w:tc>
      </w:tr>
      <w:tr>
        <w:trPr>
          <w:trHeight w:val="223"/>
        </w:trPr>
        <w:tc>
          <w:tcPr>
            <w:tcW w:w="5080" w:type="dxa"/>
            <w:vAlign w:val="bottom"/>
            <w:tcBorders>
              <w:left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TechnipFMC PLSV BV</w:t>
            </w:r>
          </w:p>
        </w:tc>
        <w:tc>
          <w:tcPr>
            <w:tcW w:w="1100" w:type="dxa"/>
            <w:vAlign w:val="bottom"/>
            <w:tcBorders>
              <w:bottom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Netherlands</w:t>
            </w:r>
          </w:p>
        </w:tc>
      </w:tr>
      <w:tr>
        <w:trPr>
          <w:trHeight w:val="223"/>
        </w:trPr>
        <w:tc>
          <w:tcPr>
            <w:tcW w:w="5080" w:type="dxa"/>
            <w:vAlign w:val="bottom"/>
            <w:tcBorders>
              <w:left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TechnipFMC PLSV CV</w:t>
            </w:r>
          </w:p>
        </w:tc>
        <w:tc>
          <w:tcPr>
            <w:tcW w:w="1100" w:type="dxa"/>
            <w:vAlign w:val="bottom"/>
            <w:tcBorders>
              <w:bottom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Netherlands</w:t>
            </w:r>
          </w:p>
        </w:tc>
      </w:tr>
      <w:tr>
        <w:trPr>
          <w:trHeight w:val="223"/>
        </w:trPr>
        <w:tc>
          <w:tcPr>
            <w:tcW w:w="5080" w:type="dxa"/>
            <w:vAlign w:val="bottom"/>
            <w:tcBorders>
              <w:left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TSLP BV</w:t>
            </w:r>
          </w:p>
        </w:tc>
        <w:tc>
          <w:tcPr>
            <w:tcW w:w="1100" w:type="dxa"/>
            <w:vAlign w:val="bottom"/>
            <w:tcBorders>
              <w:bottom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Netherlands</w:t>
            </w:r>
          </w:p>
        </w:tc>
      </w:tr>
      <w:tr>
        <w:trPr>
          <w:trHeight w:val="223"/>
        </w:trPr>
        <w:tc>
          <w:tcPr>
            <w:tcW w:w="5080" w:type="dxa"/>
            <w:vAlign w:val="bottom"/>
            <w:tcBorders>
              <w:left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FMC Kongsberg Subsea AS</w:t>
            </w:r>
          </w:p>
        </w:tc>
        <w:tc>
          <w:tcPr>
            <w:tcW w:w="1100" w:type="dxa"/>
            <w:vAlign w:val="bottom"/>
            <w:tcBorders>
              <w:bottom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Norway</w:t>
            </w:r>
          </w:p>
        </w:tc>
      </w:tr>
      <w:tr>
        <w:trPr>
          <w:trHeight w:val="223"/>
        </w:trPr>
        <w:tc>
          <w:tcPr>
            <w:tcW w:w="5080" w:type="dxa"/>
            <w:vAlign w:val="bottom"/>
            <w:tcBorders>
              <w:left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FMC Technologies Norway AS</w:t>
            </w:r>
          </w:p>
        </w:tc>
        <w:tc>
          <w:tcPr>
            <w:tcW w:w="1100" w:type="dxa"/>
            <w:vAlign w:val="bottom"/>
            <w:tcBorders>
              <w:bottom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Norway</w:t>
            </w:r>
          </w:p>
        </w:tc>
      </w:tr>
      <w:tr>
        <w:trPr>
          <w:trHeight w:val="223"/>
        </w:trPr>
        <w:tc>
          <w:tcPr>
            <w:tcW w:w="5080" w:type="dxa"/>
            <w:vAlign w:val="bottom"/>
            <w:tcBorders>
              <w:left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Technip Chartering Norge AS</w:t>
            </w:r>
          </w:p>
        </w:tc>
        <w:tc>
          <w:tcPr>
            <w:tcW w:w="1100" w:type="dxa"/>
            <w:vAlign w:val="bottom"/>
            <w:tcBorders>
              <w:bottom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Norway</w:t>
            </w:r>
          </w:p>
        </w:tc>
      </w:tr>
      <w:tr>
        <w:trPr>
          <w:trHeight w:val="223"/>
        </w:trPr>
        <w:tc>
          <w:tcPr>
            <w:tcW w:w="5080" w:type="dxa"/>
            <w:vAlign w:val="bottom"/>
            <w:tcBorders>
              <w:left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Technip Coflexip Norge AS</w:t>
            </w:r>
          </w:p>
        </w:tc>
        <w:tc>
          <w:tcPr>
            <w:tcW w:w="1100" w:type="dxa"/>
            <w:vAlign w:val="bottom"/>
            <w:tcBorders>
              <w:bottom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Norway</w:t>
            </w:r>
          </w:p>
        </w:tc>
      </w:tr>
      <w:tr>
        <w:trPr>
          <w:trHeight w:val="223"/>
        </w:trPr>
        <w:tc>
          <w:tcPr>
            <w:tcW w:w="5080" w:type="dxa"/>
            <w:vAlign w:val="bottom"/>
            <w:tcBorders>
              <w:left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Technip Norge AS</w:t>
            </w:r>
          </w:p>
        </w:tc>
        <w:tc>
          <w:tcPr>
            <w:tcW w:w="1100" w:type="dxa"/>
            <w:vAlign w:val="bottom"/>
            <w:tcBorders>
              <w:bottom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Norway</w:t>
            </w:r>
          </w:p>
        </w:tc>
      </w:tr>
      <w:tr>
        <w:trPr>
          <w:trHeight w:val="223"/>
        </w:trPr>
        <w:tc>
          <w:tcPr>
            <w:tcW w:w="5080" w:type="dxa"/>
            <w:vAlign w:val="bottom"/>
            <w:tcBorders>
              <w:left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FMC Technologies Global Services Pte Ltd</w:t>
            </w:r>
          </w:p>
        </w:tc>
        <w:tc>
          <w:tcPr>
            <w:tcW w:w="1100" w:type="dxa"/>
            <w:vAlign w:val="bottom"/>
            <w:tcBorders>
              <w:bottom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Singapore</w:t>
            </w:r>
          </w:p>
        </w:tc>
      </w:tr>
      <w:tr>
        <w:trPr>
          <w:trHeight w:val="223"/>
        </w:trPr>
        <w:tc>
          <w:tcPr>
            <w:tcW w:w="5080" w:type="dxa"/>
            <w:vAlign w:val="bottom"/>
            <w:tcBorders>
              <w:left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FMC Technologies Singapore Pte Ltd</w:t>
            </w:r>
          </w:p>
        </w:tc>
        <w:tc>
          <w:tcPr>
            <w:tcW w:w="1100" w:type="dxa"/>
            <w:vAlign w:val="bottom"/>
            <w:tcBorders>
              <w:bottom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Singapore</w:t>
            </w:r>
          </w:p>
        </w:tc>
      </w:tr>
      <w:tr>
        <w:trPr>
          <w:trHeight w:val="223"/>
        </w:trPr>
        <w:tc>
          <w:tcPr>
            <w:tcW w:w="5080" w:type="dxa"/>
            <w:vAlign w:val="bottom"/>
            <w:tcBorders>
              <w:left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Technip Singapore Pte Ltd</w:t>
            </w:r>
          </w:p>
        </w:tc>
        <w:tc>
          <w:tcPr>
            <w:tcW w:w="1100" w:type="dxa"/>
            <w:vAlign w:val="bottom"/>
            <w:tcBorders>
              <w:bottom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Singapore</w:t>
            </w:r>
          </w:p>
        </w:tc>
      </w:tr>
      <w:tr>
        <w:trPr>
          <w:trHeight w:val="223"/>
        </w:trPr>
        <w:tc>
          <w:tcPr>
            <w:tcW w:w="5080" w:type="dxa"/>
            <w:vAlign w:val="bottom"/>
            <w:tcBorders>
              <w:left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Control Systems International (UK) Ltd</w:t>
            </w:r>
          </w:p>
        </w:tc>
        <w:tc>
          <w:tcPr>
            <w:tcW w:w="1100" w:type="dxa"/>
            <w:vAlign w:val="bottom"/>
            <w:tcBorders>
              <w:bottom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United Kingdom</w:t>
            </w:r>
          </w:p>
        </w:tc>
      </w:tr>
      <w:tr>
        <w:trPr>
          <w:trHeight w:val="223"/>
        </w:trPr>
        <w:tc>
          <w:tcPr>
            <w:tcW w:w="5080" w:type="dxa"/>
            <w:vAlign w:val="bottom"/>
            <w:tcBorders>
              <w:left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FMC Kongsberg Services Ltd</w:t>
            </w:r>
          </w:p>
        </w:tc>
        <w:tc>
          <w:tcPr>
            <w:tcW w:w="1100" w:type="dxa"/>
            <w:vAlign w:val="bottom"/>
            <w:tcBorders>
              <w:bottom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United Kingdom</w:t>
            </w:r>
          </w:p>
        </w:tc>
      </w:tr>
      <w:tr>
        <w:trPr>
          <w:trHeight w:val="223"/>
        </w:trPr>
        <w:tc>
          <w:tcPr>
            <w:tcW w:w="5080" w:type="dxa"/>
            <w:vAlign w:val="bottom"/>
            <w:tcBorders>
              <w:left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FMC/KOS West Africa Ltd</w:t>
            </w:r>
          </w:p>
        </w:tc>
        <w:tc>
          <w:tcPr>
            <w:tcW w:w="1100" w:type="dxa"/>
            <w:vAlign w:val="bottom"/>
            <w:tcBorders>
              <w:bottom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United Kingdom</w:t>
            </w:r>
          </w:p>
        </w:tc>
      </w:tr>
      <w:tr>
        <w:trPr>
          <w:trHeight w:val="223"/>
        </w:trPr>
        <w:tc>
          <w:tcPr>
            <w:tcW w:w="5080" w:type="dxa"/>
            <w:vAlign w:val="bottom"/>
            <w:tcBorders>
              <w:left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FMC Technologies Ltd</w:t>
            </w:r>
          </w:p>
        </w:tc>
        <w:tc>
          <w:tcPr>
            <w:tcW w:w="1100" w:type="dxa"/>
            <w:vAlign w:val="bottom"/>
            <w:tcBorders>
              <w:bottom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United Kingdom</w:t>
            </w:r>
          </w:p>
        </w:tc>
      </w:tr>
      <w:tr>
        <w:trPr>
          <w:trHeight w:val="223"/>
        </w:trPr>
        <w:tc>
          <w:tcPr>
            <w:tcW w:w="5080" w:type="dxa"/>
            <w:vAlign w:val="bottom"/>
            <w:tcBorders>
              <w:left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Subsea I &amp; C Services Ltd</w:t>
            </w:r>
          </w:p>
        </w:tc>
        <w:tc>
          <w:tcPr>
            <w:tcW w:w="1100" w:type="dxa"/>
            <w:vAlign w:val="bottom"/>
            <w:tcBorders>
              <w:bottom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United Kingdom</w:t>
            </w:r>
          </w:p>
        </w:tc>
      </w:tr>
      <w:tr>
        <w:trPr>
          <w:trHeight w:val="223"/>
        </w:trPr>
        <w:tc>
          <w:tcPr>
            <w:tcW w:w="5080" w:type="dxa"/>
            <w:vAlign w:val="bottom"/>
            <w:tcBorders>
              <w:left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Subsea Maritime Services Ltd</w:t>
            </w:r>
          </w:p>
        </w:tc>
        <w:tc>
          <w:tcPr>
            <w:tcW w:w="1100" w:type="dxa"/>
            <w:vAlign w:val="bottom"/>
            <w:tcBorders>
              <w:bottom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United Kingdom</w:t>
            </w:r>
          </w:p>
        </w:tc>
      </w:tr>
      <w:tr>
        <w:trPr>
          <w:trHeight w:val="223"/>
        </w:trPr>
        <w:tc>
          <w:tcPr>
            <w:tcW w:w="5080" w:type="dxa"/>
            <w:vAlign w:val="bottom"/>
            <w:tcBorders>
              <w:left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Subsea Offshore Services Ltd</w:t>
            </w:r>
          </w:p>
        </w:tc>
        <w:tc>
          <w:tcPr>
            <w:tcW w:w="1100" w:type="dxa"/>
            <w:vAlign w:val="bottom"/>
            <w:tcBorders>
              <w:bottom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United Kingdom</w:t>
            </w:r>
          </w:p>
        </w:tc>
      </w:tr>
      <w:tr>
        <w:trPr>
          <w:trHeight w:val="223"/>
        </w:trPr>
        <w:tc>
          <w:tcPr>
            <w:tcW w:w="5080" w:type="dxa"/>
            <w:vAlign w:val="bottom"/>
            <w:tcBorders>
              <w:left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Technip Offshore Manning Services Ltd.</w:t>
            </w:r>
          </w:p>
        </w:tc>
        <w:tc>
          <w:tcPr>
            <w:tcW w:w="1100" w:type="dxa"/>
            <w:vAlign w:val="bottom"/>
            <w:tcBorders>
              <w:bottom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United Kingdom</w:t>
            </w:r>
          </w:p>
        </w:tc>
      </w:tr>
      <w:tr>
        <w:trPr>
          <w:trHeight w:val="223"/>
        </w:trPr>
        <w:tc>
          <w:tcPr>
            <w:tcW w:w="5080" w:type="dxa"/>
            <w:vAlign w:val="bottom"/>
            <w:tcBorders>
              <w:left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Technip Services Ltd</w:t>
            </w:r>
          </w:p>
        </w:tc>
        <w:tc>
          <w:tcPr>
            <w:tcW w:w="1100" w:type="dxa"/>
            <w:vAlign w:val="bottom"/>
            <w:tcBorders>
              <w:bottom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United Kingdom</w:t>
            </w:r>
          </w:p>
        </w:tc>
      </w:tr>
      <w:tr>
        <w:trPr>
          <w:trHeight w:val="223"/>
        </w:trPr>
        <w:tc>
          <w:tcPr>
            <w:tcW w:w="5080" w:type="dxa"/>
            <w:vAlign w:val="bottom"/>
            <w:tcBorders>
              <w:left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Technip Ships One Ltd</w:t>
            </w:r>
          </w:p>
        </w:tc>
        <w:tc>
          <w:tcPr>
            <w:tcW w:w="1100" w:type="dxa"/>
            <w:vAlign w:val="bottom"/>
            <w:tcBorders>
              <w:bottom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United Kingdom</w:t>
            </w:r>
          </w:p>
        </w:tc>
      </w:tr>
      <w:tr>
        <w:trPr>
          <w:trHeight w:val="223"/>
        </w:trPr>
        <w:tc>
          <w:tcPr>
            <w:tcW w:w="5080" w:type="dxa"/>
            <w:vAlign w:val="bottom"/>
            <w:tcBorders>
              <w:left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Technip UK Limited</w:t>
            </w:r>
          </w:p>
        </w:tc>
        <w:tc>
          <w:tcPr>
            <w:tcW w:w="1100" w:type="dxa"/>
            <w:vAlign w:val="bottom"/>
            <w:tcBorders>
              <w:bottom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United Kingdom</w:t>
            </w:r>
          </w:p>
        </w:tc>
      </w:tr>
      <w:tr>
        <w:trPr>
          <w:trHeight w:val="223"/>
        </w:trPr>
        <w:tc>
          <w:tcPr>
            <w:tcW w:w="5080" w:type="dxa"/>
            <w:vAlign w:val="bottom"/>
            <w:tcBorders>
              <w:left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Technip-Coflexip UK Holdings Ltd</w:t>
            </w:r>
          </w:p>
        </w:tc>
        <w:tc>
          <w:tcPr>
            <w:tcW w:w="1100" w:type="dxa"/>
            <w:vAlign w:val="bottom"/>
            <w:tcBorders>
              <w:bottom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United Kingdom</w:t>
            </w:r>
          </w:p>
        </w:tc>
      </w:tr>
      <w:tr>
        <w:trPr>
          <w:trHeight w:val="223"/>
        </w:trPr>
        <w:tc>
          <w:tcPr>
            <w:tcW w:w="5080" w:type="dxa"/>
            <w:vAlign w:val="bottom"/>
            <w:tcBorders>
              <w:left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TechnipFMC (Europe) Ltd.</w:t>
            </w:r>
          </w:p>
        </w:tc>
        <w:tc>
          <w:tcPr>
            <w:tcW w:w="1100" w:type="dxa"/>
            <w:vAlign w:val="bottom"/>
            <w:tcBorders>
              <w:bottom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United Kingdom</w:t>
            </w:r>
          </w:p>
        </w:tc>
      </w:tr>
      <w:tr>
        <w:trPr>
          <w:trHeight w:val="223"/>
        </w:trPr>
        <w:tc>
          <w:tcPr>
            <w:tcW w:w="5080" w:type="dxa"/>
            <w:vAlign w:val="bottom"/>
            <w:tcBorders>
              <w:left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TechnipFMC Corporate Holdings Limited</w:t>
            </w:r>
          </w:p>
        </w:tc>
        <w:tc>
          <w:tcPr>
            <w:tcW w:w="1100" w:type="dxa"/>
            <w:vAlign w:val="bottom"/>
            <w:tcBorders>
              <w:bottom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United Kingdom</w:t>
            </w:r>
          </w:p>
        </w:tc>
      </w:tr>
      <w:tr>
        <w:trPr>
          <w:trHeight w:val="223"/>
        </w:trPr>
        <w:tc>
          <w:tcPr>
            <w:tcW w:w="5080" w:type="dxa"/>
            <w:vAlign w:val="bottom"/>
            <w:tcBorders>
              <w:left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TechnipFMC Finance ULC</w:t>
            </w:r>
          </w:p>
        </w:tc>
        <w:tc>
          <w:tcPr>
            <w:tcW w:w="1100" w:type="dxa"/>
            <w:vAlign w:val="bottom"/>
            <w:tcBorders>
              <w:bottom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United Kingdom</w:t>
            </w:r>
          </w:p>
        </w:tc>
      </w:tr>
      <w:tr>
        <w:trPr>
          <w:trHeight w:val="223"/>
        </w:trPr>
        <w:tc>
          <w:tcPr>
            <w:tcW w:w="5080" w:type="dxa"/>
            <w:vAlign w:val="bottom"/>
            <w:tcBorders>
              <w:left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TechnipFMC International Finance Ltd.</w:t>
            </w:r>
          </w:p>
        </w:tc>
        <w:tc>
          <w:tcPr>
            <w:tcW w:w="1100" w:type="dxa"/>
            <w:vAlign w:val="bottom"/>
            <w:tcBorders>
              <w:bottom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United Kingdom</w:t>
            </w:r>
          </w:p>
        </w:tc>
      </w:tr>
      <w:tr>
        <w:trPr>
          <w:trHeight w:val="223"/>
        </w:trPr>
        <w:tc>
          <w:tcPr>
            <w:tcW w:w="5080" w:type="dxa"/>
            <w:vAlign w:val="bottom"/>
            <w:tcBorders>
              <w:left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TechnipFMC International UK Limited</w:t>
            </w:r>
          </w:p>
        </w:tc>
        <w:tc>
          <w:tcPr>
            <w:tcW w:w="1100" w:type="dxa"/>
            <w:vAlign w:val="bottom"/>
            <w:tcBorders>
              <w:bottom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United Kingdom</w:t>
            </w:r>
          </w:p>
        </w:tc>
      </w:tr>
      <w:tr>
        <w:trPr>
          <w:trHeight w:val="223"/>
        </w:trPr>
        <w:tc>
          <w:tcPr>
            <w:tcW w:w="5080" w:type="dxa"/>
            <w:vAlign w:val="bottom"/>
            <w:tcBorders>
              <w:left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TechnipFMC plc</w:t>
            </w:r>
          </w:p>
        </w:tc>
        <w:tc>
          <w:tcPr>
            <w:tcW w:w="1100" w:type="dxa"/>
            <w:vAlign w:val="bottom"/>
            <w:tcBorders>
              <w:bottom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United Kingdom</w:t>
            </w:r>
          </w:p>
        </w:tc>
      </w:tr>
      <w:tr>
        <w:trPr>
          <w:trHeight w:val="223"/>
        </w:trPr>
        <w:tc>
          <w:tcPr>
            <w:tcW w:w="5080" w:type="dxa"/>
            <w:vAlign w:val="bottom"/>
            <w:tcBorders>
              <w:left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TechnipFMC Umbilicals Ltd.</w:t>
            </w:r>
          </w:p>
        </w:tc>
        <w:tc>
          <w:tcPr>
            <w:tcW w:w="1100" w:type="dxa"/>
            <w:vAlign w:val="bottom"/>
            <w:tcBorders>
              <w:bottom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United Kingdom</w:t>
            </w:r>
          </w:p>
        </w:tc>
      </w:tr>
      <w:tr>
        <w:trPr>
          <w:trHeight w:val="223"/>
        </w:trPr>
        <w:tc>
          <w:tcPr>
            <w:tcW w:w="5080" w:type="dxa"/>
            <w:vAlign w:val="bottom"/>
            <w:tcBorders>
              <w:left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West Africa Subsea Services Ltd.</w:t>
            </w:r>
          </w:p>
        </w:tc>
        <w:tc>
          <w:tcPr>
            <w:tcW w:w="1100" w:type="dxa"/>
            <w:vAlign w:val="bottom"/>
            <w:tcBorders>
              <w:bottom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United Kingdom</w:t>
            </w:r>
          </w:p>
        </w:tc>
      </w:tr>
      <w:tr>
        <w:trPr>
          <w:trHeight w:val="601"/>
        </w:trPr>
        <w:tc>
          <w:tcPr>
            <w:tcW w:w="50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51"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240030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100"/>
        <w:spacing w:after="0"/>
        <w:rPr>
          <w:sz w:val="20"/>
          <w:szCs w:val="20"/>
          <w:color w:val="auto"/>
        </w:rPr>
      </w:pPr>
      <w:r>
        <w:rPr>
          <w:rFonts w:ascii="Arial" w:cs="Arial" w:eastAsia="Arial" w:hAnsi="Arial"/>
          <w:sz w:val="21"/>
          <w:szCs w:val="21"/>
          <w:b w:val="1"/>
          <w:bCs w:val="1"/>
          <w:color w:val="auto"/>
        </w:rPr>
        <w:t>TAX MATTERS AGREEMENT</w:t>
      </w:r>
    </w:p>
    <w:p>
      <w:pPr>
        <w:spacing w:after="0" w:line="245"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by and between</w:t>
      </w:r>
    </w:p>
    <w:p>
      <w:pPr>
        <w:spacing w:after="0" w:line="233"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TECHNIPFMC PLC</w:t>
      </w:r>
    </w:p>
    <w:p>
      <w:pPr>
        <w:spacing w:after="0" w:line="233"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and</w:t>
      </w:r>
    </w:p>
    <w:p>
      <w:pPr>
        <w:spacing w:after="0" w:line="233"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TECHNIP ENERGIES N.V.</w:t>
      </w:r>
    </w:p>
    <w:p>
      <w:pPr>
        <w:spacing w:after="0" w:line="233" w:lineRule="exact"/>
        <w:rPr>
          <w:sz w:val="20"/>
          <w:szCs w:val="20"/>
          <w:color w:val="auto"/>
        </w:rPr>
      </w:pPr>
    </w:p>
    <w:p>
      <w:pPr>
        <w:ind w:left="3120"/>
        <w:spacing w:after="0"/>
        <w:rPr>
          <w:sz w:val="20"/>
          <w:szCs w:val="20"/>
          <w:color w:val="auto"/>
        </w:rPr>
      </w:pPr>
      <w:r>
        <w:rPr>
          <w:rFonts w:ascii="Arial" w:cs="Arial" w:eastAsia="Arial" w:hAnsi="Arial"/>
          <w:sz w:val="22"/>
          <w:szCs w:val="22"/>
          <w:b w:val="1"/>
          <w:bCs w:val="1"/>
          <w:color w:val="auto"/>
        </w:rPr>
        <w:t>Dated as of February 16,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216535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568325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283"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75"/>
        </w:trPr>
        <w:tc>
          <w:tcPr>
            <w:tcW w:w="1540" w:type="dxa"/>
            <w:vAlign w:val="bottom"/>
          </w:tcPr>
          <w:p>
            <w:pPr>
              <w:spacing w:after="0"/>
              <w:rPr>
                <w:sz w:val="23"/>
                <w:szCs w:val="23"/>
                <w:color w:val="auto"/>
              </w:rPr>
            </w:pPr>
          </w:p>
        </w:tc>
        <w:tc>
          <w:tcPr>
            <w:tcW w:w="8120" w:type="dxa"/>
            <w:vAlign w:val="bottom"/>
          </w:tcPr>
          <w:p>
            <w:pPr>
              <w:jc w:val="center"/>
              <w:spacing w:after="0"/>
              <w:rPr>
                <w:sz w:val="20"/>
                <w:szCs w:val="20"/>
                <w:color w:val="auto"/>
              </w:rPr>
            </w:pPr>
            <w:r>
              <w:rPr>
                <w:rFonts w:ascii="Arial" w:cs="Arial" w:eastAsia="Arial" w:hAnsi="Arial"/>
                <w:sz w:val="22"/>
                <w:szCs w:val="22"/>
                <w:color w:val="auto"/>
                <w:w w:val="94"/>
              </w:rPr>
              <w:t>TABLE OF CONTENTS</w:t>
            </w:r>
          </w:p>
        </w:tc>
        <w:tc>
          <w:tcPr>
            <w:tcW w:w="1580" w:type="dxa"/>
            <w:vAlign w:val="bottom"/>
          </w:tcPr>
          <w:p>
            <w:pPr>
              <w:spacing w:after="0"/>
              <w:rPr>
                <w:sz w:val="23"/>
                <w:szCs w:val="23"/>
                <w:color w:val="auto"/>
              </w:rPr>
            </w:pPr>
          </w:p>
        </w:tc>
      </w:tr>
      <w:tr>
        <w:trPr>
          <w:trHeight w:val="435"/>
        </w:trPr>
        <w:tc>
          <w:tcPr>
            <w:tcW w:w="1540" w:type="dxa"/>
            <w:vAlign w:val="bottom"/>
          </w:tcPr>
          <w:p>
            <w:pPr>
              <w:spacing w:after="0"/>
              <w:rPr>
                <w:sz w:val="24"/>
                <w:szCs w:val="24"/>
                <w:color w:val="auto"/>
              </w:rPr>
            </w:pPr>
          </w:p>
        </w:tc>
        <w:tc>
          <w:tcPr>
            <w:tcW w:w="8120" w:type="dxa"/>
            <w:vAlign w:val="bottom"/>
          </w:tcPr>
          <w:p>
            <w:pPr>
              <w:jc w:val="center"/>
              <w:spacing w:after="0"/>
              <w:rPr>
                <w:sz w:val="20"/>
                <w:szCs w:val="20"/>
                <w:color w:val="auto"/>
              </w:rPr>
            </w:pPr>
            <w:r>
              <w:rPr>
                <w:rFonts w:ascii="Arial" w:cs="Arial" w:eastAsia="Arial" w:hAnsi="Arial"/>
                <w:sz w:val="18"/>
                <w:szCs w:val="18"/>
                <w:color w:val="auto"/>
                <w:w w:val="99"/>
              </w:rPr>
              <w:t>ARTICLE I</w:t>
            </w:r>
          </w:p>
        </w:tc>
        <w:tc>
          <w:tcPr>
            <w:tcW w:w="1580" w:type="dxa"/>
            <w:vAlign w:val="bottom"/>
          </w:tcPr>
          <w:p>
            <w:pPr>
              <w:spacing w:after="0"/>
              <w:rPr>
                <w:sz w:val="24"/>
                <w:szCs w:val="24"/>
                <w:color w:val="auto"/>
              </w:rPr>
            </w:pPr>
          </w:p>
        </w:tc>
      </w:tr>
      <w:tr>
        <w:trPr>
          <w:trHeight w:val="230"/>
        </w:trPr>
        <w:tc>
          <w:tcPr>
            <w:tcW w:w="1540" w:type="dxa"/>
            <w:vAlign w:val="bottom"/>
          </w:tcPr>
          <w:p>
            <w:pPr>
              <w:spacing w:after="0"/>
              <w:rPr>
                <w:sz w:val="20"/>
                <w:szCs w:val="20"/>
                <w:color w:val="auto"/>
              </w:rPr>
            </w:pPr>
          </w:p>
        </w:tc>
        <w:tc>
          <w:tcPr>
            <w:tcW w:w="8120" w:type="dxa"/>
            <w:vAlign w:val="bottom"/>
          </w:tcPr>
          <w:p>
            <w:pPr>
              <w:jc w:val="center"/>
              <w:spacing w:after="0"/>
              <w:rPr>
                <w:sz w:val="20"/>
                <w:szCs w:val="20"/>
                <w:color w:val="auto"/>
              </w:rPr>
            </w:pPr>
            <w:r>
              <w:rPr>
                <w:rFonts w:ascii="Arial" w:cs="Arial" w:eastAsia="Arial" w:hAnsi="Arial"/>
                <w:sz w:val="18"/>
                <w:szCs w:val="18"/>
                <w:color w:val="auto"/>
                <w:w w:val="98"/>
              </w:rPr>
              <w:t>ALLOCATION OF TAX LIABILITIES AND TAX-RELATED LOSSES</w:t>
            </w:r>
          </w:p>
        </w:tc>
        <w:tc>
          <w:tcPr>
            <w:tcW w:w="1580" w:type="dxa"/>
            <w:vAlign w:val="bottom"/>
          </w:tcPr>
          <w:p>
            <w:pPr>
              <w:spacing w:after="0"/>
              <w:rPr>
                <w:sz w:val="20"/>
                <w:szCs w:val="20"/>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Section 1.1.</w:t>
            </w:r>
          </w:p>
        </w:tc>
        <w:tc>
          <w:tcPr>
            <w:tcW w:w="81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General Rule</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Section 1.2.</w:t>
            </w:r>
          </w:p>
        </w:tc>
        <w:tc>
          <w:tcPr>
            <w:tcW w:w="8120" w:type="dxa"/>
            <w:vAlign w:val="bottom"/>
          </w:tcPr>
          <w:p>
            <w:pPr>
              <w:ind w:left="680"/>
              <w:spacing w:after="0"/>
              <w:rPr>
                <w:sz w:val="20"/>
                <w:szCs w:val="20"/>
                <w:color w:val="auto"/>
              </w:rPr>
            </w:pPr>
            <w:r>
              <w:rPr>
                <w:rFonts w:ascii="Arial" w:cs="Arial" w:eastAsia="Arial" w:hAnsi="Arial"/>
                <w:sz w:val="18"/>
                <w:szCs w:val="18"/>
                <w:color w:val="auto"/>
              </w:rPr>
              <w:t>General Allocation Principles</w:t>
            </w:r>
          </w:p>
        </w:tc>
        <w:tc>
          <w:tcPr>
            <w:tcW w:w="15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Section 1.3.</w:t>
            </w:r>
          </w:p>
        </w:tc>
        <w:tc>
          <w:tcPr>
            <w:tcW w:w="81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Allocation Conventions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02"/>
        </w:trPr>
        <w:tc>
          <w:tcPr>
            <w:tcW w:w="1540" w:type="dxa"/>
            <w:vAlign w:val="bottom"/>
          </w:tcPr>
          <w:p>
            <w:pPr>
              <w:spacing w:after="0"/>
              <w:rPr>
                <w:sz w:val="17"/>
                <w:szCs w:val="17"/>
                <w:color w:val="auto"/>
              </w:rPr>
            </w:pPr>
          </w:p>
        </w:tc>
        <w:tc>
          <w:tcPr>
            <w:tcW w:w="8120" w:type="dxa"/>
            <w:vAlign w:val="bottom"/>
          </w:tcPr>
          <w:p>
            <w:pPr>
              <w:jc w:val="center"/>
              <w:spacing w:after="0" w:line="201" w:lineRule="exact"/>
              <w:rPr>
                <w:sz w:val="20"/>
                <w:szCs w:val="20"/>
                <w:color w:val="auto"/>
              </w:rPr>
            </w:pPr>
            <w:r>
              <w:rPr>
                <w:rFonts w:ascii="Arial" w:cs="Arial" w:eastAsia="Arial" w:hAnsi="Arial"/>
                <w:sz w:val="18"/>
                <w:szCs w:val="18"/>
                <w:color w:val="auto"/>
              </w:rPr>
              <w:t>ARTICLE II</w:t>
            </w:r>
          </w:p>
        </w:tc>
        <w:tc>
          <w:tcPr>
            <w:tcW w:w="1580" w:type="dxa"/>
            <w:vAlign w:val="bottom"/>
          </w:tcPr>
          <w:p>
            <w:pPr>
              <w:spacing w:after="0"/>
              <w:rPr>
                <w:sz w:val="17"/>
                <w:szCs w:val="17"/>
                <w:color w:val="auto"/>
              </w:rPr>
            </w:pPr>
          </w:p>
        </w:tc>
      </w:tr>
      <w:tr>
        <w:trPr>
          <w:trHeight w:val="230"/>
        </w:trPr>
        <w:tc>
          <w:tcPr>
            <w:tcW w:w="1540" w:type="dxa"/>
            <w:vAlign w:val="bottom"/>
          </w:tcPr>
          <w:p>
            <w:pPr>
              <w:spacing w:after="0"/>
              <w:rPr>
                <w:sz w:val="20"/>
                <w:szCs w:val="20"/>
                <w:color w:val="auto"/>
              </w:rPr>
            </w:pPr>
          </w:p>
        </w:tc>
        <w:tc>
          <w:tcPr>
            <w:tcW w:w="8120" w:type="dxa"/>
            <w:vAlign w:val="bottom"/>
          </w:tcPr>
          <w:p>
            <w:pPr>
              <w:jc w:val="center"/>
              <w:spacing w:after="0"/>
              <w:rPr>
                <w:sz w:val="20"/>
                <w:szCs w:val="20"/>
                <w:color w:val="auto"/>
              </w:rPr>
            </w:pPr>
            <w:r>
              <w:rPr>
                <w:rFonts w:ascii="Arial" w:cs="Arial" w:eastAsia="Arial" w:hAnsi="Arial"/>
                <w:sz w:val="18"/>
                <w:szCs w:val="18"/>
                <w:color w:val="auto"/>
                <w:w w:val="95"/>
              </w:rPr>
              <w:t>PREPARATION OF FILING OF TAX RETURNS</w:t>
            </w:r>
          </w:p>
        </w:tc>
        <w:tc>
          <w:tcPr>
            <w:tcW w:w="1580" w:type="dxa"/>
            <w:vAlign w:val="bottom"/>
          </w:tcPr>
          <w:p>
            <w:pPr>
              <w:spacing w:after="0"/>
              <w:rPr>
                <w:sz w:val="20"/>
                <w:szCs w:val="20"/>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Section 2.1.</w:t>
            </w:r>
          </w:p>
        </w:tc>
        <w:tc>
          <w:tcPr>
            <w:tcW w:w="81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TFMC Separate Returns and Joint Returns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Section 2.2.</w:t>
            </w:r>
          </w:p>
        </w:tc>
        <w:tc>
          <w:tcPr>
            <w:tcW w:w="8120" w:type="dxa"/>
            <w:vAlign w:val="bottom"/>
          </w:tcPr>
          <w:p>
            <w:pPr>
              <w:ind w:left="680"/>
              <w:spacing w:after="0"/>
              <w:rPr>
                <w:sz w:val="20"/>
                <w:szCs w:val="20"/>
                <w:color w:val="auto"/>
              </w:rPr>
            </w:pPr>
            <w:r>
              <w:rPr>
                <w:rFonts w:ascii="Arial" w:cs="Arial" w:eastAsia="Arial" w:hAnsi="Arial"/>
                <w:sz w:val="18"/>
                <w:szCs w:val="18"/>
                <w:color w:val="auto"/>
              </w:rPr>
              <w:t>TEN Separate Returns</w:t>
            </w:r>
          </w:p>
        </w:tc>
        <w:tc>
          <w:tcPr>
            <w:tcW w:w="15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Section 2.3.</w:t>
            </w:r>
          </w:p>
        </w:tc>
        <w:tc>
          <w:tcPr>
            <w:tcW w:w="81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Tax Reporting Practices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Section 2.4.</w:t>
            </w:r>
          </w:p>
        </w:tc>
        <w:tc>
          <w:tcPr>
            <w:tcW w:w="8120" w:type="dxa"/>
            <w:vAlign w:val="bottom"/>
          </w:tcPr>
          <w:p>
            <w:pPr>
              <w:ind w:left="680"/>
              <w:spacing w:after="0"/>
              <w:rPr>
                <w:sz w:val="20"/>
                <w:szCs w:val="20"/>
                <w:color w:val="auto"/>
              </w:rPr>
            </w:pPr>
            <w:r>
              <w:rPr>
                <w:rFonts w:ascii="Arial" w:cs="Arial" w:eastAsia="Arial" w:hAnsi="Arial"/>
                <w:sz w:val="18"/>
                <w:szCs w:val="18"/>
                <w:color w:val="auto"/>
              </w:rPr>
              <w:t>TEN Carrybacks and Claims for Refund</w:t>
            </w:r>
          </w:p>
        </w:tc>
        <w:tc>
          <w:tcPr>
            <w:tcW w:w="15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Section 2.5.</w:t>
            </w:r>
          </w:p>
        </w:tc>
        <w:tc>
          <w:tcPr>
            <w:tcW w:w="81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Apportionment of Tax Attributes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Section 2.6</w:t>
            </w:r>
          </w:p>
        </w:tc>
        <w:tc>
          <w:tcPr>
            <w:tcW w:w="8120" w:type="dxa"/>
            <w:vAlign w:val="bottom"/>
          </w:tcPr>
          <w:p>
            <w:pPr>
              <w:ind w:left="680"/>
              <w:spacing w:after="0"/>
              <w:rPr>
                <w:sz w:val="20"/>
                <w:szCs w:val="20"/>
                <w:color w:val="auto"/>
              </w:rPr>
            </w:pPr>
            <w:r>
              <w:rPr>
                <w:rFonts w:ascii="Arial" w:cs="Arial" w:eastAsia="Arial" w:hAnsi="Arial"/>
                <w:sz w:val="18"/>
                <w:szCs w:val="18"/>
                <w:color w:val="auto"/>
              </w:rPr>
              <w:t>Certain UK Tax Provisions.</w:t>
            </w:r>
          </w:p>
        </w:tc>
        <w:tc>
          <w:tcPr>
            <w:tcW w:w="15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Section 2.7.</w:t>
            </w:r>
          </w:p>
        </w:tc>
        <w:tc>
          <w:tcPr>
            <w:tcW w:w="81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French Tax Consolidation</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Section 2.8.</w:t>
            </w:r>
          </w:p>
        </w:tc>
        <w:tc>
          <w:tcPr>
            <w:tcW w:w="8120" w:type="dxa"/>
            <w:vAlign w:val="bottom"/>
          </w:tcPr>
          <w:p>
            <w:pPr>
              <w:ind w:left="680"/>
              <w:spacing w:after="0"/>
              <w:rPr>
                <w:sz w:val="20"/>
                <w:szCs w:val="20"/>
                <w:color w:val="auto"/>
              </w:rPr>
            </w:pPr>
            <w:r>
              <w:rPr>
                <w:rFonts w:ascii="Arial" w:cs="Arial" w:eastAsia="Arial" w:hAnsi="Arial"/>
                <w:sz w:val="18"/>
                <w:szCs w:val="18"/>
                <w:color w:val="auto"/>
              </w:rPr>
              <w:t>Equity Compensation</w:t>
            </w:r>
          </w:p>
        </w:tc>
        <w:tc>
          <w:tcPr>
            <w:tcW w:w="15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2"/>
        </w:trPr>
        <w:tc>
          <w:tcPr>
            <w:tcW w:w="1540" w:type="dxa"/>
            <w:vAlign w:val="bottom"/>
            <w:shd w:val="clear" w:color="auto" w:fill="CCEEFF"/>
          </w:tcPr>
          <w:p>
            <w:pPr>
              <w:spacing w:after="0"/>
              <w:rPr>
                <w:sz w:val="17"/>
                <w:szCs w:val="17"/>
                <w:color w:val="auto"/>
              </w:rPr>
            </w:pPr>
          </w:p>
        </w:tc>
        <w:tc>
          <w:tcPr>
            <w:tcW w:w="81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ARTICLE III</w:t>
            </w:r>
          </w:p>
        </w:tc>
        <w:tc>
          <w:tcPr>
            <w:tcW w:w="1580" w:type="dxa"/>
            <w:vAlign w:val="bottom"/>
            <w:shd w:val="clear" w:color="auto" w:fill="CCEEFF"/>
          </w:tcPr>
          <w:p>
            <w:pPr>
              <w:spacing w:after="0"/>
              <w:rPr>
                <w:sz w:val="17"/>
                <w:szCs w:val="17"/>
                <w:color w:val="auto"/>
              </w:rPr>
            </w:pPr>
          </w:p>
        </w:tc>
      </w:tr>
      <w:tr>
        <w:trPr>
          <w:trHeight w:val="230"/>
        </w:trPr>
        <w:tc>
          <w:tcPr>
            <w:tcW w:w="1540" w:type="dxa"/>
            <w:vAlign w:val="bottom"/>
            <w:shd w:val="clear" w:color="auto" w:fill="CCEEFF"/>
          </w:tcPr>
          <w:p>
            <w:pPr>
              <w:spacing w:after="0"/>
              <w:rPr>
                <w:sz w:val="20"/>
                <w:szCs w:val="20"/>
                <w:color w:val="auto"/>
              </w:rPr>
            </w:pPr>
          </w:p>
        </w:tc>
        <w:tc>
          <w:tcPr>
            <w:tcW w:w="8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TAX PAYMENTS</w:t>
            </w:r>
          </w:p>
        </w:tc>
        <w:tc>
          <w:tcPr>
            <w:tcW w:w="1580" w:type="dxa"/>
            <w:vAlign w:val="bottom"/>
            <w:shd w:val="clear" w:color="auto" w:fill="CCEEFF"/>
          </w:tcPr>
          <w:p>
            <w:pPr>
              <w:spacing w:after="0"/>
              <w:rPr>
                <w:sz w:val="20"/>
                <w:szCs w:val="20"/>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Section 3.1.</w:t>
            </w:r>
          </w:p>
        </w:tc>
        <w:tc>
          <w:tcPr>
            <w:tcW w:w="8120" w:type="dxa"/>
            <w:vAlign w:val="bottom"/>
          </w:tcPr>
          <w:p>
            <w:pPr>
              <w:ind w:left="680"/>
              <w:spacing w:after="0"/>
              <w:rPr>
                <w:sz w:val="20"/>
                <w:szCs w:val="20"/>
                <w:color w:val="auto"/>
              </w:rPr>
            </w:pPr>
            <w:r>
              <w:rPr>
                <w:rFonts w:ascii="Arial" w:cs="Arial" w:eastAsia="Arial" w:hAnsi="Arial"/>
                <w:sz w:val="18"/>
                <w:szCs w:val="18"/>
                <w:color w:val="auto"/>
              </w:rPr>
              <w:t>Taxes Shown on Tax Returns</w:t>
            </w:r>
          </w:p>
        </w:tc>
        <w:tc>
          <w:tcPr>
            <w:tcW w:w="15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Section 3.2.</w:t>
            </w:r>
          </w:p>
        </w:tc>
        <w:tc>
          <w:tcPr>
            <w:tcW w:w="81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Adjustments Resulting in Underpayments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Section 3.3.</w:t>
            </w:r>
          </w:p>
        </w:tc>
        <w:tc>
          <w:tcPr>
            <w:tcW w:w="8120" w:type="dxa"/>
            <w:vAlign w:val="bottom"/>
          </w:tcPr>
          <w:p>
            <w:pPr>
              <w:ind w:left="680"/>
              <w:spacing w:after="0"/>
              <w:rPr>
                <w:sz w:val="20"/>
                <w:szCs w:val="20"/>
                <w:color w:val="auto"/>
              </w:rPr>
            </w:pPr>
            <w:r>
              <w:rPr>
                <w:rFonts w:ascii="Arial" w:cs="Arial" w:eastAsia="Arial" w:hAnsi="Arial"/>
                <w:sz w:val="18"/>
                <w:szCs w:val="18"/>
                <w:color w:val="auto"/>
              </w:rPr>
              <w:t>Indemnification Payments</w:t>
            </w:r>
          </w:p>
        </w:tc>
        <w:tc>
          <w:tcPr>
            <w:tcW w:w="15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2"/>
        </w:trPr>
        <w:tc>
          <w:tcPr>
            <w:tcW w:w="1540" w:type="dxa"/>
            <w:vAlign w:val="bottom"/>
            <w:shd w:val="clear" w:color="auto" w:fill="CCEEFF"/>
          </w:tcPr>
          <w:p>
            <w:pPr>
              <w:spacing w:after="0"/>
              <w:rPr>
                <w:sz w:val="17"/>
                <w:szCs w:val="17"/>
                <w:color w:val="auto"/>
              </w:rPr>
            </w:pPr>
          </w:p>
        </w:tc>
        <w:tc>
          <w:tcPr>
            <w:tcW w:w="81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ARTICLE IV</w:t>
            </w:r>
          </w:p>
        </w:tc>
        <w:tc>
          <w:tcPr>
            <w:tcW w:w="1580" w:type="dxa"/>
            <w:vAlign w:val="bottom"/>
            <w:shd w:val="clear" w:color="auto" w:fill="CCEEFF"/>
          </w:tcPr>
          <w:p>
            <w:pPr>
              <w:spacing w:after="0"/>
              <w:rPr>
                <w:sz w:val="17"/>
                <w:szCs w:val="17"/>
                <w:color w:val="auto"/>
              </w:rPr>
            </w:pPr>
          </w:p>
        </w:tc>
      </w:tr>
      <w:tr>
        <w:trPr>
          <w:trHeight w:val="230"/>
        </w:trPr>
        <w:tc>
          <w:tcPr>
            <w:tcW w:w="1540" w:type="dxa"/>
            <w:vAlign w:val="bottom"/>
            <w:shd w:val="clear" w:color="auto" w:fill="CCEEFF"/>
          </w:tcPr>
          <w:p>
            <w:pPr>
              <w:spacing w:after="0"/>
              <w:rPr>
                <w:sz w:val="20"/>
                <w:szCs w:val="20"/>
                <w:color w:val="auto"/>
              </w:rPr>
            </w:pPr>
          </w:p>
        </w:tc>
        <w:tc>
          <w:tcPr>
            <w:tcW w:w="8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TAX BENEFITS</w:t>
            </w:r>
          </w:p>
        </w:tc>
        <w:tc>
          <w:tcPr>
            <w:tcW w:w="1580" w:type="dxa"/>
            <w:vAlign w:val="bottom"/>
            <w:shd w:val="clear" w:color="auto" w:fill="CCEEFF"/>
          </w:tcPr>
          <w:p>
            <w:pPr>
              <w:spacing w:after="0"/>
              <w:rPr>
                <w:sz w:val="20"/>
                <w:szCs w:val="20"/>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Section 4.1.</w:t>
            </w:r>
          </w:p>
        </w:tc>
        <w:tc>
          <w:tcPr>
            <w:tcW w:w="8120" w:type="dxa"/>
            <w:vAlign w:val="bottom"/>
          </w:tcPr>
          <w:p>
            <w:pPr>
              <w:ind w:left="680"/>
              <w:spacing w:after="0"/>
              <w:rPr>
                <w:sz w:val="20"/>
                <w:szCs w:val="20"/>
                <w:color w:val="auto"/>
              </w:rPr>
            </w:pPr>
            <w:r>
              <w:rPr>
                <w:rFonts w:ascii="Arial" w:cs="Arial" w:eastAsia="Arial" w:hAnsi="Arial"/>
                <w:sz w:val="18"/>
                <w:szCs w:val="18"/>
                <w:color w:val="auto"/>
              </w:rPr>
              <w:t>Tax Refunds</w:t>
            </w:r>
          </w:p>
        </w:tc>
        <w:tc>
          <w:tcPr>
            <w:tcW w:w="15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Section 4.2.</w:t>
            </w:r>
          </w:p>
        </w:tc>
        <w:tc>
          <w:tcPr>
            <w:tcW w:w="81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 Tax Benefits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02"/>
        </w:trPr>
        <w:tc>
          <w:tcPr>
            <w:tcW w:w="1540" w:type="dxa"/>
            <w:vAlign w:val="bottom"/>
          </w:tcPr>
          <w:p>
            <w:pPr>
              <w:spacing w:after="0"/>
              <w:rPr>
                <w:sz w:val="17"/>
                <w:szCs w:val="17"/>
                <w:color w:val="auto"/>
              </w:rPr>
            </w:pPr>
          </w:p>
        </w:tc>
        <w:tc>
          <w:tcPr>
            <w:tcW w:w="8120" w:type="dxa"/>
            <w:vAlign w:val="bottom"/>
          </w:tcPr>
          <w:p>
            <w:pPr>
              <w:jc w:val="center"/>
              <w:spacing w:after="0" w:line="201" w:lineRule="exact"/>
              <w:rPr>
                <w:sz w:val="20"/>
                <w:szCs w:val="20"/>
                <w:color w:val="auto"/>
              </w:rPr>
            </w:pPr>
            <w:r>
              <w:rPr>
                <w:rFonts w:ascii="Arial" w:cs="Arial" w:eastAsia="Arial" w:hAnsi="Arial"/>
                <w:sz w:val="18"/>
                <w:szCs w:val="18"/>
                <w:color w:val="auto"/>
                <w:w w:val="98"/>
              </w:rPr>
              <w:t>ARTICLE V</w:t>
            </w:r>
          </w:p>
        </w:tc>
        <w:tc>
          <w:tcPr>
            <w:tcW w:w="1580" w:type="dxa"/>
            <w:vAlign w:val="bottom"/>
          </w:tcPr>
          <w:p>
            <w:pPr>
              <w:spacing w:after="0"/>
              <w:rPr>
                <w:sz w:val="17"/>
                <w:szCs w:val="17"/>
                <w:color w:val="auto"/>
              </w:rPr>
            </w:pPr>
          </w:p>
        </w:tc>
      </w:tr>
      <w:tr>
        <w:trPr>
          <w:trHeight w:val="230"/>
        </w:trPr>
        <w:tc>
          <w:tcPr>
            <w:tcW w:w="1540" w:type="dxa"/>
            <w:vAlign w:val="bottom"/>
          </w:tcPr>
          <w:p>
            <w:pPr>
              <w:spacing w:after="0"/>
              <w:rPr>
                <w:sz w:val="20"/>
                <w:szCs w:val="20"/>
                <w:color w:val="auto"/>
              </w:rPr>
            </w:pPr>
          </w:p>
        </w:tc>
        <w:tc>
          <w:tcPr>
            <w:tcW w:w="8120" w:type="dxa"/>
            <w:vAlign w:val="bottom"/>
          </w:tcPr>
          <w:p>
            <w:pPr>
              <w:jc w:val="center"/>
              <w:spacing w:after="0"/>
              <w:rPr>
                <w:sz w:val="20"/>
                <w:szCs w:val="20"/>
                <w:color w:val="auto"/>
              </w:rPr>
            </w:pPr>
            <w:r>
              <w:rPr>
                <w:rFonts w:ascii="Arial" w:cs="Arial" w:eastAsia="Arial" w:hAnsi="Arial"/>
                <w:sz w:val="18"/>
                <w:szCs w:val="18"/>
                <w:color w:val="auto"/>
              </w:rPr>
              <w:t>ADDITIONAL COVENANTS</w:t>
            </w:r>
          </w:p>
        </w:tc>
        <w:tc>
          <w:tcPr>
            <w:tcW w:w="1580" w:type="dxa"/>
            <w:vAlign w:val="bottom"/>
          </w:tcPr>
          <w:p>
            <w:pPr>
              <w:spacing w:after="0"/>
              <w:rPr>
                <w:sz w:val="20"/>
                <w:szCs w:val="20"/>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Section 5.1.</w:t>
            </w:r>
          </w:p>
        </w:tc>
        <w:tc>
          <w:tcPr>
            <w:tcW w:w="81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Assistance and Cooperation</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Section 5.2.</w:t>
            </w:r>
          </w:p>
        </w:tc>
        <w:tc>
          <w:tcPr>
            <w:tcW w:w="8120" w:type="dxa"/>
            <w:vAlign w:val="bottom"/>
          </w:tcPr>
          <w:p>
            <w:pPr>
              <w:ind w:left="680"/>
              <w:spacing w:after="0"/>
              <w:rPr>
                <w:sz w:val="20"/>
                <w:szCs w:val="20"/>
                <w:color w:val="auto"/>
              </w:rPr>
            </w:pPr>
            <w:r>
              <w:rPr>
                <w:rFonts w:ascii="Arial" w:cs="Arial" w:eastAsia="Arial" w:hAnsi="Arial"/>
                <w:sz w:val="18"/>
                <w:szCs w:val="18"/>
                <w:color w:val="auto"/>
              </w:rPr>
              <w:t>Tax Return Information</w:t>
            </w:r>
          </w:p>
        </w:tc>
        <w:tc>
          <w:tcPr>
            <w:tcW w:w="15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Section 5.3.</w:t>
            </w:r>
          </w:p>
        </w:tc>
        <w:tc>
          <w:tcPr>
            <w:tcW w:w="81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Reliance by TFMC</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Section 5.4.</w:t>
            </w:r>
          </w:p>
        </w:tc>
        <w:tc>
          <w:tcPr>
            <w:tcW w:w="8120" w:type="dxa"/>
            <w:vAlign w:val="bottom"/>
          </w:tcPr>
          <w:p>
            <w:pPr>
              <w:ind w:left="680"/>
              <w:spacing w:after="0"/>
              <w:rPr>
                <w:sz w:val="20"/>
                <w:szCs w:val="20"/>
                <w:color w:val="auto"/>
              </w:rPr>
            </w:pPr>
            <w:r>
              <w:rPr>
                <w:rFonts w:ascii="Arial" w:cs="Arial" w:eastAsia="Arial" w:hAnsi="Arial"/>
                <w:sz w:val="18"/>
                <w:szCs w:val="18"/>
                <w:color w:val="auto"/>
              </w:rPr>
              <w:t>Reliance by TEN</w:t>
            </w:r>
          </w:p>
        </w:tc>
        <w:tc>
          <w:tcPr>
            <w:tcW w:w="15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Section 5.5.</w:t>
            </w:r>
          </w:p>
        </w:tc>
        <w:tc>
          <w:tcPr>
            <w:tcW w:w="81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Separation Taxes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1540" w:type="dxa"/>
            <w:vAlign w:val="bottom"/>
          </w:tcPr>
          <w:p>
            <w:pPr>
              <w:spacing w:after="0"/>
              <w:rPr>
                <w:sz w:val="20"/>
                <w:szCs w:val="20"/>
                <w:color w:val="auto"/>
              </w:rPr>
            </w:pPr>
            <w:r>
              <w:rPr>
                <w:rFonts w:ascii="Arial" w:cs="Arial" w:eastAsia="Arial" w:hAnsi="Arial"/>
                <w:sz w:val="18"/>
                <w:szCs w:val="18"/>
                <w:color w:val="auto"/>
              </w:rPr>
              <w:t>Section 5.6.</w:t>
            </w:r>
          </w:p>
        </w:tc>
        <w:tc>
          <w:tcPr>
            <w:tcW w:w="8120" w:type="dxa"/>
            <w:vAlign w:val="bottom"/>
          </w:tcPr>
          <w:p>
            <w:pPr>
              <w:ind w:left="680"/>
              <w:spacing w:after="0"/>
              <w:rPr>
                <w:sz w:val="20"/>
                <w:szCs w:val="20"/>
                <w:color w:val="auto"/>
              </w:rPr>
            </w:pPr>
            <w:r>
              <w:rPr>
                <w:rFonts w:ascii="Arial" w:cs="Arial" w:eastAsia="Arial" w:hAnsi="Arial"/>
                <w:sz w:val="18"/>
                <w:szCs w:val="18"/>
                <w:color w:val="auto"/>
              </w:rPr>
              <w:t>Quarterly Meetings</w:t>
            </w:r>
          </w:p>
        </w:tc>
        <w:tc>
          <w:tcPr>
            <w:tcW w:w="158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7700" w:type="dxa"/>
            <w:vAlign w:val="bottom"/>
          </w:tcPr>
          <w:p>
            <w:pPr>
              <w:jc w:val="center"/>
              <w:ind w:left="310"/>
              <w:spacing w:after="0"/>
              <w:rPr>
                <w:sz w:val="20"/>
                <w:szCs w:val="20"/>
                <w:color w:val="auto"/>
              </w:rPr>
            </w:pPr>
            <w:r>
              <w:rPr>
                <w:rFonts w:ascii="Arial" w:cs="Arial" w:eastAsia="Arial" w:hAnsi="Arial"/>
                <w:sz w:val="18"/>
                <w:szCs w:val="18"/>
                <w:color w:val="auto"/>
                <w:w w:val="99"/>
              </w:rPr>
              <w:t>ARTICLE VI</w:t>
            </w:r>
          </w:p>
        </w:tc>
        <w:tc>
          <w:tcPr>
            <w:tcW w:w="1960" w:type="dxa"/>
            <w:vAlign w:val="bottom"/>
          </w:tcPr>
          <w:p>
            <w:pPr>
              <w:spacing w:after="0"/>
              <w:rPr>
                <w:sz w:val="18"/>
                <w:szCs w:val="18"/>
                <w:color w:val="auto"/>
              </w:rPr>
            </w:pPr>
          </w:p>
        </w:tc>
      </w:tr>
      <w:tr>
        <w:trPr>
          <w:trHeight w:val="230"/>
        </w:trPr>
        <w:tc>
          <w:tcPr>
            <w:tcW w:w="1580" w:type="dxa"/>
            <w:vAlign w:val="bottom"/>
          </w:tcPr>
          <w:p>
            <w:pPr>
              <w:spacing w:after="0"/>
              <w:rPr>
                <w:sz w:val="20"/>
                <w:szCs w:val="20"/>
                <w:color w:val="auto"/>
              </w:rPr>
            </w:pPr>
          </w:p>
        </w:tc>
        <w:tc>
          <w:tcPr>
            <w:tcW w:w="7700" w:type="dxa"/>
            <w:vAlign w:val="bottom"/>
          </w:tcPr>
          <w:p>
            <w:pPr>
              <w:jc w:val="center"/>
              <w:ind w:left="290"/>
              <w:spacing w:after="0"/>
              <w:rPr>
                <w:sz w:val="20"/>
                <w:szCs w:val="20"/>
                <w:color w:val="auto"/>
              </w:rPr>
            </w:pPr>
            <w:r>
              <w:rPr>
                <w:rFonts w:ascii="Arial" w:cs="Arial" w:eastAsia="Arial" w:hAnsi="Arial"/>
                <w:sz w:val="18"/>
                <w:szCs w:val="18"/>
                <w:color w:val="auto"/>
                <w:w w:val="95"/>
              </w:rPr>
              <w:t>TAX RECORDS</w:t>
            </w:r>
          </w:p>
        </w:tc>
        <w:tc>
          <w:tcPr>
            <w:tcW w:w="1960" w:type="dxa"/>
            <w:vAlign w:val="bottom"/>
          </w:tcPr>
          <w:p>
            <w:pPr>
              <w:spacing w:after="0"/>
              <w:rPr>
                <w:sz w:val="20"/>
                <w:szCs w:val="20"/>
                <w:color w:val="auto"/>
              </w:rPr>
            </w:pPr>
          </w:p>
        </w:tc>
      </w:tr>
      <w:tr>
        <w:trPr>
          <w:trHeight w:val="216"/>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Section 6.1.</w:t>
            </w:r>
          </w:p>
        </w:tc>
        <w:tc>
          <w:tcPr>
            <w:tcW w:w="77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Retention of Tax Records</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Section 6.2.</w:t>
            </w:r>
          </w:p>
        </w:tc>
        <w:tc>
          <w:tcPr>
            <w:tcW w:w="7700" w:type="dxa"/>
            <w:vAlign w:val="bottom"/>
          </w:tcPr>
          <w:p>
            <w:pPr>
              <w:ind w:left="640"/>
              <w:spacing w:after="0"/>
              <w:rPr>
                <w:sz w:val="20"/>
                <w:szCs w:val="20"/>
                <w:color w:val="auto"/>
              </w:rPr>
            </w:pPr>
            <w:r>
              <w:rPr>
                <w:rFonts w:ascii="Arial" w:cs="Arial" w:eastAsia="Arial" w:hAnsi="Arial"/>
                <w:sz w:val="18"/>
                <w:szCs w:val="18"/>
                <w:color w:val="auto"/>
              </w:rPr>
              <w:t>Access to Tax Records</w:t>
            </w:r>
          </w:p>
        </w:tc>
        <w:tc>
          <w:tcPr>
            <w:tcW w:w="19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Section 6.3.</w:t>
            </w:r>
          </w:p>
        </w:tc>
        <w:tc>
          <w:tcPr>
            <w:tcW w:w="77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Preservation of Privilege</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02"/>
        </w:trPr>
        <w:tc>
          <w:tcPr>
            <w:tcW w:w="1580" w:type="dxa"/>
            <w:vAlign w:val="bottom"/>
          </w:tcPr>
          <w:p>
            <w:pPr>
              <w:spacing w:after="0"/>
              <w:rPr>
                <w:sz w:val="17"/>
                <w:szCs w:val="17"/>
                <w:color w:val="auto"/>
              </w:rPr>
            </w:pPr>
          </w:p>
        </w:tc>
        <w:tc>
          <w:tcPr>
            <w:tcW w:w="7700" w:type="dxa"/>
            <w:vAlign w:val="bottom"/>
          </w:tcPr>
          <w:p>
            <w:pPr>
              <w:jc w:val="center"/>
              <w:ind w:left="290"/>
              <w:spacing w:after="0" w:line="201" w:lineRule="exact"/>
              <w:rPr>
                <w:sz w:val="20"/>
                <w:szCs w:val="20"/>
                <w:color w:val="auto"/>
              </w:rPr>
            </w:pPr>
            <w:r>
              <w:rPr>
                <w:rFonts w:ascii="Arial" w:cs="Arial" w:eastAsia="Arial" w:hAnsi="Arial"/>
                <w:sz w:val="18"/>
                <w:szCs w:val="18"/>
                <w:color w:val="auto"/>
              </w:rPr>
              <w:t>ARTICLE VII</w:t>
            </w:r>
          </w:p>
        </w:tc>
        <w:tc>
          <w:tcPr>
            <w:tcW w:w="1960" w:type="dxa"/>
            <w:vAlign w:val="bottom"/>
          </w:tcPr>
          <w:p>
            <w:pPr>
              <w:spacing w:after="0"/>
              <w:rPr>
                <w:sz w:val="17"/>
                <w:szCs w:val="17"/>
                <w:color w:val="auto"/>
              </w:rPr>
            </w:pPr>
          </w:p>
        </w:tc>
      </w:tr>
      <w:tr>
        <w:trPr>
          <w:trHeight w:val="230"/>
        </w:trPr>
        <w:tc>
          <w:tcPr>
            <w:tcW w:w="1580" w:type="dxa"/>
            <w:vAlign w:val="bottom"/>
          </w:tcPr>
          <w:p>
            <w:pPr>
              <w:spacing w:after="0"/>
              <w:rPr>
                <w:sz w:val="20"/>
                <w:szCs w:val="20"/>
                <w:color w:val="auto"/>
              </w:rPr>
            </w:pPr>
          </w:p>
        </w:tc>
        <w:tc>
          <w:tcPr>
            <w:tcW w:w="7700" w:type="dxa"/>
            <w:vAlign w:val="bottom"/>
          </w:tcPr>
          <w:p>
            <w:pPr>
              <w:jc w:val="center"/>
              <w:ind w:left="290"/>
              <w:spacing w:after="0"/>
              <w:rPr>
                <w:sz w:val="20"/>
                <w:szCs w:val="20"/>
                <w:color w:val="auto"/>
              </w:rPr>
            </w:pPr>
            <w:r>
              <w:rPr>
                <w:rFonts w:ascii="Arial" w:cs="Arial" w:eastAsia="Arial" w:hAnsi="Arial"/>
                <w:sz w:val="18"/>
                <w:szCs w:val="18"/>
                <w:color w:val="auto"/>
                <w:w w:val="95"/>
              </w:rPr>
              <w:t>TAX CONTESTS</w:t>
            </w:r>
          </w:p>
        </w:tc>
        <w:tc>
          <w:tcPr>
            <w:tcW w:w="1960" w:type="dxa"/>
            <w:vAlign w:val="bottom"/>
          </w:tcPr>
          <w:p>
            <w:pPr>
              <w:spacing w:after="0"/>
              <w:rPr>
                <w:sz w:val="20"/>
                <w:szCs w:val="20"/>
                <w:color w:val="auto"/>
              </w:rPr>
            </w:pPr>
          </w:p>
        </w:tc>
      </w:tr>
      <w:tr>
        <w:trPr>
          <w:trHeight w:val="216"/>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Section 7.1.</w:t>
            </w:r>
          </w:p>
        </w:tc>
        <w:tc>
          <w:tcPr>
            <w:tcW w:w="77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Notice</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Section 7.2.</w:t>
            </w:r>
          </w:p>
        </w:tc>
        <w:tc>
          <w:tcPr>
            <w:tcW w:w="7700" w:type="dxa"/>
            <w:vAlign w:val="bottom"/>
          </w:tcPr>
          <w:p>
            <w:pPr>
              <w:ind w:left="640"/>
              <w:spacing w:after="0"/>
              <w:rPr>
                <w:sz w:val="20"/>
                <w:szCs w:val="20"/>
                <w:color w:val="auto"/>
              </w:rPr>
            </w:pPr>
            <w:r>
              <w:rPr>
                <w:rFonts w:ascii="Arial" w:cs="Arial" w:eastAsia="Arial" w:hAnsi="Arial"/>
                <w:sz w:val="18"/>
                <w:szCs w:val="18"/>
                <w:color w:val="auto"/>
              </w:rPr>
              <w:t>Control of Tax Contests</w:t>
            </w:r>
          </w:p>
        </w:tc>
        <w:tc>
          <w:tcPr>
            <w:tcW w:w="19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02"/>
        </w:trPr>
        <w:tc>
          <w:tcPr>
            <w:tcW w:w="1580" w:type="dxa"/>
            <w:vAlign w:val="bottom"/>
            <w:shd w:val="clear" w:color="auto" w:fill="CCEEFF"/>
          </w:tcPr>
          <w:p>
            <w:pPr>
              <w:spacing w:after="0"/>
              <w:rPr>
                <w:sz w:val="17"/>
                <w:szCs w:val="17"/>
                <w:color w:val="auto"/>
              </w:rPr>
            </w:pPr>
          </w:p>
        </w:tc>
        <w:tc>
          <w:tcPr>
            <w:tcW w:w="7700" w:type="dxa"/>
            <w:vAlign w:val="bottom"/>
            <w:shd w:val="clear" w:color="auto" w:fill="CCEEFF"/>
          </w:tcPr>
          <w:p>
            <w:pPr>
              <w:jc w:val="center"/>
              <w:ind w:left="310"/>
              <w:spacing w:after="0" w:line="201" w:lineRule="exact"/>
              <w:rPr>
                <w:sz w:val="20"/>
                <w:szCs w:val="20"/>
                <w:color w:val="auto"/>
              </w:rPr>
            </w:pPr>
            <w:r>
              <w:rPr>
                <w:rFonts w:ascii="Arial" w:cs="Arial" w:eastAsia="Arial" w:hAnsi="Arial"/>
                <w:sz w:val="18"/>
                <w:szCs w:val="18"/>
                <w:color w:val="auto"/>
              </w:rPr>
              <w:t>ARTICLE VIII</w:t>
            </w:r>
          </w:p>
        </w:tc>
        <w:tc>
          <w:tcPr>
            <w:tcW w:w="1960" w:type="dxa"/>
            <w:vAlign w:val="bottom"/>
            <w:shd w:val="clear" w:color="auto" w:fill="CCEEFF"/>
          </w:tcPr>
          <w:p>
            <w:pPr>
              <w:spacing w:after="0"/>
              <w:rPr>
                <w:sz w:val="17"/>
                <w:szCs w:val="17"/>
                <w:color w:val="auto"/>
              </w:rPr>
            </w:pPr>
          </w:p>
        </w:tc>
      </w:tr>
      <w:tr>
        <w:trPr>
          <w:trHeight w:val="230"/>
        </w:trPr>
        <w:tc>
          <w:tcPr>
            <w:tcW w:w="1580" w:type="dxa"/>
            <w:vAlign w:val="bottom"/>
            <w:shd w:val="clear" w:color="auto" w:fill="CCEEFF"/>
          </w:tcPr>
          <w:p>
            <w:pPr>
              <w:spacing w:after="0"/>
              <w:rPr>
                <w:sz w:val="20"/>
                <w:szCs w:val="20"/>
                <w:color w:val="auto"/>
              </w:rPr>
            </w:pPr>
          </w:p>
        </w:tc>
        <w:tc>
          <w:tcPr>
            <w:tcW w:w="770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6"/>
              </w:rPr>
              <w:t>SURVIVAL OF OBLIGATIONS</w:t>
            </w:r>
          </w:p>
        </w:tc>
        <w:tc>
          <w:tcPr>
            <w:tcW w:w="1960" w:type="dxa"/>
            <w:vAlign w:val="bottom"/>
            <w:shd w:val="clear" w:color="auto" w:fill="CCEEFF"/>
          </w:tcPr>
          <w:p>
            <w:pPr>
              <w:spacing w:after="0"/>
              <w:rPr>
                <w:sz w:val="20"/>
                <w:szCs w:val="20"/>
                <w:color w:val="auto"/>
              </w:rPr>
            </w:pP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Section 8.1.</w:t>
            </w:r>
          </w:p>
        </w:tc>
        <w:tc>
          <w:tcPr>
            <w:tcW w:w="7700" w:type="dxa"/>
            <w:vAlign w:val="bottom"/>
          </w:tcPr>
          <w:p>
            <w:pPr>
              <w:ind w:left="640"/>
              <w:spacing w:after="0"/>
              <w:rPr>
                <w:sz w:val="20"/>
                <w:szCs w:val="20"/>
                <w:color w:val="auto"/>
              </w:rPr>
            </w:pPr>
            <w:r>
              <w:rPr>
                <w:rFonts w:ascii="Arial" w:cs="Arial" w:eastAsia="Arial" w:hAnsi="Arial"/>
                <w:sz w:val="18"/>
                <w:szCs w:val="18"/>
                <w:color w:val="auto"/>
              </w:rPr>
              <w:t>Survival of Obligations</w:t>
            </w:r>
          </w:p>
        </w:tc>
        <w:tc>
          <w:tcPr>
            <w:tcW w:w="19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02"/>
        </w:trPr>
        <w:tc>
          <w:tcPr>
            <w:tcW w:w="1580" w:type="dxa"/>
            <w:vAlign w:val="bottom"/>
            <w:shd w:val="clear" w:color="auto" w:fill="CCEEFF"/>
          </w:tcPr>
          <w:p>
            <w:pPr>
              <w:spacing w:after="0"/>
              <w:rPr>
                <w:sz w:val="17"/>
                <w:szCs w:val="17"/>
                <w:color w:val="auto"/>
              </w:rPr>
            </w:pPr>
          </w:p>
        </w:tc>
        <w:tc>
          <w:tcPr>
            <w:tcW w:w="7700" w:type="dxa"/>
            <w:vAlign w:val="bottom"/>
            <w:shd w:val="clear" w:color="auto" w:fill="CCEEFF"/>
          </w:tcPr>
          <w:p>
            <w:pPr>
              <w:jc w:val="center"/>
              <w:ind w:left="310"/>
              <w:spacing w:after="0" w:line="201" w:lineRule="exact"/>
              <w:rPr>
                <w:sz w:val="20"/>
                <w:szCs w:val="20"/>
                <w:color w:val="auto"/>
              </w:rPr>
            </w:pPr>
            <w:r>
              <w:rPr>
                <w:rFonts w:ascii="Arial" w:cs="Arial" w:eastAsia="Arial" w:hAnsi="Arial"/>
                <w:sz w:val="18"/>
                <w:szCs w:val="18"/>
                <w:color w:val="auto"/>
                <w:w w:val="99"/>
              </w:rPr>
              <w:t>ARTICLE IX</w:t>
            </w:r>
          </w:p>
        </w:tc>
        <w:tc>
          <w:tcPr>
            <w:tcW w:w="1960" w:type="dxa"/>
            <w:vAlign w:val="bottom"/>
            <w:shd w:val="clear" w:color="auto" w:fill="CCEEFF"/>
          </w:tcPr>
          <w:p>
            <w:pPr>
              <w:spacing w:after="0"/>
              <w:rPr>
                <w:sz w:val="17"/>
                <w:szCs w:val="17"/>
                <w:color w:val="auto"/>
              </w:rPr>
            </w:pPr>
          </w:p>
        </w:tc>
      </w:tr>
      <w:tr>
        <w:trPr>
          <w:trHeight w:val="230"/>
        </w:trPr>
        <w:tc>
          <w:tcPr>
            <w:tcW w:w="1580" w:type="dxa"/>
            <w:vAlign w:val="bottom"/>
            <w:shd w:val="clear" w:color="auto" w:fill="CCEEFF"/>
          </w:tcPr>
          <w:p>
            <w:pPr>
              <w:spacing w:after="0"/>
              <w:rPr>
                <w:sz w:val="20"/>
                <w:szCs w:val="20"/>
                <w:color w:val="auto"/>
              </w:rPr>
            </w:pPr>
          </w:p>
        </w:tc>
        <w:tc>
          <w:tcPr>
            <w:tcW w:w="770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6"/>
              </w:rPr>
              <w:t>TAX TREATMENT OF INTEREST</w:t>
            </w:r>
          </w:p>
        </w:tc>
        <w:tc>
          <w:tcPr>
            <w:tcW w:w="1960" w:type="dxa"/>
            <w:vAlign w:val="bottom"/>
            <w:shd w:val="clear" w:color="auto" w:fill="CCEEFF"/>
          </w:tcPr>
          <w:p>
            <w:pPr>
              <w:spacing w:after="0"/>
              <w:rPr>
                <w:sz w:val="20"/>
                <w:szCs w:val="20"/>
                <w:color w:val="auto"/>
              </w:rPr>
            </w:pP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Section 9.1.</w:t>
            </w:r>
          </w:p>
        </w:tc>
        <w:tc>
          <w:tcPr>
            <w:tcW w:w="7700" w:type="dxa"/>
            <w:vAlign w:val="bottom"/>
          </w:tcPr>
          <w:p>
            <w:pPr>
              <w:ind w:left="640"/>
              <w:spacing w:after="0"/>
              <w:rPr>
                <w:sz w:val="20"/>
                <w:szCs w:val="20"/>
                <w:color w:val="auto"/>
              </w:rPr>
            </w:pPr>
            <w:r>
              <w:rPr>
                <w:rFonts w:ascii="Arial" w:cs="Arial" w:eastAsia="Arial" w:hAnsi="Arial"/>
                <w:sz w:val="18"/>
                <w:szCs w:val="18"/>
                <w:color w:val="auto"/>
              </w:rPr>
              <w:t>Tax Treatment of Interest</w:t>
            </w:r>
          </w:p>
        </w:tc>
        <w:tc>
          <w:tcPr>
            <w:tcW w:w="19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02"/>
        </w:trPr>
        <w:tc>
          <w:tcPr>
            <w:tcW w:w="1580" w:type="dxa"/>
            <w:vAlign w:val="bottom"/>
            <w:shd w:val="clear" w:color="auto" w:fill="CCEEFF"/>
          </w:tcPr>
          <w:p>
            <w:pPr>
              <w:spacing w:after="0"/>
              <w:rPr>
                <w:sz w:val="17"/>
                <w:szCs w:val="17"/>
                <w:color w:val="auto"/>
              </w:rPr>
            </w:pPr>
          </w:p>
        </w:tc>
        <w:tc>
          <w:tcPr>
            <w:tcW w:w="7700" w:type="dxa"/>
            <w:vAlign w:val="bottom"/>
            <w:shd w:val="clear" w:color="auto" w:fill="CCEEFF"/>
          </w:tcPr>
          <w:p>
            <w:pPr>
              <w:jc w:val="center"/>
              <w:ind w:left="290"/>
              <w:spacing w:after="0" w:line="201" w:lineRule="exact"/>
              <w:rPr>
                <w:sz w:val="20"/>
                <w:szCs w:val="20"/>
                <w:color w:val="auto"/>
              </w:rPr>
            </w:pPr>
            <w:r>
              <w:rPr>
                <w:rFonts w:ascii="Arial" w:cs="Arial" w:eastAsia="Arial" w:hAnsi="Arial"/>
                <w:sz w:val="18"/>
                <w:szCs w:val="18"/>
                <w:color w:val="auto"/>
                <w:w w:val="98"/>
              </w:rPr>
              <w:t>ARTICLE X</w:t>
            </w:r>
          </w:p>
        </w:tc>
        <w:tc>
          <w:tcPr>
            <w:tcW w:w="1960" w:type="dxa"/>
            <w:vAlign w:val="bottom"/>
            <w:shd w:val="clear" w:color="auto" w:fill="CCEEFF"/>
          </w:tcPr>
          <w:p>
            <w:pPr>
              <w:spacing w:after="0"/>
              <w:rPr>
                <w:sz w:val="17"/>
                <w:szCs w:val="17"/>
                <w:color w:val="auto"/>
              </w:rPr>
            </w:pPr>
          </w:p>
        </w:tc>
      </w:tr>
      <w:tr>
        <w:trPr>
          <w:trHeight w:val="230"/>
        </w:trPr>
        <w:tc>
          <w:tcPr>
            <w:tcW w:w="1580" w:type="dxa"/>
            <w:vAlign w:val="bottom"/>
            <w:shd w:val="clear" w:color="auto" w:fill="CCEEFF"/>
          </w:tcPr>
          <w:p>
            <w:pPr>
              <w:spacing w:after="0"/>
              <w:rPr>
                <w:sz w:val="20"/>
                <w:szCs w:val="20"/>
                <w:color w:val="auto"/>
              </w:rPr>
            </w:pPr>
          </w:p>
        </w:tc>
        <w:tc>
          <w:tcPr>
            <w:tcW w:w="770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5"/>
              </w:rPr>
              <w:t>GROSS-UP OF INDEMNIFICATION PAYMENTS</w:t>
            </w:r>
          </w:p>
        </w:tc>
        <w:tc>
          <w:tcPr>
            <w:tcW w:w="1960" w:type="dxa"/>
            <w:vAlign w:val="bottom"/>
            <w:shd w:val="clear" w:color="auto" w:fill="CCEEFF"/>
          </w:tcPr>
          <w:p>
            <w:pPr>
              <w:spacing w:after="0"/>
              <w:rPr>
                <w:sz w:val="20"/>
                <w:szCs w:val="20"/>
                <w:color w:val="auto"/>
              </w:rPr>
            </w:pP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Section 10.1.</w:t>
            </w:r>
          </w:p>
        </w:tc>
        <w:tc>
          <w:tcPr>
            <w:tcW w:w="7700" w:type="dxa"/>
            <w:vAlign w:val="bottom"/>
          </w:tcPr>
          <w:p>
            <w:pPr>
              <w:ind w:left="640"/>
              <w:spacing w:after="0"/>
              <w:rPr>
                <w:sz w:val="20"/>
                <w:szCs w:val="20"/>
                <w:color w:val="auto"/>
              </w:rPr>
            </w:pPr>
            <w:r>
              <w:rPr>
                <w:rFonts w:ascii="Arial" w:cs="Arial" w:eastAsia="Arial" w:hAnsi="Arial"/>
                <w:sz w:val="18"/>
                <w:szCs w:val="18"/>
                <w:color w:val="auto"/>
              </w:rPr>
              <w:t>Gross-Up of Indemnification Payments</w:t>
            </w:r>
          </w:p>
        </w:tc>
        <w:tc>
          <w:tcPr>
            <w:tcW w:w="19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02"/>
        </w:trPr>
        <w:tc>
          <w:tcPr>
            <w:tcW w:w="1580" w:type="dxa"/>
            <w:vAlign w:val="bottom"/>
            <w:shd w:val="clear" w:color="auto" w:fill="CCEEFF"/>
          </w:tcPr>
          <w:p>
            <w:pPr>
              <w:spacing w:after="0"/>
              <w:rPr>
                <w:sz w:val="17"/>
                <w:szCs w:val="17"/>
                <w:color w:val="auto"/>
              </w:rPr>
            </w:pPr>
          </w:p>
        </w:tc>
        <w:tc>
          <w:tcPr>
            <w:tcW w:w="7700" w:type="dxa"/>
            <w:vAlign w:val="bottom"/>
            <w:shd w:val="clear" w:color="auto" w:fill="CCEEFF"/>
          </w:tcPr>
          <w:p>
            <w:pPr>
              <w:jc w:val="center"/>
              <w:ind w:left="310"/>
              <w:spacing w:after="0" w:line="201" w:lineRule="exact"/>
              <w:rPr>
                <w:sz w:val="20"/>
                <w:szCs w:val="20"/>
                <w:color w:val="auto"/>
              </w:rPr>
            </w:pPr>
            <w:r>
              <w:rPr>
                <w:rFonts w:ascii="Arial" w:cs="Arial" w:eastAsia="Arial" w:hAnsi="Arial"/>
                <w:sz w:val="18"/>
                <w:szCs w:val="18"/>
                <w:color w:val="auto"/>
                <w:w w:val="99"/>
              </w:rPr>
              <w:t>ARTICLE XI</w:t>
            </w:r>
          </w:p>
        </w:tc>
        <w:tc>
          <w:tcPr>
            <w:tcW w:w="1960" w:type="dxa"/>
            <w:vAlign w:val="bottom"/>
            <w:shd w:val="clear" w:color="auto" w:fill="CCEEFF"/>
          </w:tcPr>
          <w:p>
            <w:pPr>
              <w:spacing w:after="0"/>
              <w:rPr>
                <w:sz w:val="17"/>
                <w:szCs w:val="17"/>
                <w:color w:val="auto"/>
              </w:rPr>
            </w:pPr>
          </w:p>
        </w:tc>
      </w:tr>
      <w:tr>
        <w:trPr>
          <w:trHeight w:val="230"/>
        </w:trPr>
        <w:tc>
          <w:tcPr>
            <w:tcW w:w="1580" w:type="dxa"/>
            <w:vAlign w:val="bottom"/>
            <w:shd w:val="clear" w:color="auto" w:fill="CCEEFF"/>
          </w:tcPr>
          <w:p>
            <w:pPr>
              <w:spacing w:after="0"/>
              <w:rPr>
                <w:sz w:val="20"/>
                <w:szCs w:val="20"/>
                <w:color w:val="auto"/>
              </w:rPr>
            </w:pPr>
          </w:p>
        </w:tc>
        <w:tc>
          <w:tcPr>
            <w:tcW w:w="770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5"/>
              </w:rPr>
              <w:t>DISPUTE RESOLUTION</w:t>
            </w:r>
          </w:p>
        </w:tc>
        <w:tc>
          <w:tcPr>
            <w:tcW w:w="1960" w:type="dxa"/>
            <w:vAlign w:val="bottom"/>
            <w:shd w:val="clear" w:color="auto" w:fill="CCEEFF"/>
          </w:tcPr>
          <w:p>
            <w:pPr>
              <w:spacing w:after="0"/>
              <w:rPr>
                <w:sz w:val="20"/>
                <w:szCs w:val="20"/>
                <w:color w:val="auto"/>
              </w:rPr>
            </w:pP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Section 11.1.</w:t>
            </w:r>
          </w:p>
        </w:tc>
        <w:tc>
          <w:tcPr>
            <w:tcW w:w="7700" w:type="dxa"/>
            <w:vAlign w:val="bottom"/>
          </w:tcPr>
          <w:p>
            <w:pPr>
              <w:ind w:left="640"/>
              <w:spacing w:after="0"/>
              <w:rPr>
                <w:sz w:val="20"/>
                <w:szCs w:val="20"/>
                <w:color w:val="auto"/>
              </w:rPr>
            </w:pPr>
            <w:r>
              <w:rPr>
                <w:rFonts w:ascii="Arial" w:cs="Arial" w:eastAsia="Arial" w:hAnsi="Arial"/>
                <w:sz w:val="18"/>
                <w:szCs w:val="18"/>
                <w:color w:val="auto"/>
              </w:rPr>
              <w:t>Dispute Resolution</w:t>
            </w:r>
          </w:p>
        </w:tc>
        <w:tc>
          <w:tcPr>
            <w:tcW w:w="19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02"/>
        </w:trPr>
        <w:tc>
          <w:tcPr>
            <w:tcW w:w="1580" w:type="dxa"/>
            <w:vAlign w:val="bottom"/>
            <w:shd w:val="clear" w:color="auto" w:fill="CCEEFF"/>
          </w:tcPr>
          <w:p>
            <w:pPr>
              <w:spacing w:after="0"/>
              <w:rPr>
                <w:sz w:val="17"/>
                <w:szCs w:val="17"/>
                <w:color w:val="auto"/>
              </w:rPr>
            </w:pPr>
          </w:p>
        </w:tc>
        <w:tc>
          <w:tcPr>
            <w:tcW w:w="7700" w:type="dxa"/>
            <w:vAlign w:val="bottom"/>
            <w:shd w:val="clear" w:color="auto" w:fill="CCEEFF"/>
          </w:tcPr>
          <w:p>
            <w:pPr>
              <w:jc w:val="center"/>
              <w:ind w:left="290"/>
              <w:spacing w:after="0" w:line="201" w:lineRule="exact"/>
              <w:rPr>
                <w:sz w:val="20"/>
                <w:szCs w:val="20"/>
                <w:color w:val="auto"/>
              </w:rPr>
            </w:pPr>
            <w:r>
              <w:rPr>
                <w:rFonts w:ascii="Arial" w:cs="Arial" w:eastAsia="Arial" w:hAnsi="Arial"/>
                <w:sz w:val="18"/>
                <w:szCs w:val="18"/>
                <w:color w:val="auto"/>
              </w:rPr>
              <w:t>ARTICLE XII</w:t>
            </w:r>
          </w:p>
        </w:tc>
        <w:tc>
          <w:tcPr>
            <w:tcW w:w="1960" w:type="dxa"/>
            <w:vAlign w:val="bottom"/>
            <w:shd w:val="clear" w:color="auto" w:fill="CCEEFF"/>
          </w:tcPr>
          <w:p>
            <w:pPr>
              <w:spacing w:after="0"/>
              <w:rPr>
                <w:sz w:val="17"/>
                <w:szCs w:val="17"/>
                <w:color w:val="auto"/>
              </w:rPr>
            </w:pPr>
          </w:p>
        </w:tc>
      </w:tr>
      <w:tr>
        <w:trPr>
          <w:trHeight w:val="230"/>
        </w:trPr>
        <w:tc>
          <w:tcPr>
            <w:tcW w:w="1580" w:type="dxa"/>
            <w:vAlign w:val="bottom"/>
            <w:shd w:val="clear" w:color="auto" w:fill="CCEEFF"/>
          </w:tcPr>
          <w:p>
            <w:pPr>
              <w:spacing w:after="0"/>
              <w:rPr>
                <w:sz w:val="20"/>
                <w:szCs w:val="20"/>
                <w:color w:val="auto"/>
              </w:rPr>
            </w:pPr>
          </w:p>
        </w:tc>
        <w:tc>
          <w:tcPr>
            <w:tcW w:w="770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7"/>
              </w:rPr>
              <w:t>MISCELLANEOUS</w:t>
            </w:r>
          </w:p>
        </w:tc>
        <w:tc>
          <w:tcPr>
            <w:tcW w:w="1960" w:type="dxa"/>
            <w:vAlign w:val="bottom"/>
            <w:shd w:val="clear" w:color="auto" w:fill="CCEEFF"/>
          </w:tcPr>
          <w:p>
            <w:pPr>
              <w:spacing w:after="0"/>
              <w:rPr>
                <w:sz w:val="20"/>
                <w:szCs w:val="20"/>
                <w:color w:val="auto"/>
              </w:rPr>
            </w:pP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Section 12.1.</w:t>
            </w:r>
          </w:p>
        </w:tc>
        <w:tc>
          <w:tcPr>
            <w:tcW w:w="7700" w:type="dxa"/>
            <w:vAlign w:val="bottom"/>
          </w:tcPr>
          <w:p>
            <w:pPr>
              <w:ind w:left="640"/>
              <w:spacing w:after="0"/>
              <w:rPr>
                <w:sz w:val="20"/>
                <w:szCs w:val="20"/>
                <w:color w:val="auto"/>
              </w:rPr>
            </w:pPr>
            <w:r>
              <w:rPr>
                <w:rFonts w:ascii="Arial" w:cs="Arial" w:eastAsia="Arial" w:hAnsi="Arial"/>
                <w:sz w:val="18"/>
                <w:szCs w:val="18"/>
                <w:color w:val="auto"/>
              </w:rPr>
              <w:t>Termination</w:t>
            </w:r>
          </w:p>
        </w:tc>
        <w:tc>
          <w:tcPr>
            <w:tcW w:w="19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Section 12.2.</w:t>
            </w:r>
          </w:p>
        </w:tc>
        <w:tc>
          <w:tcPr>
            <w:tcW w:w="77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Corporate Power</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16"/>
        </w:trPr>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Section 12.3.</w:t>
            </w:r>
          </w:p>
        </w:tc>
        <w:tc>
          <w:tcPr>
            <w:tcW w:w="63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Modifications or Amendments</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12.4.</w:t>
            </w:r>
          </w:p>
        </w:tc>
        <w:tc>
          <w:tcPr>
            <w:tcW w:w="6320" w:type="dxa"/>
            <w:vAlign w:val="bottom"/>
          </w:tcPr>
          <w:p>
            <w:pPr>
              <w:ind w:left="800"/>
              <w:spacing w:after="0"/>
              <w:rPr>
                <w:sz w:val="20"/>
                <w:szCs w:val="20"/>
                <w:color w:val="auto"/>
              </w:rPr>
            </w:pPr>
            <w:r>
              <w:rPr>
                <w:rFonts w:ascii="Arial" w:cs="Arial" w:eastAsia="Arial" w:hAnsi="Arial"/>
                <w:sz w:val="18"/>
                <w:szCs w:val="18"/>
                <w:color w:val="auto"/>
              </w:rPr>
              <w:t>Waivers of Default</w:t>
            </w:r>
          </w:p>
        </w:tc>
        <w:tc>
          <w:tcPr>
            <w:tcW w:w="35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Section 12.5.</w:t>
            </w:r>
          </w:p>
        </w:tc>
        <w:tc>
          <w:tcPr>
            <w:tcW w:w="63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Counterparts</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12.6.</w:t>
            </w:r>
          </w:p>
        </w:tc>
        <w:tc>
          <w:tcPr>
            <w:tcW w:w="6320" w:type="dxa"/>
            <w:vAlign w:val="bottom"/>
          </w:tcPr>
          <w:p>
            <w:pPr>
              <w:ind w:left="800"/>
              <w:spacing w:after="0"/>
              <w:rPr>
                <w:sz w:val="20"/>
                <w:szCs w:val="20"/>
                <w:color w:val="auto"/>
              </w:rPr>
            </w:pPr>
            <w:r>
              <w:rPr>
                <w:rFonts w:ascii="Arial" w:cs="Arial" w:eastAsia="Arial" w:hAnsi="Arial"/>
                <w:sz w:val="18"/>
                <w:szCs w:val="18"/>
                <w:color w:val="auto"/>
              </w:rPr>
              <w:t>Governing Law</w:t>
            </w:r>
          </w:p>
        </w:tc>
        <w:tc>
          <w:tcPr>
            <w:tcW w:w="35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Section 12.7.</w:t>
            </w:r>
          </w:p>
        </w:tc>
        <w:tc>
          <w:tcPr>
            <w:tcW w:w="63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Notices</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12.8.</w:t>
            </w:r>
          </w:p>
        </w:tc>
        <w:tc>
          <w:tcPr>
            <w:tcW w:w="6320" w:type="dxa"/>
            <w:vAlign w:val="bottom"/>
          </w:tcPr>
          <w:p>
            <w:pPr>
              <w:ind w:left="800"/>
              <w:spacing w:after="0"/>
              <w:rPr>
                <w:sz w:val="20"/>
                <w:szCs w:val="20"/>
                <w:color w:val="auto"/>
              </w:rPr>
            </w:pPr>
            <w:r>
              <w:rPr>
                <w:rFonts w:ascii="Arial" w:cs="Arial" w:eastAsia="Arial" w:hAnsi="Arial"/>
                <w:sz w:val="18"/>
                <w:szCs w:val="18"/>
                <w:color w:val="auto"/>
              </w:rPr>
              <w:t>Entire Agreement</w:t>
            </w:r>
          </w:p>
        </w:tc>
        <w:tc>
          <w:tcPr>
            <w:tcW w:w="35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Section 12.9.</w:t>
            </w:r>
          </w:p>
        </w:tc>
        <w:tc>
          <w:tcPr>
            <w:tcW w:w="63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No Third-Party Beneficiaries</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12.10.</w:t>
            </w:r>
          </w:p>
        </w:tc>
        <w:tc>
          <w:tcPr>
            <w:tcW w:w="6320" w:type="dxa"/>
            <w:vAlign w:val="bottom"/>
          </w:tcPr>
          <w:p>
            <w:pPr>
              <w:ind w:left="800"/>
              <w:spacing w:after="0"/>
              <w:rPr>
                <w:sz w:val="20"/>
                <w:szCs w:val="20"/>
                <w:color w:val="auto"/>
              </w:rPr>
            </w:pPr>
            <w:r>
              <w:rPr>
                <w:rFonts w:ascii="Arial" w:cs="Arial" w:eastAsia="Arial" w:hAnsi="Arial"/>
                <w:sz w:val="18"/>
                <w:szCs w:val="18"/>
                <w:color w:val="auto"/>
              </w:rPr>
              <w:t>Severability</w:t>
            </w:r>
          </w:p>
        </w:tc>
        <w:tc>
          <w:tcPr>
            <w:tcW w:w="35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Section 12.11.</w:t>
            </w:r>
          </w:p>
        </w:tc>
        <w:tc>
          <w:tcPr>
            <w:tcW w:w="63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Interpretation</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12.12.</w:t>
            </w:r>
          </w:p>
        </w:tc>
        <w:tc>
          <w:tcPr>
            <w:tcW w:w="6320" w:type="dxa"/>
            <w:vAlign w:val="bottom"/>
          </w:tcPr>
          <w:p>
            <w:pPr>
              <w:ind w:left="800"/>
              <w:spacing w:after="0"/>
              <w:rPr>
                <w:sz w:val="20"/>
                <w:szCs w:val="20"/>
                <w:color w:val="auto"/>
              </w:rPr>
            </w:pPr>
            <w:r>
              <w:rPr>
                <w:rFonts w:ascii="Arial" w:cs="Arial" w:eastAsia="Arial" w:hAnsi="Arial"/>
                <w:sz w:val="18"/>
                <w:szCs w:val="18"/>
                <w:color w:val="auto"/>
              </w:rPr>
              <w:t>Defined Terms</w:t>
            </w:r>
          </w:p>
        </w:tc>
        <w:tc>
          <w:tcPr>
            <w:tcW w:w="35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Section 12.13.</w:t>
            </w:r>
          </w:p>
        </w:tc>
        <w:tc>
          <w:tcPr>
            <w:tcW w:w="63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Assignment</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12.14.</w:t>
            </w:r>
          </w:p>
        </w:tc>
        <w:tc>
          <w:tcPr>
            <w:tcW w:w="6320" w:type="dxa"/>
            <w:vAlign w:val="bottom"/>
          </w:tcPr>
          <w:p>
            <w:pPr>
              <w:ind w:left="800"/>
              <w:spacing w:after="0"/>
              <w:rPr>
                <w:sz w:val="20"/>
                <w:szCs w:val="20"/>
                <w:color w:val="auto"/>
              </w:rPr>
            </w:pPr>
            <w:r>
              <w:rPr>
                <w:rFonts w:ascii="Arial" w:cs="Arial" w:eastAsia="Arial" w:hAnsi="Arial"/>
                <w:sz w:val="18"/>
                <w:szCs w:val="18"/>
                <w:color w:val="auto"/>
              </w:rPr>
              <w:t>Specific Performance</w:t>
            </w:r>
          </w:p>
        </w:tc>
        <w:tc>
          <w:tcPr>
            <w:tcW w:w="35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Section 12.15.</w:t>
            </w:r>
          </w:p>
        </w:tc>
        <w:tc>
          <w:tcPr>
            <w:tcW w:w="63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Payment Terms</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12.16.</w:t>
            </w:r>
          </w:p>
        </w:tc>
        <w:tc>
          <w:tcPr>
            <w:tcW w:w="6320" w:type="dxa"/>
            <w:vAlign w:val="bottom"/>
          </w:tcPr>
          <w:p>
            <w:pPr>
              <w:ind w:left="800"/>
              <w:spacing w:after="0"/>
              <w:rPr>
                <w:sz w:val="20"/>
                <w:szCs w:val="20"/>
                <w:color w:val="auto"/>
              </w:rPr>
            </w:pPr>
            <w:r>
              <w:rPr>
                <w:rFonts w:ascii="Arial" w:cs="Arial" w:eastAsia="Arial" w:hAnsi="Arial"/>
                <w:sz w:val="18"/>
                <w:szCs w:val="18"/>
                <w:color w:val="auto"/>
              </w:rPr>
              <w:t>Survival of Covenants</w:t>
            </w:r>
          </w:p>
        </w:tc>
        <w:tc>
          <w:tcPr>
            <w:tcW w:w="35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Section 12.17.</w:t>
            </w:r>
          </w:p>
        </w:tc>
        <w:tc>
          <w:tcPr>
            <w:tcW w:w="63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Construction</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12.18.</w:t>
            </w:r>
          </w:p>
        </w:tc>
        <w:tc>
          <w:tcPr>
            <w:tcW w:w="6320" w:type="dxa"/>
            <w:vAlign w:val="bottom"/>
          </w:tcPr>
          <w:p>
            <w:pPr>
              <w:ind w:left="800"/>
              <w:spacing w:after="0"/>
              <w:rPr>
                <w:sz w:val="20"/>
                <w:szCs w:val="20"/>
                <w:color w:val="auto"/>
              </w:rPr>
            </w:pPr>
            <w:r>
              <w:rPr>
                <w:rFonts w:ascii="Arial" w:cs="Arial" w:eastAsia="Arial" w:hAnsi="Arial"/>
                <w:sz w:val="18"/>
                <w:szCs w:val="18"/>
                <w:color w:val="auto"/>
              </w:rPr>
              <w:t>Performance</w:t>
            </w:r>
          </w:p>
        </w:tc>
        <w:tc>
          <w:tcPr>
            <w:tcW w:w="35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Section 12.19.</w:t>
            </w:r>
          </w:p>
        </w:tc>
        <w:tc>
          <w:tcPr>
            <w:tcW w:w="63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No Admission of Liability</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12.20.</w:t>
            </w:r>
          </w:p>
        </w:tc>
        <w:tc>
          <w:tcPr>
            <w:tcW w:w="6320" w:type="dxa"/>
            <w:vAlign w:val="bottom"/>
          </w:tcPr>
          <w:p>
            <w:pPr>
              <w:ind w:left="800"/>
              <w:spacing w:after="0"/>
              <w:rPr>
                <w:sz w:val="20"/>
                <w:szCs w:val="20"/>
                <w:color w:val="auto"/>
              </w:rPr>
            </w:pPr>
            <w:r>
              <w:rPr>
                <w:rFonts w:ascii="Arial" w:cs="Arial" w:eastAsia="Arial" w:hAnsi="Arial"/>
                <w:sz w:val="18"/>
                <w:szCs w:val="18"/>
                <w:color w:val="auto"/>
              </w:rPr>
              <w:t>Limitations of Liability</w:t>
            </w:r>
          </w:p>
        </w:tc>
        <w:tc>
          <w:tcPr>
            <w:tcW w:w="35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Section 12.21.</w:t>
            </w:r>
          </w:p>
        </w:tc>
        <w:tc>
          <w:tcPr>
            <w:tcW w:w="63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Other Agreements</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445"/>
        </w:trPr>
        <w:tc>
          <w:tcPr>
            <w:tcW w:w="1420" w:type="dxa"/>
            <w:vAlign w:val="bottom"/>
          </w:tcPr>
          <w:p>
            <w:pPr>
              <w:spacing w:after="0"/>
              <w:rPr>
                <w:sz w:val="20"/>
                <w:szCs w:val="20"/>
                <w:color w:val="auto"/>
              </w:rPr>
            </w:pPr>
            <w:r>
              <w:rPr>
                <w:rFonts w:ascii="Arial" w:cs="Arial" w:eastAsia="Arial" w:hAnsi="Arial"/>
                <w:sz w:val="18"/>
                <w:szCs w:val="18"/>
                <w:color w:val="auto"/>
              </w:rPr>
              <w:t>Annexes</w:t>
            </w:r>
          </w:p>
        </w:tc>
        <w:tc>
          <w:tcPr>
            <w:tcW w:w="632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Annex I</w:t>
            </w:r>
          </w:p>
        </w:tc>
        <w:tc>
          <w:tcPr>
            <w:tcW w:w="6320" w:type="dxa"/>
            <w:vAlign w:val="bottom"/>
          </w:tcPr>
          <w:p>
            <w:pPr>
              <w:ind w:left="400"/>
              <w:spacing w:after="0"/>
              <w:rPr>
                <w:sz w:val="20"/>
                <w:szCs w:val="20"/>
                <w:color w:val="auto"/>
              </w:rPr>
            </w:pPr>
            <w:r>
              <w:rPr>
                <w:rFonts w:ascii="Arial" w:cs="Arial" w:eastAsia="Arial" w:hAnsi="Arial"/>
                <w:sz w:val="18"/>
                <w:szCs w:val="18"/>
                <w:color w:val="auto"/>
              </w:rPr>
              <w:t>Defined Terms</w:t>
            </w:r>
          </w:p>
        </w:tc>
        <w:tc>
          <w:tcPr>
            <w:tcW w:w="3500" w:type="dxa"/>
            <w:vAlign w:val="bottom"/>
          </w:tcPr>
          <w:p>
            <w:pPr>
              <w:spacing w:after="0"/>
              <w:rPr>
                <w:sz w:val="20"/>
                <w:szCs w:val="20"/>
                <w:color w:val="auto"/>
              </w:rPr>
            </w:pPr>
          </w:p>
        </w:tc>
      </w:tr>
      <w:tr>
        <w:trPr>
          <w:trHeight w:val="418"/>
        </w:trPr>
        <w:tc>
          <w:tcPr>
            <w:tcW w:w="1420" w:type="dxa"/>
            <w:vAlign w:val="bottom"/>
          </w:tcPr>
          <w:p>
            <w:pPr>
              <w:spacing w:after="0"/>
              <w:rPr>
                <w:sz w:val="20"/>
                <w:szCs w:val="20"/>
                <w:color w:val="auto"/>
              </w:rPr>
            </w:pPr>
            <w:r>
              <w:rPr>
                <w:rFonts w:ascii="Arial" w:cs="Arial" w:eastAsia="Arial" w:hAnsi="Arial"/>
                <w:sz w:val="18"/>
                <w:szCs w:val="18"/>
                <w:color w:val="auto"/>
              </w:rPr>
              <w:t>Exhibits</w:t>
            </w:r>
          </w:p>
        </w:tc>
        <w:tc>
          <w:tcPr>
            <w:tcW w:w="632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Exhibit A</w:t>
            </w:r>
          </w:p>
        </w:tc>
        <w:tc>
          <w:tcPr>
            <w:tcW w:w="6320" w:type="dxa"/>
            <w:vAlign w:val="bottom"/>
          </w:tcPr>
          <w:p>
            <w:pPr>
              <w:ind w:left="400"/>
              <w:spacing w:after="0"/>
              <w:rPr>
                <w:sz w:val="20"/>
                <w:szCs w:val="20"/>
                <w:color w:val="auto"/>
              </w:rPr>
            </w:pPr>
            <w:r>
              <w:rPr>
                <w:rFonts w:ascii="Arial" w:cs="Arial" w:eastAsia="Arial" w:hAnsi="Arial"/>
                <w:sz w:val="18"/>
                <w:szCs w:val="18"/>
                <w:color w:val="auto"/>
              </w:rPr>
              <w:t>French Group Exit Agreements</w:t>
            </w:r>
          </w:p>
        </w:tc>
        <w:tc>
          <w:tcPr>
            <w:tcW w:w="3500" w:type="dxa"/>
            <w:vAlign w:val="bottom"/>
          </w:tcPr>
          <w:p>
            <w:pPr>
              <w:spacing w:after="0"/>
              <w:rPr>
                <w:sz w:val="20"/>
                <w:szCs w:val="20"/>
                <w:color w:val="auto"/>
              </w:rPr>
            </w:pP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22"/>
          <w:szCs w:val="22"/>
          <w:color w:val="auto"/>
        </w:rPr>
        <w:t>TAX MATTERS AGREEMENT</w:t>
      </w:r>
    </w:p>
    <w:p>
      <w:pPr>
        <w:spacing w:after="0" w:line="234" w:lineRule="exact"/>
        <w:rPr>
          <w:sz w:val="20"/>
          <w:szCs w:val="20"/>
          <w:color w:val="auto"/>
        </w:rPr>
      </w:pPr>
    </w:p>
    <w:p>
      <w:pPr>
        <w:ind w:right="380" w:firstLine="648"/>
        <w:spacing w:after="0" w:line="287" w:lineRule="auto"/>
        <w:rPr>
          <w:sz w:val="20"/>
          <w:szCs w:val="20"/>
          <w:color w:val="auto"/>
        </w:rPr>
      </w:pPr>
      <w:r>
        <w:rPr>
          <w:rFonts w:ascii="Arial" w:cs="Arial" w:eastAsia="Arial" w:hAnsi="Arial"/>
          <w:sz w:val="19"/>
          <w:szCs w:val="19"/>
          <w:color w:val="auto"/>
        </w:rPr>
        <w:t>This TAX MATTERS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is entered into effective as of February 16, 2021, by and between TechnipFMC plc, a public limited company formed under the laws of England and Wales (“</w:t>
      </w:r>
      <w:r>
        <w:rPr>
          <w:rFonts w:ascii="Arial" w:cs="Arial" w:eastAsia="Arial" w:hAnsi="Arial"/>
          <w:sz w:val="19"/>
          <w:szCs w:val="19"/>
          <w:u w:val="single" w:color="auto"/>
          <w:color w:val="auto"/>
        </w:rPr>
        <w:t>TFMC</w:t>
      </w:r>
      <w:r>
        <w:rPr>
          <w:rFonts w:ascii="Arial" w:cs="Arial" w:eastAsia="Arial" w:hAnsi="Arial"/>
          <w:sz w:val="19"/>
          <w:szCs w:val="19"/>
          <w:color w:val="auto"/>
        </w:rPr>
        <w:t>”) and Technip Energies N.V., a public limited liability company formed under the laws of the Netherlands and a wholly owned subsidiary of TFMC (“</w:t>
      </w:r>
      <w:r>
        <w:rPr>
          <w:rFonts w:ascii="Arial" w:cs="Arial" w:eastAsia="Arial" w:hAnsi="Arial"/>
          <w:sz w:val="19"/>
          <w:szCs w:val="19"/>
          <w:u w:val="single" w:color="auto"/>
          <w:color w:val="auto"/>
        </w:rPr>
        <w:t>TEN</w:t>
      </w:r>
      <w:r>
        <w:rPr>
          <w:rFonts w:ascii="Arial" w:cs="Arial" w:eastAsia="Arial" w:hAnsi="Arial"/>
          <w:sz w:val="19"/>
          <w:szCs w:val="19"/>
          <w:color w:val="auto"/>
        </w:rPr>
        <w:t>”). TFMC and TEN are each a “</w:t>
      </w:r>
      <w:r>
        <w:rPr>
          <w:rFonts w:ascii="Arial" w:cs="Arial" w:eastAsia="Arial" w:hAnsi="Arial"/>
          <w:sz w:val="19"/>
          <w:szCs w:val="19"/>
          <w:u w:val="single" w:color="auto"/>
          <w:color w:val="auto"/>
        </w:rPr>
        <w:t>Party</w:t>
      </w:r>
      <w:r>
        <w:rPr>
          <w:rFonts w:ascii="Arial" w:cs="Arial" w:eastAsia="Arial" w:hAnsi="Arial"/>
          <w:sz w:val="19"/>
          <w:szCs w:val="19"/>
          <w:color w:val="auto"/>
        </w:rPr>
        <w:t>” and are sometimes referred to herein collectively as the “</w:t>
      </w:r>
      <w:r>
        <w:rPr>
          <w:rFonts w:ascii="Arial" w:cs="Arial" w:eastAsia="Arial" w:hAnsi="Arial"/>
          <w:sz w:val="19"/>
          <w:szCs w:val="19"/>
          <w:u w:val="single" w:color="auto"/>
          <w:color w:val="auto"/>
        </w:rPr>
        <w:t>Parties</w:t>
      </w:r>
      <w:r>
        <w:rPr>
          <w:rFonts w:ascii="Arial" w:cs="Arial" w:eastAsia="Arial" w:hAnsi="Arial"/>
          <w:sz w:val="19"/>
          <w:szCs w:val="19"/>
          <w:color w:val="auto"/>
        </w:rPr>
        <w: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RECITALS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TFMC, acting together with its Subsidiaries, currently conducts the TFMC Business and the TEN Business;</w:t>
      </w:r>
    </w:p>
    <w:p>
      <w:pPr>
        <w:spacing w:after="0" w:line="268"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WHEREAS, TFMC and TEN have entered into that certain Separation and Distribution Agreement, dated as of January 7, 2021 (the “</w:t>
      </w:r>
      <w:r>
        <w:rPr>
          <w:rFonts w:ascii="Arial" w:cs="Arial" w:eastAsia="Arial" w:hAnsi="Arial"/>
          <w:sz w:val="22"/>
          <w:szCs w:val="22"/>
          <w:u w:val="single" w:color="auto"/>
          <w:color w:val="auto"/>
        </w:rPr>
        <w:t>Separation Agreement</w:t>
      </w:r>
      <w:r>
        <w:rPr>
          <w:rFonts w:ascii="Arial" w:cs="Arial" w:eastAsia="Arial" w:hAnsi="Arial"/>
          <w:sz w:val="22"/>
          <w:szCs w:val="22"/>
          <w:color w:val="auto"/>
        </w:rPr>
        <w:t>”) pursuant to which the Separation will be consummated;</w:t>
      </w:r>
    </w:p>
    <w:p>
      <w:pPr>
        <w:spacing w:after="0" w:line="202"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color w:val="auto"/>
        </w:rPr>
        <w:t>WHEREAS, the Parties intend that the Distribution will be a distribution to which Section 311(b) of the Internal Revenue Code of 1986, as amended (the “</w:t>
      </w:r>
      <w:r>
        <w:rPr>
          <w:rFonts w:ascii="Arial" w:cs="Arial" w:eastAsia="Arial" w:hAnsi="Arial"/>
          <w:sz w:val="22"/>
          <w:szCs w:val="22"/>
          <w:u w:val="single" w:color="auto"/>
          <w:color w:val="auto"/>
        </w:rPr>
        <w:t>Code</w:t>
      </w:r>
      <w:r>
        <w:rPr>
          <w:rFonts w:ascii="Arial" w:cs="Arial" w:eastAsia="Arial" w:hAnsi="Arial"/>
          <w:sz w:val="22"/>
          <w:szCs w:val="22"/>
          <w:color w:val="auto"/>
        </w:rPr>
        <w:t>”) applies (the “</w:t>
      </w:r>
      <w:r>
        <w:rPr>
          <w:rFonts w:ascii="Arial" w:cs="Arial" w:eastAsia="Arial" w:hAnsi="Arial"/>
          <w:sz w:val="22"/>
          <w:szCs w:val="22"/>
          <w:u w:val="single" w:color="auto"/>
          <w:color w:val="auto"/>
        </w:rPr>
        <w:t>Intended Tax Treatment</w:t>
      </w:r>
      <w:r>
        <w:rPr>
          <w:rFonts w:ascii="Arial" w:cs="Arial" w:eastAsia="Arial" w:hAnsi="Arial"/>
          <w:sz w:val="22"/>
          <w:szCs w:val="22"/>
          <w:color w:val="auto"/>
        </w:rPr>
        <w:t>”); and</w:t>
      </w:r>
    </w:p>
    <w:p>
      <w:pPr>
        <w:spacing w:after="0" w:line="202" w:lineRule="exact"/>
        <w:rPr>
          <w:sz w:val="20"/>
          <w:szCs w:val="20"/>
          <w:color w:val="auto"/>
        </w:rPr>
      </w:pPr>
    </w:p>
    <w:p>
      <w:pPr>
        <w:ind w:right="120" w:firstLine="648"/>
        <w:spacing w:after="0" w:line="287" w:lineRule="auto"/>
        <w:rPr>
          <w:sz w:val="20"/>
          <w:szCs w:val="20"/>
          <w:color w:val="auto"/>
        </w:rPr>
      </w:pPr>
      <w:r>
        <w:rPr>
          <w:rFonts w:ascii="Arial" w:cs="Arial" w:eastAsia="Arial" w:hAnsi="Arial"/>
          <w:sz w:val="19"/>
          <w:szCs w:val="19"/>
          <w:color w:val="auto"/>
        </w:rPr>
        <w:t>WHEREAS, TFMC and TEN desire to set forth their agreement on the rights and obligations of TFMC and TEN and the members of the TFMC Group and the TEN Group, respectively, with respect to (a) the administration and allocation of federal, state, local, and foreign Taxes incurred in Tax Periods beginning prior to the Distribution Date, (b) Taxes resulting from the Distribution and transactions effected in connection with the Distribution and (c) various other Tax matters.</w:t>
      </w:r>
    </w:p>
    <w:p>
      <w:pPr>
        <w:spacing w:after="0" w:line="170"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NOW, THEREFORE, in consideration of the foregoing and the mutual agreements, provisions and covenants contained in this Agreement, the Parties hereby agree as follows: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ALLOCATION OF TAX LIABILITIES AND TAX-RELATED LOSSES</w:t>
      </w:r>
    </w:p>
    <w:p>
      <w:pPr>
        <w:spacing w:after="0" w:line="215"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19"/>
          <w:szCs w:val="19"/>
          <w:u w:val="single" w:color="auto"/>
          <w:color w:val="auto"/>
        </w:rPr>
        <w:t>General Rule</w:t>
      </w:r>
      <w:r>
        <w:rPr>
          <w:rFonts w:ascii="Arial" w:cs="Arial" w:eastAsia="Arial" w:hAnsi="Arial"/>
          <w:sz w:val="19"/>
          <w:szCs w:val="19"/>
          <w:color w:val="auto"/>
        </w:rPr>
        <w:t>.</w:t>
      </w:r>
    </w:p>
    <w:p>
      <w:pPr>
        <w:spacing w:after="0" w:line="233" w:lineRule="exact"/>
        <w:rPr>
          <w:sz w:val="20"/>
          <w:szCs w:val="20"/>
          <w:color w:val="auto"/>
        </w:rPr>
      </w:pPr>
    </w:p>
    <w:p>
      <w:pPr>
        <w:ind w:right="120" w:firstLine="656"/>
        <w:spacing w:after="0" w:line="234" w:lineRule="auto"/>
        <w:tabs>
          <w:tab w:leader="none" w:pos="1428" w:val="left"/>
        </w:tabs>
        <w:numPr>
          <w:ilvl w:val="0"/>
          <w:numId w:val="8"/>
        </w:numPr>
        <w:rPr>
          <w:rFonts w:ascii="Arial" w:cs="Arial" w:eastAsia="Arial" w:hAnsi="Arial"/>
          <w:sz w:val="22"/>
          <w:szCs w:val="22"/>
          <w:color w:val="auto"/>
        </w:rPr>
      </w:pPr>
      <w:r>
        <w:rPr>
          <w:rFonts w:ascii="Arial" w:cs="Arial" w:eastAsia="Arial" w:hAnsi="Arial"/>
          <w:sz w:val="22"/>
          <w:szCs w:val="22"/>
          <w:i w:val="1"/>
          <w:iCs w:val="1"/>
          <w:color w:val="auto"/>
        </w:rPr>
        <w:t>TFMC Liability</w:t>
      </w:r>
      <w:r>
        <w:rPr>
          <w:rFonts w:ascii="Arial" w:cs="Arial" w:eastAsia="Arial" w:hAnsi="Arial"/>
          <w:sz w:val="22"/>
          <w:szCs w:val="22"/>
          <w:color w:val="auto"/>
        </w:rPr>
        <w:t>. Except with respect to Taxes and Tax-Related Losses described in</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1.1(b)</w:t>
      </w:r>
      <w:r>
        <w:rPr>
          <w:rFonts w:ascii="Arial" w:cs="Arial" w:eastAsia="Arial" w:hAnsi="Arial"/>
          <w:sz w:val="22"/>
          <w:szCs w:val="22"/>
          <w:color w:val="auto"/>
        </w:rPr>
        <w:t>, to the fullest</w:t>
      </w:r>
      <w:r>
        <w:rPr>
          <w:rFonts w:ascii="Arial" w:cs="Arial" w:eastAsia="Arial" w:hAnsi="Arial"/>
          <w:sz w:val="22"/>
          <w:szCs w:val="22"/>
          <w:i w:val="1"/>
          <w:iCs w:val="1"/>
          <w:color w:val="auto"/>
        </w:rPr>
        <w:t xml:space="preserve"> </w:t>
      </w:r>
      <w:r>
        <w:rPr>
          <w:rFonts w:ascii="Arial" w:cs="Arial" w:eastAsia="Arial" w:hAnsi="Arial"/>
          <w:sz w:val="22"/>
          <w:szCs w:val="22"/>
          <w:color w:val="auto"/>
        </w:rPr>
        <w:t>extent permitted by law, TFMC shall be liable for, and shall cause the other members of the TFMC Group to, indemnify, defend and hold harmless TEN and each member of the TEN Group from and against any and all liabilities of TEN and any member of the TEN Group relating to, arising out of or resulting from, directly or indirectly, any of the following items (without duplication), in each case other than any Taxes imposed on TEN or any member of the TEN Group pursuant to provisions of Treasury Regulations § 1.1502-6 (or similar provisions of state, local, or foreign Tax Law) as a result of any such member being or having been a member of a Prior Group:</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ind w:left="2100" w:hanging="796"/>
        <w:spacing w:after="0"/>
        <w:tabs>
          <w:tab w:leader="none" w:pos="2100" w:val="left"/>
        </w:tabs>
        <w:numPr>
          <w:ilvl w:val="1"/>
          <w:numId w:val="9"/>
        </w:numPr>
        <w:rPr>
          <w:rFonts w:ascii="Arial" w:cs="Arial" w:eastAsia="Arial" w:hAnsi="Arial"/>
          <w:sz w:val="22"/>
          <w:szCs w:val="22"/>
          <w:color w:val="auto"/>
        </w:rPr>
      </w:pPr>
      <w:r>
        <w:rPr>
          <w:rFonts w:ascii="Arial" w:cs="Arial" w:eastAsia="Arial" w:hAnsi="Arial"/>
          <w:sz w:val="22"/>
          <w:szCs w:val="22"/>
          <w:color w:val="auto"/>
        </w:rPr>
        <w:t xml:space="preserve">Taxes that are allocated to TFMC under this </w:t>
      </w:r>
      <w:r>
        <w:rPr>
          <w:rFonts w:ascii="Arial" w:cs="Arial" w:eastAsia="Arial" w:hAnsi="Arial"/>
          <w:sz w:val="22"/>
          <w:szCs w:val="22"/>
          <w:u w:val="single" w:color="auto"/>
          <w:color w:val="auto"/>
        </w:rPr>
        <w:t>Article I</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40" w:firstLine="1304"/>
        <w:spacing w:after="0" w:line="250" w:lineRule="auto"/>
        <w:tabs>
          <w:tab w:leader="none" w:pos="2100" w:val="left"/>
        </w:tabs>
        <w:numPr>
          <w:ilvl w:val="1"/>
          <w:numId w:val="9"/>
        </w:numPr>
        <w:rPr>
          <w:rFonts w:ascii="Arial" w:cs="Arial" w:eastAsia="Arial" w:hAnsi="Arial"/>
          <w:sz w:val="22"/>
          <w:szCs w:val="22"/>
          <w:color w:val="auto"/>
        </w:rPr>
      </w:pPr>
      <w:r>
        <w:rPr>
          <w:rFonts w:ascii="Arial" w:cs="Arial" w:eastAsia="Arial" w:hAnsi="Arial"/>
          <w:sz w:val="22"/>
          <w:szCs w:val="22"/>
          <w:color w:val="auto"/>
        </w:rPr>
        <w:t>any Tax resulting from a breach of any of covenant of TFMC or any member of the TFMC Group in this Agreement, the Separation Agreement or any Ancillary Agreement; and</w:t>
      </w:r>
    </w:p>
    <w:p>
      <w:pPr>
        <w:spacing w:after="0" w:line="201" w:lineRule="exact"/>
        <w:rPr>
          <w:rFonts w:ascii="Arial" w:cs="Arial" w:eastAsia="Arial" w:hAnsi="Arial"/>
          <w:sz w:val="22"/>
          <w:szCs w:val="22"/>
          <w:color w:val="auto"/>
        </w:rPr>
      </w:pPr>
    </w:p>
    <w:p>
      <w:pPr>
        <w:ind w:left="2120" w:hanging="816"/>
        <w:spacing w:after="0"/>
        <w:tabs>
          <w:tab w:leader="none" w:pos="2120" w:val="left"/>
        </w:tabs>
        <w:numPr>
          <w:ilvl w:val="1"/>
          <w:numId w:val="9"/>
        </w:numPr>
        <w:rPr>
          <w:rFonts w:ascii="Arial" w:cs="Arial" w:eastAsia="Arial" w:hAnsi="Arial"/>
          <w:sz w:val="22"/>
          <w:szCs w:val="22"/>
          <w:color w:val="auto"/>
        </w:rPr>
      </w:pPr>
      <w:r>
        <w:rPr>
          <w:rFonts w:ascii="Arial" w:cs="Arial" w:eastAsia="Arial" w:hAnsi="Arial"/>
          <w:sz w:val="22"/>
          <w:szCs w:val="22"/>
          <w:color w:val="auto"/>
        </w:rPr>
        <w:t>50% of all Separation Taxes.</w:t>
      </w:r>
    </w:p>
    <w:p>
      <w:pPr>
        <w:spacing w:after="0" w:line="233" w:lineRule="exact"/>
        <w:rPr>
          <w:rFonts w:ascii="Arial" w:cs="Arial" w:eastAsia="Arial" w:hAnsi="Arial"/>
          <w:sz w:val="22"/>
          <w:szCs w:val="22"/>
          <w:color w:val="auto"/>
        </w:rPr>
      </w:pPr>
    </w:p>
    <w:p>
      <w:pPr>
        <w:ind w:right="40" w:firstLine="656"/>
        <w:spacing w:after="0" w:line="238" w:lineRule="auto"/>
        <w:tabs>
          <w:tab w:leader="none" w:pos="1440" w:val="left"/>
        </w:tabs>
        <w:numPr>
          <w:ilvl w:val="0"/>
          <w:numId w:val="10"/>
        </w:numPr>
        <w:rPr>
          <w:rFonts w:ascii="Arial" w:cs="Arial" w:eastAsia="Arial" w:hAnsi="Arial"/>
          <w:sz w:val="22"/>
          <w:szCs w:val="22"/>
          <w:color w:val="auto"/>
        </w:rPr>
      </w:pPr>
      <w:r>
        <w:rPr>
          <w:rFonts w:ascii="Arial" w:cs="Arial" w:eastAsia="Arial" w:hAnsi="Arial"/>
          <w:sz w:val="22"/>
          <w:szCs w:val="22"/>
          <w:i w:val="1"/>
          <w:iCs w:val="1"/>
          <w:color w:val="auto"/>
        </w:rPr>
        <w:t>TEN Liability</w:t>
      </w:r>
      <w:r>
        <w:rPr>
          <w:rFonts w:ascii="Arial" w:cs="Arial" w:eastAsia="Arial" w:hAnsi="Arial"/>
          <w:sz w:val="22"/>
          <w:szCs w:val="22"/>
          <w:color w:val="auto"/>
        </w:rPr>
        <w:t>. TEN shall, to the fullest extent permitted by law, be liable for, and shall cause the other members</w:t>
      </w:r>
      <w:r>
        <w:rPr>
          <w:rFonts w:ascii="Arial" w:cs="Arial" w:eastAsia="Arial" w:hAnsi="Arial"/>
          <w:sz w:val="22"/>
          <w:szCs w:val="22"/>
          <w:i w:val="1"/>
          <w:iCs w:val="1"/>
          <w:color w:val="auto"/>
        </w:rPr>
        <w:t xml:space="preserve"> </w:t>
      </w:r>
      <w:r>
        <w:rPr>
          <w:rFonts w:ascii="Arial" w:cs="Arial" w:eastAsia="Arial" w:hAnsi="Arial"/>
          <w:sz w:val="22"/>
          <w:szCs w:val="22"/>
          <w:color w:val="auto"/>
        </w:rPr>
        <w:t>of the TEN Group to, indemnify, defend and hold harmless TFMC and each member of the TFMC Group from and against any and all liabilities of TFMC and any member of the TFMC Group relating to, arising out of or resulting from, directly or indirectly, any of the following items (without duplication):</w:t>
      </w:r>
    </w:p>
    <w:p>
      <w:pPr>
        <w:spacing w:after="0" w:line="211" w:lineRule="exact"/>
        <w:rPr>
          <w:rFonts w:ascii="Arial" w:cs="Arial" w:eastAsia="Arial" w:hAnsi="Arial"/>
          <w:sz w:val="22"/>
          <w:szCs w:val="22"/>
          <w:color w:val="auto"/>
        </w:rPr>
      </w:pPr>
    </w:p>
    <w:p>
      <w:pPr>
        <w:ind w:left="2100" w:hanging="796"/>
        <w:spacing w:after="0"/>
        <w:tabs>
          <w:tab w:leader="none" w:pos="2100" w:val="left"/>
        </w:tabs>
        <w:numPr>
          <w:ilvl w:val="1"/>
          <w:numId w:val="10"/>
        </w:numPr>
        <w:rPr>
          <w:rFonts w:ascii="Arial" w:cs="Arial" w:eastAsia="Arial" w:hAnsi="Arial"/>
          <w:sz w:val="22"/>
          <w:szCs w:val="22"/>
          <w:color w:val="auto"/>
        </w:rPr>
      </w:pPr>
      <w:r>
        <w:rPr>
          <w:rFonts w:ascii="Arial" w:cs="Arial" w:eastAsia="Arial" w:hAnsi="Arial"/>
          <w:sz w:val="22"/>
          <w:szCs w:val="22"/>
          <w:color w:val="auto"/>
        </w:rPr>
        <w:t xml:space="preserve">Taxes which are allocated to TEN under this </w:t>
      </w:r>
      <w:r>
        <w:rPr>
          <w:rFonts w:ascii="Arial" w:cs="Arial" w:eastAsia="Arial" w:hAnsi="Arial"/>
          <w:sz w:val="22"/>
          <w:szCs w:val="22"/>
          <w:u w:val="single" w:color="auto"/>
          <w:color w:val="auto"/>
        </w:rPr>
        <w:t>Article I</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firstLine="1304"/>
        <w:spacing w:after="0" w:line="250" w:lineRule="auto"/>
        <w:tabs>
          <w:tab w:leader="none" w:pos="2100" w:val="left"/>
        </w:tabs>
        <w:numPr>
          <w:ilvl w:val="1"/>
          <w:numId w:val="10"/>
        </w:numPr>
        <w:rPr>
          <w:rFonts w:ascii="Arial" w:cs="Arial" w:eastAsia="Arial" w:hAnsi="Arial"/>
          <w:sz w:val="22"/>
          <w:szCs w:val="22"/>
          <w:color w:val="auto"/>
        </w:rPr>
      </w:pPr>
      <w:r>
        <w:rPr>
          <w:rFonts w:ascii="Arial" w:cs="Arial" w:eastAsia="Arial" w:hAnsi="Arial"/>
          <w:sz w:val="22"/>
          <w:szCs w:val="22"/>
          <w:color w:val="auto"/>
        </w:rPr>
        <w:t>any Tax resulting from a breach of any of TEN’s covenants in this Agreement, the Separation Agreement or any Ancillary Agreement; and</w:t>
      </w:r>
    </w:p>
    <w:p>
      <w:pPr>
        <w:spacing w:after="0" w:line="201" w:lineRule="exact"/>
        <w:rPr>
          <w:rFonts w:ascii="Arial" w:cs="Arial" w:eastAsia="Arial" w:hAnsi="Arial"/>
          <w:sz w:val="22"/>
          <w:szCs w:val="22"/>
          <w:color w:val="auto"/>
        </w:rPr>
      </w:pPr>
    </w:p>
    <w:p>
      <w:pPr>
        <w:ind w:left="2120" w:hanging="816"/>
        <w:spacing w:after="0"/>
        <w:tabs>
          <w:tab w:leader="none" w:pos="2120" w:val="left"/>
        </w:tabs>
        <w:numPr>
          <w:ilvl w:val="1"/>
          <w:numId w:val="10"/>
        </w:numPr>
        <w:rPr>
          <w:rFonts w:ascii="Arial" w:cs="Arial" w:eastAsia="Arial" w:hAnsi="Arial"/>
          <w:sz w:val="22"/>
          <w:szCs w:val="22"/>
          <w:color w:val="auto"/>
        </w:rPr>
      </w:pPr>
      <w:r>
        <w:rPr>
          <w:rFonts w:ascii="Arial" w:cs="Arial" w:eastAsia="Arial" w:hAnsi="Arial"/>
          <w:sz w:val="22"/>
          <w:szCs w:val="22"/>
          <w:color w:val="auto"/>
        </w:rPr>
        <w:t>50% of all Separation Taxes.</w:t>
      </w:r>
    </w:p>
    <w:p>
      <w:pPr>
        <w:spacing w:after="0" w:line="233" w:lineRule="exact"/>
        <w:rPr>
          <w:sz w:val="20"/>
          <w:szCs w:val="20"/>
          <w:color w:val="auto"/>
        </w:rPr>
      </w:pPr>
    </w:p>
    <w:p>
      <w:pPr>
        <w:ind w:right="740" w:firstLine="648"/>
        <w:spacing w:after="0" w:line="250" w:lineRule="auto"/>
        <w:rPr>
          <w:sz w:val="20"/>
          <w:szCs w:val="20"/>
          <w:color w:val="auto"/>
        </w:rPr>
      </w:pPr>
      <w:r>
        <w:rPr>
          <w:rFonts w:ascii="Arial" w:cs="Arial" w:eastAsia="Arial" w:hAnsi="Arial"/>
          <w:sz w:val="22"/>
          <w:szCs w:val="22"/>
          <w:color w:val="auto"/>
        </w:rPr>
        <w:t xml:space="preserve">Section 1.2. </w:t>
      </w:r>
      <w:r>
        <w:rPr>
          <w:rFonts w:ascii="Arial" w:cs="Arial" w:eastAsia="Arial" w:hAnsi="Arial"/>
          <w:sz w:val="22"/>
          <w:szCs w:val="22"/>
          <w:u w:val="single" w:color="auto"/>
          <w:color w:val="auto"/>
        </w:rPr>
        <w:t>General Allocation Principles</w:t>
      </w:r>
      <w:r>
        <w:rPr>
          <w:rFonts w:ascii="Arial" w:cs="Arial" w:eastAsia="Arial" w:hAnsi="Arial"/>
          <w:sz w:val="22"/>
          <w:szCs w:val="22"/>
          <w:color w:val="auto"/>
        </w:rPr>
        <w:t xml:space="preserve">. Except as otherwise provided in this </w:t>
      </w:r>
      <w:r>
        <w:rPr>
          <w:rFonts w:ascii="Arial" w:cs="Arial" w:eastAsia="Arial" w:hAnsi="Arial"/>
          <w:sz w:val="22"/>
          <w:szCs w:val="22"/>
          <w:u w:val="single" w:color="auto"/>
          <w:color w:val="auto"/>
        </w:rPr>
        <w:t>Article I</w:t>
      </w:r>
      <w:r>
        <w:rPr>
          <w:rFonts w:ascii="Arial" w:cs="Arial" w:eastAsia="Arial" w:hAnsi="Arial"/>
          <w:sz w:val="22"/>
          <w:szCs w:val="22"/>
          <w:color w:val="auto"/>
        </w:rPr>
        <w:t>, all Taxes shall be allocated as follows:</w:t>
      </w:r>
    </w:p>
    <w:p>
      <w:pPr>
        <w:spacing w:after="0" w:line="202" w:lineRule="exact"/>
        <w:rPr>
          <w:sz w:val="20"/>
          <w:szCs w:val="20"/>
          <w:color w:val="auto"/>
        </w:rPr>
      </w:pPr>
    </w:p>
    <w:p>
      <w:pPr>
        <w:ind w:right="120" w:firstLine="656"/>
        <w:spacing w:after="0" w:line="282" w:lineRule="auto"/>
        <w:tabs>
          <w:tab w:leader="none" w:pos="1428" w:val="left"/>
        </w:tabs>
        <w:numPr>
          <w:ilvl w:val="0"/>
          <w:numId w:val="11"/>
        </w:numPr>
        <w:rPr>
          <w:rFonts w:ascii="Arial" w:cs="Arial" w:eastAsia="Arial" w:hAnsi="Arial"/>
          <w:sz w:val="19"/>
          <w:szCs w:val="19"/>
          <w:color w:val="auto"/>
        </w:rPr>
      </w:pPr>
      <w:r>
        <w:rPr>
          <w:rFonts w:ascii="Arial" w:cs="Arial" w:eastAsia="Arial" w:hAnsi="Arial"/>
          <w:sz w:val="19"/>
          <w:szCs w:val="19"/>
          <w:i w:val="1"/>
          <w:iCs w:val="1"/>
          <w:color w:val="auto"/>
        </w:rPr>
        <w:t>Allocation of Taxes for Joint Returns</w:t>
      </w:r>
      <w:r>
        <w:rPr>
          <w:rFonts w:ascii="Arial" w:cs="Arial" w:eastAsia="Arial" w:hAnsi="Arial"/>
          <w:sz w:val="19"/>
          <w:szCs w:val="19"/>
          <w:color w:val="auto"/>
        </w:rPr>
        <w:t>. TFMC shall be responsible for all Taxes reported, or required to be</w:t>
      </w:r>
      <w:r>
        <w:rPr>
          <w:rFonts w:ascii="Arial" w:cs="Arial" w:eastAsia="Arial" w:hAnsi="Arial"/>
          <w:sz w:val="19"/>
          <w:szCs w:val="19"/>
          <w:i w:val="1"/>
          <w:iCs w:val="1"/>
          <w:color w:val="auto"/>
        </w:rPr>
        <w:t xml:space="preserve"> </w:t>
      </w:r>
      <w:r>
        <w:rPr>
          <w:rFonts w:ascii="Arial" w:cs="Arial" w:eastAsia="Arial" w:hAnsi="Arial"/>
          <w:sz w:val="19"/>
          <w:szCs w:val="19"/>
          <w:color w:val="auto"/>
        </w:rPr>
        <w:t>reported, on any Joint Return that any member of the TFMC Group files or is required to file under the Code or other applicable Tax Law; provided, however, that to the extent any such Joint Return includes any Tax Item attributable to any member of the TEN Group or to the TEN Business for any Post-Distribution Period, TEN shall be responsible for all Taxes attributable to such Tax Items, computed in a manner reasonably determined by TFMC and in good faith cooperation with TEN.</w:t>
      </w:r>
    </w:p>
    <w:p>
      <w:pPr>
        <w:spacing w:after="0" w:line="174" w:lineRule="exact"/>
        <w:rPr>
          <w:rFonts w:ascii="Arial" w:cs="Arial" w:eastAsia="Arial" w:hAnsi="Arial"/>
          <w:sz w:val="19"/>
          <w:szCs w:val="19"/>
          <w:color w:val="auto"/>
        </w:rPr>
      </w:pPr>
    </w:p>
    <w:p>
      <w:pPr>
        <w:ind w:left="1440" w:hanging="784"/>
        <w:spacing w:after="0"/>
        <w:tabs>
          <w:tab w:leader="none" w:pos="1440" w:val="left"/>
        </w:tabs>
        <w:numPr>
          <w:ilvl w:val="0"/>
          <w:numId w:val="11"/>
        </w:numPr>
        <w:rPr>
          <w:rFonts w:ascii="Arial" w:cs="Arial" w:eastAsia="Arial" w:hAnsi="Arial"/>
          <w:sz w:val="22"/>
          <w:szCs w:val="22"/>
          <w:color w:val="auto"/>
        </w:rPr>
      </w:pPr>
      <w:r>
        <w:rPr>
          <w:rFonts w:ascii="Arial" w:cs="Arial" w:eastAsia="Arial" w:hAnsi="Arial"/>
          <w:sz w:val="22"/>
          <w:szCs w:val="22"/>
          <w:i w:val="1"/>
          <w:iCs w:val="1"/>
          <w:color w:val="auto"/>
        </w:rPr>
        <w:t>Allocation of Taxes for Separate Returns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2100" w:hanging="796"/>
        <w:spacing w:after="0"/>
        <w:tabs>
          <w:tab w:leader="none" w:pos="2100" w:val="left"/>
        </w:tabs>
        <w:numPr>
          <w:ilvl w:val="1"/>
          <w:numId w:val="11"/>
        </w:numPr>
        <w:rPr>
          <w:rFonts w:ascii="Arial" w:cs="Arial" w:eastAsia="Arial" w:hAnsi="Arial"/>
          <w:sz w:val="19"/>
          <w:szCs w:val="19"/>
          <w:color w:val="auto"/>
        </w:rPr>
      </w:pPr>
      <w:r>
        <w:rPr>
          <w:rFonts w:ascii="Arial" w:cs="Arial" w:eastAsia="Arial" w:hAnsi="Arial"/>
          <w:sz w:val="19"/>
          <w:szCs w:val="19"/>
          <w:color w:val="auto"/>
        </w:rPr>
        <w:t>TFMC shall be responsible for all Taxes reported, or required to be reported, on a TFMC Separate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Return.</w:t>
      </w:r>
    </w:p>
    <w:p>
      <w:pPr>
        <w:spacing w:after="0" w:line="215" w:lineRule="exact"/>
        <w:rPr>
          <w:rFonts w:ascii="Arial" w:cs="Arial" w:eastAsia="Arial" w:hAnsi="Arial"/>
          <w:sz w:val="19"/>
          <w:szCs w:val="19"/>
          <w:color w:val="auto"/>
        </w:rPr>
      </w:pPr>
    </w:p>
    <w:p>
      <w:pPr>
        <w:ind w:left="2100" w:hanging="796"/>
        <w:spacing w:after="0"/>
        <w:tabs>
          <w:tab w:leader="none" w:pos="2100" w:val="left"/>
        </w:tabs>
        <w:numPr>
          <w:ilvl w:val="1"/>
          <w:numId w:val="11"/>
        </w:numPr>
        <w:rPr>
          <w:rFonts w:ascii="Arial" w:cs="Arial" w:eastAsia="Arial" w:hAnsi="Arial"/>
          <w:sz w:val="19"/>
          <w:szCs w:val="19"/>
          <w:color w:val="auto"/>
        </w:rPr>
      </w:pPr>
      <w:r>
        <w:rPr>
          <w:rFonts w:ascii="Arial" w:cs="Arial" w:eastAsia="Arial" w:hAnsi="Arial"/>
          <w:sz w:val="19"/>
          <w:szCs w:val="19"/>
          <w:color w:val="auto"/>
        </w:rPr>
        <w:t>TEN shall be responsible for all Taxes reported, or required to be reported, on a TEN Separate Return.</w:t>
      </w:r>
    </w:p>
    <w:p>
      <w:pPr>
        <w:spacing w:after="0" w:line="267" w:lineRule="exact"/>
        <w:rPr>
          <w:rFonts w:ascii="Arial" w:cs="Arial" w:eastAsia="Arial" w:hAnsi="Arial"/>
          <w:sz w:val="19"/>
          <w:szCs w:val="19"/>
          <w:color w:val="auto"/>
        </w:rPr>
      </w:pPr>
    </w:p>
    <w:p>
      <w:pPr>
        <w:ind w:left="1440" w:hanging="784"/>
        <w:spacing w:after="0"/>
        <w:tabs>
          <w:tab w:leader="none" w:pos="1440" w:val="left"/>
        </w:tabs>
        <w:numPr>
          <w:ilvl w:val="0"/>
          <w:numId w:val="11"/>
        </w:numPr>
        <w:rPr>
          <w:rFonts w:ascii="Arial" w:cs="Arial" w:eastAsia="Arial" w:hAnsi="Arial"/>
          <w:sz w:val="22"/>
          <w:szCs w:val="22"/>
          <w:color w:val="auto"/>
        </w:rPr>
      </w:pPr>
      <w:r>
        <w:rPr>
          <w:rFonts w:ascii="Arial" w:cs="Arial" w:eastAsia="Arial" w:hAnsi="Arial"/>
          <w:sz w:val="22"/>
          <w:szCs w:val="22"/>
          <w:i w:val="1"/>
          <w:iCs w:val="1"/>
          <w:color w:val="auto"/>
        </w:rPr>
        <w:t>Taxes Not Reported on Tax Returns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100" w:firstLine="1304"/>
        <w:spacing w:after="0" w:line="250" w:lineRule="auto"/>
        <w:tabs>
          <w:tab w:leader="none" w:pos="2094" w:val="left"/>
        </w:tabs>
        <w:numPr>
          <w:ilvl w:val="1"/>
          <w:numId w:val="11"/>
        </w:numPr>
        <w:rPr>
          <w:rFonts w:ascii="Arial" w:cs="Arial" w:eastAsia="Arial" w:hAnsi="Arial"/>
          <w:sz w:val="22"/>
          <w:szCs w:val="22"/>
          <w:color w:val="auto"/>
        </w:rPr>
      </w:pPr>
      <w:r>
        <w:rPr>
          <w:rFonts w:ascii="Arial" w:cs="Arial" w:eastAsia="Arial" w:hAnsi="Arial"/>
          <w:sz w:val="22"/>
          <w:szCs w:val="22"/>
          <w:color w:val="auto"/>
        </w:rPr>
        <w:t>TFMC shall be responsible for any Tax attributable to any member of the TFMC Group or to the TFMC Business that is not required to be reported on a Tax Return.</w:t>
      </w:r>
    </w:p>
    <w:p>
      <w:pPr>
        <w:spacing w:after="0" w:line="201" w:lineRule="exact"/>
        <w:rPr>
          <w:rFonts w:ascii="Arial" w:cs="Arial" w:eastAsia="Arial" w:hAnsi="Arial"/>
          <w:sz w:val="22"/>
          <w:szCs w:val="22"/>
          <w:color w:val="auto"/>
        </w:rPr>
      </w:pPr>
    </w:p>
    <w:p>
      <w:pPr>
        <w:ind w:right="600" w:firstLine="1304"/>
        <w:spacing w:after="0" w:line="250" w:lineRule="auto"/>
        <w:tabs>
          <w:tab w:leader="none" w:pos="2100" w:val="left"/>
        </w:tabs>
        <w:numPr>
          <w:ilvl w:val="1"/>
          <w:numId w:val="11"/>
        </w:numPr>
        <w:rPr>
          <w:rFonts w:ascii="Arial" w:cs="Arial" w:eastAsia="Arial" w:hAnsi="Arial"/>
          <w:sz w:val="22"/>
          <w:szCs w:val="22"/>
          <w:color w:val="auto"/>
        </w:rPr>
      </w:pPr>
      <w:r>
        <w:rPr>
          <w:rFonts w:ascii="Arial" w:cs="Arial" w:eastAsia="Arial" w:hAnsi="Arial"/>
          <w:sz w:val="22"/>
          <w:szCs w:val="22"/>
          <w:color w:val="auto"/>
        </w:rPr>
        <w:t>TEN shall be responsible for any Tax attributable to any member of the TEN Group or to the TEN Business that is not required to be reported on a Tax Return.</w:t>
      </w: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2" w:name="page53"/>
    <w:bookmarkEnd w:id="52"/>
    <w:p>
      <w:pPr>
        <w:ind w:left="660"/>
        <w:spacing w:after="0"/>
        <w:tabs>
          <w:tab w:leader="none" w:pos="2200" w:val="left"/>
        </w:tabs>
        <w:rPr>
          <w:sz w:val="20"/>
          <w:szCs w:val="20"/>
          <w:color w:val="auto"/>
        </w:rPr>
      </w:pPr>
      <w:r>
        <w:rPr>
          <w:rFonts w:ascii="Arial" w:cs="Arial" w:eastAsia="Arial" w:hAnsi="Arial"/>
          <w:sz w:val="22"/>
          <w:szCs w:val="22"/>
          <w:color w:val="auto"/>
        </w:rPr>
        <w:t>Section 1.3.</w:t>
      </w:r>
      <w:r>
        <w:rPr>
          <w:sz w:val="20"/>
          <w:szCs w:val="20"/>
          <w:color w:val="auto"/>
        </w:rPr>
        <w:tab/>
      </w:r>
      <w:r>
        <w:rPr>
          <w:rFonts w:ascii="Arial" w:cs="Arial" w:eastAsia="Arial" w:hAnsi="Arial"/>
          <w:sz w:val="19"/>
          <w:szCs w:val="19"/>
          <w:u w:val="single" w:color="auto"/>
          <w:color w:val="auto"/>
        </w:rPr>
        <w:t>Allocation Conventions</w:t>
      </w:r>
      <w:r>
        <w:rPr>
          <w:rFonts w:ascii="Arial" w:cs="Arial" w:eastAsia="Arial" w:hAnsi="Arial"/>
          <w:sz w:val="19"/>
          <w:szCs w:val="19"/>
          <w:color w:val="auto"/>
        </w:rPr>
        <w:t>.</w:t>
      </w:r>
    </w:p>
    <w:p>
      <w:pPr>
        <w:spacing w:after="0" w:line="234" w:lineRule="exact"/>
        <w:rPr>
          <w:sz w:val="20"/>
          <w:szCs w:val="20"/>
          <w:color w:val="auto"/>
        </w:rPr>
      </w:pPr>
    </w:p>
    <w:p>
      <w:pPr>
        <w:ind w:right="260" w:firstLine="656"/>
        <w:spacing w:after="0" w:line="236" w:lineRule="auto"/>
        <w:tabs>
          <w:tab w:leader="none" w:pos="1428" w:val="left"/>
        </w:tabs>
        <w:numPr>
          <w:ilvl w:val="0"/>
          <w:numId w:val="12"/>
        </w:numPr>
        <w:rPr>
          <w:rFonts w:ascii="Arial" w:cs="Arial" w:eastAsia="Arial" w:hAnsi="Arial"/>
          <w:sz w:val="22"/>
          <w:szCs w:val="22"/>
          <w:color w:val="auto"/>
        </w:rPr>
      </w:pPr>
      <w:r>
        <w:rPr>
          <w:rFonts w:ascii="Arial" w:cs="Arial" w:eastAsia="Arial" w:hAnsi="Arial"/>
          <w:sz w:val="22"/>
          <w:szCs w:val="22"/>
          <w:color w:val="auto"/>
        </w:rPr>
        <w:t xml:space="preserve">All Taxes allocated pursuant to </w:t>
      </w:r>
      <w:r>
        <w:rPr>
          <w:rFonts w:ascii="Arial" w:cs="Arial" w:eastAsia="Arial" w:hAnsi="Arial"/>
          <w:sz w:val="22"/>
          <w:szCs w:val="22"/>
          <w:u w:val="single" w:color="auto"/>
          <w:color w:val="auto"/>
        </w:rPr>
        <w:t>Section 1.2(a)</w:t>
      </w:r>
      <w:r>
        <w:rPr>
          <w:rFonts w:ascii="Arial" w:cs="Arial" w:eastAsia="Arial" w:hAnsi="Arial"/>
          <w:sz w:val="22"/>
          <w:szCs w:val="22"/>
          <w:color w:val="auto"/>
        </w:rPr>
        <w:t xml:space="preserve"> shall be allocated in accordance with the Closing of the Books Method; provided, however, that if applicable Tax Law does not permit a member of the TEN Group to close its Tax Period on the Distribution Date, the Tax attributable to the operations of the members of the TEN Group for any Pre-Distribution Period shall be the Tax computed using a hypothetical closing of the books consistent with the Closing of the Books Method unless otherwise agreed to by the Parties.</w:t>
      </w:r>
    </w:p>
    <w:p>
      <w:pPr>
        <w:spacing w:after="0" w:line="214" w:lineRule="exact"/>
        <w:rPr>
          <w:rFonts w:ascii="Arial" w:cs="Arial" w:eastAsia="Arial" w:hAnsi="Arial"/>
          <w:sz w:val="22"/>
          <w:szCs w:val="22"/>
          <w:color w:val="auto"/>
        </w:rPr>
      </w:pPr>
    </w:p>
    <w:p>
      <w:pPr>
        <w:ind w:right="120" w:firstLine="656"/>
        <w:spacing w:after="0" w:line="246" w:lineRule="auto"/>
        <w:tabs>
          <w:tab w:leader="none" w:pos="1440" w:val="left"/>
        </w:tabs>
        <w:numPr>
          <w:ilvl w:val="0"/>
          <w:numId w:val="12"/>
        </w:numPr>
        <w:rPr>
          <w:rFonts w:ascii="Arial" w:cs="Arial" w:eastAsia="Arial" w:hAnsi="Arial"/>
          <w:sz w:val="21"/>
          <w:szCs w:val="21"/>
          <w:color w:val="auto"/>
        </w:rPr>
      </w:pPr>
      <w:r>
        <w:rPr>
          <w:rFonts w:ascii="Arial" w:cs="Arial" w:eastAsia="Arial" w:hAnsi="Arial"/>
          <w:sz w:val="21"/>
          <w:szCs w:val="21"/>
          <w:color w:val="auto"/>
        </w:rPr>
        <w:t>Any Tax Item of TEN or any member of the TEN Group arising from a transaction engaged in by TEN or any member of the TEN Group outside of the ordinary course of business on the Distribution Date after the Effective Time shall be properly allocable to TEN and any such transaction by or with respect to TEN or any member of the TEN Group occurring after the Effective Time shall be treated for all Tax purposes (to the extent permitted by applicable Tax Law) as occurring at the beginning of the day following the Distribution Date in accordance with the principles of Treasury Regulation § 1.1502-76(b) or any similar provisions of state, local or foreign Law; provided that the foregoing shall not include any action that is undertaken pursuant to the Transactions.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II</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PREPARATION OF FILING OF TAX RETURNS</w:t>
      </w:r>
    </w:p>
    <w:p>
      <w:pPr>
        <w:spacing w:after="0" w:line="215"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Section 2.1.</w:t>
      </w:r>
      <w:r>
        <w:rPr>
          <w:sz w:val="20"/>
          <w:szCs w:val="20"/>
          <w:color w:val="auto"/>
        </w:rPr>
        <w:tab/>
      </w:r>
      <w:r>
        <w:rPr>
          <w:rFonts w:ascii="Arial" w:cs="Arial" w:eastAsia="Arial" w:hAnsi="Arial"/>
          <w:sz w:val="19"/>
          <w:szCs w:val="19"/>
          <w:u w:val="single" w:color="auto"/>
          <w:color w:val="auto"/>
        </w:rPr>
        <w:t>TFMC Separate Returns and Joint Returns</w:t>
      </w:r>
      <w:r>
        <w:rPr>
          <w:rFonts w:ascii="Arial" w:cs="Arial" w:eastAsia="Arial" w:hAnsi="Arial"/>
          <w:sz w:val="19"/>
          <w:szCs w:val="19"/>
          <w:color w:val="auto"/>
        </w:rPr>
        <w:t>.</w:t>
      </w:r>
    </w:p>
    <w:p>
      <w:pPr>
        <w:spacing w:after="0" w:line="233" w:lineRule="exact"/>
        <w:rPr>
          <w:sz w:val="20"/>
          <w:szCs w:val="20"/>
          <w:color w:val="auto"/>
        </w:rPr>
      </w:pPr>
    </w:p>
    <w:p>
      <w:pPr>
        <w:ind w:right="100" w:firstLine="656"/>
        <w:spacing w:after="0" w:line="235" w:lineRule="auto"/>
        <w:tabs>
          <w:tab w:leader="none" w:pos="1428" w:val="left"/>
        </w:tabs>
        <w:numPr>
          <w:ilvl w:val="0"/>
          <w:numId w:val="13"/>
        </w:numPr>
        <w:rPr>
          <w:rFonts w:ascii="Arial" w:cs="Arial" w:eastAsia="Arial" w:hAnsi="Arial"/>
          <w:sz w:val="22"/>
          <w:szCs w:val="22"/>
          <w:color w:val="auto"/>
        </w:rPr>
      </w:pPr>
      <w:r>
        <w:rPr>
          <w:rFonts w:ascii="Arial" w:cs="Arial" w:eastAsia="Arial" w:hAnsi="Arial"/>
          <w:sz w:val="22"/>
          <w:szCs w:val="22"/>
          <w:color w:val="auto"/>
        </w:rPr>
        <w:t xml:space="preserve">TFMC shall prepare and file, or cause to be prepared and filed, at TFMC’s expense, all TFMC Separate Returns and Joint Returns, and each member of the TEN Group to which any such Joint Return relates shall execute and file such consents, elections and other documents as TFMC may reasonably determine, after consulting with TEN in good faith, are required or appropriate. TEN will elect and join, and will cause its respective Affiliates to elect and join, in filing any Joint Returns that TFMC reasonably determines are required to be filed or that TFMC elects to file, in each case pursuant to this </w:t>
      </w:r>
      <w:r>
        <w:rPr>
          <w:rFonts w:ascii="Arial" w:cs="Arial" w:eastAsia="Arial" w:hAnsi="Arial"/>
          <w:sz w:val="22"/>
          <w:szCs w:val="22"/>
          <w:u w:val="single" w:color="auto"/>
          <w:color w:val="auto"/>
        </w:rPr>
        <w:t>Section 2.1(a)</w:t>
      </w:r>
      <w:r>
        <w:rPr>
          <w:rFonts w:ascii="Arial" w:cs="Arial" w:eastAsia="Arial" w:hAnsi="Arial"/>
          <w:sz w:val="22"/>
          <w:szCs w:val="22"/>
          <w:color w:val="auto"/>
        </w:rPr>
        <w:t>.</w:t>
      </w:r>
    </w:p>
    <w:p>
      <w:pPr>
        <w:spacing w:after="0" w:line="214" w:lineRule="exact"/>
        <w:rPr>
          <w:rFonts w:ascii="Arial" w:cs="Arial" w:eastAsia="Arial" w:hAnsi="Arial"/>
          <w:sz w:val="22"/>
          <w:szCs w:val="22"/>
          <w:color w:val="auto"/>
        </w:rPr>
      </w:pPr>
    </w:p>
    <w:p>
      <w:pPr>
        <w:ind w:firstLine="656"/>
        <w:spacing w:after="0"/>
        <w:tabs>
          <w:tab w:leader="none" w:pos="1440" w:val="left"/>
        </w:tabs>
        <w:numPr>
          <w:ilvl w:val="0"/>
          <w:numId w:val="13"/>
        </w:numPr>
        <w:rPr>
          <w:rFonts w:ascii="Arial" w:cs="Arial" w:eastAsia="Arial" w:hAnsi="Arial"/>
          <w:sz w:val="22"/>
          <w:szCs w:val="22"/>
          <w:color w:val="auto"/>
        </w:rPr>
      </w:pPr>
      <w:r>
        <w:rPr>
          <w:rFonts w:ascii="Arial" w:cs="Arial" w:eastAsia="Arial" w:hAnsi="Arial"/>
          <w:sz w:val="22"/>
          <w:szCs w:val="22"/>
          <w:color w:val="auto"/>
        </w:rPr>
        <w:t>The Parties and their respective Affiliates shall elect to close the Tax Period of each member of the TEN Group member on the Distribution Date, to the extent permitted by applicable Tax Law without changing the fiscal year of such member of the TEN Group.</w:t>
      </w:r>
    </w:p>
    <w:p>
      <w:pPr>
        <w:spacing w:after="0" w:line="213" w:lineRule="exact"/>
        <w:rPr>
          <w:rFonts w:ascii="Arial" w:cs="Arial" w:eastAsia="Arial" w:hAnsi="Arial"/>
          <w:sz w:val="22"/>
          <w:szCs w:val="22"/>
          <w:color w:val="auto"/>
        </w:rPr>
      </w:pPr>
    </w:p>
    <w:p>
      <w:pPr>
        <w:ind w:firstLine="656"/>
        <w:spacing w:after="0" w:line="235" w:lineRule="auto"/>
        <w:tabs>
          <w:tab w:leader="none" w:pos="1428" w:val="left"/>
        </w:tabs>
        <w:numPr>
          <w:ilvl w:val="0"/>
          <w:numId w:val="13"/>
        </w:numPr>
        <w:rPr>
          <w:rFonts w:ascii="Arial" w:cs="Arial" w:eastAsia="Arial" w:hAnsi="Arial"/>
          <w:sz w:val="22"/>
          <w:szCs w:val="22"/>
          <w:color w:val="auto"/>
        </w:rPr>
      </w:pPr>
      <w:r>
        <w:rPr>
          <w:rFonts w:ascii="Arial" w:cs="Arial" w:eastAsia="Arial" w:hAnsi="Arial"/>
          <w:sz w:val="22"/>
          <w:szCs w:val="22"/>
          <w:color w:val="auto"/>
        </w:rPr>
        <w:t xml:space="preserve">TFMC shall submit to TEN a draft of the portions of any Joint Return that reflect a Tax liability allocated to TEN pursuant to </w:t>
      </w:r>
      <w:r>
        <w:rPr>
          <w:rFonts w:ascii="Arial" w:cs="Arial" w:eastAsia="Arial" w:hAnsi="Arial"/>
          <w:sz w:val="22"/>
          <w:szCs w:val="22"/>
          <w:u w:val="single" w:color="auto"/>
          <w:color w:val="auto"/>
        </w:rPr>
        <w:t>Section 1.2(a)</w:t>
      </w:r>
      <w:r>
        <w:rPr>
          <w:rFonts w:ascii="Arial" w:cs="Arial" w:eastAsia="Arial" w:hAnsi="Arial"/>
          <w:sz w:val="22"/>
          <w:szCs w:val="22"/>
          <w:color w:val="auto"/>
        </w:rPr>
        <w:t xml:space="preserve">. TFMC shall (i) use its commercially reasonable efforts to make such portions of a Joint Return available for review as required under this </w:t>
      </w:r>
      <w:r>
        <w:rPr>
          <w:rFonts w:ascii="Arial" w:cs="Arial" w:eastAsia="Arial" w:hAnsi="Arial"/>
          <w:sz w:val="22"/>
          <w:szCs w:val="22"/>
          <w:u w:val="single" w:color="auto"/>
          <w:color w:val="auto"/>
        </w:rPr>
        <w:t>Section 2.1(c)</w:t>
      </w:r>
      <w:r>
        <w:rPr>
          <w:rFonts w:ascii="Arial" w:cs="Arial" w:eastAsia="Arial" w:hAnsi="Arial"/>
          <w:sz w:val="22"/>
          <w:szCs w:val="22"/>
          <w:color w:val="auto"/>
        </w:rPr>
        <w:t xml:space="preserve"> sufficiently in advance of the due date for filing of such Joint Return to provide TEN with a meaningful opportunity to analyze and comment on such portions of such Joint Return but in no event less than twenty (20) days prior to the filing of such Joint Return and (ii) modify any such Joint Return to take into account any reasonable comments provided by TEN.</w:t>
      </w:r>
    </w:p>
    <w:p>
      <w:pPr>
        <w:spacing w:after="0" w:line="215" w:lineRule="exact"/>
        <w:rPr>
          <w:sz w:val="20"/>
          <w:szCs w:val="20"/>
          <w:color w:val="auto"/>
        </w:rPr>
      </w:pPr>
    </w:p>
    <w:p>
      <w:pPr>
        <w:ind w:right="700" w:firstLine="648"/>
        <w:spacing w:after="0" w:line="250" w:lineRule="auto"/>
        <w:rPr>
          <w:sz w:val="20"/>
          <w:szCs w:val="20"/>
          <w:color w:val="auto"/>
        </w:rPr>
      </w:pPr>
      <w:r>
        <w:rPr>
          <w:rFonts w:ascii="Arial" w:cs="Arial" w:eastAsia="Arial" w:hAnsi="Arial"/>
          <w:sz w:val="22"/>
          <w:szCs w:val="22"/>
          <w:color w:val="auto"/>
        </w:rPr>
        <w:t xml:space="preserve">Section 2.2. </w:t>
      </w:r>
      <w:r>
        <w:rPr>
          <w:rFonts w:ascii="Arial" w:cs="Arial" w:eastAsia="Arial" w:hAnsi="Arial"/>
          <w:sz w:val="22"/>
          <w:szCs w:val="22"/>
          <w:u w:val="single" w:color="auto"/>
          <w:color w:val="auto"/>
        </w:rPr>
        <w:t>TEN Separate Returns</w:t>
      </w:r>
      <w:r>
        <w:rPr>
          <w:rFonts w:ascii="Arial" w:cs="Arial" w:eastAsia="Arial" w:hAnsi="Arial"/>
          <w:sz w:val="22"/>
          <w:szCs w:val="22"/>
          <w:color w:val="auto"/>
        </w:rPr>
        <w:t>. TEN shall prepare and file (or cause to be prepared and filed), at TEN’s expense, all TEN Separate Returns.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3" w:name="page54"/>
    <w:bookmarkEnd w:id="53"/>
    <w:p>
      <w:pPr>
        <w:ind w:left="620"/>
        <w:spacing w:after="0"/>
        <w:tabs>
          <w:tab w:leader="none" w:pos="2160" w:val="left"/>
        </w:tabs>
        <w:rPr>
          <w:sz w:val="20"/>
          <w:szCs w:val="20"/>
          <w:color w:val="auto"/>
        </w:rPr>
      </w:pPr>
      <w:r>
        <w:rPr>
          <w:rFonts w:ascii="Arial" w:cs="Arial" w:eastAsia="Arial" w:hAnsi="Arial"/>
          <w:sz w:val="22"/>
          <w:szCs w:val="22"/>
          <w:color w:val="auto"/>
        </w:rPr>
        <w:t>Section 2.3.</w:t>
      </w:r>
      <w:r>
        <w:rPr>
          <w:sz w:val="20"/>
          <w:szCs w:val="20"/>
          <w:color w:val="auto"/>
        </w:rPr>
        <w:tab/>
      </w:r>
      <w:r>
        <w:rPr>
          <w:rFonts w:ascii="Arial" w:cs="Arial" w:eastAsia="Arial" w:hAnsi="Arial"/>
          <w:sz w:val="19"/>
          <w:szCs w:val="19"/>
          <w:u w:val="single" w:color="auto"/>
          <w:color w:val="auto"/>
        </w:rPr>
        <w:t>Tax Reporting Practices</w:t>
      </w:r>
      <w:r>
        <w:rPr>
          <w:rFonts w:ascii="Arial" w:cs="Arial" w:eastAsia="Arial" w:hAnsi="Arial"/>
          <w:sz w:val="19"/>
          <w:szCs w:val="19"/>
          <w:color w:val="auto"/>
        </w:rPr>
        <w:t>.</w:t>
      </w:r>
    </w:p>
    <w:p>
      <w:pPr>
        <w:spacing w:after="0" w:line="234" w:lineRule="exact"/>
        <w:rPr>
          <w:sz w:val="20"/>
          <w:szCs w:val="20"/>
          <w:color w:val="auto"/>
        </w:rPr>
      </w:pPr>
    </w:p>
    <w:p>
      <w:pPr>
        <w:ind w:left="-40" w:right="20" w:firstLine="656"/>
        <w:spacing w:after="0" w:line="271" w:lineRule="auto"/>
        <w:tabs>
          <w:tab w:leader="none" w:pos="1388" w:val="left"/>
        </w:tabs>
        <w:numPr>
          <w:ilvl w:val="0"/>
          <w:numId w:val="14"/>
        </w:numPr>
        <w:rPr>
          <w:rFonts w:ascii="Arial" w:cs="Arial" w:eastAsia="Arial" w:hAnsi="Arial"/>
          <w:sz w:val="19"/>
          <w:szCs w:val="19"/>
          <w:color w:val="auto"/>
        </w:rPr>
      </w:pPr>
      <w:r>
        <w:rPr>
          <w:rFonts w:ascii="Arial" w:cs="Arial" w:eastAsia="Arial" w:hAnsi="Arial"/>
          <w:sz w:val="19"/>
          <w:szCs w:val="19"/>
          <w:i w:val="1"/>
          <w:iCs w:val="1"/>
          <w:color w:val="auto"/>
        </w:rPr>
        <w:t>General Rule</w:t>
      </w:r>
      <w:r>
        <w:rPr>
          <w:rFonts w:ascii="Arial" w:cs="Arial" w:eastAsia="Arial" w:hAnsi="Arial"/>
          <w:sz w:val="19"/>
          <w:szCs w:val="19"/>
          <w:color w:val="auto"/>
        </w:rPr>
        <w:t>. Except as provided in</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2.3(b)</w:t>
      </w:r>
      <w:r>
        <w:rPr>
          <w:rFonts w:ascii="Arial" w:cs="Arial" w:eastAsia="Arial" w:hAnsi="Arial"/>
          <w:sz w:val="19"/>
          <w:szCs w:val="19"/>
          <w:color w:val="auto"/>
        </w:rPr>
        <w:t>, TFMC shall prepare any Straddle Period Joint Return in</w:t>
      </w:r>
      <w:r>
        <w:rPr>
          <w:rFonts w:ascii="Arial" w:cs="Arial" w:eastAsia="Arial" w:hAnsi="Arial"/>
          <w:sz w:val="19"/>
          <w:szCs w:val="19"/>
          <w:i w:val="1"/>
          <w:iCs w:val="1"/>
          <w:color w:val="auto"/>
        </w:rPr>
        <w:t xml:space="preserve"> </w:t>
      </w:r>
      <w:r>
        <w:rPr>
          <w:rFonts w:ascii="Arial" w:cs="Arial" w:eastAsia="Arial" w:hAnsi="Arial"/>
          <w:sz w:val="19"/>
          <w:szCs w:val="19"/>
          <w:color w:val="auto"/>
        </w:rPr>
        <w:t>accordance with past practices, permissible accounting methods, elections or conventions (“</w:t>
      </w:r>
      <w:r>
        <w:rPr>
          <w:rFonts w:ascii="Arial" w:cs="Arial" w:eastAsia="Arial" w:hAnsi="Arial"/>
          <w:sz w:val="19"/>
          <w:szCs w:val="19"/>
          <w:u w:val="single" w:color="auto"/>
          <w:color w:val="auto"/>
        </w:rPr>
        <w:t>Past Practices</w:t>
      </w:r>
      <w:r>
        <w:rPr>
          <w:rFonts w:ascii="Arial" w:cs="Arial" w:eastAsia="Arial" w:hAnsi="Arial"/>
          <w:sz w:val="19"/>
          <w:szCs w:val="19"/>
          <w:color w:val="auto"/>
        </w:rPr>
        <w:t xml:space="preserve">”) used by the members of the TFMC Group and the members of the TEN Group prior to the Distribution Date with respect to such Tax Return to the extent permitted by applicable Law, and to the extent any items, methods or positions are not covered by Past Practices (or is not permitted under applicable Law to be prepared consistently with Past Practices), then TFMC shall prepare such Tax Return in accordance with reasonable Tax accounting practices selected by TFMC. With respect to any Tax Return that TEN has the obligation and right to prepare, or cause to be prepared, under this </w:t>
      </w:r>
      <w:r>
        <w:rPr>
          <w:rFonts w:ascii="Arial" w:cs="Arial" w:eastAsia="Arial" w:hAnsi="Arial"/>
          <w:sz w:val="19"/>
          <w:szCs w:val="19"/>
          <w:u w:val="single" w:color="auto"/>
          <w:color w:val="auto"/>
        </w:rPr>
        <w:t>Article II</w:t>
      </w:r>
      <w:r>
        <w:rPr>
          <w:rFonts w:ascii="Arial" w:cs="Arial" w:eastAsia="Arial" w:hAnsi="Arial"/>
          <w:sz w:val="19"/>
          <w:szCs w:val="19"/>
          <w:color w:val="auto"/>
        </w:rPr>
        <w:t>, to the extent such Tax Return is for a Pre-Distribution Period or Straddle Period and could affect any member of the TFMC Group, or such Tax Return is for any other Tax Period and could reasonably be expected to adversely affect any member of the TFMC Group, such Tax Return shall be prepared in accordance with Past Practices used by the members of the TFMC Group and the members of the TEN Group prior to the Distribution Date with respect to such Tax Return (unless the Parties jointly determine that there is not at least “substantial authority,” within the meaning of Section 6662(d)(2)(B)(i) of the Code (or any corresponding or similar provision of state, local or foreign Law) (“</w:t>
      </w:r>
      <w:r>
        <w:rPr>
          <w:rFonts w:ascii="Arial" w:cs="Arial" w:eastAsia="Arial" w:hAnsi="Arial"/>
          <w:sz w:val="19"/>
          <w:szCs w:val="19"/>
          <w:u w:val="single" w:color="auto"/>
          <w:color w:val="auto"/>
        </w:rPr>
        <w:t>Substantial Authority</w:t>
      </w:r>
      <w:r>
        <w:rPr>
          <w:rFonts w:ascii="Arial" w:cs="Arial" w:eastAsia="Arial" w:hAnsi="Arial"/>
          <w:sz w:val="19"/>
          <w:szCs w:val="19"/>
          <w:color w:val="auto"/>
        </w:rPr>
        <w:t>”), for the use of such Past Practices); provided, however, that to the extent any items, methods or positions are not covered by Past Practices (or in the event the Parties jointly determine that there is not Substantial Authority for the use of such Past Practices), such Tax Return shall be prepared in accordance with reasonable Tax accounting practices selected by TEN.</w:t>
      </w:r>
    </w:p>
    <w:p>
      <w:pPr>
        <w:spacing w:after="0" w:line="200" w:lineRule="exact"/>
        <w:rPr>
          <w:rFonts w:ascii="Arial" w:cs="Arial" w:eastAsia="Arial" w:hAnsi="Arial"/>
          <w:sz w:val="19"/>
          <w:szCs w:val="19"/>
          <w:color w:val="auto"/>
        </w:rPr>
      </w:pPr>
    </w:p>
    <w:p>
      <w:pPr>
        <w:spacing w:after="0" w:line="230" w:lineRule="exact"/>
        <w:rPr>
          <w:rFonts w:ascii="Arial" w:cs="Arial" w:eastAsia="Arial" w:hAnsi="Arial"/>
          <w:sz w:val="19"/>
          <w:szCs w:val="19"/>
          <w:color w:val="auto"/>
        </w:rPr>
      </w:pPr>
    </w:p>
    <w:p>
      <w:pPr>
        <w:ind w:left="-40" w:right="20" w:firstLine="656"/>
        <w:spacing w:after="0"/>
        <w:tabs>
          <w:tab w:leader="none" w:pos="1400" w:val="left"/>
        </w:tabs>
        <w:numPr>
          <w:ilvl w:val="0"/>
          <w:numId w:val="14"/>
        </w:numPr>
        <w:rPr>
          <w:rFonts w:ascii="Arial" w:cs="Arial" w:eastAsia="Arial" w:hAnsi="Arial"/>
          <w:sz w:val="22"/>
          <w:szCs w:val="22"/>
          <w:color w:val="auto"/>
        </w:rPr>
      </w:pPr>
      <w:r>
        <w:rPr>
          <w:rFonts w:ascii="Arial" w:cs="Arial" w:eastAsia="Arial" w:hAnsi="Arial"/>
          <w:sz w:val="22"/>
          <w:szCs w:val="22"/>
          <w:i w:val="1"/>
          <w:iCs w:val="1"/>
          <w:color w:val="auto"/>
        </w:rPr>
        <w:t>Consistency with Intended Tax Treatment</w:t>
      </w:r>
      <w:r>
        <w:rPr>
          <w:rFonts w:ascii="Arial" w:cs="Arial" w:eastAsia="Arial" w:hAnsi="Arial"/>
          <w:sz w:val="22"/>
          <w:szCs w:val="22"/>
          <w:color w:val="auto"/>
        </w:rPr>
        <w:t>. The Parties shall prepare all Tax Returns consistent with (i) the</w:t>
      </w:r>
      <w:r>
        <w:rPr>
          <w:rFonts w:ascii="Arial" w:cs="Arial" w:eastAsia="Arial" w:hAnsi="Arial"/>
          <w:sz w:val="22"/>
          <w:szCs w:val="22"/>
          <w:i w:val="1"/>
          <w:iCs w:val="1"/>
          <w:color w:val="auto"/>
        </w:rPr>
        <w:t xml:space="preserve"> </w:t>
      </w:r>
      <w:r>
        <w:rPr>
          <w:rFonts w:ascii="Arial" w:cs="Arial" w:eastAsia="Arial" w:hAnsi="Arial"/>
          <w:sz w:val="22"/>
          <w:szCs w:val="22"/>
          <w:color w:val="auto"/>
        </w:rPr>
        <w:t>Intended Tax Treatment and (ii) the Valuations unless, in each case, and then only to the extent, an alternative position is required pursuant to a Final Determination.</w:t>
      </w:r>
    </w:p>
    <w:p>
      <w:pPr>
        <w:spacing w:after="0" w:line="213" w:lineRule="exact"/>
        <w:rPr>
          <w:rFonts w:ascii="Arial" w:cs="Arial" w:eastAsia="Arial" w:hAnsi="Arial"/>
          <w:sz w:val="22"/>
          <w:szCs w:val="22"/>
          <w:color w:val="auto"/>
        </w:rPr>
      </w:pPr>
    </w:p>
    <w:p>
      <w:pPr>
        <w:ind w:left="-40" w:firstLine="656"/>
        <w:spacing w:after="0" w:line="236" w:lineRule="auto"/>
        <w:tabs>
          <w:tab w:leader="none" w:pos="1388" w:val="left"/>
        </w:tabs>
        <w:numPr>
          <w:ilvl w:val="0"/>
          <w:numId w:val="14"/>
        </w:numPr>
        <w:rPr>
          <w:rFonts w:ascii="Arial" w:cs="Arial" w:eastAsia="Arial" w:hAnsi="Arial"/>
          <w:sz w:val="22"/>
          <w:szCs w:val="22"/>
          <w:color w:val="auto"/>
        </w:rPr>
      </w:pPr>
      <w:r>
        <w:rPr>
          <w:rFonts w:ascii="Arial" w:cs="Arial" w:eastAsia="Arial" w:hAnsi="Arial"/>
          <w:sz w:val="22"/>
          <w:szCs w:val="22"/>
          <w:i w:val="1"/>
          <w:iCs w:val="1"/>
          <w:color w:val="auto"/>
        </w:rPr>
        <w:t>Shared Contracts and Shared Permits</w:t>
      </w:r>
      <w:r>
        <w:rPr>
          <w:rFonts w:ascii="Arial" w:cs="Arial" w:eastAsia="Arial" w:hAnsi="Arial"/>
          <w:sz w:val="22"/>
          <w:szCs w:val="22"/>
          <w:color w:val="auto"/>
        </w:rPr>
        <w:t>. Each of TEN and TFMC shall, and shall cause the members of its Group</w:t>
      </w:r>
      <w:r>
        <w:rPr>
          <w:rFonts w:ascii="Arial" w:cs="Arial" w:eastAsia="Arial" w:hAnsi="Arial"/>
          <w:sz w:val="22"/>
          <w:szCs w:val="22"/>
          <w:i w:val="1"/>
          <w:iCs w:val="1"/>
          <w:color w:val="auto"/>
        </w:rPr>
        <w:t xml:space="preserve"> </w:t>
      </w:r>
      <w:r>
        <w:rPr>
          <w:rFonts w:ascii="Arial" w:cs="Arial" w:eastAsia="Arial" w:hAnsi="Arial"/>
          <w:sz w:val="22"/>
          <w:szCs w:val="22"/>
          <w:color w:val="auto"/>
        </w:rPr>
        <w:t>to, (i) treat for all Tax purposes the portion of each Shared Contract and each Shared Permit inuring to its respective businesses as Assets owned by, and/or Liabilities or Taxes of, as applicable, such Party, or its Subsidiaries, as applicable, not later than the Effective Time, and (ii) neither report nor take any Tax position (on a Tax Return or otherwise) inconsistent with such treatment (unless required by applicable Law).</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18" w:right="359" w:bottom="1440" w:gutter="0" w:footer="0" w:header="0"/>
        </w:sectPr>
      </w:pPr>
    </w:p>
    <w:bookmarkStart w:id="54" w:name="page55"/>
    <w:bookmarkEnd w:id="54"/>
    <w:p>
      <w:pPr>
        <w:ind w:left="640"/>
        <w:spacing w:after="0"/>
        <w:tabs>
          <w:tab w:leader="none" w:pos="2180" w:val="left"/>
        </w:tabs>
        <w:rPr>
          <w:sz w:val="20"/>
          <w:szCs w:val="20"/>
          <w:color w:val="auto"/>
        </w:rPr>
      </w:pPr>
      <w:r>
        <w:rPr>
          <w:rFonts w:ascii="Arial" w:cs="Arial" w:eastAsia="Arial" w:hAnsi="Arial"/>
          <w:sz w:val="22"/>
          <w:szCs w:val="22"/>
          <w:color w:val="auto"/>
        </w:rPr>
        <w:t>Section 2.4.</w:t>
      </w:r>
      <w:r>
        <w:rPr>
          <w:sz w:val="20"/>
          <w:szCs w:val="20"/>
          <w:color w:val="auto"/>
        </w:rPr>
        <w:tab/>
      </w:r>
      <w:r>
        <w:rPr>
          <w:rFonts w:ascii="Arial" w:cs="Arial" w:eastAsia="Arial" w:hAnsi="Arial"/>
          <w:sz w:val="19"/>
          <w:szCs w:val="19"/>
          <w:u w:val="single" w:color="auto"/>
          <w:color w:val="auto"/>
        </w:rPr>
        <w:t>TEN Carrybacks and Claims for Refund</w:t>
      </w:r>
      <w:r>
        <w:rPr>
          <w:rFonts w:ascii="Arial" w:cs="Arial" w:eastAsia="Arial" w:hAnsi="Arial"/>
          <w:sz w:val="19"/>
          <w:szCs w:val="19"/>
          <w:color w:val="auto"/>
        </w:rPr>
        <w:t>.</w:t>
      </w:r>
    </w:p>
    <w:p>
      <w:pPr>
        <w:spacing w:after="0" w:line="234" w:lineRule="exact"/>
        <w:rPr>
          <w:sz w:val="20"/>
          <w:szCs w:val="20"/>
          <w:color w:val="auto"/>
        </w:rPr>
      </w:pPr>
    </w:p>
    <w:p>
      <w:pPr>
        <w:ind w:left="-20" w:firstLine="656"/>
        <w:spacing w:after="0" w:line="270" w:lineRule="auto"/>
        <w:tabs>
          <w:tab w:leader="none" w:pos="1408" w:val="left"/>
        </w:tabs>
        <w:numPr>
          <w:ilvl w:val="0"/>
          <w:numId w:val="15"/>
        </w:numPr>
        <w:rPr>
          <w:rFonts w:ascii="Arial" w:cs="Arial" w:eastAsia="Arial" w:hAnsi="Arial"/>
          <w:sz w:val="19"/>
          <w:szCs w:val="19"/>
          <w:color w:val="auto"/>
        </w:rPr>
      </w:pPr>
      <w:r>
        <w:rPr>
          <w:rFonts w:ascii="Arial" w:cs="Arial" w:eastAsia="Arial" w:hAnsi="Arial"/>
          <w:sz w:val="19"/>
          <w:szCs w:val="19"/>
          <w:color w:val="auto"/>
        </w:rPr>
        <w:t xml:space="preserve">TEN agrees that, unless TFMC consents in writing (which consent may not be unreasonably withheld, conditioned, or delayed) or as required by Law, (i) no member of the TEN Group (nor its successors) shall file any Adjustment Request with respect to any Tax Return that could affect any Joint Return or any other Tax Return reflecting Taxes that are allocated to TFMC under </w:t>
      </w:r>
      <w:r>
        <w:rPr>
          <w:rFonts w:ascii="Arial" w:cs="Arial" w:eastAsia="Arial" w:hAnsi="Arial"/>
          <w:sz w:val="19"/>
          <w:szCs w:val="19"/>
          <w:u w:val="single" w:color="auto"/>
          <w:color w:val="auto"/>
        </w:rPr>
        <w:t>Article I</w:t>
      </w:r>
      <w:r>
        <w:rPr>
          <w:rFonts w:ascii="Arial" w:cs="Arial" w:eastAsia="Arial" w:hAnsi="Arial"/>
          <w:sz w:val="19"/>
          <w:szCs w:val="19"/>
          <w:color w:val="auto"/>
        </w:rPr>
        <w:t xml:space="preserve"> and (ii) any available elections to waive the right to claim any TEN Carryback in any Joint Return or any other Tax Return reflecting Taxes that are allocated to TFMC under </w:t>
      </w:r>
      <w:r>
        <w:rPr>
          <w:rFonts w:ascii="Arial" w:cs="Arial" w:eastAsia="Arial" w:hAnsi="Arial"/>
          <w:sz w:val="19"/>
          <w:szCs w:val="19"/>
          <w:u w:val="single" w:color="auto"/>
          <w:color w:val="auto"/>
        </w:rPr>
        <w:t>Article I</w:t>
      </w:r>
      <w:r>
        <w:rPr>
          <w:rFonts w:ascii="Arial" w:cs="Arial" w:eastAsia="Arial" w:hAnsi="Arial"/>
          <w:sz w:val="19"/>
          <w:szCs w:val="19"/>
          <w:color w:val="auto"/>
        </w:rPr>
        <w:t xml:space="preserve"> shall be made, and no affirmative election shall be made to claim any such TEN Carryback. In the event that TEN (or the appropriate member of the TEN Group) is prohibited by applicable Law from waiving or otherwise forgoing a TEN Carryback or TFMC consents to a TEN Carryback (which consent may not be unreasonably withheld, conditioned, or delayed), TFMC shall cooperate with TEN, at TEN’s expense, in seeking from the appropriate Tax Authority such Tax Benefit as reasonably would result from such TEN Carryback, to the extent that such Tax Benefit is directly attributable to such TEN Carryback, and shall pay over to TEN the amount of such Tax Benefit within twenty (20) days after such Tax Benefit is actually realized by the TFMC Group; provided, however, that TEN shall, to the fullest extent permitted by law, indemnify, defend and hold harmless TFMC and each member of the TFMC Group from and against any and all collateral Tax consequences relating to, arising out of or resulting from, directly or indirectly, any such TEN Carryback, including the loss or postponement of any benefit from the use of Tax Attributes generated by a member of the TFMC Group if (i) such Tax Attributes expire unused, but would have been utilized but for such TEN Carryback, or (ii) the use of such Tax Attributes is postponed to a later Tax Period than the Tax Period in which such Tax Attributes would have been used but for such TEN Carryback.</w:t>
      </w:r>
    </w:p>
    <w:p>
      <w:pPr>
        <w:spacing w:after="0" w:line="200" w:lineRule="exact"/>
        <w:rPr>
          <w:rFonts w:ascii="Arial" w:cs="Arial" w:eastAsia="Arial" w:hAnsi="Arial"/>
          <w:sz w:val="19"/>
          <w:szCs w:val="19"/>
          <w:color w:val="auto"/>
        </w:rPr>
      </w:pPr>
    </w:p>
    <w:p>
      <w:pPr>
        <w:spacing w:after="0" w:line="241" w:lineRule="exact"/>
        <w:rPr>
          <w:rFonts w:ascii="Arial" w:cs="Arial" w:eastAsia="Arial" w:hAnsi="Arial"/>
          <w:sz w:val="19"/>
          <w:szCs w:val="19"/>
          <w:color w:val="auto"/>
        </w:rPr>
      </w:pPr>
    </w:p>
    <w:p>
      <w:pPr>
        <w:ind w:left="-20" w:right="220" w:firstLine="656"/>
        <w:spacing w:after="0"/>
        <w:tabs>
          <w:tab w:leader="none" w:pos="1420" w:val="left"/>
        </w:tabs>
        <w:numPr>
          <w:ilvl w:val="0"/>
          <w:numId w:val="15"/>
        </w:numPr>
        <w:rPr>
          <w:rFonts w:ascii="Arial" w:cs="Arial" w:eastAsia="Arial" w:hAnsi="Arial"/>
          <w:sz w:val="22"/>
          <w:szCs w:val="22"/>
          <w:color w:val="auto"/>
        </w:rPr>
      </w:pPr>
      <w:r>
        <w:rPr>
          <w:rFonts w:ascii="Arial" w:cs="Arial" w:eastAsia="Arial" w:hAnsi="Arial"/>
          <w:sz w:val="22"/>
          <w:szCs w:val="22"/>
          <w:color w:val="auto"/>
        </w:rPr>
        <w:t>TFMC agrees that, unless TEN consents in writing (which consent may not be unreasonably withheld, conditioned, or delayed) or as required by Law, no member of the TFMC Group shall file any Adjustment Request with respect to any TEN Separate Return.</w:t>
      </w:r>
    </w:p>
    <w:p>
      <w:pPr>
        <w:spacing w:after="0" w:line="213" w:lineRule="exact"/>
        <w:rPr>
          <w:sz w:val="20"/>
          <w:szCs w:val="20"/>
          <w:color w:val="auto"/>
        </w:rPr>
      </w:pPr>
    </w:p>
    <w:p>
      <w:pPr>
        <w:ind w:left="640"/>
        <w:spacing w:after="0"/>
        <w:tabs>
          <w:tab w:leader="none" w:pos="2180" w:val="left"/>
        </w:tabs>
        <w:rPr>
          <w:sz w:val="20"/>
          <w:szCs w:val="20"/>
          <w:color w:val="auto"/>
        </w:rPr>
      </w:pPr>
      <w:r>
        <w:rPr>
          <w:rFonts w:ascii="Arial" w:cs="Arial" w:eastAsia="Arial" w:hAnsi="Arial"/>
          <w:sz w:val="22"/>
          <w:szCs w:val="22"/>
          <w:color w:val="auto"/>
        </w:rPr>
        <w:t>Section 2.5.</w:t>
      </w:r>
      <w:r>
        <w:rPr>
          <w:sz w:val="20"/>
          <w:szCs w:val="20"/>
          <w:color w:val="auto"/>
        </w:rPr>
        <w:tab/>
      </w:r>
      <w:r>
        <w:rPr>
          <w:rFonts w:ascii="Arial" w:cs="Arial" w:eastAsia="Arial" w:hAnsi="Arial"/>
          <w:sz w:val="19"/>
          <w:szCs w:val="19"/>
          <w:u w:val="single" w:color="auto"/>
          <w:color w:val="auto"/>
        </w:rPr>
        <w:t>Apportionment of Tax Attributes</w:t>
      </w:r>
      <w:r>
        <w:rPr>
          <w:rFonts w:ascii="Arial" w:cs="Arial" w:eastAsia="Arial" w:hAnsi="Arial"/>
          <w:sz w:val="19"/>
          <w:szCs w:val="19"/>
          <w:color w:val="auto"/>
        </w:rPr>
        <w:t>.</w:t>
      </w:r>
    </w:p>
    <w:p>
      <w:pPr>
        <w:spacing w:after="0" w:line="233" w:lineRule="exact"/>
        <w:rPr>
          <w:sz w:val="20"/>
          <w:szCs w:val="20"/>
          <w:color w:val="auto"/>
        </w:rPr>
      </w:pPr>
    </w:p>
    <w:p>
      <w:pPr>
        <w:ind w:left="-20" w:right="60" w:firstLine="656"/>
        <w:spacing w:after="0" w:line="236" w:lineRule="auto"/>
        <w:tabs>
          <w:tab w:leader="none" w:pos="1408" w:val="left"/>
        </w:tabs>
        <w:numPr>
          <w:ilvl w:val="0"/>
          <w:numId w:val="16"/>
        </w:numPr>
        <w:rPr>
          <w:rFonts w:ascii="Arial" w:cs="Arial" w:eastAsia="Arial" w:hAnsi="Arial"/>
          <w:sz w:val="22"/>
          <w:szCs w:val="22"/>
          <w:color w:val="auto"/>
        </w:rPr>
      </w:pPr>
      <w:r>
        <w:rPr>
          <w:rFonts w:ascii="Arial" w:cs="Arial" w:eastAsia="Arial" w:hAnsi="Arial"/>
          <w:sz w:val="22"/>
          <w:szCs w:val="22"/>
          <w:color w:val="auto"/>
        </w:rPr>
        <w:t xml:space="preserve">Tax Attributes arising in a Pre-Distribution Period will be allocated to (and the benefits and burdens of such Tax Attributes will inure to) the members of the TFMC Group and the members of the TEN Group in accordance with the Code, Treasury Regulations, and any other applicable Tax Law, and, in the absence of controlling legal authority or unless otherwise provided under this Agreement, including pursuant to </w:t>
      </w:r>
      <w:r>
        <w:rPr>
          <w:rFonts w:ascii="Arial" w:cs="Arial" w:eastAsia="Arial" w:hAnsi="Arial"/>
          <w:sz w:val="22"/>
          <w:szCs w:val="22"/>
          <w:u w:val="single" w:color="auto"/>
          <w:color w:val="auto"/>
        </w:rPr>
        <w:t>Section 2.6</w:t>
      </w:r>
      <w:r>
        <w:rPr>
          <w:rFonts w:ascii="Arial" w:cs="Arial" w:eastAsia="Arial" w:hAnsi="Arial"/>
          <w:sz w:val="22"/>
          <w:szCs w:val="22"/>
          <w:color w:val="auto"/>
        </w:rPr>
        <w:t>, Tax Attributes shall be allocated to the legal entity that created such Tax Attributes.</w:t>
      </w:r>
    </w:p>
    <w:p>
      <w:pPr>
        <w:spacing w:after="0" w:line="214" w:lineRule="exact"/>
        <w:rPr>
          <w:rFonts w:ascii="Arial" w:cs="Arial" w:eastAsia="Arial" w:hAnsi="Arial"/>
          <w:sz w:val="22"/>
          <w:szCs w:val="22"/>
          <w:color w:val="auto"/>
        </w:rPr>
      </w:pPr>
    </w:p>
    <w:p>
      <w:pPr>
        <w:ind w:left="-20" w:right="20" w:firstLine="656"/>
        <w:spacing w:after="0" w:line="271" w:lineRule="auto"/>
        <w:tabs>
          <w:tab w:leader="none" w:pos="1420" w:val="left"/>
        </w:tabs>
        <w:numPr>
          <w:ilvl w:val="0"/>
          <w:numId w:val="16"/>
        </w:numPr>
        <w:rPr>
          <w:rFonts w:ascii="Arial" w:cs="Arial" w:eastAsia="Arial" w:hAnsi="Arial"/>
          <w:sz w:val="19"/>
          <w:szCs w:val="19"/>
          <w:color w:val="auto"/>
        </w:rPr>
      </w:pPr>
      <w:r>
        <w:rPr>
          <w:rFonts w:ascii="Arial" w:cs="Arial" w:eastAsia="Arial" w:hAnsi="Arial"/>
          <w:sz w:val="19"/>
          <w:szCs w:val="19"/>
          <w:color w:val="auto"/>
        </w:rPr>
        <w:t xml:space="preserve">Except as provided in </w:t>
      </w:r>
      <w:r>
        <w:rPr>
          <w:rFonts w:ascii="Arial" w:cs="Arial" w:eastAsia="Arial" w:hAnsi="Arial"/>
          <w:sz w:val="19"/>
          <w:szCs w:val="19"/>
          <w:u w:val="single" w:color="auto"/>
          <w:color w:val="auto"/>
        </w:rPr>
        <w:t>Section 2.6</w:t>
      </w:r>
      <w:r>
        <w:rPr>
          <w:rFonts w:ascii="Arial" w:cs="Arial" w:eastAsia="Arial" w:hAnsi="Arial"/>
          <w:sz w:val="19"/>
          <w:szCs w:val="19"/>
          <w:color w:val="auto"/>
        </w:rPr>
        <w:t>, as soon as reasonably practicable after the close of the Tax Period in which the Distribution Date occurs but in no event less than thirty (30) days prior to the filing of the applicable Joint Return allocating or apportioning any group basis Tax Attribute to the members of the TEN Group, TFMC shall deliver to TEN its determination in writing of the portion, if any, of any earnings and profits, Tax Attributes, overall foreign loss or other affiliated, consolidated, combined, unitary, fiscal unity or other group basis Tax Attribute which is allocated or apportioned to the members of the TEN Group in respect of such Joint Return under applicable Tax Law and this Agreement (“</w:t>
      </w:r>
      <w:r>
        <w:rPr>
          <w:rFonts w:ascii="Arial" w:cs="Arial" w:eastAsia="Arial" w:hAnsi="Arial"/>
          <w:sz w:val="19"/>
          <w:szCs w:val="19"/>
          <w:u w:val="single" w:color="auto"/>
          <w:color w:val="auto"/>
        </w:rPr>
        <w:t>Proposed Allocation”</w:t>
      </w:r>
      <w:r>
        <w:rPr>
          <w:rFonts w:ascii="Arial" w:cs="Arial" w:eastAsia="Arial" w:hAnsi="Arial"/>
          <w:sz w:val="19"/>
          <w:szCs w:val="19"/>
          <w:i w:val="1"/>
          <w:iCs w:val="1"/>
          <w:color w:val="auto"/>
        </w:rPr>
        <w:t>)</w:t>
      </w:r>
      <w:r>
        <w:rPr>
          <w:rFonts w:ascii="Arial" w:cs="Arial" w:eastAsia="Arial" w:hAnsi="Arial"/>
          <w:sz w:val="19"/>
          <w:szCs w:val="19"/>
          <w:color w:val="auto"/>
        </w:rPr>
        <w:t>. TEN shall review such Proposed Allocation and provide TFMC any comments with respect thereto no later than ten (10) days prior to filing any applicable Joint Return. TFMC shall accept any such comments that are reasonable, and such resulting determination will become final (“</w:t>
      </w:r>
      <w:r>
        <w:rPr>
          <w:rFonts w:ascii="Arial" w:cs="Arial" w:eastAsia="Arial" w:hAnsi="Arial"/>
          <w:sz w:val="19"/>
          <w:szCs w:val="19"/>
          <w:u w:val="single" w:color="auto"/>
          <w:color w:val="auto"/>
        </w:rPr>
        <w:t>Final Allocation</w:t>
      </w:r>
      <w:r>
        <w:rPr>
          <w:rFonts w:ascii="Arial" w:cs="Arial" w:eastAsia="Arial" w:hAnsi="Arial"/>
          <w:sz w:val="19"/>
          <w:szCs w:val="19"/>
          <w:color w:val="auto"/>
        </w:rPr>
        <w:t xml:space="preserve">”). All members of the TFMC Group and TEN Group shall prepare all Tax Returns in accordance the Final Allocation. In the event of an adjustment to the earnings and profits, any Tax Attributes, overall foreign loss or other affiliated, consolidated, combined, unitary, fiscal unity or other group basis attribute, TFMC shall promptly notify TEN in writing of such adjustment. For the avoidance of doubt, TFMC shall not be liable to any member of the TEN Group for any failure of any determination under this </w:t>
      </w:r>
      <w:r>
        <w:rPr>
          <w:rFonts w:ascii="Arial" w:cs="Arial" w:eastAsia="Arial" w:hAnsi="Arial"/>
          <w:sz w:val="19"/>
          <w:szCs w:val="19"/>
          <w:u w:val="single" w:color="auto"/>
          <w:color w:val="auto"/>
        </w:rPr>
        <w:t>Section 2.5(b)</w:t>
      </w:r>
      <w:r>
        <w:rPr>
          <w:rFonts w:ascii="Arial" w:cs="Arial" w:eastAsia="Arial" w:hAnsi="Arial"/>
          <w:sz w:val="19"/>
          <w:szCs w:val="19"/>
          <w:color w:val="auto"/>
        </w:rPr>
        <w:t xml:space="preserve"> to be accurate under applicable Tax Law; provided such determination was made in good faith with reasonable communication and cooperation with TEN.</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8" w:right="339" w:bottom="1440" w:gutter="0" w:footer="0" w:header="0"/>
        </w:sectPr>
      </w:pPr>
    </w:p>
    <w:bookmarkStart w:id="55" w:name="page56"/>
    <w:bookmarkEnd w:id="55"/>
    <w:p>
      <w:pPr>
        <w:ind w:left="-8" w:right="440" w:firstLine="656"/>
        <w:spacing w:after="0" w:line="241" w:lineRule="auto"/>
        <w:tabs>
          <w:tab w:leader="none" w:pos="1420" w:val="left"/>
        </w:tabs>
        <w:numPr>
          <w:ilvl w:val="0"/>
          <w:numId w:val="17"/>
        </w:numPr>
        <w:rPr>
          <w:rFonts w:ascii="Arial" w:cs="Arial" w:eastAsia="Arial" w:hAnsi="Arial"/>
          <w:sz w:val="22"/>
          <w:szCs w:val="22"/>
          <w:color w:val="auto"/>
        </w:rPr>
      </w:pPr>
      <w:r>
        <w:rPr>
          <w:rFonts w:ascii="Arial" w:cs="Arial" w:eastAsia="Arial" w:hAnsi="Arial"/>
          <w:sz w:val="22"/>
          <w:szCs w:val="22"/>
          <w:color w:val="auto"/>
        </w:rPr>
        <w:t xml:space="preserve">Except as otherwise provided herein, to the extent that the amount of any Tax Attribute is later reduced or increased by a Tax Authority or Tax Proceeding, such reduction or increase shall be allocated to the Party to which such Tax Attribute was allocated pursuant to </w:t>
      </w:r>
      <w:r>
        <w:rPr>
          <w:rFonts w:ascii="Arial" w:cs="Arial" w:eastAsia="Arial" w:hAnsi="Arial"/>
          <w:sz w:val="22"/>
          <w:szCs w:val="22"/>
          <w:u w:val="single" w:color="auto"/>
          <w:color w:val="auto"/>
        </w:rPr>
        <w:t>Section 2.5(a)</w:t>
      </w:r>
      <w:r>
        <w:rPr>
          <w:rFonts w:ascii="Arial" w:cs="Arial" w:eastAsia="Arial" w:hAnsi="Arial"/>
          <w:sz w:val="22"/>
          <w:szCs w:val="22"/>
          <w:color w:val="auto"/>
        </w:rPr>
        <w:t>, as agreed by the Parties.</w:t>
      </w:r>
    </w:p>
    <w:p>
      <w:pPr>
        <w:spacing w:after="0" w:line="211" w:lineRule="exact"/>
        <w:rPr>
          <w:sz w:val="20"/>
          <w:szCs w:val="20"/>
          <w:color w:val="auto"/>
        </w:rPr>
      </w:pPr>
    </w:p>
    <w:p>
      <w:pPr>
        <w:ind w:left="652"/>
        <w:spacing w:after="0"/>
        <w:tabs>
          <w:tab w:leader="none" w:pos="2192" w:val="left"/>
        </w:tabs>
        <w:rPr>
          <w:sz w:val="20"/>
          <w:szCs w:val="20"/>
          <w:color w:val="auto"/>
        </w:rPr>
      </w:pPr>
      <w:r>
        <w:rPr>
          <w:rFonts w:ascii="Arial" w:cs="Arial" w:eastAsia="Arial" w:hAnsi="Arial"/>
          <w:sz w:val="22"/>
          <w:szCs w:val="22"/>
          <w:color w:val="auto"/>
        </w:rPr>
        <w:t>Section 2.6.</w:t>
      </w:r>
      <w:r>
        <w:rPr>
          <w:sz w:val="20"/>
          <w:szCs w:val="20"/>
          <w:color w:val="auto"/>
        </w:rPr>
        <w:tab/>
      </w:r>
      <w:r>
        <w:rPr>
          <w:rFonts w:ascii="Arial" w:cs="Arial" w:eastAsia="Arial" w:hAnsi="Arial"/>
          <w:sz w:val="19"/>
          <w:szCs w:val="19"/>
          <w:u w:val="single" w:color="auto"/>
          <w:color w:val="auto"/>
        </w:rPr>
        <w:t>Certain UK Tax Provisions</w:t>
      </w:r>
      <w:r>
        <w:rPr>
          <w:rFonts w:ascii="Arial" w:cs="Arial" w:eastAsia="Arial" w:hAnsi="Arial"/>
          <w:sz w:val="19"/>
          <w:szCs w:val="19"/>
          <w:color w:val="auto"/>
        </w:rPr>
        <w:t>.</w:t>
      </w:r>
    </w:p>
    <w:p>
      <w:pPr>
        <w:spacing w:after="0" w:line="233" w:lineRule="exact"/>
        <w:rPr>
          <w:sz w:val="20"/>
          <w:szCs w:val="20"/>
          <w:color w:val="auto"/>
        </w:rPr>
      </w:pPr>
    </w:p>
    <w:p>
      <w:pPr>
        <w:ind w:left="1472" w:hanging="770"/>
        <w:spacing w:after="0"/>
        <w:tabs>
          <w:tab w:leader="none" w:pos="1472" w:val="left"/>
        </w:tabs>
        <w:numPr>
          <w:ilvl w:val="2"/>
          <w:numId w:val="18"/>
        </w:numPr>
        <w:rPr>
          <w:rFonts w:ascii="Arial" w:cs="Arial" w:eastAsia="Arial" w:hAnsi="Arial"/>
          <w:sz w:val="22"/>
          <w:szCs w:val="22"/>
          <w:color w:val="auto"/>
        </w:rPr>
      </w:pPr>
      <w:r>
        <w:rPr>
          <w:rFonts w:ascii="Arial" w:cs="Arial" w:eastAsia="Arial" w:hAnsi="Arial"/>
          <w:sz w:val="22"/>
          <w:szCs w:val="22"/>
          <w:i w:val="1"/>
          <w:iCs w:val="1"/>
          <w:color w:val="auto"/>
        </w:rPr>
        <w:t>UK Group Relief.</w:t>
      </w:r>
    </w:p>
    <w:p>
      <w:pPr>
        <w:spacing w:after="0" w:line="233" w:lineRule="exact"/>
        <w:rPr>
          <w:rFonts w:ascii="Arial" w:cs="Arial" w:eastAsia="Arial" w:hAnsi="Arial"/>
          <w:sz w:val="22"/>
          <w:szCs w:val="22"/>
          <w:color w:val="auto"/>
        </w:rPr>
      </w:pPr>
    </w:p>
    <w:p>
      <w:pPr>
        <w:ind w:left="-8" w:firstLine="1304"/>
        <w:spacing w:after="0" w:line="277" w:lineRule="auto"/>
        <w:tabs>
          <w:tab w:leader="none" w:pos="2032" w:val="left"/>
        </w:tabs>
        <w:numPr>
          <w:ilvl w:val="3"/>
          <w:numId w:val="18"/>
        </w:numPr>
        <w:rPr>
          <w:rFonts w:ascii="Arial" w:cs="Arial" w:eastAsia="Arial" w:hAnsi="Arial"/>
          <w:sz w:val="19"/>
          <w:szCs w:val="19"/>
          <w:color w:val="auto"/>
        </w:rPr>
      </w:pPr>
      <w:r>
        <w:rPr>
          <w:rFonts w:ascii="Arial" w:cs="Arial" w:eastAsia="Arial" w:hAnsi="Arial"/>
          <w:sz w:val="19"/>
          <w:szCs w:val="19"/>
          <w:color w:val="auto"/>
        </w:rPr>
        <w:t xml:space="preserve">TFMC shall be responsible for determining the amounts for purposes of UK Group Relief available to be surrendered in accordance with and subject to applicable Law (A) by any member of the TFMC Group to any member of the TEN Group, or (B) by any member of the TEN Group to any member of the TFMC Group, as the case may be (save in respect of any UK Group Relief arrangements for any Pre-Distribution Period intended to be effective and notified between the Parties before the date of this Agreement, after taking account of any other UK Tax Relief available for use within (including between members of) the TFMC Group and within (including between members of) the TEN Group which shall be available for use in priority to surrenders available under clauses (A) and (B) of this </w:t>
      </w:r>
      <w:r>
        <w:rPr>
          <w:rFonts w:ascii="Arial" w:cs="Arial" w:eastAsia="Arial" w:hAnsi="Arial"/>
          <w:sz w:val="19"/>
          <w:szCs w:val="19"/>
          <w:u w:val="single" w:color="auto"/>
          <w:color w:val="auto"/>
        </w:rPr>
        <w:t>Section 2.6(a)(i))</w:t>
      </w:r>
      <w:r>
        <w:rPr>
          <w:rFonts w:ascii="Arial" w:cs="Arial" w:eastAsia="Arial" w:hAnsi="Arial"/>
          <w:sz w:val="19"/>
          <w:szCs w:val="19"/>
          <w:color w:val="auto"/>
        </w:rPr>
        <w:t>.</w:t>
      </w:r>
    </w:p>
    <w:p>
      <w:pPr>
        <w:spacing w:after="0" w:line="178" w:lineRule="exact"/>
        <w:rPr>
          <w:rFonts w:ascii="Arial" w:cs="Arial" w:eastAsia="Arial" w:hAnsi="Arial"/>
          <w:sz w:val="19"/>
          <w:szCs w:val="19"/>
          <w:color w:val="auto"/>
        </w:rPr>
      </w:pPr>
    </w:p>
    <w:p>
      <w:pPr>
        <w:ind w:left="-8" w:right="20" w:firstLine="1304"/>
        <w:spacing w:after="0" w:line="273" w:lineRule="auto"/>
        <w:tabs>
          <w:tab w:leader="none" w:pos="2092" w:val="left"/>
        </w:tabs>
        <w:numPr>
          <w:ilvl w:val="3"/>
          <w:numId w:val="18"/>
        </w:numPr>
        <w:rPr>
          <w:rFonts w:ascii="Arial" w:cs="Arial" w:eastAsia="Arial" w:hAnsi="Arial"/>
          <w:sz w:val="19"/>
          <w:szCs w:val="19"/>
          <w:color w:val="auto"/>
        </w:rPr>
      </w:pPr>
      <w:r>
        <w:rPr>
          <w:rFonts w:ascii="Arial" w:cs="Arial" w:eastAsia="Arial" w:hAnsi="Arial"/>
          <w:sz w:val="19"/>
          <w:szCs w:val="19"/>
          <w:color w:val="auto"/>
        </w:rPr>
        <w:t xml:space="preserve">Subject to both Parties agreeing to and consenting to such surrenders, the Parties shall make, or shall cause to be made, such elections and shall take such other actions that are necessary or appropriate to give effect to the surrender of any amounts referred to in </w:t>
      </w:r>
      <w:r>
        <w:rPr>
          <w:rFonts w:ascii="Arial" w:cs="Arial" w:eastAsia="Arial" w:hAnsi="Arial"/>
          <w:sz w:val="19"/>
          <w:szCs w:val="19"/>
          <w:u w:val="single" w:color="auto"/>
          <w:color w:val="auto"/>
        </w:rPr>
        <w:t>Section 2.6(a)(i)(A)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and to ensure that such surrenders are allowed in full by HM Revenue</w:t>
      </w:r>
    </w:p>
    <w:p>
      <w:pPr>
        <w:spacing w:after="0" w:line="1" w:lineRule="exact"/>
        <w:rPr>
          <w:rFonts w:ascii="Arial" w:cs="Arial" w:eastAsia="Arial" w:hAnsi="Arial"/>
          <w:sz w:val="19"/>
          <w:szCs w:val="19"/>
          <w:color w:val="auto"/>
        </w:rPr>
      </w:pPr>
    </w:p>
    <w:p>
      <w:pPr>
        <w:ind w:left="-8" w:right="40" w:firstLine="8"/>
        <w:spacing w:after="0" w:line="234" w:lineRule="auto"/>
        <w:tabs>
          <w:tab w:leader="none" w:pos="214" w:val="left"/>
        </w:tabs>
        <w:numPr>
          <w:ilvl w:val="0"/>
          <w:numId w:val="18"/>
        </w:numPr>
        <w:rPr>
          <w:rFonts w:ascii="Arial" w:cs="Arial" w:eastAsia="Arial" w:hAnsi="Arial"/>
          <w:sz w:val="22"/>
          <w:szCs w:val="22"/>
          <w:color w:val="auto"/>
        </w:rPr>
      </w:pPr>
      <w:r>
        <w:rPr>
          <w:rFonts w:ascii="Arial" w:cs="Arial" w:eastAsia="Arial" w:hAnsi="Arial"/>
          <w:sz w:val="22"/>
          <w:szCs w:val="22"/>
          <w:color w:val="auto"/>
        </w:rPr>
        <w:t>Customs. For the avoidance of doubt, the Parties shall be treated as agreeing and consenting to any surrenders arising in respect of any UK Group Relief arrangements for any Pre-Distribution Period notified between the Parties before the date of this Agreement.</w:t>
      </w:r>
    </w:p>
    <w:p>
      <w:pPr>
        <w:spacing w:after="0" w:line="214" w:lineRule="exact"/>
        <w:rPr>
          <w:rFonts w:ascii="Arial" w:cs="Arial" w:eastAsia="Arial" w:hAnsi="Arial"/>
          <w:sz w:val="22"/>
          <w:szCs w:val="22"/>
          <w:color w:val="auto"/>
        </w:rPr>
      </w:pPr>
    </w:p>
    <w:p>
      <w:pPr>
        <w:ind w:left="-8" w:right="60" w:firstLine="1304"/>
        <w:spacing w:after="0" w:line="282" w:lineRule="auto"/>
        <w:tabs>
          <w:tab w:leader="none" w:pos="2098" w:val="left"/>
        </w:tabs>
        <w:numPr>
          <w:ilvl w:val="3"/>
          <w:numId w:val="19"/>
        </w:numPr>
        <w:rPr>
          <w:rFonts w:ascii="Arial" w:cs="Arial" w:eastAsia="Arial" w:hAnsi="Arial"/>
          <w:sz w:val="19"/>
          <w:szCs w:val="19"/>
          <w:color w:val="auto"/>
        </w:rPr>
      </w:pPr>
      <w:r>
        <w:rPr>
          <w:rFonts w:ascii="Arial" w:cs="Arial" w:eastAsia="Arial" w:hAnsi="Arial"/>
          <w:sz w:val="19"/>
          <w:szCs w:val="19"/>
          <w:color w:val="auto"/>
        </w:rPr>
        <w:t xml:space="preserve">Unless otherwise agreed between the Parties, in consideration of such surrenders as are referred to in </w:t>
      </w:r>
      <w:r>
        <w:rPr>
          <w:rFonts w:ascii="Arial" w:cs="Arial" w:eastAsia="Arial" w:hAnsi="Arial"/>
          <w:sz w:val="19"/>
          <w:szCs w:val="19"/>
          <w:u w:val="single" w:color="auto"/>
          <w:color w:val="auto"/>
        </w:rPr>
        <w:t>Section 2.6(a)(i)(A)</w:t>
      </w:r>
      <w:r>
        <w:rPr>
          <w:rFonts w:ascii="Arial" w:cs="Arial" w:eastAsia="Arial" w:hAnsi="Arial"/>
          <w:sz w:val="19"/>
          <w:szCs w:val="19"/>
          <w:color w:val="auto"/>
        </w:rPr>
        <w:t>, TEN shall procure that the relevant member of the TEN Group shall pay to the relevant member of the TFMC Group such amount of UK corporation Tax as is saved by the relevant member of the TEN Group (including where UK corporation Tax previously paid has been refunded) as a result of the relevant surrender, such amount to be paid no later than the time which such UK corporation Tax saved would otherwise have been paid to a Tax Authority.</w:t>
      </w:r>
    </w:p>
    <w:p>
      <w:pPr>
        <w:spacing w:after="0" w:line="174" w:lineRule="exact"/>
        <w:rPr>
          <w:rFonts w:ascii="Arial" w:cs="Arial" w:eastAsia="Arial" w:hAnsi="Arial"/>
          <w:sz w:val="19"/>
          <w:szCs w:val="19"/>
          <w:color w:val="auto"/>
        </w:rPr>
      </w:pPr>
    </w:p>
    <w:p>
      <w:pPr>
        <w:ind w:left="-8" w:right="60" w:firstLine="1304"/>
        <w:spacing w:after="0" w:line="282" w:lineRule="auto"/>
        <w:tabs>
          <w:tab w:leader="none" w:pos="2086" w:val="left"/>
        </w:tabs>
        <w:numPr>
          <w:ilvl w:val="3"/>
          <w:numId w:val="19"/>
        </w:numPr>
        <w:rPr>
          <w:rFonts w:ascii="Arial" w:cs="Arial" w:eastAsia="Arial" w:hAnsi="Arial"/>
          <w:sz w:val="19"/>
          <w:szCs w:val="19"/>
          <w:color w:val="auto"/>
        </w:rPr>
      </w:pPr>
      <w:r>
        <w:rPr>
          <w:rFonts w:ascii="Arial" w:cs="Arial" w:eastAsia="Arial" w:hAnsi="Arial"/>
          <w:sz w:val="19"/>
          <w:szCs w:val="19"/>
          <w:color w:val="auto"/>
        </w:rPr>
        <w:t xml:space="preserve">Unless otherwise agreed between the Parties, in consideration of such surrenders as are referred to in </w:t>
      </w:r>
      <w:r>
        <w:rPr>
          <w:rFonts w:ascii="Arial" w:cs="Arial" w:eastAsia="Arial" w:hAnsi="Arial"/>
          <w:sz w:val="19"/>
          <w:szCs w:val="19"/>
          <w:u w:val="single" w:color="auto"/>
          <w:color w:val="auto"/>
        </w:rPr>
        <w:t>Section 2.6(a)(i)(B)</w:t>
      </w:r>
      <w:r>
        <w:rPr>
          <w:rFonts w:ascii="Arial" w:cs="Arial" w:eastAsia="Arial" w:hAnsi="Arial"/>
          <w:sz w:val="19"/>
          <w:szCs w:val="19"/>
          <w:color w:val="auto"/>
        </w:rPr>
        <w:t>, TFMC shall procure that the relevant member of the TFMC Group shall pay to the relevant member of the TEN Group such amount of UK corporation Tax as is saved by the relevant member of the TFMC Group (including where UK corporation Tax previously paid has been refunded) as a result of the relevant surrender, such amount to be paid no later than the time which such UK corporation Tax saved would otherwise have been paid to a Tax Authority.</w:t>
      </w:r>
    </w:p>
    <w:p>
      <w:pPr>
        <w:spacing w:after="0" w:line="174" w:lineRule="exact"/>
        <w:rPr>
          <w:rFonts w:ascii="Arial" w:cs="Arial" w:eastAsia="Arial" w:hAnsi="Arial"/>
          <w:sz w:val="19"/>
          <w:szCs w:val="19"/>
          <w:color w:val="auto"/>
        </w:rPr>
      </w:pPr>
    </w:p>
    <w:p>
      <w:pPr>
        <w:ind w:left="1432" w:hanging="784"/>
        <w:spacing w:after="0"/>
        <w:tabs>
          <w:tab w:leader="none" w:pos="1432" w:val="left"/>
        </w:tabs>
        <w:numPr>
          <w:ilvl w:val="1"/>
          <w:numId w:val="20"/>
        </w:numPr>
        <w:rPr>
          <w:rFonts w:ascii="Arial" w:cs="Arial" w:eastAsia="Arial" w:hAnsi="Arial"/>
          <w:sz w:val="22"/>
          <w:szCs w:val="22"/>
          <w:color w:val="auto"/>
        </w:rPr>
      </w:pPr>
      <w:r>
        <w:rPr>
          <w:rFonts w:ascii="Arial" w:cs="Arial" w:eastAsia="Arial" w:hAnsi="Arial"/>
          <w:sz w:val="22"/>
          <w:szCs w:val="22"/>
          <w:i w:val="1"/>
          <w:iCs w:val="1"/>
          <w:color w:val="auto"/>
        </w:rPr>
        <w:t>Preparation of Interest Restriction Returns.</w:t>
      </w:r>
    </w:p>
    <w:p>
      <w:pPr>
        <w:spacing w:after="0" w:line="233" w:lineRule="exact"/>
        <w:rPr>
          <w:rFonts w:ascii="Arial" w:cs="Arial" w:eastAsia="Arial" w:hAnsi="Arial"/>
          <w:sz w:val="22"/>
          <w:szCs w:val="22"/>
          <w:color w:val="auto"/>
        </w:rPr>
      </w:pPr>
    </w:p>
    <w:p>
      <w:pPr>
        <w:ind w:left="-8" w:firstLine="1304"/>
        <w:spacing w:after="0"/>
        <w:tabs>
          <w:tab w:leader="none" w:pos="2086" w:val="left"/>
        </w:tabs>
        <w:numPr>
          <w:ilvl w:val="3"/>
          <w:numId w:val="20"/>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2.6(b)(v)</w:t>
      </w:r>
      <w:r>
        <w:rPr>
          <w:rFonts w:ascii="Arial" w:cs="Arial" w:eastAsia="Arial" w:hAnsi="Arial"/>
          <w:sz w:val="22"/>
          <w:szCs w:val="22"/>
          <w:color w:val="auto"/>
        </w:rPr>
        <w:t>, The Parties agree that Technip UK Limited is and shall remain the reporting company for the purposes of Schedule 7A TIOPA in respect of members of the TEN Group and the TFMC Group for the purposes of Part 10 of TIOPA, for all Pre-Distribution Periods and for the Straddle Period.</w:t>
      </w:r>
    </w:p>
    <w:p>
      <w:pPr>
        <w:spacing w:after="0" w:line="391" w:lineRule="exact"/>
        <w:rPr>
          <w:sz w:val="20"/>
          <w:szCs w:val="20"/>
          <w:color w:val="auto"/>
        </w:rPr>
      </w:pPr>
    </w:p>
    <w:p>
      <w:pPr>
        <w:jc w:val="center"/>
        <w:ind w:right="-51"/>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72"/>
          </w:cols>
          <w:pgMar w:left="328" w:top="118" w:right="399" w:bottom="1440" w:gutter="0" w:footer="0" w:header="0"/>
        </w:sectPr>
      </w:pPr>
    </w:p>
    <w:bookmarkStart w:id="56" w:name="page57"/>
    <w:bookmarkEnd w:id="56"/>
    <w:p>
      <w:pPr>
        <w:ind w:right="80" w:firstLine="1304"/>
        <w:spacing w:after="0" w:line="238" w:lineRule="auto"/>
        <w:tabs>
          <w:tab w:leader="none" w:pos="21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2.6(b)(v)</w:t>
      </w:r>
      <w:r>
        <w:rPr>
          <w:rFonts w:ascii="Arial" w:cs="Arial" w:eastAsia="Arial" w:hAnsi="Arial"/>
          <w:sz w:val="22"/>
          <w:szCs w:val="22"/>
          <w:color w:val="auto"/>
        </w:rPr>
        <w:t>, Technip UK Limited shall have conduct of preparing and submitting to and agreeing with HM Revenue &amp; Customs all interest restriction returns for the purposes of Schedule 7A TIOPA in respect of members of the TEN Group and the TFMC Group for the purposes of Part 10 of TIOPA, for all Pre-Distribution Periods and for the Straddle Period (the “</w:t>
      </w:r>
      <w:r>
        <w:rPr>
          <w:rFonts w:ascii="Arial" w:cs="Arial" w:eastAsia="Arial" w:hAnsi="Arial"/>
          <w:sz w:val="22"/>
          <w:szCs w:val="22"/>
          <w:u w:val="single" w:color="auto"/>
          <w:color w:val="auto"/>
        </w:rPr>
        <w:t>Interest Restriction Returns</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ind w:left="2120" w:hanging="816"/>
        <w:spacing w:after="0"/>
        <w:tabs>
          <w:tab w:leader="none" w:pos="2120" w:val="left"/>
        </w:tabs>
        <w:numPr>
          <w:ilvl w:val="0"/>
          <w:numId w:val="21"/>
        </w:numPr>
        <w:rPr>
          <w:rFonts w:ascii="Arial" w:cs="Arial" w:eastAsia="Arial" w:hAnsi="Arial"/>
          <w:sz w:val="22"/>
          <w:szCs w:val="22"/>
          <w:color w:val="auto"/>
        </w:rPr>
      </w:pPr>
      <w:r>
        <w:rPr>
          <w:rFonts w:ascii="Arial" w:cs="Arial" w:eastAsia="Arial" w:hAnsi="Arial"/>
          <w:sz w:val="22"/>
          <w:szCs w:val="22"/>
          <w:color w:val="auto"/>
        </w:rPr>
        <w:t xml:space="preserve">For the purposes of this </w:t>
      </w:r>
      <w:r>
        <w:rPr>
          <w:rFonts w:ascii="Arial" w:cs="Arial" w:eastAsia="Arial" w:hAnsi="Arial"/>
          <w:sz w:val="22"/>
          <w:szCs w:val="22"/>
          <w:u w:val="single" w:color="auto"/>
          <w:color w:val="auto"/>
        </w:rPr>
        <w:t>Section 2.6(b)</w:t>
      </w:r>
      <w:r>
        <w:rPr>
          <w:rFonts w:ascii="Arial" w:cs="Arial" w:eastAsia="Arial" w:hAnsi="Arial"/>
          <w:sz w:val="22"/>
          <w:szCs w:val="22"/>
          <w:color w:val="auto"/>
        </w:rPr>
        <w:t>:</w:t>
      </w:r>
    </w:p>
    <w:p>
      <w:pPr>
        <w:spacing w:after="0" w:line="240" w:lineRule="exact"/>
        <w:rPr>
          <w:rFonts w:ascii="Arial" w:cs="Arial" w:eastAsia="Arial" w:hAnsi="Arial"/>
          <w:sz w:val="22"/>
          <w:szCs w:val="22"/>
          <w:color w:val="auto"/>
        </w:rPr>
      </w:pPr>
    </w:p>
    <w:p>
      <w:pPr>
        <w:ind w:left="2600" w:hanging="648"/>
        <w:spacing w:after="0"/>
        <w:tabs>
          <w:tab w:leader="none" w:pos="26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 copy of each Interest Restriction Return shall be delivered by Technip UK Limited to TEN and TFMC.</w:t>
      </w:r>
    </w:p>
    <w:p>
      <w:pPr>
        <w:spacing w:after="0" w:line="252" w:lineRule="exact"/>
        <w:rPr>
          <w:rFonts w:ascii="Arial" w:cs="Arial" w:eastAsia="Arial" w:hAnsi="Arial"/>
          <w:sz w:val="18"/>
          <w:szCs w:val="18"/>
          <w:color w:val="auto"/>
        </w:rPr>
      </w:pPr>
    </w:p>
    <w:p>
      <w:pPr>
        <w:ind w:left="2600" w:right="380" w:hanging="648"/>
        <w:spacing w:after="0" w:line="263" w:lineRule="auto"/>
        <w:tabs>
          <w:tab w:leader="none" w:pos="26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TEN and TFMC shall afford (or procure the affordance) to Technip UK Limited or its duly authorised agents information and assistance which may reasonably be required to prepare, submit and agree all outstanding Interest Restriction Returns; and</w:t>
      </w:r>
    </w:p>
    <w:p>
      <w:pPr>
        <w:spacing w:after="0" w:line="210" w:lineRule="exact"/>
        <w:rPr>
          <w:rFonts w:ascii="Arial" w:cs="Arial" w:eastAsia="Arial" w:hAnsi="Arial"/>
          <w:sz w:val="18"/>
          <w:szCs w:val="18"/>
          <w:color w:val="auto"/>
        </w:rPr>
      </w:pPr>
    </w:p>
    <w:p>
      <w:pPr>
        <w:ind w:left="2600" w:right="320" w:hanging="648"/>
        <w:spacing w:after="0" w:line="308" w:lineRule="auto"/>
        <w:tabs>
          <w:tab w:leader="none" w:pos="26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TEN and TFMC must as soon as practicable deliver to Technip UK Limited copies of all correspondence sent to or received from HM Revenue &amp; Customs in respect of any Interest Restriction Return.</w:t>
      </w:r>
    </w:p>
    <w:p>
      <w:pPr>
        <w:spacing w:after="0" w:line="166" w:lineRule="exact"/>
        <w:rPr>
          <w:rFonts w:ascii="Arial" w:cs="Arial" w:eastAsia="Arial" w:hAnsi="Arial"/>
          <w:sz w:val="17"/>
          <w:szCs w:val="17"/>
          <w:color w:val="auto"/>
        </w:rPr>
      </w:pPr>
    </w:p>
    <w:p>
      <w:pPr>
        <w:jc w:val="both"/>
        <w:ind w:right="140" w:firstLine="1304"/>
        <w:spacing w:after="0" w:line="257" w:lineRule="auto"/>
        <w:tabs>
          <w:tab w:leader="none" w:pos="2148" w:val="left"/>
        </w:tabs>
        <w:numPr>
          <w:ilvl w:val="0"/>
          <w:numId w:val="21"/>
        </w:numPr>
        <w:rPr>
          <w:rFonts w:ascii="Arial" w:cs="Arial" w:eastAsia="Arial" w:hAnsi="Arial"/>
          <w:sz w:val="21"/>
          <w:szCs w:val="21"/>
          <w:color w:val="auto"/>
        </w:rPr>
      </w:pPr>
      <w:r>
        <w:rPr>
          <w:rFonts w:ascii="Arial" w:cs="Arial" w:eastAsia="Arial" w:hAnsi="Arial"/>
          <w:sz w:val="21"/>
          <w:szCs w:val="21"/>
          <w:color w:val="auto"/>
        </w:rPr>
        <w:t>No member of the TEN Group nor the TFMC Group shall, without the prior written consent of TEN or TFMC (as applicable), revoke or amend any Interest Restriction Return and no member of the TEN Group or the TFMC Group shall elect to become a non-consenting company for the purposes of schedule 7A TIOPA.</w:t>
      </w:r>
    </w:p>
    <w:p>
      <w:pPr>
        <w:spacing w:after="0" w:line="196" w:lineRule="exact"/>
        <w:rPr>
          <w:rFonts w:ascii="Arial" w:cs="Arial" w:eastAsia="Arial" w:hAnsi="Arial"/>
          <w:sz w:val="21"/>
          <w:szCs w:val="21"/>
          <w:color w:val="auto"/>
        </w:rPr>
      </w:pPr>
    </w:p>
    <w:p>
      <w:pPr>
        <w:ind w:right="80" w:firstLine="1304"/>
        <w:spacing w:after="0"/>
        <w:tabs>
          <w:tab w:leader="none" w:pos="2088" w:val="left"/>
        </w:tabs>
        <w:numPr>
          <w:ilvl w:val="0"/>
          <w:numId w:val="21"/>
        </w:numPr>
        <w:rPr>
          <w:rFonts w:ascii="Arial" w:cs="Arial" w:eastAsia="Arial" w:hAnsi="Arial"/>
          <w:sz w:val="22"/>
          <w:szCs w:val="22"/>
          <w:color w:val="auto"/>
        </w:rPr>
      </w:pPr>
      <w:r>
        <w:rPr>
          <w:rFonts w:ascii="Arial" w:cs="Arial" w:eastAsia="Arial" w:hAnsi="Arial"/>
          <w:sz w:val="22"/>
          <w:szCs w:val="22"/>
          <w:color w:val="auto"/>
        </w:rPr>
        <w:t>TEN shall appoint its own reporting company for the purposes of schedule 7A TIOPA in respect of members of the TEN Group, and may be responsible for relevant Interest Restriction Returns, for that part of the Straddle Period ending after the Distribution Date.</w:t>
      </w:r>
    </w:p>
    <w:p>
      <w:pPr>
        <w:spacing w:after="0" w:line="213" w:lineRule="exact"/>
        <w:rPr>
          <w:sz w:val="20"/>
          <w:szCs w:val="20"/>
          <w:color w:val="auto"/>
        </w:rPr>
      </w:pPr>
    </w:p>
    <w:p>
      <w:pPr>
        <w:ind w:firstLine="648"/>
        <w:spacing w:after="0" w:line="248" w:lineRule="auto"/>
        <w:rPr>
          <w:sz w:val="20"/>
          <w:szCs w:val="20"/>
          <w:color w:val="auto"/>
        </w:rPr>
      </w:pPr>
      <w:r>
        <w:rPr>
          <w:rFonts w:ascii="Arial" w:cs="Arial" w:eastAsia="Arial" w:hAnsi="Arial"/>
          <w:sz w:val="21"/>
          <w:szCs w:val="21"/>
          <w:color w:val="auto"/>
        </w:rPr>
        <w:t xml:space="preserve">Section 2.7. </w:t>
      </w:r>
      <w:r>
        <w:rPr>
          <w:rFonts w:ascii="Arial" w:cs="Arial" w:eastAsia="Arial" w:hAnsi="Arial"/>
          <w:sz w:val="21"/>
          <w:szCs w:val="21"/>
          <w:u w:val="single" w:color="auto"/>
          <w:color w:val="auto"/>
        </w:rPr>
        <w:t>French Tax Consolidation</w:t>
      </w:r>
      <w:r>
        <w:rPr>
          <w:rFonts w:ascii="Arial" w:cs="Arial" w:eastAsia="Arial" w:hAnsi="Arial"/>
          <w:sz w:val="21"/>
          <w:szCs w:val="21"/>
          <w:color w:val="auto"/>
        </w:rPr>
        <w:t xml:space="preserve">. As a result of the Distribution, the French Tax resident members of the TEN Group that are members of the French Tax consolidated group set-up by TFMC in accordance with the provisions of Article 223 A </w:t>
      </w:r>
      <w:r>
        <w:rPr>
          <w:rFonts w:ascii="Arial" w:cs="Arial" w:eastAsia="Arial" w:hAnsi="Arial"/>
          <w:sz w:val="21"/>
          <w:szCs w:val="21"/>
          <w:i w:val="1"/>
          <w:iCs w:val="1"/>
          <w:color w:val="auto"/>
        </w:rPr>
        <w:t>et seq.</w:t>
      </w:r>
      <w:r>
        <w:rPr>
          <w:rFonts w:ascii="Arial" w:cs="Arial" w:eastAsia="Arial" w:hAnsi="Arial"/>
          <w:sz w:val="21"/>
          <w:szCs w:val="21"/>
          <w:color w:val="auto"/>
        </w:rPr>
        <w:t xml:space="preserve"> of the </w:t>
      </w:r>
      <w:r>
        <w:rPr>
          <w:rFonts w:ascii="Arial" w:cs="Arial" w:eastAsia="Arial" w:hAnsi="Arial"/>
          <w:sz w:val="21"/>
          <w:szCs w:val="21"/>
          <w:i w:val="1"/>
          <w:iCs w:val="1"/>
          <w:color w:val="auto"/>
        </w:rPr>
        <w:t>Code général des impôts</w:t>
      </w:r>
      <w:r>
        <w:rPr>
          <w:rFonts w:ascii="Arial" w:cs="Arial" w:eastAsia="Arial" w:hAnsi="Arial"/>
          <w:sz w:val="21"/>
          <w:szCs w:val="21"/>
          <w:color w:val="auto"/>
        </w:rPr>
        <w:t xml:space="preserve"> will exit from such Tax consolidated group with effect as from January 1, 2021. The French Tax consequences of such exit will be governed by the provisions of the French Tax Group Exit Agreements attached hereto as </w:t>
      </w:r>
      <w:r>
        <w:rPr>
          <w:rFonts w:ascii="Arial" w:cs="Arial" w:eastAsia="Arial" w:hAnsi="Arial"/>
          <w:sz w:val="21"/>
          <w:szCs w:val="21"/>
          <w:u w:val="single" w:color="auto"/>
          <w:color w:val="auto"/>
        </w:rPr>
        <w:t>Exhibit A</w:t>
      </w:r>
      <w:r>
        <w:rPr>
          <w:rFonts w:ascii="Arial" w:cs="Arial" w:eastAsia="Arial" w:hAnsi="Arial"/>
          <w:sz w:val="21"/>
          <w:szCs w:val="21"/>
          <w:color w:val="auto"/>
        </w:rPr>
        <w:t>. To the extent that any of the terms of this Agreement are inconsistent with the terms of the French Group Exit Agreements, the terms of the French Group Exit Agreements shall control.</w:t>
      </w:r>
    </w:p>
    <w:p>
      <w:pPr>
        <w:spacing w:after="0" w:line="204" w:lineRule="exact"/>
        <w:rPr>
          <w:sz w:val="20"/>
          <w:szCs w:val="20"/>
          <w:color w:val="auto"/>
        </w:rPr>
      </w:pPr>
    </w:p>
    <w:p>
      <w:pPr>
        <w:ind w:right="180" w:firstLine="648"/>
        <w:spacing w:after="0"/>
        <w:rPr>
          <w:sz w:val="20"/>
          <w:szCs w:val="20"/>
          <w:color w:val="auto"/>
        </w:rPr>
      </w:pPr>
      <w:r>
        <w:rPr>
          <w:rFonts w:ascii="Arial" w:cs="Arial" w:eastAsia="Arial" w:hAnsi="Arial"/>
          <w:sz w:val="22"/>
          <w:szCs w:val="22"/>
          <w:color w:val="auto"/>
        </w:rPr>
        <w:t xml:space="preserve">Section 2.8. </w:t>
      </w:r>
      <w:r>
        <w:rPr>
          <w:rFonts w:ascii="Arial" w:cs="Arial" w:eastAsia="Arial" w:hAnsi="Arial"/>
          <w:sz w:val="22"/>
          <w:szCs w:val="22"/>
          <w:u w:val="single" w:color="auto"/>
          <w:color w:val="auto"/>
        </w:rPr>
        <w:t>Equity Compensation</w:t>
      </w:r>
      <w:r>
        <w:rPr>
          <w:rFonts w:ascii="Arial" w:cs="Arial" w:eastAsia="Arial" w:hAnsi="Arial"/>
          <w:sz w:val="22"/>
          <w:szCs w:val="22"/>
          <w:color w:val="auto"/>
        </w:rPr>
        <w:t>. Tax deductions with respect to TFMC Equity Compensation Awards and TEN Equity Compensation Awards shall be allocated to the members of the TFMC Group and the members of the TEN Group in accordance with the Code, Treasury Regulations, and any other applicable Tax Law.</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7" w:name="page58"/>
    <w:bookmarkEnd w:id="57"/>
    <w:p>
      <w:pPr>
        <w:ind w:left="5040"/>
        <w:spacing w:after="0"/>
        <w:rPr>
          <w:sz w:val="20"/>
          <w:szCs w:val="20"/>
          <w:color w:val="auto"/>
        </w:rPr>
      </w:pPr>
      <w:r>
        <w:rPr>
          <w:rFonts w:ascii="Arial" w:cs="Arial" w:eastAsia="Arial" w:hAnsi="Arial"/>
          <w:sz w:val="22"/>
          <w:szCs w:val="22"/>
          <w:color w:val="auto"/>
        </w:rPr>
        <w:t>ARTICLE III</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TAX PAYMENTS</w:t>
      </w:r>
    </w:p>
    <w:p>
      <w:pPr>
        <w:spacing w:after="0" w:line="215" w:lineRule="exact"/>
        <w:rPr>
          <w:sz w:val="20"/>
          <w:szCs w:val="20"/>
          <w:color w:val="auto"/>
        </w:rPr>
      </w:pPr>
    </w:p>
    <w:p>
      <w:pPr>
        <w:ind w:right="160" w:firstLine="648"/>
        <w:spacing w:after="0" w:line="235" w:lineRule="auto"/>
        <w:rPr>
          <w:sz w:val="20"/>
          <w:szCs w:val="20"/>
          <w:color w:val="auto"/>
        </w:rPr>
      </w:pPr>
      <w:r>
        <w:rPr>
          <w:rFonts w:ascii="Arial" w:cs="Arial" w:eastAsia="Arial" w:hAnsi="Arial"/>
          <w:sz w:val="22"/>
          <w:szCs w:val="22"/>
          <w:color w:val="auto"/>
        </w:rPr>
        <w:t xml:space="preserve">Section 3.1. </w:t>
      </w:r>
      <w:r>
        <w:rPr>
          <w:rFonts w:ascii="Arial" w:cs="Arial" w:eastAsia="Arial" w:hAnsi="Arial"/>
          <w:sz w:val="22"/>
          <w:szCs w:val="22"/>
          <w:u w:val="single" w:color="auto"/>
          <w:color w:val="auto"/>
        </w:rPr>
        <w:t>Taxes Shown on Tax Returns</w:t>
      </w:r>
      <w:r>
        <w:rPr>
          <w:rFonts w:ascii="Arial" w:cs="Arial" w:eastAsia="Arial" w:hAnsi="Arial"/>
          <w:sz w:val="22"/>
          <w:szCs w:val="22"/>
          <w:color w:val="auto"/>
        </w:rPr>
        <w:t xml:space="preserve">. TFMC shall pay (or cause to be paid) to the proper Tax Authority the Tax shown as due on any Tax Return that a member of the TFMC Group is responsible for preparing under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and TEN shall pay (or cause to be paid) to the proper Tax Authority the Tax shown as due on any Tax Return that a member of the TEN Group is responsible for preparing under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At least three (3) Business Days prior to any Payment Date for any Straddle Period Joint Return, TEN shall pay to TFMC the amount TEN is responsible for under the provisions of </w:t>
      </w:r>
      <w:r>
        <w:rPr>
          <w:rFonts w:ascii="Arial" w:cs="Arial" w:eastAsia="Arial" w:hAnsi="Arial"/>
          <w:sz w:val="22"/>
          <w:szCs w:val="22"/>
          <w:u w:val="single" w:color="auto"/>
          <w:color w:val="auto"/>
        </w:rPr>
        <w:t>Article I</w:t>
      </w:r>
      <w:r>
        <w:rPr>
          <w:rFonts w:ascii="Arial" w:cs="Arial" w:eastAsia="Arial" w:hAnsi="Arial"/>
          <w:sz w:val="22"/>
          <w:szCs w:val="22"/>
          <w:color w:val="auto"/>
        </w:rPr>
        <w:t xml:space="preserve"> as calculated pursuant to this Agreement.</w:t>
      </w:r>
    </w:p>
    <w:p>
      <w:pPr>
        <w:spacing w:after="0" w:line="215" w:lineRule="exact"/>
        <w:rPr>
          <w:sz w:val="20"/>
          <w:szCs w:val="20"/>
          <w:color w:val="auto"/>
        </w:rPr>
      </w:pPr>
    </w:p>
    <w:p>
      <w:pPr>
        <w:ind w:right="220" w:firstLine="648"/>
        <w:spacing w:after="0" w:line="287" w:lineRule="auto"/>
        <w:rPr>
          <w:sz w:val="20"/>
          <w:szCs w:val="20"/>
          <w:color w:val="auto"/>
        </w:rPr>
      </w:pPr>
      <w:r>
        <w:rPr>
          <w:rFonts w:ascii="Arial" w:cs="Arial" w:eastAsia="Arial" w:hAnsi="Arial"/>
          <w:sz w:val="19"/>
          <w:szCs w:val="19"/>
          <w:color w:val="auto"/>
        </w:rPr>
        <w:t xml:space="preserve">Section 3.2. </w:t>
      </w:r>
      <w:r>
        <w:rPr>
          <w:rFonts w:ascii="Arial" w:cs="Arial" w:eastAsia="Arial" w:hAnsi="Arial"/>
          <w:sz w:val="19"/>
          <w:szCs w:val="19"/>
          <w:u w:val="single" w:color="auto"/>
          <w:color w:val="auto"/>
        </w:rPr>
        <w:t>Adjustments Resulting in Underpayments</w:t>
      </w:r>
      <w:r>
        <w:rPr>
          <w:rFonts w:ascii="Arial" w:cs="Arial" w:eastAsia="Arial" w:hAnsi="Arial"/>
          <w:sz w:val="19"/>
          <w:szCs w:val="19"/>
          <w:color w:val="auto"/>
        </w:rPr>
        <w:t>. In the case of any adjustment pursuant to a Final Determination with respect to any Tax, the Party to which such Tax is allocated pursuant to this Agreement shall pay to the applicable Tax Authority when due any additional Tax required to be paid as a result of such adjustment or, if the other Party is required under applicable Law to make such payment, to reimburse the paying Party with respect to such adjustment.</w:t>
      </w:r>
    </w:p>
    <w:p>
      <w:pPr>
        <w:spacing w:after="0" w:line="170"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Section 3.3.</w:t>
      </w:r>
      <w:r>
        <w:rPr>
          <w:sz w:val="20"/>
          <w:szCs w:val="20"/>
          <w:color w:val="auto"/>
        </w:rPr>
        <w:tab/>
      </w:r>
      <w:r>
        <w:rPr>
          <w:rFonts w:ascii="Arial" w:cs="Arial" w:eastAsia="Arial" w:hAnsi="Arial"/>
          <w:sz w:val="19"/>
          <w:szCs w:val="19"/>
          <w:u w:val="single" w:color="auto"/>
          <w:color w:val="auto"/>
        </w:rPr>
        <w:t>Indemnification Payments</w:t>
      </w:r>
      <w:r>
        <w:rPr>
          <w:rFonts w:ascii="Arial" w:cs="Arial" w:eastAsia="Arial" w:hAnsi="Arial"/>
          <w:sz w:val="19"/>
          <w:szCs w:val="19"/>
          <w:color w:val="auto"/>
        </w:rPr>
        <w:t>.</w:t>
      </w:r>
    </w:p>
    <w:p>
      <w:pPr>
        <w:spacing w:after="0" w:line="233" w:lineRule="exact"/>
        <w:rPr>
          <w:sz w:val="20"/>
          <w:szCs w:val="20"/>
          <w:color w:val="auto"/>
        </w:rPr>
      </w:pPr>
    </w:p>
    <w:p>
      <w:pPr>
        <w:ind w:firstLine="656"/>
        <w:spacing w:after="0" w:line="274" w:lineRule="auto"/>
        <w:tabs>
          <w:tab w:leader="none" w:pos="1428" w:val="left"/>
        </w:tabs>
        <w:numPr>
          <w:ilvl w:val="0"/>
          <w:numId w:val="22"/>
        </w:numPr>
        <w:rPr>
          <w:rFonts w:ascii="Arial" w:cs="Arial" w:eastAsia="Arial" w:hAnsi="Arial"/>
          <w:sz w:val="19"/>
          <w:szCs w:val="19"/>
          <w:color w:val="auto"/>
        </w:rPr>
      </w:pPr>
      <w:r>
        <w:rPr>
          <w:rFonts w:ascii="Arial" w:cs="Arial" w:eastAsia="Arial" w:hAnsi="Arial"/>
          <w:sz w:val="19"/>
          <w:szCs w:val="19"/>
          <w:color w:val="auto"/>
        </w:rPr>
        <w:t xml:space="preserve">Except as provided in the last sentence of </w:t>
      </w:r>
      <w:r>
        <w:rPr>
          <w:rFonts w:ascii="Arial" w:cs="Arial" w:eastAsia="Arial" w:hAnsi="Arial"/>
          <w:sz w:val="19"/>
          <w:szCs w:val="19"/>
          <w:u w:val="single" w:color="auto"/>
          <w:color w:val="auto"/>
        </w:rPr>
        <w:t>Section 3.1</w:t>
      </w:r>
      <w:r>
        <w:rPr>
          <w:rFonts w:ascii="Arial" w:cs="Arial" w:eastAsia="Arial" w:hAnsi="Arial"/>
          <w:sz w:val="19"/>
          <w:szCs w:val="19"/>
          <w:color w:val="auto"/>
        </w:rPr>
        <w:t>, if any Party (the “</w:t>
      </w:r>
      <w:r>
        <w:rPr>
          <w:rFonts w:ascii="Arial" w:cs="Arial" w:eastAsia="Arial" w:hAnsi="Arial"/>
          <w:sz w:val="19"/>
          <w:szCs w:val="19"/>
          <w:u w:val="single" w:color="auto"/>
          <w:color w:val="auto"/>
        </w:rPr>
        <w:t>Payor</w:t>
      </w:r>
      <w:r>
        <w:rPr>
          <w:rFonts w:ascii="Arial" w:cs="Arial" w:eastAsia="Arial" w:hAnsi="Arial"/>
          <w:sz w:val="19"/>
          <w:szCs w:val="19"/>
          <w:color w:val="auto"/>
        </w:rPr>
        <w:t>”) is required under applicable Tax Law to pay to a Tax Authority a Tax that another Party (the “</w:t>
      </w:r>
      <w:r>
        <w:rPr>
          <w:rFonts w:ascii="Arial" w:cs="Arial" w:eastAsia="Arial" w:hAnsi="Arial"/>
          <w:sz w:val="19"/>
          <w:szCs w:val="19"/>
          <w:u w:val="single" w:color="auto"/>
          <w:color w:val="auto"/>
        </w:rPr>
        <w:t>Required Party</w:t>
      </w:r>
      <w:r>
        <w:rPr>
          <w:rFonts w:ascii="Arial" w:cs="Arial" w:eastAsia="Arial" w:hAnsi="Arial"/>
          <w:sz w:val="19"/>
          <w:szCs w:val="19"/>
          <w:color w:val="auto"/>
        </w:rPr>
        <w:t xml:space="preserve">”) is liable for or required to indemnify the Payor for under this Agreement, the Required Party shall reimburse the Payor within thirty (30) Business Days of delivery by the Payor to the Required Party of an invoice for the amount due, accompanied by evidence of payment and a statement detailing the Taxes paid and describing in reasonable detail the particulars relating thereto. Except as otherwise provided in the following sentence, the Required Party shall also pay to the Payor any reasonable costs and expenses related to the foregoing (including reasonable attorneys’ fees and expenses) within thirty (30) Business Days after the Payor’s written demand therefor. Notwithstanding the foregoing, if TFMC or TEN disputes in good faith the fact or the amount of its obligation hereunder, then no payment of the amount in dispute shall be required until any such good faith dispute is resolved in accordance with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hereof.</w:t>
      </w:r>
    </w:p>
    <w:p>
      <w:pPr>
        <w:spacing w:after="0" w:line="185" w:lineRule="exact"/>
        <w:rPr>
          <w:rFonts w:ascii="Arial" w:cs="Arial" w:eastAsia="Arial" w:hAnsi="Arial"/>
          <w:sz w:val="19"/>
          <w:szCs w:val="19"/>
          <w:color w:val="auto"/>
        </w:rPr>
      </w:pPr>
    </w:p>
    <w:p>
      <w:pPr>
        <w:ind w:right="160" w:firstLine="656"/>
        <w:spacing w:after="0" w:line="238" w:lineRule="auto"/>
        <w:tabs>
          <w:tab w:leader="none" w:pos="1440" w:val="left"/>
        </w:tabs>
        <w:numPr>
          <w:ilvl w:val="0"/>
          <w:numId w:val="22"/>
        </w:numPr>
        <w:rPr>
          <w:rFonts w:ascii="Arial" w:cs="Arial" w:eastAsia="Arial" w:hAnsi="Arial"/>
          <w:sz w:val="22"/>
          <w:szCs w:val="22"/>
          <w:color w:val="auto"/>
        </w:rPr>
      </w:pPr>
      <w:r>
        <w:rPr>
          <w:rFonts w:ascii="Arial" w:cs="Arial" w:eastAsia="Arial" w:hAnsi="Arial"/>
          <w:sz w:val="22"/>
          <w:szCs w:val="22"/>
          <w:color w:val="auto"/>
        </w:rPr>
        <w:t>All indemnification payments under this Agreement shall be made by TFMC directly to TEN and by TEN directly to TFMC; provided, however, that if the Parties mutually agree for administrative convenience with respect to any such indemnification payment, any member of the TFMC Group, on the one hand, may make such indemnification payment to any member of the TEN Group, on the other hand, and vice versa.</w:t>
      </w:r>
    </w:p>
    <w:p>
      <w:pPr>
        <w:spacing w:after="0" w:line="212"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ARTICLE IV</w:t>
      </w:r>
    </w:p>
    <w:p>
      <w:pPr>
        <w:spacing w:after="0" w:line="8"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TAX BENEFITS</w:t>
      </w:r>
    </w:p>
    <w:p>
      <w:pPr>
        <w:spacing w:after="0" w:line="215" w:lineRule="exact"/>
        <w:rPr>
          <w:sz w:val="20"/>
          <w:szCs w:val="20"/>
          <w:color w:val="auto"/>
        </w:rPr>
      </w:pPr>
    </w:p>
    <w:p>
      <w:pPr>
        <w:ind w:right="100" w:firstLine="648"/>
        <w:spacing w:after="0" w:line="282" w:lineRule="auto"/>
        <w:rPr>
          <w:sz w:val="20"/>
          <w:szCs w:val="20"/>
          <w:color w:val="auto"/>
        </w:rPr>
      </w:pPr>
      <w:r>
        <w:rPr>
          <w:rFonts w:ascii="Arial" w:cs="Arial" w:eastAsia="Arial" w:hAnsi="Arial"/>
          <w:sz w:val="19"/>
          <w:szCs w:val="19"/>
          <w:color w:val="auto"/>
        </w:rPr>
        <w:t xml:space="preserve">Section 4.1. </w:t>
      </w:r>
      <w:r>
        <w:rPr>
          <w:rFonts w:ascii="Arial" w:cs="Arial" w:eastAsia="Arial" w:hAnsi="Arial"/>
          <w:sz w:val="19"/>
          <w:szCs w:val="19"/>
          <w:u w:val="single" w:color="auto"/>
          <w:color w:val="auto"/>
        </w:rPr>
        <w:t>Tax Refunds</w:t>
      </w:r>
      <w:r>
        <w:rPr>
          <w:rFonts w:ascii="Arial" w:cs="Arial" w:eastAsia="Arial" w:hAnsi="Arial"/>
          <w:sz w:val="19"/>
          <w:szCs w:val="19"/>
          <w:color w:val="auto"/>
        </w:rPr>
        <w:t xml:space="preserve">. TFMC shall be entitled (subject to the provisions in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to any refund (and any interest thereon received from the applicable Tax Authority) of Taxes for which TFMC is liable hereunder, and TEN shall be entitled (subject to the provisions in </w:t>
      </w:r>
      <w:r>
        <w:rPr>
          <w:rFonts w:ascii="Arial" w:cs="Arial" w:eastAsia="Arial" w:hAnsi="Arial"/>
          <w:sz w:val="19"/>
          <w:szCs w:val="19"/>
          <w:u w:val="single" w:color="auto"/>
          <w:color w:val="auto"/>
        </w:rPr>
        <w:t>Section 2.4</w:t>
      </w:r>
      <w:r>
        <w:rPr>
          <w:rFonts w:ascii="Arial" w:cs="Arial" w:eastAsia="Arial" w:hAnsi="Arial"/>
          <w:sz w:val="19"/>
          <w:szCs w:val="19"/>
          <w:color w:val="auto"/>
        </w:rPr>
        <w:t>) to any refund (and any interest thereon received from the applicable Tax Authority) of Taxes for which TEN is liable hereunder. A Party receiving a refund to which another Party is entitled hereunder shall pay over such refund to such other Party within thirty (30) Business Days after such refund is received.</w:t>
      </w: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8" w:name="page59"/>
    <w:bookmarkEnd w:id="58"/>
    <w:p>
      <w:pPr>
        <w:ind w:left="620"/>
        <w:spacing w:after="0"/>
        <w:tabs>
          <w:tab w:leader="none" w:pos="2160" w:val="left"/>
        </w:tabs>
        <w:rPr>
          <w:sz w:val="20"/>
          <w:szCs w:val="20"/>
          <w:color w:val="auto"/>
        </w:rPr>
      </w:pPr>
      <w:r>
        <w:rPr>
          <w:rFonts w:ascii="Arial" w:cs="Arial" w:eastAsia="Arial" w:hAnsi="Arial"/>
          <w:sz w:val="22"/>
          <w:szCs w:val="22"/>
          <w:color w:val="auto"/>
        </w:rPr>
        <w:t>Section 4.2.</w:t>
      </w:r>
      <w:r>
        <w:rPr>
          <w:sz w:val="20"/>
          <w:szCs w:val="20"/>
          <w:color w:val="auto"/>
        </w:rPr>
        <w:tab/>
      </w:r>
      <w:r>
        <w:rPr>
          <w:rFonts w:ascii="Arial" w:cs="Arial" w:eastAsia="Arial" w:hAnsi="Arial"/>
          <w:sz w:val="19"/>
          <w:szCs w:val="19"/>
          <w:u w:val="single" w:color="auto"/>
          <w:color w:val="auto"/>
        </w:rPr>
        <w:t>Other Tax Benefits</w:t>
      </w:r>
      <w:r>
        <w:rPr>
          <w:rFonts w:ascii="Arial" w:cs="Arial" w:eastAsia="Arial" w:hAnsi="Arial"/>
          <w:sz w:val="19"/>
          <w:szCs w:val="19"/>
          <w:color w:val="auto"/>
        </w:rPr>
        <w:t>.</w:t>
      </w:r>
    </w:p>
    <w:p>
      <w:pPr>
        <w:spacing w:after="0" w:line="234" w:lineRule="exact"/>
        <w:rPr>
          <w:sz w:val="20"/>
          <w:szCs w:val="20"/>
          <w:color w:val="auto"/>
        </w:rPr>
      </w:pPr>
    </w:p>
    <w:p>
      <w:pPr>
        <w:ind w:left="-40" w:firstLine="656"/>
        <w:spacing w:after="0" w:line="273" w:lineRule="auto"/>
        <w:tabs>
          <w:tab w:leader="none" w:pos="1388" w:val="left"/>
        </w:tabs>
        <w:numPr>
          <w:ilvl w:val="0"/>
          <w:numId w:val="23"/>
        </w:numPr>
        <w:rPr>
          <w:rFonts w:ascii="Arial" w:cs="Arial" w:eastAsia="Arial" w:hAnsi="Arial"/>
          <w:sz w:val="19"/>
          <w:szCs w:val="19"/>
          <w:color w:val="auto"/>
        </w:rPr>
      </w:pPr>
      <w:r>
        <w:rPr>
          <w:rFonts w:ascii="Arial" w:cs="Arial" w:eastAsia="Arial" w:hAnsi="Arial"/>
          <w:sz w:val="19"/>
          <w:szCs w:val="19"/>
          <w:color w:val="auto"/>
        </w:rPr>
        <w:t>If a member of the TEN Group or TFMC Group actually realizes any Tax Benefit, as a result of any liability, obligation, loss or payment (each, a “</w:t>
      </w:r>
      <w:r>
        <w:rPr>
          <w:rFonts w:ascii="Arial" w:cs="Arial" w:eastAsia="Arial" w:hAnsi="Arial"/>
          <w:sz w:val="19"/>
          <w:szCs w:val="19"/>
          <w:u w:val="single" w:color="auto"/>
          <w:color w:val="auto"/>
        </w:rPr>
        <w:t>Loss</w:t>
      </w:r>
      <w:r>
        <w:rPr>
          <w:rFonts w:ascii="Arial" w:cs="Arial" w:eastAsia="Arial" w:hAnsi="Arial"/>
          <w:sz w:val="19"/>
          <w:szCs w:val="19"/>
          <w:color w:val="auto"/>
        </w:rPr>
        <w:t xml:space="preserve">”) for which a member of one Party’s Group is required to indemnify any member of the other Party’s Group pursuant to this Agreement, the Separation Agreement or any Ancillary Agreement (in each case, without duplication of any amounts payable or taken into account under this Agreement, the Separation Agreement or any Ancillary Agreement), and such Tax Benefit would not have arisen but for such adjustment or Loss (determined on a “with and without” basis), the Party whose Group actually realizes such Tax Benefit, shall make a payment to the other Party in an amount equal to the amount of such actually realized Tax Benefit in cash within twenty (20) Business Days of actually realizing such Tax Benefit. To the extent that any Tax Benefit (or portion thereof) in respect of which any amounts were paid over pursuant to the foregoing provisions of this </w:t>
      </w:r>
      <w:r>
        <w:rPr>
          <w:rFonts w:ascii="Arial" w:cs="Arial" w:eastAsia="Arial" w:hAnsi="Arial"/>
          <w:sz w:val="19"/>
          <w:szCs w:val="19"/>
          <w:u w:val="single" w:color="auto"/>
          <w:color w:val="auto"/>
        </w:rPr>
        <w:t>Section 4.2(a)</w:t>
      </w:r>
      <w:r>
        <w:rPr>
          <w:rFonts w:ascii="Arial" w:cs="Arial" w:eastAsia="Arial" w:hAnsi="Arial"/>
          <w:sz w:val="19"/>
          <w:szCs w:val="19"/>
          <w:color w:val="auto"/>
        </w:rPr>
        <w:t xml:space="preserve"> is subsequently disallowed by the applicable Tax Authority, the Party that received such amounts shall promptly repay such amounts (together with any penalties, interest or other charges imposed by the relevant Tax Authority) to the other Party.</w:t>
      </w:r>
    </w:p>
    <w:p>
      <w:pPr>
        <w:spacing w:after="0" w:line="200" w:lineRule="exact"/>
        <w:rPr>
          <w:rFonts w:ascii="Arial" w:cs="Arial" w:eastAsia="Arial" w:hAnsi="Arial"/>
          <w:sz w:val="19"/>
          <w:szCs w:val="19"/>
          <w:color w:val="auto"/>
        </w:rPr>
      </w:pPr>
    </w:p>
    <w:p>
      <w:pPr>
        <w:spacing w:after="0" w:line="230" w:lineRule="exact"/>
        <w:rPr>
          <w:rFonts w:ascii="Arial" w:cs="Arial" w:eastAsia="Arial" w:hAnsi="Arial"/>
          <w:sz w:val="19"/>
          <w:szCs w:val="19"/>
          <w:color w:val="auto"/>
        </w:rPr>
      </w:pPr>
    </w:p>
    <w:p>
      <w:pPr>
        <w:ind w:left="-40" w:right="80" w:firstLine="656"/>
        <w:spacing w:after="0" w:line="234" w:lineRule="auto"/>
        <w:tabs>
          <w:tab w:leader="none" w:pos="1400" w:val="left"/>
        </w:tabs>
        <w:numPr>
          <w:ilvl w:val="0"/>
          <w:numId w:val="23"/>
        </w:numPr>
        <w:rPr>
          <w:rFonts w:ascii="Arial" w:cs="Arial" w:eastAsia="Arial" w:hAnsi="Arial"/>
          <w:sz w:val="22"/>
          <w:szCs w:val="22"/>
          <w:color w:val="auto"/>
        </w:rPr>
      </w:pPr>
      <w:r>
        <w:rPr>
          <w:rFonts w:ascii="Arial" w:cs="Arial" w:eastAsia="Arial" w:hAnsi="Arial"/>
          <w:sz w:val="22"/>
          <w:szCs w:val="22"/>
          <w:color w:val="auto"/>
        </w:rPr>
        <w:t xml:space="preserve">No later than twenty (20) Business Days after a Tax Benefit described in </w:t>
      </w:r>
      <w:r>
        <w:rPr>
          <w:rFonts w:ascii="Arial" w:cs="Arial" w:eastAsia="Arial" w:hAnsi="Arial"/>
          <w:sz w:val="22"/>
          <w:szCs w:val="22"/>
          <w:u w:val="single" w:color="auto"/>
          <w:color w:val="auto"/>
        </w:rPr>
        <w:t>Section 4.2(a)</w:t>
      </w:r>
      <w:r>
        <w:rPr>
          <w:rFonts w:ascii="Arial" w:cs="Arial" w:eastAsia="Arial" w:hAnsi="Arial"/>
          <w:sz w:val="22"/>
          <w:szCs w:val="22"/>
          <w:color w:val="auto"/>
        </w:rPr>
        <w:t xml:space="preserve"> is actually realized by a member of the TFMC Group or a member of the TEN Group, TFMC or TEN, as the case may be, shall provide the other Party with a written calculation of the amount payable to such other Party pursuant to </w:t>
      </w:r>
      <w:r>
        <w:rPr>
          <w:rFonts w:ascii="Arial" w:cs="Arial" w:eastAsia="Arial" w:hAnsi="Arial"/>
          <w:sz w:val="22"/>
          <w:szCs w:val="22"/>
          <w:u w:val="single" w:color="auto"/>
          <w:color w:val="auto"/>
        </w:rPr>
        <w:t>Section 4.2(a)</w:t>
      </w:r>
      <w:r>
        <w:rPr>
          <w:rFonts w:ascii="Arial" w:cs="Arial" w:eastAsia="Arial" w:hAnsi="Arial"/>
          <w:sz w:val="22"/>
          <w:szCs w:val="22"/>
          <w:color w:val="auto"/>
        </w:rPr>
        <w:t xml:space="preserve">. In the event that TFMC or TEN, as the case may be, disagrees with any such calculation described in this </w:t>
      </w:r>
      <w:r>
        <w:rPr>
          <w:rFonts w:ascii="Arial" w:cs="Arial" w:eastAsia="Arial" w:hAnsi="Arial"/>
          <w:sz w:val="22"/>
          <w:szCs w:val="22"/>
          <w:u w:val="single" w:color="auto"/>
          <w:color w:val="auto"/>
        </w:rPr>
        <w:t>Section 4.2(b)</w:t>
      </w:r>
      <w:r>
        <w:rPr>
          <w:rFonts w:ascii="Arial" w:cs="Arial" w:eastAsia="Arial" w:hAnsi="Arial"/>
          <w:sz w:val="22"/>
          <w:szCs w:val="22"/>
          <w:color w:val="auto"/>
        </w:rPr>
        <w:t xml:space="preserve">, such Party shall so notify the other Party in writing within twenty (20) Business Days of receiving such written calculation. The Parties shall endeavor in good faith to resolve such disagreement, and, failing that, the amount payable under this </w:t>
      </w:r>
      <w:r>
        <w:rPr>
          <w:rFonts w:ascii="Arial" w:cs="Arial" w:eastAsia="Arial" w:hAnsi="Arial"/>
          <w:sz w:val="22"/>
          <w:szCs w:val="22"/>
          <w:u w:val="single" w:color="auto"/>
          <w:color w:val="auto"/>
        </w:rPr>
        <w:t>Section 4.2</w:t>
      </w:r>
      <w:r>
        <w:rPr>
          <w:rFonts w:ascii="Arial" w:cs="Arial" w:eastAsia="Arial" w:hAnsi="Arial"/>
          <w:sz w:val="22"/>
          <w:szCs w:val="22"/>
          <w:color w:val="auto"/>
        </w:rPr>
        <w:t xml:space="preserve"> shall be determined in accordance with </w:t>
      </w:r>
      <w:r>
        <w:rPr>
          <w:rFonts w:ascii="Arial" w:cs="Arial" w:eastAsia="Arial" w:hAnsi="Arial"/>
          <w:sz w:val="22"/>
          <w:szCs w:val="22"/>
          <w:u w:val="single" w:color="auto"/>
          <w:color w:val="auto"/>
        </w:rPr>
        <w:t>Section 11.1</w:t>
      </w:r>
      <w:r>
        <w:rPr>
          <w:rFonts w:ascii="Arial" w:cs="Arial" w:eastAsia="Arial" w:hAnsi="Arial"/>
          <w:sz w:val="22"/>
          <w:szCs w:val="22"/>
          <w:color w:val="auto"/>
        </w:rPr>
        <w: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18" w:right="359" w:bottom="1440" w:gutter="0" w:footer="0" w:header="0"/>
        </w:sectPr>
      </w:pPr>
    </w:p>
    <w:bookmarkStart w:id="59" w:name="page60"/>
    <w:bookmarkEnd w:id="59"/>
    <w:p>
      <w:pPr>
        <w:jc w:val="center"/>
        <w:spacing w:after="0"/>
        <w:rPr>
          <w:sz w:val="20"/>
          <w:szCs w:val="20"/>
          <w:color w:val="auto"/>
        </w:rPr>
      </w:pPr>
      <w:r>
        <w:rPr>
          <w:rFonts w:ascii="Arial" w:cs="Arial" w:eastAsia="Arial" w:hAnsi="Arial"/>
          <w:sz w:val="22"/>
          <w:szCs w:val="22"/>
          <w:color w:val="auto"/>
        </w:rPr>
        <w:t>ARTICLE V</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ADDITIONAL COVENANTS</w:t>
      </w:r>
    </w:p>
    <w:p>
      <w:pPr>
        <w:spacing w:after="0" w:line="215" w:lineRule="exact"/>
        <w:rPr>
          <w:sz w:val="20"/>
          <w:szCs w:val="20"/>
          <w:color w:val="auto"/>
        </w:rPr>
      </w:pPr>
    </w:p>
    <w:p>
      <w:pPr>
        <w:ind w:left="620"/>
        <w:spacing w:after="0"/>
        <w:tabs>
          <w:tab w:leader="none" w:pos="2160" w:val="left"/>
        </w:tabs>
        <w:rPr>
          <w:sz w:val="20"/>
          <w:szCs w:val="20"/>
          <w:color w:val="auto"/>
        </w:rPr>
      </w:pPr>
      <w:r>
        <w:rPr>
          <w:rFonts w:ascii="Arial" w:cs="Arial" w:eastAsia="Arial" w:hAnsi="Arial"/>
          <w:sz w:val="22"/>
          <w:szCs w:val="22"/>
          <w:color w:val="auto"/>
        </w:rPr>
        <w:t>Section 5.1.</w:t>
      </w:r>
      <w:r>
        <w:rPr>
          <w:sz w:val="20"/>
          <w:szCs w:val="20"/>
          <w:color w:val="auto"/>
        </w:rPr>
        <w:tab/>
      </w:r>
      <w:r>
        <w:rPr>
          <w:rFonts w:ascii="Arial" w:cs="Arial" w:eastAsia="Arial" w:hAnsi="Arial"/>
          <w:sz w:val="19"/>
          <w:szCs w:val="19"/>
          <w:u w:val="single" w:color="auto"/>
          <w:color w:val="auto"/>
        </w:rPr>
        <w:t>Assistance and Cooperation</w:t>
      </w:r>
      <w:r>
        <w:rPr>
          <w:rFonts w:ascii="Arial" w:cs="Arial" w:eastAsia="Arial" w:hAnsi="Arial"/>
          <w:sz w:val="19"/>
          <w:szCs w:val="19"/>
          <w:color w:val="auto"/>
        </w:rPr>
        <w:t>.</w:t>
      </w:r>
    </w:p>
    <w:p>
      <w:pPr>
        <w:spacing w:after="0" w:line="233" w:lineRule="exact"/>
        <w:rPr>
          <w:sz w:val="20"/>
          <w:szCs w:val="20"/>
          <w:color w:val="auto"/>
        </w:rPr>
      </w:pPr>
    </w:p>
    <w:p>
      <w:pPr>
        <w:ind w:left="-40" w:firstLine="656"/>
        <w:spacing w:after="0" w:line="271" w:lineRule="auto"/>
        <w:tabs>
          <w:tab w:leader="none" w:pos="1388" w:val="left"/>
        </w:tabs>
        <w:numPr>
          <w:ilvl w:val="0"/>
          <w:numId w:val="24"/>
        </w:numPr>
        <w:rPr>
          <w:rFonts w:ascii="Arial" w:cs="Arial" w:eastAsia="Arial" w:hAnsi="Arial"/>
          <w:sz w:val="19"/>
          <w:szCs w:val="19"/>
          <w:color w:val="auto"/>
        </w:rPr>
      </w:pPr>
      <w:r>
        <w:rPr>
          <w:rFonts w:ascii="Arial" w:cs="Arial" w:eastAsia="Arial" w:hAnsi="Arial"/>
          <w:sz w:val="19"/>
          <w:szCs w:val="19"/>
          <w:color w:val="auto"/>
        </w:rPr>
        <w:t xml:space="preserve">The Parties shall cooperate (and cause their respective Affiliates to cooperate) with each other and with each other’s agents, including accounting firms and legal counsel, in connection with Tax matters relating to the Parties and their Affiliates, including (i) preparation and filing of Tax Returns, (ii) determining the liability for and amount of any Taxes due (including estimated Taxes) or the right to and amount of any refund of Taxes, (iii) examinations of Tax Returns, and (iv) any administrative or judicial proceeding in respect of Taxes assessed or proposed to be assessed. Such cooperation shall include making all information and documents in their possession relating to any other Party and its Affiliates reasonably available to such other Party as provided in </w:t>
      </w:r>
      <w:r>
        <w:rPr>
          <w:rFonts w:ascii="Arial" w:cs="Arial" w:eastAsia="Arial" w:hAnsi="Arial"/>
          <w:sz w:val="19"/>
          <w:szCs w:val="19"/>
          <w:u w:val="single" w:color="auto"/>
          <w:color w:val="auto"/>
        </w:rPr>
        <w:t>Article VI</w:t>
      </w:r>
      <w:r>
        <w:rPr>
          <w:rFonts w:ascii="Arial" w:cs="Arial" w:eastAsia="Arial" w:hAnsi="Arial"/>
          <w:sz w:val="19"/>
          <w:szCs w:val="19"/>
          <w:color w:val="auto"/>
        </w:rPr>
        <w:t>. Each of the Parties shall also make available to any other Party, as reasonably requested and available, personnel (including officers, directors, employees and agents of the Parties or their respective Affiliates) responsible for preparing, maintaining, and interpreting information and documents relevant to Taxes, and personnel reasonably required as witnesses or for purposes of providing information or documents in connection with any administrative or judicial proceedings relating to Taxes. TEN and each other member of the TEN Group shall cooperate with TFMC and take any and all actions reasonably requested by TFMC in connection with obtaining the Tax Opinions (including, by making any new representation or covenant, confirming any previously made representation or covenant or providing any materials or information requested by any Tax Advisor; provided that neither TEN nor any other member of the TEN Group shall be required to make or confirm any representation or covenant that is inconsistent with historical facts or as to future matters or events over which it has no control).</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18" w:right="359" w:bottom="1440" w:gutter="0" w:footer="0" w:header="0"/>
        </w:sectPr>
      </w:pPr>
    </w:p>
    <w:bookmarkStart w:id="60" w:name="page61"/>
    <w:bookmarkEnd w:id="60"/>
    <w:p>
      <w:pPr>
        <w:ind w:firstLine="656"/>
        <w:spacing w:after="0" w:line="247" w:lineRule="auto"/>
        <w:tabs>
          <w:tab w:leader="none" w:pos="1440" w:val="left"/>
        </w:tabs>
        <w:numPr>
          <w:ilvl w:val="0"/>
          <w:numId w:val="25"/>
        </w:numPr>
        <w:rPr>
          <w:rFonts w:ascii="Arial" w:cs="Arial" w:eastAsia="Arial" w:hAnsi="Arial"/>
          <w:sz w:val="21"/>
          <w:szCs w:val="21"/>
          <w:color w:val="auto"/>
        </w:rPr>
      </w:pPr>
      <w:r>
        <w:rPr>
          <w:rFonts w:ascii="Arial" w:cs="Arial" w:eastAsia="Arial" w:hAnsi="Arial"/>
          <w:sz w:val="21"/>
          <w:szCs w:val="21"/>
          <w:color w:val="auto"/>
        </w:rPr>
        <w:t xml:space="preserve">Any information or documents provided under this Agreement shall be kept confidential by the Party receiving the information or documents, except as may otherwise be necessary in connection with the filing of Tax Returns or in connection with any administrative or judicial proceedings relating to Taxes. In addition, in the event that TFMC determines that the provision of any information or documents to TEN or any TEN Affiliate, or TEN determines that the provision of any information or documents to TFMC or any TFMC Affiliate, could be commercially detrimental, violate any Law or agreement or waive any Privilege, the Parties shall use commercially reasonable efforts to permit each other’s compliance with its obligations under this </w:t>
      </w:r>
      <w:r>
        <w:rPr>
          <w:rFonts w:ascii="Arial" w:cs="Arial" w:eastAsia="Arial" w:hAnsi="Arial"/>
          <w:sz w:val="21"/>
          <w:szCs w:val="21"/>
          <w:u w:val="single" w:color="auto"/>
          <w:color w:val="auto"/>
        </w:rPr>
        <w:t>Article V</w:t>
      </w:r>
      <w:r>
        <w:rPr>
          <w:rFonts w:ascii="Arial" w:cs="Arial" w:eastAsia="Arial" w:hAnsi="Arial"/>
          <w:sz w:val="21"/>
          <w:szCs w:val="21"/>
          <w:color w:val="auto"/>
        </w:rPr>
        <w:t xml:space="preserve"> in a manner that avoids any such harm or consequence.</w:t>
      </w:r>
    </w:p>
    <w:p>
      <w:pPr>
        <w:spacing w:after="0" w:line="205" w:lineRule="exact"/>
        <w:rPr>
          <w:sz w:val="20"/>
          <w:szCs w:val="20"/>
          <w:color w:val="auto"/>
        </w:rPr>
      </w:pPr>
    </w:p>
    <w:p>
      <w:pPr>
        <w:ind w:right="80" w:firstLine="648"/>
        <w:spacing w:after="0" w:line="274" w:lineRule="auto"/>
        <w:rPr>
          <w:sz w:val="20"/>
          <w:szCs w:val="20"/>
          <w:color w:val="auto"/>
        </w:rPr>
      </w:pPr>
      <w:r>
        <w:rPr>
          <w:rFonts w:ascii="Arial" w:cs="Arial" w:eastAsia="Arial" w:hAnsi="Arial"/>
          <w:sz w:val="19"/>
          <w:szCs w:val="19"/>
          <w:color w:val="auto"/>
        </w:rPr>
        <w:t xml:space="preserve">Section 5.2. </w:t>
      </w:r>
      <w:r>
        <w:rPr>
          <w:rFonts w:ascii="Arial" w:cs="Arial" w:eastAsia="Arial" w:hAnsi="Arial"/>
          <w:sz w:val="19"/>
          <w:szCs w:val="19"/>
          <w:u w:val="single" w:color="auto"/>
          <w:color w:val="auto"/>
        </w:rPr>
        <w:t>Tax Return Information</w:t>
      </w:r>
      <w:r>
        <w:rPr>
          <w:rFonts w:ascii="Arial" w:cs="Arial" w:eastAsia="Arial" w:hAnsi="Arial"/>
          <w:sz w:val="19"/>
          <w:szCs w:val="19"/>
          <w:color w:val="auto"/>
        </w:rPr>
        <w:t xml:space="preserve">. Each of TFMC and TEN acknowledges, and shall cause each member of their respective Group to acknowledge, that time is of the essence in relation to any request for information, assistance or cooperation made pursuant to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or this </w:t>
      </w:r>
      <w:r>
        <w:rPr>
          <w:rFonts w:ascii="Arial" w:cs="Arial" w:eastAsia="Arial" w:hAnsi="Arial"/>
          <w:sz w:val="19"/>
          <w:szCs w:val="19"/>
          <w:u w:val="single" w:color="auto"/>
          <w:color w:val="auto"/>
        </w:rPr>
        <w:t>Section 5.2</w:t>
      </w:r>
      <w:r>
        <w:rPr>
          <w:rFonts w:ascii="Arial" w:cs="Arial" w:eastAsia="Arial" w:hAnsi="Arial"/>
          <w:sz w:val="19"/>
          <w:szCs w:val="19"/>
          <w:color w:val="auto"/>
        </w:rPr>
        <w:t>. Each of TFMC and TEN, and each member of their respective Group, acknowledges that failure to conform to the reasonable deadlines set by the Party making such request could cause irreparable harm. Each Party shall provide to the other Party information and documents relating to its Group reasonably required by the other Party to prepare Tax Returns, including any pro forma returns required by the Responsible Party for purposes of preparing such Tax Returns. Any information or documents the Responsible Party requires to prepare such Tax Returns shall be provided in such form as the Responsible Party reasonably requests and at or prior to the time reasonably specified by the Responsible Party so as to enable the Responsible Party to file such Tax Returns on a timely basis.</w:t>
      </w:r>
    </w:p>
    <w:p>
      <w:pPr>
        <w:spacing w:after="0" w:line="185" w:lineRule="exact"/>
        <w:rPr>
          <w:sz w:val="20"/>
          <w:szCs w:val="20"/>
          <w:color w:val="auto"/>
        </w:rPr>
      </w:pPr>
    </w:p>
    <w:p>
      <w:pPr>
        <w:ind w:right="40" w:firstLine="648"/>
        <w:spacing w:after="0" w:line="273" w:lineRule="auto"/>
        <w:rPr>
          <w:sz w:val="20"/>
          <w:szCs w:val="20"/>
          <w:color w:val="auto"/>
        </w:rPr>
      </w:pPr>
      <w:r>
        <w:rPr>
          <w:rFonts w:ascii="Arial" w:cs="Arial" w:eastAsia="Arial" w:hAnsi="Arial"/>
          <w:sz w:val="19"/>
          <w:szCs w:val="19"/>
          <w:color w:val="auto"/>
        </w:rPr>
        <w:t xml:space="preserve">Section 5.3. </w:t>
      </w:r>
      <w:r>
        <w:rPr>
          <w:rFonts w:ascii="Arial" w:cs="Arial" w:eastAsia="Arial" w:hAnsi="Arial"/>
          <w:sz w:val="19"/>
          <w:szCs w:val="19"/>
          <w:u w:val="single" w:color="auto"/>
          <w:color w:val="auto"/>
        </w:rPr>
        <w:t>Reliance by TFMC</w:t>
      </w:r>
      <w:r>
        <w:rPr>
          <w:rFonts w:ascii="Arial" w:cs="Arial" w:eastAsia="Arial" w:hAnsi="Arial"/>
          <w:sz w:val="19"/>
          <w:szCs w:val="19"/>
          <w:color w:val="auto"/>
        </w:rPr>
        <w:t xml:space="preserve">. If any member of the TEN Group supplies information to a member of the TFMC Group in connection with a Tax liability and an officer of a member of the TFMC Group signs a statement or other document under penalties of perjury in reliance upon the accuracy of such information, then upon the written request of such member of the TFMC Group identifying the information being so relied upon, the chief financial officer of TEN (or any officer of TEN as designated by the chief financial officer of TEN) shall certify in writing that to his or her knowledge (based upon consultation with appropriate employees) the information so supplied is accurate and complete. TEN shall, to the fullest extent permitted by Law, indemnify, defend and hold harmless TFMC and each member of the TFMC Group and each of their respective past, present and future directors, officers, employees and agents, in each case in their respective capacities as such, and each of the heirs, executors, successors and assigns of any of the foregoing from and against any Liability relating to, arising out of or resulting from, directly or indirectly, a member of the TEN Group having supplied, pursuant to this </w:t>
      </w:r>
      <w:r>
        <w:rPr>
          <w:rFonts w:ascii="Arial" w:cs="Arial" w:eastAsia="Arial" w:hAnsi="Arial"/>
          <w:sz w:val="19"/>
          <w:szCs w:val="19"/>
          <w:u w:val="single" w:color="auto"/>
          <w:color w:val="auto"/>
        </w:rPr>
        <w:t>Article V</w:t>
      </w:r>
      <w:r>
        <w:rPr>
          <w:rFonts w:ascii="Arial" w:cs="Arial" w:eastAsia="Arial" w:hAnsi="Arial"/>
          <w:sz w:val="19"/>
          <w:szCs w:val="19"/>
          <w:color w:val="auto"/>
        </w:rPr>
        <w:t>, a member of the TFMC Group with inaccurate or incomplete information in connection with a Tax liability.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ind w:right="20" w:firstLine="648"/>
        <w:spacing w:after="0" w:line="273" w:lineRule="auto"/>
        <w:rPr>
          <w:sz w:val="20"/>
          <w:szCs w:val="20"/>
          <w:color w:val="auto"/>
        </w:rPr>
      </w:pPr>
      <w:r>
        <w:rPr>
          <w:rFonts w:ascii="Arial" w:cs="Arial" w:eastAsia="Arial" w:hAnsi="Arial"/>
          <w:sz w:val="19"/>
          <w:szCs w:val="19"/>
          <w:color w:val="auto"/>
        </w:rPr>
        <w:t xml:space="preserve">Section 5.4. </w:t>
      </w:r>
      <w:r>
        <w:rPr>
          <w:rFonts w:ascii="Arial" w:cs="Arial" w:eastAsia="Arial" w:hAnsi="Arial"/>
          <w:sz w:val="19"/>
          <w:szCs w:val="19"/>
          <w:u w:val="single" w:color="auto"/>
          <w:color w:val="auto"/>
        </w:rPr>
        <w:t>Reliance by TEN</w:t>
      </w:r>
      <w:r>
        <w:rPr>
          <w:rFonts w:ascii="Arial" w:cs="Arial" w:eastAsia="Arial" w:hAnsi="Arial"/>
          <w:sz w:val="19"/>
          <w:szCs w:val="19"/>
          <w:color w:val="auto"/>
        </w:rPr>
        <w:t xml:space="preserve">. If any member of the TFMC Group supplies information to a member of the TEN Group in connection with a Tax liability and an officer of a member of the TEN Group signs a statement or other document under penalties of perjury in reliance upon the accuracy of such information, then upon the written request of such member of the TEN Group identifying the information being so relied upon, the chief financial officer of TFMC (or any officer of TFMC as designated by the chief financial officer of TFMC) shall certify in writing that to his or her knowledge (based upon consultation with appropriate employees) the information so supplied is accurate and complete. TFMC shall, to the fullest extent permitted by Law, indemnify, defend and hold harmless TEN and each member of the TEN Group and each of their respective past, present and future directors, officers, employees and agents, in each case in their respective capacities as such, and each of the heirs, executors, successors and assigns of any of the foregoing from and against any Liability relating to, arising out of or resulting from, directly or indirectly, a member of the TFMC Group having supplied, pursuant to this </w:t>
      </w:r>
      <w:r>
        <w:rPr>
          <w:rFonts w:ascii="Arial" w:cs="Arial" w:eastAsia="Arial" w:hAnsi="Arial"/>
          <w:sz w:val="19"/>
          <w:szCs w:val="19"/>
          <w:u w:val="single" w:color="auto"/>
          <w:color w:val="auto"/>
        </w:rPr>
        <w:t>Article V</w:t>
      </w:r>
      <w:r>
        <w:rPr>
          <w:rFonts w:ascii="Arial" w:cs="Arial" w:eastAsia="Arial" w:hAnsi="Arial"/>
          <w:sz w:val="19"/>
          <w:szCs w:val="19"/>
          <w:color w:val="auto"/>
        </w:rPr>
        <w:t>, a member of the TEN Group with inaccurate or incomplete information in connection with a Tax liability.</w:t>
      </w:r>
    </w:p>
    <w:p>
      <w:pPr>
        <w:spacing w:after="0" w:line="183" w:lineRule="exact"/>
        <w:rPr>
          <w:sz w:val="20"/>
          <w:szCs w:val="20"/>
          <w:color w:val="auto"/>
        </w:rPr>
      </w:pPr>
    </w:p>
    <w:p>
      <w:pPr>
        <w:ind w:right="140" w:firstLine="648"/>
        <w:spacing w:after="0" w:line="273" w:lineRule="auto"/>
        <w:rPr>
          <w:sz w:val="20"/>
          <w:szCs w:val="20"/>
          <w:color w:val="auto"/>
        </w:rPr>
      </w:pPr>
      <w:r>
        <w:rPr>
          <w:rFonts w:ascii="Arial" w:cs="Arial" w:eastAsia="Arial" w:hAnsi="Arial"/>
          <w:sz w:val="19"/>
          <w:szCs w:val="19"/>
          <w:color w:val="auto"/>
        </w:rPr>
        <w:t xml:space="preserve">Section 5.5. </w:t>
      </w:r>
      <w:r>
        <w:rPr>
          <w:rFonts w:ascii="Arial" w:cs="Arial" w:eastAsia="Arial" w:hAnsi="Arial"/>
          <w:sz w:val="19"/>
          <w:szCs w:val="19"/>
          <w:u w:val="single" w:color="auto"/>
          <w:color w:val="auto"/>
        </w:rPr>
        <w:t>Separation Taxes</w:t>
      </w:r>
      <w:r>
        <w:rPr>
          <w:rFonts w:ascii="Arial" w:cs="Arial" w:eastAsia="Arial" w:hAnsi="Arial"/>
          <w:sz w:val="19"/>
          <w:szCs w:val="19"/>
          <w:color w:val="auto"/>
        </w:rPr>
        <w:t>. As soon as reasonably practicable after the close of the Tax Period in which the Distribution Date occurs but in no event more than one hundred and eighty (180) days after the close of such Tax Period, TFMC shall deliver to TEN a schedule showing in reasonable detail acceptable to TEN the estimated calculation of Separation Taxes. No later than thirty (30) days prior to the filing of any Joint Return on which such Separation Taxes are reported, TFMC shall deliver to TEN a final calculation of Separation Taxes reported on such Joint Return. TEN shall review such schedule of Separation Taxes and provide TFMC any comments with respect thereto no later than ten (10) days prior to filing any such applicable Joint Return. TFMC shall accept any such comments that are reasonable, and such resulting determination will become final. TEN shall (and shall cause its Affiliates to) reasonably cooperate with TFMC to correct any errors in the chronology or completion of any transactions intended to facilitate, or otherwise effectuated in connection with, the Separation, and take any and all commercially reasonable actions requested by TFMC to minimize any Separation Taxes.</w:t>
      </w:r>
    </w:p>
    <w:p>
      <w:pPr>
        <w:spacing w:after="0" w:line="188"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 xml:space="preserve">Section 5.6. </w:t>
      </w:r>
      <w:r>
        <w:rPr>
          <w:rFonts w:ascii="Arial" w:cs="Arial" w:eastAsia="Arial" w:hAnsi="Arial"/>
          <w:sz w:val="22"/>
          <w:szCs w:val="22"/>
          <w:u w:val="single" w:color="auto"/>
          <w:color w:val="auto"/>
        </w:rPr>
        <w:t>Quarterly Meetings</w:t>
      </w:r>
      <w:r>
        <w:rPr>
          <w:rFonts w:ascii="Arial" w:cs="Arial" w:eastAsia="Arial" w:hAnsi="Arial"/>
          <w:sz w:val="22"/>
          <w:szCs w:val="22"/>
          <w:color w:val="auto"/>
        </w:rPr>
        <w:t>. Executives designated by the Parties responsible for Tax matters of each respective Party shall meet in person or by teleconference or video conference at or promptly after the conclusion of each calendar quarter beginning with the first quarter following the Distribution Date to discuss issues relating to Tax matters of the Parties and the administration of this Agreement, except as otherwise agreed by the Parties (whether by electronic mail, telephone or otherwise).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ind w:left="5040"/>
        <w:spacing w:after="0"/>
        <w:rPr>
          <w:sz w:val="20"/>
          <w:szCs w:val="20"/>
          <w:color w:val="auto"/>
        </w:rPr>
      </w:pPr>
      <w:r>
        <w:rPr>
          <w:rFonts w:ascii="Arial" w:cs="Arial" w:eastAsia="Arial" w:hAnsi="Arial"/>
          <w:sz w:val="22"/>
          <w:szCs w:val="22"/>
          <w:color w:val="auto"/>
        </w:rPr>
        <w:t>ARTICLE VI</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TAX RECORDS</w:t>
      </w:r>
    </w:p>
    <w:p>
      <w:pPr>
        <w:spacing w:after="0" w:line="215" w:lineRule="exact"/>
        <w:rPr>
          <w:sz w:val="20"/>
          <w:szCs w:val="20"/>
          <w:color w:val="auto"/>
        </w:rPr>
      </w:pPr>
    </w:p>
    <w:p>
      <w:pPr>
        <w:ind w:right="20" w:firstLine="648"/>
        <w:spacing w:after="0" w:line="270" w:lineRule="auto"/>
        <w:rPr>
          <w:sz w:val="20"/>
          <w:szCs w:val="20"/>
          <w:color w:val="auto"/>
        </w:rPr>
      </w:pPr>
      <w:r>
        <w:rPr>
          <w:rFonts w:ascii="Arial" w:cs="Arial" w:eastAsia="Arial" w:hAnsi="Arial"/>
          <w:sz w:val="19"/>
          <w:szCs w:val="19"/>
          <w:color w:val="auto"/>
        </w:rPr>
        <w:t xml:space="preserve">Section 6.1. </w:t>
      </w:r>
      <w:r>
        <w:rPr>
          <w:rFonts w:ascii="Arial" w:cs="Arial" w:eastAsia="Arial" w:hAnsi="Arial"/>
          <w:sz w:val="19"/>
          <w:szCs w:val="19"/>
          <w:u w:val="single" w:color="auto"/>
          <w:color w:val="auto"/>
        </w:rPr>
        <w:t>Retention of Tax Records</w:t>
      </w:r>
      <w:r>
        <w:rPr>
          <w:rFonts w:ascii="Arial" w:cs="Arial" w:eastAsia="Arial" w:hAnsi="Arial"/>
          <w:sz w:val="19"/>
          <w:szCs w:val="19"/>
          <w:color w:val="auto"/>
        </w:rPr>
        <w:t>. Each of TFMC and TEN shall preserve and keep all Tax Records exclusively relating to the assets and activities of its Group for Pre-Distribution Periods, and TFMC shall preserve and keep all other Tax Records relating to Taxes of the TFMC Group and TEN Group for Pre-Distribution Periods, for so long as the contents thereof may be or become material in the administration of any matter under the Code or other applicable Tax Law, but in any event until the later of (i) the expiration of any applicable statutes of limitations, or (ii) seven (7) years after the Distribution Date (such later date, the “</w:t>
      </w:r>
      <w:r>
        <w:rPr>
          <w:rFonts w:ascii="Arial" w:cs="Arial" w:eastAsia="Arial" w:hAnsi="Arial"/>
          <w:sz w:val="19"/>
          <w:szCs w:val="19"/>
          <w:u w:val="single" w:color="auto"/>
          <w:color w:val="auto"/>
        </w:rPr>
        <w:t>Retention Date</w:t>
      </w:r>
      <w:r>
        <w:rPr>
          <w:rFonts w:ascii="Arial" w:cs="Arial" w:eastAsia="Arial" w:hAnsi="Arial"/>
          <w:sz w:val="19"/>
          <w:szCs w:val="19"/>
          <w:color w:val="auto"/>
        </w:rPr>
        <w:t xml:space="preserve">”). After the Retention Date, each of TFMC and TEN may dispose of such Tax Records upon sixty (60) Business Days’ prior written notice to the other Party. If, prior to the Retention Date, (a) TFMC or TEN reasonably determines that any Tax Records which it would otherwise be required to preserve and keep under this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are no longer material in the administration of any matter under the Code or other applicable Tax Law and the other Party agrees, then such first Party may dispose of such Tax Records upon sixty (60) Business Days’ prior notice to the other Party. Any notice of an intent to dispose given pursuant to this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shall include a list of the Tax Records to be disposed of describing in reasonable detail each file, book, or other record accumulation being disposed. The notified Parties shall have the opportunity, at their cost and expense, to copy or remove, within such sixty (60) Business Day period, all or any part of such Tax Records. If, at any time prior to the Retention Date, a Party or any of its Affiliates determines to decommission or otherwise discontinue any computer program or information technology system used to access or store any Tax Records, then such program or system may be decommissioned or discontinued upon ninety (90) Business Days’ prior notice to the other Party and the other Party shall have the opportunity, at its cost and expense, to copy, within such ninety (90) Business Day period, all or any part of the underlying data relating to the Tax Records accessed by or stored on such program or system.</w:t>
      </w:r>
    </w:p>
    <w:p>
      <w:pPr>
        <w:spacing w:after="0" w:line="193"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 xml:space="preserve">Section 6.2. </w:t>
      </w:r>
      <w:r>
        <w:rPr>
          <w:rFonts w:ascii="Arial" w:cs="Arial" w:eastAsia="Arial" w:hAnsi="Arial"/>
          <w:sz w:val="19"/>
          <w:szCs w:val="19"/>
          <w:u w:val="single" w:color="auto"/>
          <w:color w:val="auto"/>
        </w:rPr>
        <w:t>Access to Tax Records</w:t>
      </w:r>
      <w:r>
        <w:rPr>
          <w:rFonts w:ascii="Arial" w:cs="Arial" w:eastAsia="Arial" w:hAnsi="Arial"/>
          <w:sz w:val="19"/>
          <w:szCs w:val="19"/>
          <w:color w:val="auto"/>
        </w:rPr>
        <w:t>. The Parties shall, and shall cause their respective Affiliates to, make available to each other for inspection and copying during normal business hours upon reasonable notice all Tax Records (and, for the avoidance of doubt, any pertinent underlying data accessed or stored on any computer program or information technology system) in their possession pertaining to (a) in the case of any Tax Return of the TFMC Group, the portion of such return that relates to Taxes for which the TEN Group may be liable pursuant to this Agreement or (b) in the case of any Tax Return of the TEN Group, the portion of such return that relates to Taxes for which the TFMC Group may be liable pursuant to this Agreement, and shall permit the other Party and its Affiliates, authorized agents and representatives and any representative of a Tax Authority or other Tax auditor direct access, at the cost and expense of the requesting Party, during normal business hours upon reasonable notice to any computer program or information technology system used to access or store any Tax Records, in each case to the extent reasonably required by the other Party in connection with the preparation of Tax Returns or financial accounting statements, audits, litigation, or the resolution of items under this Agreement.</w:t>
      </w:r>
    </w:p>
    <w:p>
      <w:pPr>
        <w:spacing w:after="0" w:line="182" w:lineRule="exact"/>
        <w:rPr>
          <w:sz w:val="20"/>
          <w:szCs w:val="20"/>
          <w:color w:val="auto"/>
        </w:rPr>
      </w:pPr>
    </w:p>
    <w:p>
      <w:pPr>
        <w:ind w:right="280" w:firstLine="648"/>
        <w:spacing w:after="0" w:line="249" w:lineRule="auto"/>
        <w:rPr>
          <w:sz w:val="20"/>
          <w:szCs w:val="20"/>
          <w:color w:val="auto"/>
        </w:rPr>
      </w:pPr>
      <w:r>
        <w:rPr>
          <w:rFonts w:ascii="Arial" w:cs="Arial" w:eastAsia="Arial" w:hAnsi="Arial"/>
          <w:sz w:val="21"/>
          <w:szCs w:val="21"/>
          <w:color w:val="auto"/>
        </w:rPr>
        <w:t xml:space="preserve">Section 6.3. </w:t>
      </w:r>
      <w:r>
        <w:rPr>
          <w:rFonts w:ascii="Arial" w:cs="Arial" w:eastAsia="Arial" w:hAnsi="Arial"/>
          <w:sz w:val="21"/>
          <w:szCs w:val="21"/>
          <w:u w:val="single" w:color="auto"/>
          <w:color w:val="auto"/>
        </w:rPr>
        <w:t>Preservation of Privilege</w:t>
      </w:r>
      <w:r>
        <w:rPr>
          <w:rFonts w:ascii="Arial" w:cs="Arial" w:eastAsia="Arial" w:hAnsi="Arial"/>
          <w:sz w:val="21"/>
          <w:szCs w:val="21"/>
          <w:color w:val="auto"/>
        </w:rPr>
        <w:t>. The Parties shall, and shall cause their respective Affiliates to, not provide access to, copies of, or otherwise disclose to any Person any documentation relating to Taxes existing prior to the Distribution Date to which Privilege may reasonably be asserted without the prior written consent of the Party that may assert a claim of Privilege in respect of such documentation, which such consent may be withheld or conditioned in the sole and absolute discretion of such Party so long as such claim of Privilege may be reasonably asserted.</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ind w:left="5000"/>
        <w:spacing w:after="0"/>
        <w:rPr>
          <w:sz w:val="20"/>
          <w:szCs w:val="20"/>
          <w:color w:val="auto"/>
        </w:rPr>
      </w:pPr>
      <w:r>
        <w:rPr>
          <w:rFonts w:ascii="Arial" w:cs="Arial" w:eastAsia="Arial" w:hAnsi="Arial"/>
          <w:sz w:val="22"/>
          <w:szCs w:val="22"/>
          <w:color w:val="auto"/>
        </w:rPr>
        <w:t>ARTICLE VII</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TAX CONTESTS</w:t>
      </w:r>
    </w:p>
    <w:p>
      <w:pPr>
        <w:spacing w:after="0" w:line="215" w:lineRule="exact"/>
        <w:rPr>
          <w:sz w:val="20"/>
          <w:szCs w:val="20"/>
          <w:color w:val="auto"/>
        </w:rPr>
      </w:pPr>
    </w:p>
    <w:p>
      <w:pPr>
        <w:ind w:firstLine="648"/>
        <w:spacing w:after="0" w:line="270" w:lineRule="auto"/>
        <w:rPr>
          <w:sz w:val="20"/>
          <w:szCs w:val="20"/>
          <w:color w:val="auto"/>
        </w:rPr>
      </w:pPr>
      <w:r>
        <w:rPr>
          <w:rFonts w:ascii="Arial" w:cs="Arial" w:eastAsia="Arial" w:hAnsi="Arial"/>
          <w:sz w:val="19"/>
          <w:szCs w:val="19"/>
          <w:color w:val="auto"/>
        </w:rPr>
        <w:t xml:space="preserve">Section 7.1. </w:t>
      </w:r>
      <w:r>
        <w:rPr>
          <w:rFonts w:ascii="Arial" w:cs="Arial" w:eastAsia="Arial" w:hAnsi="Arial"/>
          <w:sz w:val="19"/>
          <w:szCs w:val="19"/>
          <w:u w:val="single" w:color="auto"/>
          <w:color w:val="auto"/>
        </w:rPr>
        <w:t>Notice</w:t>
      </w:r>
      <w:r>
        <w:rPr>
          <w:rFonts w:ascii="Arial" w:cs="Arial" w:eastAsia="Arial" w:hAnsi="Arial"/>
          <w:sz w:val="19"/>
          <w:szCs w:val="19"/>
          <w:color w:val="auto"/>
        </w:rPr>
        <w:t>. A Party shall provide prompt notice to the other Party of any written communication from a Tax Authority regarding any pending Tax audit, assessment or proceeding or other Tax Contest of which it becomes aware, which notice shall in no event be later than thirty (30) days after receipt of such written communication (provided that any failure on a Party to so notify the other Party shall not limit any of the obligations of such other Party under this Agreement except to the extent such failure materially prejudices the defense of any Tax audit, assessment or proceeding or other Tax Contest), (a) related to Taxes for Tax Periods for which it is indemnified by the other Party hereunder or for which it may be required to indemnify the other Party hereunder, (b) relating to a TEN Separate Return for a Pre-Distribution Period or Straddle Period that could reasonably be expected to adversely affect any member of the TFMC Group or for any other Tax Period that could reasonably be expected to materially adversely affect any member of the TFMC Group, or (c) otherwise relating to the Intended Tax Treatment or the Separation (including the resolution of any Tax Contest relating thereto). Such notice shall attach copies of the pertinent portion of any written communication from a Tax Authority and contain factual information (to the extent known) describing any asserted Tax liability in reasonable detail and shall be accompanied by copies of any notice and other documents received from any Tax Authority in respect of any such matters. If an indemnified Party has knowledge of an asserted Tax liability with respect to a matter for which it is to be indemnified hereunder and such Party fails to give the indemnifying Party prompt notice of such asserted Tax liability and the indemnifying Party is entitled under this Agreement to contest the asserted Tax liability, then (i) to the extent the indemnifying Party is precluded from contesting the asserted Tax liability in any forum as a result of the failure to give prompt notice, the indemnifying Party shall have no obligation to indemnify the indemnified Party for any Taxes arising out of such asserted Tax liability, and (ii) to the extent the indemnifying Party is not precluded from contesting the asserted Tax liability in any forum, but such failure to give prompt notice results in a material monetary detriment to the indemnifying Party, then any amount which the indemnifying Party is otherwise required to pay the indemnified Party pursuant to this Agreement shall be reduced by the amount of such detriment.</w:t>
      </w:r>
    </w:p>
    <w:p>
      <w:pPr>
        <w:spacing w:after="0" w:line="200" w:lineRule="exact"/>
        <w:rPr>
          <w:sz w:val="20"/>
          <w:szCs w:val="20"/>
          <w:color w:val="auto"/>
        </w:rPr>
      </w:pPr>
    </w:p>
    <w:p>
      <w:pPr>
        <w:spacing w:after="0" w:line="230"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Section 7.2.</w:t>
      </w:r>
      <w:r>
        <w:rPr>
          <w:sz w:val="20"/>
          <w:szCs w:val="20"/>
          <w:color w:val="auto"/>
        </w:rPr>
        <w:tab/>
      </w:r>
      <w:r>
        <w:rPr>
          <w:rFonts w:ascii="Arial" w:cs="Arial" w:eastAsia="Arial" w:hAnsi="Arial"/>
          <w:sz w:val="19"/>
          <w:szCs w:val="19"/>
          <w:u w:val="single" w:color="auto"/>
          <w:color w:val="auto"/>
        </w:rPr>
        <w:t>Control of Tax Contests</w:t>
      </w:r>
      <w:r>
        <w:rPr>
          <w:rFonts w:ascii="Arial" w:cs="Arial" w:eastAsia="Arial" w:hAnsi="Arial"/>
          <w:sz w:val="19"/>
          <w:szCs w:val="19"/>
          <w:color w:val="auto"/>
        </w:rPr>
        <w:t>.</w:t>
      </w:r>
    </w:p>
    <w:p>
      <w:pPr>
        <w:spacing w:after="0" w:line="233" w:lineRule="exact"/>
        <w:rPr>
          <w:sz w:val="20"/>
          <w:szCs w:val="20"/>
          <w:color w:val="auto"/>
        </w:rPr>
      </w:pPr>
    </w:p>
    <w:p>
      <w:pPr>
        <w:jc w:val="both"/>
        <w:ind w:right="520" w:firstLine="656"/>
        <w:spacing w:after="0" w:line="287" w:lineRule="auto"/>
        <w:tabs>
          <w:tab w:leader="none" w:pos="1428" w:val="left"/>
        </w:tabs>
        <w:numPr>
          <w:ilvl w:val="0"/>
          <w:numId w:val="26"/>
        </w:numPr>
        <w:rPr>
          <w:rFonts w:ascii="Arial" w:cs="Arial" w:eastAsia="Arial" w:hAnsi="Arial"/>
          <w:sz w:val="19"/>
          <w:szCs w:val="19"/>
          <w:color w:val="auto"/>
        </w:rPr>
      </w:pPr>
      <w:r>
        <w:rPr>
          <w:rFonts w:ascii="Arial" w:cs="Arial" w:eastAsia="Arial" w:hAnsi="Arial"/>
          <w:sz w:val="19"/>
          <w:szCs w:val="19"/>
          <w:i w:val="1"/>
          <w:iCs w:val="1"/>
          <w:color w:val="auto"/>
        </w:rPr>
        <w:t>TFMC Control</w:t>
      </w:r>
      <w:r>
        <w:rPr>
          <w:rFonts w:ascii="Arial" w:cs="Arial" w:eastAsia="Arial" w:hAnsi="Arial"/>
          <w:sz w:val="19"/>
          <w:szCs w:val="19"/>
          <w:color w:val="auto"/>
        </w:rPr>
        <w:t>. Notwithstanding anything in this Agreement to the contrary, TFMC shall have the right to</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control any Tax Contest with respect to any Tax matters relating to; (i) a Joint Return, (ii) a TFMC Separate Return and (iii) Separation Taxes. Subject to </w:t>
      </w:r>
      <w:r>
        <w:rPr>
          <w:rFonts w:ascii="Arial" w:cs="Arial" w:eastAsia="Arial" w:hAnsi="Arial"/>
          <w:sz w:val="19"/>
          <w:szCs w:val="19"/>
          <w:u w:val="single" w:color="auto"/>
          <w:color w:val="auto"/>
        </w:rPr>
        <w:t>Section 7.2(c)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7.2(d)</w:t>
      </w:r>
      <w:r>
        <w:rPr>
          <w:rFonts w:ascii="Arial" w:cs="Arial" w:eastAsia="Arial" w:hAnsi="Arial"/>
          <w:sz w:val="19"/>
          <w:szCs w:val="19"/>
          <w:color w:val="auto"/>
        </w:rPr>
        <w:t>, TFMC shall have absolute discretion with respect to any decisions to be made, or the nature of any action to be taken, with respect to any such Tax Contest.</w:t>
      </w:r>
    </w:p>
    <w:p>
      <w:pPr>
        <w:spacing w:after="0" w:line="169" w:lineRule="exact"/>
        <w:rPr>
          <w:rFonts w:ascii="Arial" w:cs="Arial" w:eastAsia="Arial" w:hAnsi="Arial"/>
          <w:sz w:val="19"/>
          <w:szCs w:val="19"/>
          <w:color w:val="auto"/>
        </w:rPr>
      </w:pPr>
    </w:p>
    <w:p>
      <w:pPr>
        <w:ind w:right="60" w:firstLine="656"/>
        <w:spacing w:after="0" w:line="277" w:lineRule="auto"/>
        <w:tabs>
          <w:tab w:leader="none" w:pos="1440" w:val="left"/>
        </w:tabs>
        <w:numPr>
          <w:ilvl w:val="0"/>
          <w:numId w:val="26"/>
        </w:numPr>
        <w:rPr>
          <w:rFonts w:ascii="Arial" w:cs="Arial" w:eastAsia="Arial" w:hAnsi="Arial"/>
          <w:sz w:val="19"/>
          <w:szCs w:val="19"/>
          <w:color w:val="auto"/>
        </w:rPr>
      </w:pPr>
      <w:r>
        <w:rPr>
          <w:rFonts w:ascii="Arial" w:cs="Arial" w:eastAsia="Arial" w:hAnsi="Arial"/>
          <w:sz w:val="19"/>
          <w:szCs w:val="19"/>
          <w:i w:val="1"/>
          <w:iCs w:val="1"/>
          <w:color w:val="auto"/>
        </w:rPr>
        <w:t xml:space="preserve">TEN Control. </w:t>
      </w:r>
      <w:r>
        <w:rPr>
          <w:rFonts w:ascii="Arial" w:cs="Arial" w:eastAsia="Arial" w:hAnsi="Arial"/>
          <w:sz w:val="19"/>
          <w:szCs w:val="19"/>
          <w:color w:val="auto"/>
        </w:rPr>
        <w:t>Except as otherwise provided in this</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7.2</w:t>
      </w:r>
      <w:r>
        <w:rPr>
          <w:rFonts w:ascii="Arial" w:cs="Arial" w:eastAsia="Arial" w:hAnsi="Arial"/>
          <w:sz w:val="19"/>
          <w:szCs w:val="19"/>
          <w:color w:val="auto"/>
        </w:rPr>
        <w:t>, TEN shall have the right to control any Tax</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Contest with respect to any TEN Separate Return. Subject to </w:t>
      </w:r>
      <w:r>
        <w:rPr>
          <w:rFonts w:ascii="Arial" w:cs="Arial" w:eastAsia="Arial" w:hAnsi="Arial"/>
          <w:sz w:val="19"/>
          <w:szCs w:val="19"/>
          <w:u w:val="single" w:color="auto"/>
          <w:color w:val="auto"/>
        </w:rPr>
        <w:t>Section 7.2(c)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7.2(d)</w:t>
      </w:r>
      <w:r>
        <w:rPr>
          <w:rFonts w:ascii="Arial" w:cs="Arial" w:eastAsia="Arial" w:hAnsi="Arial"/>
          <w:sz w:val="19"/>
          <w:szCs w:val="19"/>
          <w:color w:val="auto"/>
        </w:rPr>
        <w:t>, TEN shall have reasonable discretion, after consultation with TFMC, with respect to any decisions to be made, or the nature of any action to be taken, with respect to any such Tax Contest relating to a TEN Separate Return for a Pre-Distribution Period or Straddle Period that could reasonably be expected to adversely affect any member of the TFMC Group or for any other Tax Period that could reasonably be expected to materially adversely affect any member of the TFMC Group, and absolute discretion with respect to any decisions to be made, or the nature of any action to be taken, with respect to any other such Tax Contest.</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4" w:name="page65"/>
    <w:bookmarkEnd w:id="64"/>
    <w:p>
      <w:pPr>
        <w:ind w:left="-8" w:right="100" w:firstLine="656"/>
        <w:spacing w:after="0" w:line="253" w:lineRule="exact"/>
        <w:tabs>
          <w:tab w:leader="none" w:pos="1420" w:val="left"/>
        </w:tabs>
        <w:numPr>
          <w:ilvl w:val="1"/>
          <w:numId w:val="27"/>
        </w:numPr>
        <w:rPr>
          <w:rFonts w:ascii="Arial" w:cs="Arial" w:eastAsia="Arial" w:hAnsi="Arial"/>
          <w:sz w:val="19"/>
          <w:szCs w:val="19"/>
          <w:color w:val="auto"/>
        </w:rPr>
      </w:pPr>
      <w:r>
        <w:rPr>
          <w:rFonts w:ascii="Arial" w:cs="Arial" w:eastAsia="Arial" w:hAnsi="Arial"/>
          <w:sz w:val="19"/>
          <w:szCs w:val="19"/>
          <w:i w:val="1"/>
          <w:iCs w:val="1"/>
          <w:color w:val="auto"/>
        </w:rPr>
        <w:t>Settlement Rights</w:t>
      </w:r>
      <w:r>
        <w:rPr>
          <w:rFonts w:ascii="Arial" w:cs="Arial" w:eastAsia="Arial" w:hAnsi="Arial"/>
          <w:sz w:val="19"/>
          <w:szCs w:val="19"/>
          <w:color w:val="auto"/>
        </w:rPr>
        <w:t>. The Controlling Party shall have the sole right to contest, litigate, compromise and settle any</w:t>
      </w:r>
      <w:r>
        <w:rPr>
          <w:rFonts w:ascii="Arial" w:cs="Arial" w:eastAsia="Arial" w:hAnsi="Arial"/>
          <w:sz w:val="19"/>
          <w:szCs w:val="19"/>
          <w:i w:val="1"/>
          <w:iCs w:val="1"/>
          <w:color w:val="auto"/>
        </w:rPr>
        <w:t xml:space="preserve"> </w:t>
      </w:r>
      <w:r>
        <w:rPr>
          <w:rFonts w:ascii="Arial" w:cs="Arial" w:eastAsia="Arial" w:hAnsi="Arial"/>
          <w:sz w:val="19"/>
          <w:szCs w:val="19"/>
          <w:color w:val="auto"/>
        </w:rPr>
        <w:t>Tax Contest without obtaining the prior consent of the Non</w:t>
      </w:r>
      <w:r>
        <w:rPr>
          <w:rFonts w:ascii="MS PGothic" w:cs="MS PGothic" w:eastAsia="MS PGothic" w:hAnsi="MS PGothic"/>
          <w:sz w:val="19"/>
          <w:szCs w:val="19"/>
          <w:color w:val="auto"/>
        </w:rPr>
        <w:t>‑</w:t>
      </w:r>
      <w:r>
        <w:rPr>
          <w:rFonts w:ascii="Arial" w:cs="Arial" w:eastAsia="Arial" w:hAnsi="Arial"/>
          <w:sz w:val="19"/>
          <w:szCs w:val="19"/>
          <w:color w:val="auto"/>
        </w:rPr>
        <w:t>Controlling Party; provided, that to the extent any such Tax Contest</w:t>
      </w:r>
    </w:p>
    <w:p>
      <w:pPr>
        <w:ind w:left="-8" w:right="20" w:firstLine="8"/>
        <w:spacing w:after="0" w:line="268" w:lineRule="auto"/>
        <w:tabs>
          <w:tab w:leader="none" w:pos="250" w:val="left"/>
        </w:tabs>
        <w:numPr>
          <w:ilvl w:val="0"/>
          <w:numId w:val="28"/>
        </w:numPr>
        <w:rPr>
          <w:rFonts w:ascii="Arial" w:cs="Arial" w:eastAsia="Arial" w:hAnsi="Arial"/>
          <w:sz w:val="19"/>
          <w:szCs w:val="19"/>
          <w:color w:val="auto"/>
        </w:rPr>
      </w:pPr>
      <w:r>
        <w:rPr>
          <w:rFonts w:ascii="Arial" w:cs="Arial" w:eastAsia="Arial" w:hAnsi="Arial"/>
          <w:sz w:val="19"/>
          <w:szCs w:val="19"/>
          <w:color w:val="auto"/>
        </w:rPr>
        <w:t xml:space="preserve">could give rise to a claim for indemnity by the Controlling Party or its Affiliates against the Non-Controlling Party or its Affiliates under this Agreement, or (ii) is with respect to a TEN Separate Return for a Pre-Distribution Period or Straddle Period and could reasonably be expected to adversely affect any member of the TFMC Group or for any other Tax Period that could reasonably be expected to materially adversely affect any member of the TFMC Group, then the Controlling Party shall not settle any such Tax Contest without the Non-Controlling Party’s prior written consent (which consent may not be unreasonably withheld, conditioned, or delayed). Subject to </w:t>
      </w:r>
      <w:r>
        <w:rPr>
          <w:rFonts w:ascii="Arial" w:cs="Arial" w:eastAsia="Arial" w:hAnsi="Arial"/>
          <w:sz w:val="19"/>
          <w:szCs w:val="19"/>
          <w:u w:val="single" w:color="auto"/>
          <w:color w:val="auto"/>
        </w:rPr>
        <w:t>Section 7.2(e)</w:t>
      </w:r>
      <w:r>
        <w:rPr>
          <w:rFonts w:ascii="Arial" w:cs="Arial" w:eastAsia="Arial" w:hAnsi="Arial"/>
          <w:sz w:val="19"/>
          <w:szCs w:val="19"/>
          <w:color w:val="auto"/>
        </w:rPr>
        <w:t xml:space="preserve">, and unless waived by the Parties in writing, in connection with any potential adjustment in a Tax Contest as a result of which adjustment the Non-Controlling Party may reasonably be expected to become liable to make any indemnification payment to the Controlling Party under this Agreement: (A) the Controlling Party shall keep the Non-Controlling Party informed in a timely manner of all actions taken or proposed to be taken by the Controlling Party with respect to such potential adjustment in such Tax Contest; (B) the Controlling Party shall timely provide the Non-Controlling Party copies of any written materials relating to such potential adjustment in such Tax Contest received from any Tax Authority; (C) the Controlling Party shall timely provide the Non-Controlling Party with copies of any correspondence or filings submitted to any Tax Authority or judicial authority in connection with such potential adjustment in such Tax Contest; (D) the Controlling Party shall consult with the Non-Controlling Party and offer the Non-Controlling Party a reasonable opportunity to comment before submitting any written materials prepared or furnished in connection with such potential adjustment in such Tax Contest; and (E) the Controlling Party shall defend such Tax Contest diligently and in good faith. The failure of the Controlling Party to take any action specified in the preceding sentence with respect to the Non-Controlling Party shall not relieve the Non-Controlling Party of any liability and/or obligation which it may have to the Controlling Party under this Agreement except to the extent that the Non-Controlling Party was actually harmed by such failure, and in no event shall such failure relieve the Non-Controlling Party from any other liability or obligation which it may have to the Controlling Party. In the case of any Tax Contest described in this </w:t>
      </w:r>
      <w:r>
        <w:rPr>
          <w:rFonts w:ascii="Arial" w:cs="Arial" w:eastAsia="Arial" w:hAnsi="Arial"/>
          <w:sz w:val="19"/>
          <w:szCs w:val="19"/>
          <w:u w:val="single" w:color="auto"/>
          <w:color w:val="auto"/>
        </w:rPr>
        <w:t>Article VII</w:t>
      </w:r>
      <w:r>
        <w:rPr>
          <w:rFonts w:ascii="Arial" w:cs="Arial" w:eastAsia="Arial" w:hAnsi="Arial"/>
          <w:sz w:val="19"/>
          <w:szCs w:val="19"/>
          <w:color w:val="auto"/>
        </w:rPr>
        <w:t>, “</w:t>
      </w:r>
      <w:r>
        <w:rPr>
          <w:rFonts w:ascii="Arial" w:cs="Arial" w:eastAsia="Arial" w:hAnsi="Arial"/>
          <w:sz w:val="19"/>
          <w:szCs w:val="19"/>
          <w:u w:val="single" w:color="auto"/>
          <w:color w:val="auto"/>
        </w:rPr>
        <w:t>Controlling Party</w:t>
      </w:r>
      <w:r>
        <w:rPr>
          <w:rFonts w:ascii="Arial" w:cs="Arial" w:eastAsia="Arial" w:hAnsi="Arial"/>
          <w:sz w:val="19"/>
          <w:szCs w:val="19"/>
          <w:color w:val="auto"/>
        </w:rPr>
        <w:t>” means the Party entitled to control the Tax Contest under such Section and “</w:t>
      </w:r>
      <w:r>
        <w:rPr>
          <w:rFonts w:ascii="Arial" w:cs="Arial" w:eastAsia="Arial" w:hAnsi="Arial"/>
          <w:sz w:val="19"/>
          <w:szCs w:val="19"/>
          <w:u w:val="single" w:color="auto"/>
          <w:color w:val="auto"/>
        </w:rPr>
        <w:t>Non-Controlling Party</w:t>
      </w:r>
      <w:r>
        <w:rPr>
          <w:rFonts w:ascii="Arial" w:cs="Arial" w:eastAsia="Arial" w:hAnsi="Arial"/>
          <w:sz w:val="19"/>
          <w:szCs w:val="19"/>
          <w:color w:val="auto"/>
        </w:rPr>
        <w:t>” means (x) TFMC if TEN is the Controlling Party and (y) TEN if TFMC is the Controlling Party.</w:t>
      </w:r>
    </w:p>
    <w:p>
      <w:pPr>
        <w:spacing w:after="0" w:line="203" w:lineRule="exact"/>
        <w:rPr>
          <w:rFonts w:ascii="Arial" w:cs="Arial" w:eastAsia="Arial" w:hAnsi="Arial"/>
          <w:sz w:val="19"/>
          <w:szCs w:val="19"/>
          <w:color w:val="auto"/>
        </w:rPr>
      </w:pPr>
    </w:p>
    <w:p>
      <w:pPr>
        <w:ind w:left="-8" w:firstLine="656"/>
        <w:spacing w:after="0" w:line="272" w:lineRule="auto"/>
        <w:tabs>
          <w:tab w:leader="none" w:pos="1432" w:val="left"/>
        </w:tabs>
        <w:numPr>
          <w:ilvl w:val="1"/>
          <w:numId w:val="28"/>
        </w:numPr>
        <w:rPr>
          <w:rFonts w:ascii="Arial" w:cs="Arial" w:eastAsia="Arial" w:hAnsi="Arial"/>
          <w:sz w:val="19"/>
          <w:szCs w:val="19"/>
          <w:color w:val="auto"/>
        </w:rPr>
      </w:pPr>
      <w:r>
        <w:rPr>
          <w:rFonts w:ascii="Arial" w:cs="Arial" w:eastAsia="Arial" w:hAnsi="Arial"/>
          <w:sz w:val="19"/>
          <w:szCs w:val="19"/>
          <w:i w:val="1"/>
          <w:iCs w:val="1"/>
          <w:color w:val="auto"/>
        </w:rPr>
        <w:t>Tax Contest Participation</w:t>
      </w:r>
      <w:r>
        <w:rPr>
          <w:rFonts w:ascii="Arial" w:cs="Arial" w:eastAsia="Arial" w:hAnsi="Arial"/>
          <w:sz w:val="19"/>
          <w:szCs w:val="19"/>
          <w:color w:val="auto"/>
        </w:rPr>
        <w:t>. Subject to</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7.2(e)</w:t>
      </w:r>
      <w:r>
        <w:rPr>
          <w:rFonts w:ascii="Arial" w:cs="Arial" w:eastAsia="Arial" w:hAnsi="Arial"/>
          <w:sz w:val="19"/>
          <w:szCs w:val="19"/>
          <w:color w:val="auto"/>
        </w:rPr>
        <w:t>, and unless waived by the Parties in writing, the Controlling</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Party shall provide the Non-Controlling Party with written notice reasonably in advance of, and the Non-Controlling Party shall have the right to attend and participate in, any formally scheduled meetings with Tax Authorities or hearings or proceedings before any judicial authorities in connection with any potential adjustment in a Tax Contest (i) pursuant to which the Non-Controlling Party may reasonably be expected to become liable to make any indemnification payment to the Controlling Party under this Agreement or (ii) that is with respect to a TEN Separate Return for a Pre-Distribution Period or Straddle Period and could reasonably be expected to adversely affect any member of the TFMC Group or for any other Tax Period that could reasonably be expected to materially adversely affect any member of the TFMC Group. The failure of the Controlling Party to provide any notice specified in this </w:t>
      </w:r>
      <w:r>
        <w:rPr>
          <w:rFonts w:ascii="Arial" w:cs="Arial" w:eastAsia="Arial" w:hAnsi="Arial"/>
          <w:sz w:val="19"/>
          <w:szCs w:val="19"/>
          <w:u w:val="single" w:color="auto"/>
          <w:color w:val="auto"/>
        </w:rPr>
        <w:t>Section 7.2(d)</w:t>
      </w:r>
      <w:r>
        <w:rPr>
          <w:rFonts w:ascii="Arial" w:cs="Arial" w:eastAsia="Arial" w:hAnsi="Arial"/>
          <w:sz w:val="19"/>
          <w:szCs w:val="19"/>
          <w:color w:val="auto"/>
        </w:rPr>
        <w:t xml:space="preserve"> to the Non-Controlling Party shall not relieve the Non-Controlling Party of any liability or obligation which it may have to the Controlling Party under this Agreement except to the extent that the Non-Controlling Party was actually harmed by such failure, and in no event shall such failure relieve the Non-Controlling Party from any other liability or obligation which it may have to the Controlling Party.</w:t>
      </w:r>
    </w:p>
    <w:p>
      <w:pPr>
        <w:spacing w:after="0" w:line="366" w:lineRule="exact"/>
        <w:rPr>
          <w:sz w:val="20"/>
          <w:szCs w:val="20"/>
          <w:color w:val="auto"/>
        </w:rPr>
      </w:pPr>
    </w:p>
    <w:p>
      <w:pPr>
        <w:jc w:val="center"/>
        <w:ind w:right="-31"/>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118" w:right="359" w:bottom="1440" w:gutter="0" w:footer="0" w:header="0"/>
        </w:sectPr>
      </w:pPr>
    </w:p>
    <w:bookmarkStart w:id="65" w:name="page66"/>
    <w:bookmarkEnd w:id="65"/>
    <w:p>
      <w:pPr>
        <w:ind w:right="140" w:firstLine="656"/>
        <w:spacing w:after="0" w:line="238" w:lineRule="auto"/>
        <w:tabs>
          <w:tab w:leader="none" w:pos="1428" w:val="left"/>
        </w:tabs>
        <w:numPr>
          <w:ilvl w:val="0"/>
          <w:numId w:val="29"/>
        </w:numPr>
        <w:rPr>
          <w:rFonts w:ascii="Arial" w:cs="Arial" w:eastAsia="Arial" w:hAnsi="Arial"/>
          <w:sz w:val="22"/>
          <w:szCs w:val="22"/>
          <w:color w:val="auto"/>
        </w:rPr>
      </w:pPr>
      <w:r>
        <w:rPr>
          <w:rFonts w:ascii="Arial" w:cs="Arial" w:eastAsia="Arial" w:hAnsi="Arial"/>
          <w:sz w:val="22"/>
          <w:szCs w:val="22"/>
          <w:i w:val="1"/>
          <w:iCs w:val="1"/>
          <w:color w:val="auto"/>
        </w:rPr>
        <w:t>Joint Returns</w:t>
      </w:r>
      <w:r>
        <w:rPr>
          <w:rFonts w:ascii="Arial" w:cs="Arial" w:eastAsia="Arial" w:hAnsi="Arial"/>
          <w:sz w:val="22"/>
          <w:szCs w:val="22"/>
          <w:color w:val="auto"/>
        </w:rPr>
        <w:t>. Notwithstanding anything in this</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Article VII</w:t>
      </w:r>
      <w:r>
        <w:rPr>
          <w:rFonts w:ascii="Arial" w:cs="Arial" w:eastAsia="Arial" w:hAnsi="Arial"/>
          <w:sz w:val="22"/>
          <w:szCs w:val="22"/>
          <w:i w:val="1"/>
          <w:iCs w:val="1"/>
          <w:color w:val="auto"/>
        </w:rPr>
        <w:t xml:space="preserve"> </w:t>
      </w:r>
      <w:r>
        <w:rPr>
          <w:rFonts w:ascii="Arial" w:cs="Arial" w:eastAsia="Arial" w:hAnsi="Arial"/>
          <w:sz w:val="22"/>
          <w:szCs w:val="22"/>
          <w:color w:val="auto"/>
        </w:rPr>
        <w:t>to the contrary, in the case of a Tax Contest related</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to a Joint Return, the rights of TEN and its Affiliates under </w:t>
      </w:r>
      <w:r>
        <w:rPr>
          <w:rFonts w:ascii="Arial" w:cs="Arial" w:eastAsia="Arial" w:hAnsi="Arial"/>
          <w:sz w:val="22"/>
          <w:szCs w:val="22"/>
          <w:u w:val="single" w:color="auto"/>
          <w:color w:val="auto"/>
        </w:rPr>
        <w:t>Section 7.2(c)</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7.2(d)</w:t>
      </w:r>
      <w:r>
        <w:rPr>
          <w:rFonts w:ascii="Arial" w:cs="Arial" w:eastAsia="Arial" w:hAnsi="Arial"/>
          <w:sz w:val="22"/>
          <w:szCs w:val="22"/>
          <w:color w:val="auto"/>
        </w:rPr>
        <w:t xml:space="preserve"> shall be limited in scope to the portion of such Tax Contest relating to Taxes for which TEN may reasonably expected to become liable to make any indemnification payment to TFMC under this Agreement.</w:t>
      </w:r>
    </w:p>
    <w:p>
      <w:pPr>
        <w:spacing w:after="0" w:line="212" w:lineRule="exact"/>
        <w:rPr>
          <w:rFonts w:ascii="Arial" w:cs="Arial" w:eastAsia="Arial" w:hAnsi="Arial"/>
          <w:sz w:val="22"/>
          <w:szCs w:val="22"/>
          <w:color w:val="auto"/>
        </w:rPr>
      </w:pPr>
    </w:p>
    <w:p>
      <w:pPr>
        <w:ind w:right="20" w:firstLine="656"/>
        <w:spacing w:after="0" w:line="248" w:lineRule="auto"/>
        <w:tabs>
          <w:tab w:leader="none" w:pos="1404" w:val="left"/>
        </w:tabs>
        <w:numPr>
          <w:ilvl w:val="0"/>
          <w:numId w:val="29"/>
        </w:numPr>
        <w:rPr>
          <w:rFonts w:ascii="Arial" w:cs="Arial" w:eastAsia="Arial" w:hAnsi="Arial"/>
          <w:sz w:val="21"/>
          <w:szCs w:val="21"/>
          <w:color w:val="auto"/>
        </w:rPr>
      </w:pPr>
      <w:r>
        <w:rPr>
          <w:rFonts w:ascii="Arial" w:cs="Arial" w:eastAsia="Arial" w:hAnsi="Arial"/>
          <w:sz w:val="21"/>
          <w:szCs w:val="21"/>
          <w:i w:val="1"/>
          <w:iCs w:val="1"/>
          <w:color w:val="auto"/>
        </w:rPr>
        <w:t>Power of Attorney</w:t>
      </w:r>
      <w:r>
        <w:rPr>
          <w:rFonts w:ascii="Arial" w:cs="Arial" w:eastAsia="Arial" w:hAnsi="Arial"/>
          <w:sz w:val="21"/>
          <w:szCs w:val="21"/>
          <w:color w:val="auto"/>
        </w:rPr>
        <w:t>. Each member of the TEN Group shall execute and deliver to TFMC (or such member of the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TFMC Group as TFMC shall designate) any power of attorney or other similar document reasonably requested by TFMC (or such designee) in connection with any Tax Contest (as to which TFMC is the Controlling Party) described in this </w:t>
      </w:r>
      <w:r>
        <w:rPr>
          <w:rFonts w:ascii="Arial" w:cs="Arial" w:eastAsia="Arial" w:hAnsi="Arial"/>
          <w:sz w:val="21"/>
          <w:szCs w:val="21"/>
          <w:u w:val="single" w:color="auto"/>
          <w:color w:val="auto"/>
        </w:rPr>
        <w:t>Article VII</w:t>
      </w:r>
      <w:r>
        <w:rPr>
          <w:rFonts w:ascii="Arial" w:cs="Arial" w:eastAsia="Arial" w:hAnsi="Arial"/>
          <w:sz w:val="21"/>
          <w:szCs w:val="21"/>
          <w:color w:val="auto"/>
        </w:rPr>
        <w:t xml:space="preserve">. Each member of the TFMC Group shall execute and deliver to TEN (or such member of the TEN Group as TEN shall designate) any power of attorney or other similar document requested by TEN (or such designee) in connection with any Tax Contest (as to which TEN is the Controlling Party) described in this </w:t>
      </w:r>
      <w:r>
        <w:rPr>
          <w:rFonts w:ascii="Arial" w:cs="Arial" w:eastAsia="Arial" w:hAnsi="Arial"/>
          <w:sz w:val="21"/>
          <w:szCs w:val="21"/>
          <w:u w:val="single" w:color="auto"/>
          <w:color w:val="auto"/>
        </w:rPr>
        <w:t>Article VII</w:t>
      </w:r>
      <w:r>
        <w:rPr>
          <w:rFonts w:ascii="Arial" w:cs="Arial" w:eastAsia="Arial" w:hAnsi="Arial"/>
          <w:sz w:val="21"/>
          <w:szCs w:val="21"/>
          <w:color w:val="auto"/>
        </w:rPr>
        <w:t>.</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ARTICLE VIII</w:t>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SURVIVAL OF OBLIGATIONS</w:t>
      </w:r>
    </w:p>
    <w:p>
      <w:pPr>
        <w:spacing w:after="0" w:line="215" w:lineRule="exact"/>
        <w:rPr>
          <w:sz w:val="20"/>
          <w:szCs w:val="20"/>
          <w:color w:val="auto"/>
        </w:rPr>
      </w:pPr>
    </w:p>
    <w:p>
      <w:pPr>
        <w:ind w:right="340" w:firstLine="648"/>
        <w:spacing w:after="0" w:line="274" w:lineRule="auto"/>
        <w:rPr>
          <w:sz w:val="20"/>
          <w:szCs w:val="20"/>
          <w:color w:val="auto"/>
        </w:rPr>
      </w:pPr>
      <w:r>
        <w:rPr>
          <w:rFonts w:ascii="Arial" w:cs="Arial" w:eastAsia="Arial" w:hAnsi="Arial"/>
          <w:sz w:val="21"/>
          <w:szCs w:val="21"/>
          <w:color w:val="auto"/>
        </w:rPr>
        <w:t xml:space="preserve">Section 8.1. </w:t>
      </w:r>
      <w:r>
        <w:rPr>
          <w:rFonts w:ascii="Arial" w:cs="Arial" w:eastAsia="Arial" w:hAnsi="Arial"/>
          <w:sz w:val="21"/>
          <w:szCs w:val="21"/>
          <w:u w:val="single" w:color="auto"/>
          <w:color w:val="auto"/>
        </w:rPr>
        <w:t>Survival of Obligations</w:t>
      </w:r>
      <w:r>
        <w:rPr>
          <w:rFonts w:ascii="Arial" w:cs="Arial" w:eastAsia="Arial" w:hAnsi="Arial"/>
          <w:sz w:val="21"/>
          <w:szCs w:val="21"/>
          <w:color w:val="auto"/>
        </w:rPr>
        <w:t>. The representations, warranties, covenants and agreements set forth in this Agreement shall be unconditional and absolute and shall remain in effect without limitation as to time.</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ARTICLE IX</w:t>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TAX TREATMENT OF INTEREST</w:t>
      </w:r>
    </w:p>
    <w:p>
      <w:pPr>
        <w:spacing w:after="0" w:line="215" w:lineRule="exact"/>
        <w:rPr>
          <w:sz w:val="20"/>
          <w:szCs w:val="20"/>
          <w:color w:val="auto"/>
        </w:rPr>
      </w:pPr>
    </w:p>
    <w:p>
      <w:pPr>
        <w:ind w:right="40" w:firstLine="648"/>
        <w:spacing w:after="0" w:line="246" w:lineRule="auto"/>
        <w:rPr>
          <w:sz w:val="20"/>
          <w:szCs w:val="20"/>
          <w:color w:val="auto"/>
        </w:rPr>
      </w:pPr>
      <w:r>
        <w:rPr>
          <w:rFonts w:ascii="Arial" w:cs="Arial" w:eastAsia="Arial" w:hAnsi="Arial"/>
          <w:sz w:val="21"/>
          <w:szCs w:val="21"/>
          <w:color w:val="auto"/>
        </w:rPr>
        <w:t xml:space="preserve">Section 9.1. </w:t>
      </w:r>
      <w:r>
        <w:rPr>
          <w:rFonts w:ascii="Arial" w:cs="Arial" w:eastAsia="Arial" w:hAnsi="Arial"/>
          <w:sz w:val="21"/>
          <w:szCs w:val="21"/>
          <w:u w:val="single" w:color="auto"/>
          <w:color w:val="auto"/>
        </w:rPr>
        <w:t>Tax Treatment of Interest</w:t>
      </w:r>
      <w:r>
        <w:rPr>
          <w:rFonts w:ascii="Arial" w:cs="Arial" w:eastAsia="Arial" w:hAnsi="Arial"/>
          <w:sz w:val="21"/>
          <w:szCs w:val="21"/>
          <w:color w:val="auto"/>
        </w:rPr>
        <w:t>. Anything herein or in the Separation Agreement to the contrary notwithstanding, to the extent one Party makes a payment of interest to the other Party under this Agreement with respect to the period from the date that the Party receiving the interest payment made a payment of Tax to a Tax Authority to the date that the Party making the interest payment reimbursed the Party receiving the interest payment for such Tax payment, the interest payment shall be treated as interest expense to the Party making such payment (deductible to the extent provided by Law) and as interest income by the Party receiving such payment (includible in income to the extent provided by Law). The amount of the payment shall not be adjusted to take into account any associated Tax Benefit to the Party making such payment or increase in Tax to the Party receiving such payment.</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ARTICLE X</w:t>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GROSS-UP OF INDEMNIFICATION PAYMENTS</w:t>
      </w:r>
    </w:p>
    <w:p>
      <w:pPr>
        <w:spacing w:after="0" w:line="215"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u w:val="single" w:color="auto"/>
          <w:color w:val="auto"/>
        </w:rPr>
        <w:t>Gross-Up of Indemnification Payments</w:t>
      </w:r>
      <w:r>
        <w:rPr>
          <w:rFonts w:ascii="Arial" w:cs="Arial" w:eastAsia="Arial" w:hAnsi="Arial"/>
          <w:sz w:val="22"/>
          <w:szCs w:val="22"/>
          <w:color w:val="auto"/>
        </w:rPr>
        <w:t xml:space="preserve">. Except to the extent provided in </w:t>
      </w:r>
      <w:r>
        <w:rPr>
          <w:rFonts w:ascii="Arial" w:cs="Arial" w:eastAsia="Arial" w:hAnsi="Arial"/>
          <w:sz w:val="22"/>
          <w:szCs w:val="22"/>
          <w:u w:val="single" w:color="auto"/>
          <w:color w:val="auto"/>
        </w:rPr>
        <w:t>Section 9.1</w:t>
      </w:r>
      <w:r>
        <w:rPr>
          <w:rFonts w:ascii="Arial" w:cs="Arial" w:eastAsia="Arial" w:hAnsi="Arial"/>
          <w:sz w:val="22"/>
          <w:szCs w:val="22"/>
          <w:color w:val="auto"/>
        </w:rPr>
        <w:t>, any Tax indemnity payment made by a Party under this Agreement shall be increased as necessary so that after making all payments in respect to Taxes imposed on or attributable to such indemnity payment, the recipient Party receives an amount equal to the sum it would have received had no such Taxes been imposed.</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22"/>
          <w:szCs w:val="22"/>
          <w:color w:val="auto"/>
        </w:rPr>
        <w:t>ARTICLE XI</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DISPUTE RESOLUTION</w:t>
      </w:r>
    </w:p>
    <w:p>
      <w:pPr>
        <w:spacing w:after="0" w:line="215" w:lineRule="exact"/>
        <w:rPr>
          <w:sz w:val="20"/>
          <w:szCs w:val="20"/>
          <w:color w:val="auto"/>
        </w:rPr>
      </w:pPr>
    </w:p>
    <w:p>
      <w:pPr>
        <w:ind w:right="120" w:firstLine="648"/>
        <w:spacing w:after="0" w:line="249" w:lineRule="auto"/>
        <w:rPr>
          <w:sz w:val="20"/>
          <w:szCs w:val="20"/>
          <w:color w:val="auto"/>
        </w:rPr>
      </w:pPr>
      <w:r>
        <w:rPr>
          <w:rFonts w:ascii="Arial" w:cs="Arial" w:eastAsia="Arial" w:hAnsi="Arial"/>
          <w:sz w:val="21"/>
          <w:szCs w:val="21"/>
          <w:color w:val="auto"/>
        </w:rPr>
        <w:t xml:space="preserve">Section 11.1. </w:t>
      </w:r>
      <w:r>
        <w:rPr>
          <w:rFonts w:ascii="Arial" w:cs="Arial" w:eastAsia="Arial" w:hAnsi="Arial"/>
          <w:sz w:val="21"/>
          <w:szCs w:val="21"/>
          <w:u w:val="single" w:color="auto"/>
          <w:color w:val="auto"/>
        </w:rPr>
        <w:t>Dispute Resolution</w:t>
      </w:r>
      <w:r>
        <w:rPr>
          <w:rFonts w:ascii="Arial" w:cs="Arial" w:eastAsia="Arial" w:hAnsi="Arial"/>
          <w:sz w:val="21"/>
          <w:szCs w:val="21"/>
          <w:color w:val="auto"/>
        </w:rPr>
        <w:t>. Any and all disputes, controversies and claims arising hereunder, including with respect to (i) the validity, interpretation, performance, breach or termination of this Agreement or (ii) the proper treatment of any Tax not specifically characterized in this Agreement (collectively, “</w:t>
      </w:r>
      <w:r>
        <w:rPr>
          <w:rFonts w:ascii="Arial" w:cs="Arial" w:eastAsia="Arial" w:hAnsi="Arial"/>
          <w:sz w:val="21"/>
          <w:szCs w:val="21"/>
          <w:u w:val="single" w:color="auto"/>
          <w:color w:val="auto"/>
        </w:rPr>
        <w:t>Tax Matters Disputes</w:t>
      </w:r>
      <w:r>
        <w:rPr>
          <w:rFonts w:ascii="Arial" w:cs="Arial" w:eastAsia="Arial" w:hAnsi="Arial"/>
          <w:sz w:val="21"/>
          <w:szCs w:val="21"/>
          <w:color w:val="auto"/>
        </w:rPr>
        <w:t xml:space="preserve">”) shall be resolved through the procedures provided in </w:t>
      </w:r>
      <w:r>
        <w:rPr>
          <w:rFonts w:ascii="Arial" w:cs="Arial" w:eastAsia="Arial" w:hAnsi="Arial"/>
          <w:sz w:val="21"/>
          <w:szCs w:val="21"/>
          <w:u w:val="single" w:color="auto"/>
          <w:color w:val="auto"/>
        </w:rPr>
        <w:t>Article VI</w:t>
      </w:r>
      <w:r>
        <w:rPr>
          <w:rFonts w:ascii="Arial" w:cs="Arial" w:eastAsia="Arial" w:hAnsi="Arial"/>
          <w:sz w:val="21"/>
          <w:szCs w:val="21"/>
          <w:color w:val="auto"/>
        </w:rPr>
        <w:t xml:space="preserve"> of the Separation Agreement, with Tax Matters Disputes included within the meaning of the term “Dispute” for purposes of </w:t>
      </w:r>
      <w:r>
        <w:rPr>
          <w:rFonts w:ascii="Arial" w:cs="Arial" w:eastAsia="Arial" w:hAnsi="Arial"/>
          <w:sz w:val="21"/>
          <w:szCs w:val="21"/>
          <w:u w:val="single" w:color="auto"/>
          <w:color w:val="auto"/>
        </w:rPr>
        <w:t>Article VI</w:t>
      </w:r>
      <w:r>
        <w:rPr>
          <w:rFonts w:ascii="Arial" w:cs="Arial" w:eastAsia="Arial" w:hAnsi="Arial"/>
          <w:sz w:val="21"/>
          <w:szCs w:val="21"/>
          <w:color w:val="auto"/>
        </w:rPr>
        <w:t xml:space="preserve"> of the Separation Agreement.</w:t>
      </w:r>
    </w:p>
    <w:p>
      <w:pPr>
        <w:spacing w:after="0" w:line="205"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ARTICLE XII</w:t>
      </w:r>
    </w:p>
    <w:p>
      <w:pPr>
        <w:spacing w:after="0" w:line="8"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MISCELLANEOUS</w:t>
      </w:r>
    </w:p>
    <w:p>
      <w:pPr>
        <w:spacing w:after="0" w:line="215" w:lineRule="exact"/>
        <w:rPr>
          <w:sz w:val="20"/>
          <w:szCs w:val="20"/>
          <w:color w:val="auto"/>
        </w:rPr>
      </w:pPr>
    </w:p>
    <w:p>
      <w:pPr>
        <w:ind w:right="180" w:firstLine="648"/>
        <w:spacing w:after="0" w:line="238" w:lineRule="auto"/>
        <w:rPr>
          <w:sz w:val="20"/>
          <w:szCs w:val="20"/>
          <w:color w:val="auto"/>
        </w:rPr>
      </w:pPr>
      <w:r>
        <w:rPr>
          <w:rFonts w:ascii="Arial" w:cs="Arial" w:eastAsia="Arial" w:hAnsi="Arial"/>
          <w:sz w:val="22"/>
          <w:szCs w:val="22"/>
          <w:color w:val="auto"/>
        </w:rPr>
        <w:t xml:space="preserve">Section 12.1. </w:t>
      </w:r>
      <w:r>
        <w:rPr>
          <w:rFonts w:ascii="Arial" w:cs="Arial" w:eastAsia="Arial" w:hAnsi="Arial"/>
          <w:sz w:val="22"/>
          <w:szCs w:val="22"/>
          <w:u w:val="single" w:color="auto"/>
          <w:color w:val="auto"/>
        </w:rPr>
        <w:t>Termination</w:t>
      </w:r>
      <w:r>
        <w:rPr>
          <w:rFonts w:ascii="Arial" w:cs="Arial" w:eastAsia="Arial" w:hAnsi="Arial"/>
          <w:sz w:val="22"/>
          <w:szCs w:val="22"/>
          <w:color w:val="auto"/>
        </w:rPr>
        <w:t>. In the event the Separation Agreement is terminated, this Agreement shall automatically become null and void and no Party, nor any Party’s directors, officers or employees, shall have any Liability of any kind to any Person by reason of this Agreement. After the Distribution, this Agreement may not be terminated except by an agreement in writing signed by TFMC and TEN.</w:t>
      </w:r>
    </w:p>
    <w:p>
      <w:pPr>
        <w:spacing w:after="0" w:line="212"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Section 12.2.</w:t>
      </w:r>
      <w:r>
        <w:rPr>
          <w:sz w:val="20"/>
          <w:szCs w:val="20"/>
          <w:color w:val="auto"/>
        </w:rPr>
        <w:tab/>
      </w:r>
      <w:r>
        <w:rPr>
          <w:rFonts w:ascii="Arial" w:cs="Arial" w:eastAsia="Arial" w:hAnsi="Arial"/>
          <w:sz w:val="19"/>
          <w:szCs w:val="19"/>
          <w:u w:val="single" w:color="auto"/>
          <w:color w:val="auto"/>
        </w:rPr>
        <w:t>Corporate Power</w:t>
      </w:r>
      <w:r>
        <w:rPr>
          <w:rFonts w:ascii="Arial" w:cs="Arial" w:eastAsia="Arial" w:hAnsi="Arial"/>
          <w:sz w:val="19"/>
          <w:szCs w:val="19"/>
          <w:color w:val="auto"/>
        </w:rPr>
        <w:t>.</w:t>
      </w:r>
    </w:p>
    <w:p>
      <w:pPr>
        <w:spacing w:after="0" w:line="233" w:lineRule="exact"/>
        <w:rPr>
          <w:sz w:val="20"/>
          <w:szCs w:val="20"/>
          <w:color w:val="auto"/>
        </w:rPr>
      </w:pPr>
    </w:p>
    <w:p>
      <w:pPr>
        <w:ind w:right="140" w:firstLine="656"/>
        <w:spacing w:after="0" w:line="250" w:lineRule="auto"/>
        <w:tabs>
          <w:tab w:leader="none" w:pos="1428" w:val="left"/>
        </w:tabs>
        <w:numPr>
          <w:ilvl w:val="0"/>
          <w:numId w:val="30"/>
        </w:numPr>
        <w:rPr>
          <w:rFonts w:ascii="Arial" w:cs="Arial" w:eastAsia="Arial" w:hAnsi="Arial"/>
          <w:sz w:val="22"/>
          <w:szCs w:val="22"/>
          <w:color w:val="auto"/>
        </w:rPr>
      </w:pPr>
      <w:r>
        <w:rPr>
          <w:rFonts w:ascii="Arial" w:cs="Arial" w:eastAsia="Arial" w:hAnsi="Arial"/>
          <w:sz w:val="22"/>
          <w:szCs w:val="22"/>
          <w:color w:val="auto"/>
        </w:rPr>
        <w:t>TFMC represents on behalf of itself and each other member of the TFMC Group, and TEN represents on behalf of itself and each other member of the TEN Group, as follows:</w:t>
      </w:r>
    </w:p>
    <w:p>
      <w:pPr>
        <w:spacing w:after="0" w:line="201" w:lineRule="exact"/>
        <w:rPr>
          <w:rFonts w:ascii="Arial" w:cs="Arial" w:eastAsia="Arial" w:hAnsi="Arial"/>
          <w:sz w:val="22"/>
          <w:szCs w:val="22"/>
          <w:color w:val="auto"/>
        </w:rPr>
      </w:pPr>
    </w:p>
    <w:p>
      <w:pPr>
        <w:ind w:right="80" w:firstLine="1304"/>
        <w:spacing w:after="0"/>
        <w:tabs>
          <w:tab w:leader="none" w:pos="2040" w:val="left"/>
        </w:tabs>
        <w:numPr>
          <w:ilvl w:val="1"/>
          <w:numId w:val="30"/>
        </w:numPr>
        <w:rPr>
          <w:rFonts w:ascii="Arial" w:cs="Arial" w:eastAsia="Arial" w:hAnsi="Arial"/>
          <w:sz w:val="22"/>
          <w:szCs w:val="22"/>
          <w:color w:val="auto"/>
        </w:rPr>
      </w:pPr>
      <w:r>
        <w:rPr>
          <w:rFonts w:ascii="Arial" w:cs="Arial" w:eastAsia="Arial" w:hAnsi="Arial"/>
          <w:sz w:val="22"/>
          <w:szCs w:val="22"/>
          <w:color w:val="auto"/>
        </w:rPr>
        <w:t>each such Person has the requisite corporate or other power and authority and has taken all corporate or other action necessary in order to execute, deliver and perform this Agreement and to consummate the transactions contemplated hereby; and</w:t>
      </w:r>
    </w:p>
    <w:p>
      <w:pPr>
        <w:spacing w:after="0" w:line="213" w:lineRule="exact"/>
        <w:rPr>
          <w:rFonts w:ascii="Arial" w:cs="Arial" w:eastAsia="Arial" w:hAnsi="Arial"/>
          <w:sz w:val="22"/>
          <w:szCs w:val="22"/>
          <w:color w:val="auto"/>
        </w:rPr>
      </w:pPr>
    </w:p>
    <w:p>
      <w:pPr>
        <w:ind w:right="180" w:firstLine="1304"/>
        <w:spacing w:after="0" w:line="250" w:lineRule="auto"/>
        <w:tabs>
          <w:tab w:leader="none" w:pos="2100" w:val="left"/>
        </w:tabs>
        <w:numPr>
          <w:ilvl w:val="1"/>
          <w:numId w:val="30"/>
        </w:numPr>
        <w:rPr>
          <w:rFonts w:ascii="Arial" w:cs="Arial" w:eastAsia="Arial" w:hAnsi="Arial"/>
          <w:sz w:val="22"/>
          <w:szCs w:val="22"/>
          <w:color w:val="auto"/>
        </w:rPr>
      </w:pPr>
      <w:r>
        <w:rPr>
          <w:rFonts w:ascii="Arial" w:cs="Arial" w:eastAsia="Arial" w:hAnsi="Arial"/>
          <w:sz w:val="22"/>
          <w:szCs w:val="22"/>
          <w:color w:val="auto"/>
        </w:rPr>
        <w:t>this Agreement has been or will be duly executed and delivered by it and constitutes or will constitute a valid and binding agreement of it enforceable in accordance with the terms thereof.</w:t>
      </w:r>
    </w:p>
    <w:p>
      <w:pPr>
        <w:spacing w:after="0" w:line="201" w:lineRule="exact"/>
        <w:rPr>
          <w:rFonts w:ascii="Arial" w:cs="Arial" w:eastAsia="Arial" w:hAnsi="Arial"/>
          <w:sz w:val="22"/>
          <w:szCs w:val="22"/>
          <w:color w:val="auto"/>
        </w:rPr>
      </w:pPr>
    </w:p>
    <w:p>
      <w:pPr>
        <w:ind w:right="40" w:firstLine="656"/>
        <w:spacing w:after="0" w:line="235" w:lineRule="auto"/>
        <w:tabs>
          <w:tab w:leader="none" w:pos="1440" w:val="left"/>
        </w:tabs>
        <w:numPr>
          <w:ilvl w:val="0"/>
          <w:numId w:val="30"/>
        </w:numPr>
        <w:rPr>
          <w:rFonts w:ascii="Arial" w:cs="Arial" w:eastAsia="Arial" w:hAnsi="Arial"/>
          <w:sz w:val="22"/>
          <w:szCs w:val="22"/>
          <w:color w:val="auto"/>
        </w:rPr>
      </w:pPr>
      <w:r>
        <w:rPr>
          <w:rFonts w:ascii="Arial" w:cs="Arial" w:eastAsia="Arial" w:hAnsi="Arial"/>
          <w:sz w:val="22"/>
          <w:szCs w:val="22"/>
          <w:color w:val="auto"/>
        </w:rPr>
        <w:t>Each Party acknowledges that it and each other Party may execute this Agreement by facsimile, stamp or mechanical signature. Each Party expressly adopts and confirms each such facsimile, stamp or mechanical signature made in its respective name as if it were a manual signature, agrees that it shall not assert that any such signature is not adequate to bind such Party to the same extent as if it were signed manually and agrees that at the reasonable request of any other Party at any time it shall as promptly as reasonably practicable cause this Agreement to be manually executed (any such execution to be as of the date of the initial date thereof).</w:t>
      </w:r>
    </w:p>
    <w:p>
      <w:pPr>
        <w:spacing w:after="0" w:line="215" w:lineRule="exact"/>
        <w:rPr>
          <w:sz w:val="20"/>
          <w:szCs w:val="20"/>
          <w:color w:val="auto"/>
        </w:rPr>
      </w:pPr>
    </w:p>
    <w:p>
      <w:pPr>
        <w:ind w:firstLine="648"/>
        <w:spacing w:after="0" w:line="248" w:lineRule="auto"/>
        <w:rPr>
          <w:sz w:val="20"/>
          <w:szCs w:val="20"/>
          <w:color w:val="auto"/>
        </w:rPr>
      </w:pPr>
      <w:r>
        <w:rPr>
          <w:rFonts w:ascii="Arial" w:cs="Arial" w:eastAsia="Arial" w:hAnsi="Arial"/>
          <w:sz w:val="21"/>
          <w:szCs w:val="21"/>
          <w:color w:val="auto"/>
        </w:rPr>
        <w:t xml:space="preserve">Section 12.3. </w:t>
      </w:r>
      <w:r>
        <w:rPr>
          <w:rFonts w:ascii="Arial" w:cs="Arial" w:eastAsia="Arial" w:hAnsi="Arial"/>
          <w:sz w:val="21"/>
          <w:szCs w:val="21"/>
          <w:u w:val="single" w:color="auto"/>
          <w:color w:val="auto"/>
        </w:rPr>
        <w:t>Modifications or Amendments</w:t>
      </w:r>
      <w:r>
        <w:rPr>
          <w:rFonts w:ascii="Arial" w:cs="Arial" w:eastAsia="Arial" w:hAnsi="Arial"/>
          <w:sz w:val="21"/>
          <w:szCs w:val="21"/>
          <w:color w:val="auto"/>
        </w:rPr>
        <w:t>. Subject to the provisions of applicable Law, and except as otherwise provided in this Agreement, this Agreement may be amended, modified or supplemented only by written instrument signed by the authorized representative of the Party against whom it sought to enforce such waiver, amendment, supplement or modification is sought to be enforced; provided, at any time prior to the Effective Time, the terms and conditions of this Agreement, including terms relating to the Transactions, may be amended, modified or abandoned by and in the sole and absolute discretion of the TFMC Board without the approval of any Person, including TFMC or TEN.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ind w:firstLine="648"/>
        <w:spacing w:after="0" w:line="236" w:lineRule="auto"/>
        <w:rPr>
          <w:sz w:val="20"/>
          <w:szCs w:val="20"/>
          <w:color w:val="auto"/>
        </w:rPr>
      </w:pPr>
      <w:r>
        <w:rPr>
          <w:rFonts w:ascii="Arial" w:cs="Arial" w:eastAsia="Arial" w:hAnsi="Arial"/>
          <w:sz w:val="22"/>
          <w:szCs w:val="22"/>
          <w:color w:val="auto"/>
        </w:rPr>
        <w:t xml:space="preserve">Section 12.4. </w:t>
      </w:r>
      <w:r>
        <w:rPr>
          <w:rFonts w:ascii="Arial" w:cs="Arial" w:eastAsia="Arial" w:hAnsi="Arial"/>
          <w:sz w:val="22"/>
          <w:szCs w:val="22"/>
          <w:u w:val="single" w:color="auto"/>
          <w:color w:val="auto"/>
        </w:rPr>
        <w:t>Waivers of Default</w:t>
      </w:r>
      <w:r>
        <w:rPr>
          <w:rFonts w:ascii="Arial" w:cs="Arial" w:eastAsia="Arial" w:hAnsi="Arial"/>
          <w:sz w:val="22"/>
          <w:szCs w:val="22"/>
          <w:color w:val="auto"/>
        </w:rPr>
        <w:t>. Waiver by a Party of any default by the other Party of any provision of this Agreement shall not be deemed a waiver by the waiving Party of any subsequent or other default, nor shall it prejudice the rights of the other Party. No failure or delay by a Party in exercising any right, power or privilege under this Agreement shall operate as a waiver thereof nor shall a single or partial exercise thereof prejudice any other or further exercise thereof or the exercise of any other right, power or privilege.</w:t>
      </w:r>
    </w:p>
    <w:p>
      <w:pPr>
        <w:spacing w:after="0" w:line="215"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 xml:space="preserve">Section 12.5.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one or more counterparts, and by the different parties hereto in separate counterparts, each of which when executed shall be deemed to be an original but all of which taken together shall constitute one and the same agreement. The exchange of a fully executed Agreement (in counterparts or otherwise) by facsimile or by electronic delivery in .pdf format shall be sufficient to bind the parties to the terms and conditions of this Agreement.</w:t>
      </w:r>
    </w:p>
    <w:p>
      <w:pPr>
        <w:spacing w:after="0" w:line="214" w:lineRule="exact"/>
        <w:rPr>
          <w:sz w:val="20"/>
          <w:szCs w:val="20"/>
          <w:color w:val="auto"/>
        </w:rPr>
      </w:pPr>
    </w:p>
    <w:p>
      <w:pPr>
        <w:ind w:right="140" w:firstLine="648"/>
        <w:spacing w:after="0" w:line="282" w:lineRule="auto"/>
        <w:rPr>
          <w:sz w:val="20"/>
          <w:szCs w:val="20"/>
          <w:color w:val="auto"/>
        </w:rPr>
      </w:pPr>
      <w:r>
        <w:rPr>
          <w:rFonts w:ascii="Arial" w:cs="Arial" w:eastAsia="Arial" w:hAnsi="Arial"/>
          <w:sz w:val="19"/>
          <w:szCs w:val="19"/>
          <w:color w:val="auto"/>
        </w:rPr>
        <w:t xml:space="preserve">Section 12.6. </w:t>
      </w: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(and any claims or Tax Matters Disputes arising out of or related hereto or to the transactions contemplated hereby or to the inducement of any Party to enter herein, whether for breach of contract, tortious conduct or otherwise and whether predicated on common law, statute or otherwise) shall be governed by and construed and interpreted in accordance with the Laws of the State of New York, irrespective of the choice of laws principles of the State of New York, including all matters of validity, construction, effect, enforceability, performance and remedies.</w:t>
      </w:r>
    </w:p>
    <w:p>
      <w:pPr>
        <w:spacing w:after="0" w:line="174" w:lineRule="exact"/>
        <w:rPr>
          <w:sz w:val="20"/>
          <w:szCs w:val="20"/>
          <w:color w:val="auto"/>
        </w:rPr>
      </w:pPr>
    </w:p>
    <w:p>
      <w:pPr>
        <w:ind w:right="40" w:firstLine="648"/>
        <w:spacing w:after="0" w:line="297" w:lineRule="auto"/>
        <w:rPr>
          <w:sz w:val="20"/>
          <w:szCs w:val="20"/>
          <w:color w:val="auto"/>
        </w:rPr>
      </w:pPr>
      <w:r>
        <w:rPr>
          <w:rFonts w:ascii="Arial" w:cs="Arial" w:eastAsia="Arial" w:hAnsi="Arial"/>
          <w:sz w:val="19"/>
          <w:szCs w:val="19"/>
          <w:color w:val="auto"/>
        </w:rPr>
        <w:t xml:space="preserve">Section 12.7. </w:t>
      </w:r>
      <w:r>
        <w:rPr>
          <w:rFonts w:ascii="Arial" w:cs="Arial" w:eastAsia="Arial" w:hAnsi="Arial"/>
          <w:sz w:val="19"/>
          <w:szCs w:val="19"/>
          <w:u w:val="single" w:color="auto"/>
          <w:color w:val="auto"/>
        </w:rPr>
        <w:t>Notices</w:t>
      </w:r>
      <w:r>
        <w:rPr>
          <w:rFonts w:ascii="Arial" w:cs="Arial" w:eastAsia="Arial" w:hAnsi="Arial"/>
          <w:sz w:val="19"/>
          <w:szCs w:val="19"/>
          <w:color w:val="auto"/>
        </w:rPr>
        <w:t>. Any notice, request, instruction or other document to be given hereunder by any party to the others shall be in writing and delivered personally or sent by registered or certified mail, postage prepaid or by prepaid overnight courier (providing written proof of delivery), or by electronic mail (with confirmed receipt), addressed as follows:</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TFMC, to:</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TechnipFMC plc</w:t>
      </w:r>
    </w:p>
    <w:p>
      <w:pPr>
        <w:ind w:left="1960"/>
        <w:spacing w:after="0" w:line="238" w:lineRule="auto"/>
        <w:rPr>
          <w:sz w:val="20"/>
          <w:szCs w:val="20"/>
          <w:color w:val="auto"/>
        </w:rPr>
      </w:pPr>
      <w:r>
        <w:rPr>
          <w:rFonts w:ascii="Arial" w:cs="Arial" w:eastAsia="Arial" w:hAnsi="Arial"/>
          <w:sz w:val="22"/>
          <w:szCs w:val="22"/>
          <w:color w:val="auto"/>
        </w:rPr>
        <w:t>One St. Paul’s Churchyard,</w:t>
      </w:r>
    </w:p>
    <w:p>
      <w:pPr>
        <w:ind w:left="1960"/>
        <w:spacing w:after="0" w:line="230" w:lineRule="auto"/>
        <w:rPr>
          <w:sz w:val="20"/>
          <w:szCs w:val="20"/>
          <w:color w:val="auto"/>
        </w:rPr>
      </w:pPr>
      <w:r>
        <w:rPr>
          <w:rFonts w:ascii="Arial" w:cs="Arial" w:eastAsia="Arial" w:hAnsi="Arial"/>
          <w:sz w:val="22"/>
          <w:szCs w:val="22"/>
          <w:color w:val="auto"/>
        </w:rPr>
        <w:t>London EC4M 8AP, United Kingdom</w:t>
      </w:r>
    </w:p>
    <w:p>
      <w:pPr>
        <w:ind w:left="1960"/>
        <w:spacing w:after="0" w:line="231" w:lineRule="auto"/>
        <w:rPr>
          <w:sz w:val="20"/>
          <w:szCs w:val="20"/>
          <w:color w:val="auto"/>
        </w:rPr>
      </w:pPr>
      <w:r>
        <w:rPr>
          <w:rFonts w:ascii="Arial" w:cs="Arial" w:eastAsia="Arial" w:hAnsi="Arial"/>
          <w:sz w:val="22"/>
          <w:szCs w:val="22"/>
          <w:color w:val="auto"/>
        </w:rPr>
        <w:t>Attention: Victoria Lazar</w:t>
      </w:r>
    </w:p>
    <w:p>
      <w:pPr>
        <w:ind w:left="1960"/>
        <w:spacing w:after="0" w:line="230" w:lineRule="auto"/>
        <w:rPr>
          <w:sz w:val="20"/>
          <w:szCs w:val="20"/>
          <w:color w:val="auto"/>
        </w:rPr>
      </w:pPr>
      <w:r>
        <w:rPr>
          <w:rFonts w:ascii="Arial" w:cs="Arial" w:eastAsia="Arial" w:hAnsi="Arial"/>
          <w:sz w:val="22"/>
          <w:szCs w:val="22"/>
          <w:color w:val="auto"/>
        </w:rPr>
        <w:t>Email: victoria.lazar@technipfmc.com</w:t>
      </w:r>
    </w:p>
    <w:p>
      <w:pPr>
        <w:ind w:left="1960"/>
        <w:spacing w:after="0" w:line="231" w:lineRule="auto"/>
        <w:rPr>
          <w:sz w:val="20"/>
          <w:szCs w:val="20"/>
          <w:color w:val="auto"/>
        </w:rPr>
      </w:pPr>
      <w:r>
        <w:rPr>
          <w:rFonts w:ascii="Arial" w:cs="Arial" w:eastAsia="Arial" w:hAnsi="Arial"/>
          <w:sz w:val="22"/>
          <w:szCs w:val="22"/>
          <w:color w:val="auto"/>
        </w:rPr>
        <w:t>Attention: Melody Clark</w:t>
      </w:r>
    </w:p>
    <w:p>
      <w:pPr>
        <w:ind w:left="1960"/>
        <w:spacing w:after="0"/>
        <w:rPr>
          <w:sz w:val="20"/>
          <w:szCs w:val="20"/>
          <w:color w:val="auto"/>
        </w:rPr>
      </w:pPr>
      <w:r>
        <w:rPr>
          <w:rFonts w:ascii="Arial" w:cs="Arial" w:eastAsia="Arial" w:hAnsi="Arial"/>
          <w:sz w:val="22"/>
          <w:szCs w:val="22"/>
          <w:color w:val="auto"/>
        </w:rPr>
        <w:t>Email: melody.clark@technipfmc.com</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68" w:name="page69"/>
    <w:bookmarkEnd w:id="68"/>
    <w:p>
      <w:pPr>
        <w:ind w:left="1300"/>
        <w:spacing w:after="0"/>
        <w:rPr>
          <w:sz w:val="20"/>
          <w:szCs w:val="20"/>
          <w:color w:val="auto"/>
        </w:rPr>
      </w:pPr>
      <w:r>
        <w:rPr>
          <w:rFonts w:ascii="Arial" w:cs="Arial" w:eastAsia="Arial" w:hAnsi="Arial"/>
          <w:sz w:val="22"/>
          <w:szCs w:val="22"/>
          <w:color w:val="auto"/>
        </w:rPr>
        <w:t>with a copy (which shall not constitute notice) to:</w:t>
      </w:r>
    </w:p>
    <w:p>
      <w:pPr>
        <w:spacing w:after="0" w:line="23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Latham &amp; Watkins LLP</w:t>
      </w:r>
    </w:p>
    <w:p>
      <w:pPr>
        <w:ind w:left="1960"/>
        <w:spacing w:after="0" w:line="238" w:lineRule="auto"/>
        <w:rPr>
          <w:sz w:val="20"/>
          <w:szCs w:val="20"/>
          <w:color w:val="auto"/>
        </w:rPr>
      </w:pPr>
      <w:r>
        <w:rPr>
          <w:rFonts w:ascii="Arial" w:cs="Arial" w:eastAsia="Arial" w:hAnsi="Arial"/>
          <w:sz w:val="22"/>
          <w:szCs w:val="22"/>
          <w:color w:val="auto"/>
        </w:rPr>
        <w:t>330 North Wabash Avenue, Suite 2800</w:t>
      </w:r>
    </w:p>
    <w:p>
      <w:pPr>
        <w:ind w:left="1960"/>
        <w:spacing w:after="0" w:line="230" w:lineRule="auto"/>
        <w:rPr>
          <w:sz w:val="20"/>
          <w:szCs w:val="20"/>
          <w:color w:val="auto"/>
        </w:rPr>
      </w:pPr>
      <w:r>
        <w:rPr>
          <w:rFonts w:ascii="Arial" w:cs="Arial" w:eastAsia="Arial" w:hAnsi="Arial"/>
          <w:sz w:val="22"/>
          <w:szCs w:val="22"/>
          <w:color w:val="auto"/>
        </w:rPr>
        <w:t>Chicago, IL 60611</w:t>
      </w:r>
    </w:p>
    <w:p>
      <w:pPr>
        <w:ind w:left="1960"/>
        <w:spacing w:after="0" w:line="231" w:lineRule="auto"/>
        <w:rPr>
          <w:sz w:val="20"/>
          <w:szCs w:val="20"/>
          <w:color w:val="auto"/>
        </w:rPr>
      </w:pPr>
      <w:r>
        <w:rPr>
          <w:rFonts w:ascii="Arial" w:cs="Arial" w:eastAsia="Arial" w:hAnsi="Arial"/>
          <w:sz w:val="22"/>
          <w:szCs w:val="22"/>
          <w:color w:val="auto"/>
        </w:rPr>
        <w:t>Attention: Ryan Maierson</w:t>
      </w:r>
    </w:p>
    <w:p>
      <w:pPr>
        <w:ind w:left="1960"/>
        <w:spacing w:after="0" w:line="230" w:lineRule="auto"/>
        <w:rPr>
          <w:sz w:val="20"/>
          <w:szCs w:val="20"/>
          <w:color w:val="auto"/>
        </w:rPr>
      </w:pPr>
      <w:r>
        <w:rPr>
          <w:rFonts w:ascii="Arial" w:cs="Arial" w:eastAsia="Arial" w:hAnsi="Arial"/>
          <w:sz w:val="22"/>
          <w:szCs w:val="22"/>
          <w:color w:val="auto"/>
        </w:rPr>
        <w:t>Email: ryan.maierson@lw.com</w:t>
      </w:r>
    </w:p>
    <w:p>
      <w:pPr>
        <w:ind w:left="1960"/>
        <w:spacing w:after="0" w:line="231" w:lineRule="auto"/>
        <w:rPr>
          <w:sz w:val="20"/>
          <w:szCs w:val="20"/>
          <w:color w:val="auto"/>
        </w:rPr>
      </w:pPr>
      <w:r>
        <w:rPr>
          <w:rFonts w:ascii="Arial" w:cs="Arial" w:eastAsia="Arial" w:hAnsi="Arial"/>
          <w:sz w:val="22"/>
          <w:szCs w:val="22"/>
          <w:color w:val="auto"/>
        </w:rPr>
        <w:t>Attention: Christopher R. Drewry</w:t>
      </w:r>
    </w:p>
    <w:p>
      <w:pPr>
        <w:ind w:left="1960"/>
        <w:spacing w:after="0"/>
        <w:rPr>
          <w:sz w:val="20"/>
          <w:szCs w:val="20"/>
          <w:color w:val="auto"/>
        </w:rPr>
      </w:pPr>
      <w:r>
        <w:rPr>
          <w:rFonts w:ascii="Arial" w:cs="Arial" w:eastAsia="Arial" w:hAnsi="Arial"/>
          <w:sz w:val="22"/>
          <w:szCs w:val="22"/>
          <w:color w:val="auto"/>
        </w:rPr>
        <w:t>Email: christopher.drewry@lw.com</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TEN, to:</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Technip Energies N.V.</w:t>
      </w:r>
    </w:p>
    <w:p>
      <w:pPr>
        <w:ind w:left="1960"/>
        <w:spacing w:after="0" w:line="238" w:lineRule="auto"/>
        <w:rPr>
          <w:sz w:val="20"/>
          <w:szCs w:val="20"/>
          <w:color w:val="auto"/>
        </w:rPr>
      </w:pPr>
      <w:r>
        <w:rPr>
          <w:rFonts w:ascii="Arial" w:cs="Arial" w:eastAsia="Arial" w:hAnsi="Arial"/>
          <w:sz w:val="22"/>
          <w:szCs w:val="22"/>
          <w:color w:val="auto"/>
        </w:rPr>
        <w:t>6-8 Allée de l’Arche, Faubourg de l’Arche, ZAC Danton, 92400</w:t>
      </w:r>
    </w:p>
    <w:p>
      <w:pPr>
        <w:ind w:left="1960"/>
        <w:spacing w:after="0" w:line="230" w:lineRule="auto"/>
        <w:rPr>
          <w:sz w:val="20"/>
          <w:szCs w:val="20"/>
          <w:color w:val="auto"/>
        </w:rPr>
      </w:pPr>
      <w:r>
        <w:rPr>
          <w:rFonts w:ascii="Arial" w:cs="Arial" w:eastAsia="Arial" w:hAnsi="Arial"/>
          <w:sz w:val="22"/>
          <w:szCs w:val="22"/>
          <w:color w:val="auto"/>
        </w:rPr>
        <w:t>Courbevoie, France</w:t>
      </w:r>
    </w:p>
    <w:p>
      <w:pPr>
        <w:ind w:left="1960"/>
        <w:spacing w:after="0" w:line="231" w:lineRule="auto"/>
        <w:rPr>
          <w:sz w:val="20"/>
          <w:szCs w:val="20"/>
          <w:color w:val="auto"/>
        </w:rPr>
      </w:pPr>
      <w:r>
        <w:rPr>
          <w:rFonts w:ascii="Arial" w:cs="Arial" w:eastAsia="Arial" w:hAnsi="Arial"/>
          <w:sz w:val="22"/>
          <w:szCs w:val="22"/>
          <w:color w:val="auto"/>
        </w:rPr>
        <w:t>Attention: Pascaline Williams-Duflos</w:t>
      </w:r>
    </w:p>
    <w:p>
      <w:pPr>
        <w:ind w:left="1960"/>
        <w:spacing w:after="0" w:line="230" w:lineRule="auto"/>
        <w:rPr>
          <w:sz w:val="20"/>
          <w:szCs w:val="20"/>
          <w:color w:val="auto"/>
        </w:rPr>
      </w:pPr>
      <w:r>
        <w:rPr>
          <w:rFonts w:ascii="Arial" w:cs="Arial" w:eastAsia="Arial" w:hAnsi="Arial"/>
          <w:sz w:val="22"/>
          <w:szCs w:val="22"/>
          <w:color w:val="auto"/>
        </w:rPr>
        <w:t>Email: Pascaline.williamsduflos@technipfmc.com</w:t>
      </w:r>
    </w:p>
    <w:p>
      <w:pPr>
        <w:ind w:left="1960"/>
        <w:spacing w:after="0" w:line="231" w:lineRule="auto"/>
        <w:rPr>
          <w:sz w:val="20"/>
          <w:szCs w:val="20"/>
          <w:color w:val="auto"/>
        </w:rPr>
      </w:pPr>
      <w:r>
        <w:rPr>
          <w:rFonts w:ascii="Arial" w:cs="Arial" w:eastAsia="Arial" w:hAnsi="Arial"/>
          <w:sz w:val="22"/>
          <w:szCs w:val="22"/>
          <w:color w:val="auto"/>
        </w:rPr>
        <w:t>Attention: Stephen Siegel</w:t>
      </w:r>
    </w:p>
    <w:p>
      <w:pPr>
        <w:ind w:left="1960"/>
        <w:spacing w:after="0"/>
        <w:rPr>
          <w:sz w:val="20"/>
          <w:szCs w:val="20"/>
          <w:color w:val="auto"/>
        </w:rPr>
      </w:pPr>
      <w:r>
        <w:rPr>
          <w:rFonts w:ascii="Arial" w:cs="Arial" w:eastAsia="Arial" w:hAnsi="Arial"/>
          <w:sz w:val="22"/>
          <w:szCs w:val="22"/>
          <w:color w:val="auto"/>
        </w:rPr>
        <w:t>Email: stephen.siegel@technipfmc.com</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copy (which shall not constitute notice) to:</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Davis Polk &amp; Wardwell LLP</w:t>
      </w:r>
    </w:p>
    <w:p>
      <w:pPr>
        <w:ind w:left="1960"/>
        <w:spacing w:after="0" w:line="238" w:lineRule="auto"/>
        <w:rPr>
          <w:sz w:val="20"/>
          <w:szCs w:val="20"/>
          <w:color w:val="auto"/>
        </w:rPr>
      </w:pPr>
      <w:r>
        <w:rPr>
          <w:rFonts w:ascii="Arial" w:cs="Arial" w:eastAsia="Arial" w:hAnsi="Arial"/>
          <w:sz w:val="22"/>
          <w:szCs w:val="22"/>
          <w:color w:val="auto"/>
        </w:rPr>
        <w:t>450 Lexington Avenue</w:t>
      </w:r>
    </w:p>
    <w:p>
      <w:pPr>
        <w:ind w:left="1960"/>
        <w:spacing w:after="0" w:line="230" w:lineRule="auto"/>
        <w:rPr>
          <w:sz w:val="20"/>
          <w:szCs w:val="20"/>
          <w:color w:val="auto"/>
        </w:rPr>
      </w:pPr>
      <w:r>
        <w:rPr>
          <w:rFonts w:ascii="Arial" w:cs="Arial" w:eastAsia="Arial" w:hAnsi="Arial"/>
          <w:sz w:val="22"/>
          <w:szCs w:val="22"/>
          <w:color w:val="auto"/>
        </w:rPr>
        <w:t>New York, New York 10017</w:t>
      </w:r>
    </w:p>
    <w:p>
      <w:pPr>
        <w:ind w:left="1960"/>
        <w:spacing w:after="0" w:line="231" w:lineRule="auto"/>
        <w:rPr>
          <w:sz w:val="20"/>
          <w:szCs w:val="20"/>
          <w:color w:val="auto"/>
        </w:rPr>
      </w:pPr>
      <w:r>
        <w:rPr>
          <w:rFonts w:ascii="Arial" w:cs="Arial" w:eastAsia="Arial" w:hAnsi="Arial"/>
          <w:sz w:val="22"/>
          <w:szCs w:val="22"/>
          <w:color w:val="auto"/>
        </w:rPr>
        <w:t>Attention: William Aaronson</w:t>
      </w:r>
    </w:p>
    <w:p>
      <w:pPr>
        <w:ind w:left="1960"/>
        <w:spacing w:after="0" w:line="230" w:lineRule="auto"/>
        <w:rPr>
          <w:sz w:val="20"/>
          <w:szCs w:val="20"/>
          <w:color w:val="auto"/>
        </w:rPr>
      </w:pPr>
      <w:r>
        <w:rPr>
          <w:rFonts w:ascii="Arial" w:cs="Arial" w:eastAsia="Arial" w:hAnsi="Arial"/>
          <w:sz w:val="22"/>
          <w:szCs w:val="22"/>
          <w:color w:val="auto"/>
        </w:rPr>
        <w:t>Email: william.aaronson@davispolk.com</w:t>
      </w:r>
    </w:p>
    <w:p>
      <w:pPr>
        <w:ind w:left="1960"/>
        <w:spacing w:after="0" w:line="231" w:lineRule="auto"/>
        <w:rPr>
          <w:sz w:val="20"/>
          <w:szCs w:val="20"/>
          <w:color w:val="auto"/>
        </w:rPr>
      </w:pPr>
      <w:r>
        <w:rPr>
          <w:rFonts w:ascii="Arial" w:cs="Arial" w:eastAsia="Arial" w:hAnsi="Arial"/>
          <w:sz w:val="22"/>
          <w:szCs w:val="22"/>
          <w:color w:val="auto"/>
        </w:rPr>
        <w:t>Attention: Jacques Naquet-Radiguet</w:t>
      </w:r>
    </w:p>
    <w:p>
      <w:pPr>
        <w:ind w:left="1960"/>
        <w:spacing w:after="0"/>
        <w:rPr>
          <w:sz w:val="20"/>
          <w:szCs w:val="20"/>
          <w:color w:val="auto"/>
        </w:rPr>
      </w:pPr>
      <w:r>
        <w:rPr>
          <w:rFonts w:ascii="Arial" w:cs="Arial" w:eastAsia="Arial" w:hAnsi="Arial"/>
          <w:sz w:val="22"/>
          <w:szCs w:val="22"/>
          <w:color w:val="auto"/>
        </w:rPr>
        <w:t>Email: jacques.naquet@davispolk.com</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or to such other persons or addresses as may be designated in writing by the party to receive such notice as provided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above.</w:t>
      </w:r>
    </w:p>
    <w:p>
      <w:pPr>
        <w:spacing w:after="0" w:line="215" w:lineRule="exact"/>
        <w:rPr>
          <w:sz w:val="20"/>
          <w:szCs w:val="20"/>
          <w:color w:val="auto"/>
        </w:rPr>
      </w:pPr>
    </w:p>
    <w:p>
      <w:pPr>
        <w:ind w:firstLine="648"/>
        <w:spacing w:after="0" w:line="244" w:lineRule="auto"/>
        <w:rPr>
          <w:sz w:val="20"/>
          <w:szCs w:val="20"/>
          <w:color w:val="auto"/>
        </w:rPr>
      </w:pPr>
      <w:r>
        <w:rPr>
          <w:rFonts w:ascii="Arial" w:cs="Arial" w:eastAsia="Arial" w:hAnsi="Arial"/>
          <w:sz w:val="21"/>
          <w:szCs w:val="21"/>
          <w:color w:val="auto"/>
        </w:rPr>
        <w:t xml:space="preserve">Section 12.8. </w:t>
      </w: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(including any exhibits hereto), the Separation Agreement and the other Ancillary Agreements constitute the entire agreement, and supersede all other prior agreements, understandings, representations and warranties both written and oral, among the parties, with respect to the subject matter hereof; for the avoidance of doubt, the preceding clause shall apply to all other agreements, whether or not written, in respect of any Tax between or among any member or members of the TFMC Group, on the one hand, and any member or members of the TEN Group, on the other hand, which agreements shall be of no further effect between the parties thereto and any rights or obligations existing thereunder shall be fully and finally settled, calculated as of the date hereof. Except as expressly set forth in the Separation Agreement or any Ancillary Agreement: (i) all matters relating to Taxes and Tax Returns of the Parties and their respective Subsidiaries, to the extent such matters are the subject of this Agreement, shall be governed exclusively by this Agreement; and (ii) for the avoidance of doubt, in the event of any conflict between the Separation Agreement or any Ancillary Agreement, on the one hand, and this Agreement, on the other hand, with respect to such matters, the terms and conditions of this Agreement shall govern.</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9" w:name="page70"/>
    <w:bookmarkEnd w:id="69"/>
    <w:p>
      <w:pPr>
        <w:ind w:right="20" w:firstLine="648"/>
        <w:spacing w:after="0" w:line="279" w:lineRule="auto"/>
        <w:rPr>
          <w:sz w:val="20"/>
          <w:szCs w:val="20"/>
          <w:color w:val="auto"/>
        </w:rPr>
      </w:pPr>
      <w:r>
        <w:rPr>
          <w:rFonts w:ascii="Arial" w:cs="Arial" w:eastAsia="Arial" w:hAnsi="Arial"/>
          <w:sz w:val="19"/>
          <w:szCs w:val="19"/>
          <w:color w:val="auto"/>
        </w:rPr>
        <w:t xml:space="preserve">Section 12.9. </w:t>
      </w:r>
      <w:r>
        <w:rPr>
          <w:rFonts w:ascii="Arial" w:cs="Arial" w:eastAsia="Arial" w:hAnsi="Arial"/>
          <w:sz w:val="19"/>
          <w:szCs w:val="19"/>
          <w:u w:val="single" w:color="auto"/>
          <w:color w:val="auto"/>
        </w:rPr>
        <w:t>No Third-Party Beneficiaries</w:t>
      </w:r>
      <w:r>
        <w:rPr>
          <w:rFonts w:ascii="Arial" w:cs="Arial" w:eastAsia="Arial" w:hAnsi="Arial"/>
          <w:sz w:val="19"/>
          <w:szCs w:val="19"/>
          <w:color w:val="auto"/>
        </w:rPr>
        <w:t>. Except for the indemnification rights under this Agreement of any TFMC Indemnitee or TEN Indemnitee in their respective capacities as such: (a) the provisions of this Agreement are solely for the benefit of the Parties and are not intended to confer upon any Person (including any shareholders of TFMC or shareholders of TEN) except the Parties hereto any rights or remedies hereunder; and (b) there are no third-party beneficiaries of this Agreement and this Agreement shall not provide any third Person (including any shareholders of TFMC or shareholders of TEN) with any remedy, claim, reimbursement, claim of action or other right in excess of those existing without reference to this Agreement.</w:t>
      </w:r>
    </w:p>
    <w:p>
      <w:pPr>
        <w:spacing w:after="0" w:line="178" w:lineRule="exact"/>
        <w:rPr>
          <w:sz w:val="20"/>
          <w:szCs w:val="20"/>
          <w:color w:val="auto"/>
        </w:rPr>
      </w:pPr>
    </w:p>
    <w:p>
      <w:pPr>
        <w:ind w:right="20" w:firstLine="648"/>
        <w:spacing w:after="0" w:line="277" w:lineRule="auto"/>
        <w:rPr>
          <w:sz w:val="20"/>
          <w:szCs w:val="20"/>
          <w:color w:val="auto"/>
        </w:rPr>
      </w:pPr>
      <w:r>
        <w:rPr>
          <w:rFonts w:ascii="Arial" w:cs="Arial" w:eastAsia="Arial" w:hAnsi="Arial"/>
          <w:sz w:val="19"/>
          <w:szCs w:val="19"/>
          <w:color w:val="auto"/>
        </w:rPr>
        <w:t xml:space="preserve">Section 12.10. </w:t>
      </w:r>
      <w:r>
        <w:rPr>
          <w:rFonts w:ascii="Arial" w:cs="Arial" w:eastAsia="Arial" w:hAnsi="Arial"/>
          <w:sz w:val="19"/>
          <w:szCs w:val="19"/>
          <w:u w:val="single" w:color="auto"/>
          <w:color w:val="auto"/>
        </w:rPr>
        <w:t>Severability</w:t>
      </w:r>
      <w:r>
        <w:rPr>
          <w:rFonts w:ascii="Arial" w:cs="Arial" w:eastAsia="Arial" w:hAnsi="Arial"/>
          <w:sz w:val="19"/>
          <w:szCs w:val="19"/>
          <w:color w:val="auto"/>
        </w:rPr>
        <w:t>. The provisions of this Agreement shall be deemed severable and the invalidity or unenforceability of any provision shall not affect the validity or enforceability or the other provisions hereof. If any provision of this Agreement, or the application thereof to any Person or any circumstance, is invalid or unenforceable, (a) a suitable and equitable provision shall be substituted therefor in order to carry out, so far as may be valid and enforceable, the intent and purpose of such invalid or unenforceable provision and (b)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thereof, in any other jurisdiction.</w:t>
      </w:r>
    </w:p>
    <w:p>
      <w:pPr>
        <w:spacing w:after="0" w:line="179" w:lineRule="exact"/>
        <w:rPr>
          <w:sz w:val="20"/>
          <w:szCs w:val="20"/>
          <w:color w:val="auto"/>
        </w:rPr>
      </w:pPr>
    </w:p>
    <w:p>
      <w:pPr>
        <w:ind w:right="140" w:firstLine="648"/>
        <w:spacing w:after="0" w:line="274" w:lineRule="auto"/>
        <w:rPr>
          <w:sz w:val="20"/>
          <w:szCs w:val="20"/>
          <w:color w:val="auto"/>
        </w:rPr>
      </w:pPr>
      <w:r>
        <w:rPr>
          <w:rFonts w:ascii="Arial" w:cs="Arial" w:eastAsia="Arial" w:hAnsi="Arial"/>
          <w:sz w:val="19"/>
          <w:szCs w:val="19"/>
          <w:color w:val="auto"/>
        </w:rPr>
        <w:t xml:space="preserve">Section 12.11. </w:t>
      </w:r>
      <w:r>
        <w:rPr>
          <w:rFonts w:ascii="Arial" w:cs="Arial" w:eastAsia="Arial" w:hAnsi="Arial"/>
          <w:sz w:val="19"/>
          <w:szCs w:val="19"/>
          <w:u w:val="single" w:color="auto"/>
          <w:color w:val="auto"/>
        </w:rPr>
        <w:t>Interpretation</w:t>
      </w:r>
      <w:r>
        <w:rPr>
          <w:rFonts w:ascii="Arial" w:cs="Arial" w:eastAsia="Arial" w:hAnsi="Arial"/>
          <w:sz w:val="19"/>
          <w:szCs w:val="19"/>
          <w:color w:val="auto"/>
        </w:rPr>
        <w:t>. The table of contents and headings herein are for convenience of reference only, do not constitute part of this Agreement and shall not be deemed to limit or otherwise affect any of the provisions hereof. Where a reference in this Agreement is made to a Section, Schedule or Exhibit, such reference shall be to a Section of, Schedule to or Exhibit to this Agreement unless otherwise indicated. Whenever the words “include,” “includes” or “including” are used in this Agreement, they shall be deemed to be followed by the words “without limitation.” For purposes of this Agreement, whenever the context requires the singular number shall include the plural, and vice versa. All references in this Agreement to “$” are intended to refer to United States dollars and all references to “EUR” are to the lawful currency of the European Union. Any reference to a particular Law means such Law as amended, modified or supplemented (including all rules and regulations promulgated thereunder) and, unless otherwise provided, as in effect from time to time.</w:t>
      </w:r>
    </w:p>
    <w:p>
      <w:pPr>
        <w:spacing w:after="0" w:line="185" w:lineRule="exact"/>
        <w:rPr>
          <w:sz w:val="20"/>
          <w:szCs w:val="20"/>
          <w:color w:val="auto"/>
        </w:rPr>
      </w:pPr>
    </w:p>
    <w:p>
      <w:pPr>
        <w:ind w:right="580" w:firstLine="648"/>
        <w:spacing w:after="0" w:line="250" w:lineRule="auto"/>
        <w:rPr>
          <w:sz w:val="20"/>
          <w:szCs w:val="20"/>
          <w:color w:val="auto"/>
        </w:rPr>
      </w:pPr>
      <w:r>
        <w:rPr>
          <w:rFonts w:ascii="Arial" w:cs="Arial" w:eastAsia="Arial" w:hAnsi="Arial"/>
          <w:sz w:val="22"/>
          <w:szCs w:val="22"/>
          <w:color w:val="auto"/>
        </w:rPr>
        <w:t xml:space="preserve">Section 12.12. </w:t>
      </w:r>
      <w:r>
        <w:rPr>
          <w:rFonts w:ascii="Arial" w:cs="Arial" w:eastAsia="Arial" w:hAnsi="Arial"/>
          <w:sz w:val="22"/>
          <w:szCs w:val="22"/>
          <w:u w:val="single" w:color="auto"/>
          <w:color w:val="auto"/>
        </w:rPr>
        <w:t>Defined Terms</w:t>
      </w:r>
      <w:r>
        <w:rPr>
          <w:rFonts w:ascii="Arial" w:cs="Arial" w:eastAsia="Arial" w:hAnsi="Arial"/>
          <w:sz w:val="22"/>
          <w:szCs w:val="22"/>
          <w:color w:val="auto"/>
        </w:rPr>
        <w:t xml:space="preserve">. Capitalized terms used and not otherwise defined herein shall have the meanings specified or referred to in </w:t>
      </w:r>
      <w:r>
        <w:rPr>
          <w:rFonts w:ascii="Arial" w:cs="Arial" w:eastAsia="Arial" w:hAnsi="Arial"/>
          <w:sz w:val="22"/>
          <w:szCs w:val="22"/>
          <w:u w:val="single" w:color="auto"/>
          <w:color w:val="auto"/>
        </w:rPr>
        <w:t>Annex I</w:t>
      </w:r>
      <w:r>
        <w:rPr>
          <w:rFonts w:ascii="Arial" w:cs="Arial" w:eastAsia="Arial" w:hAnsi="Arial"/>
          <w:sz w:val="22"/>
          <w:szCs w:val="22"/>
          <w:color w:val="auto"/>
        </w:rPr>
        <w:t>.</w:t>
      </w:r>
    </w:p>
    <w:p>
      <w:pPr>
        <w:spacing w:after="0" w:line="202" w:lineRule="exact"/>
        <w:rPr>
          <w:sz w:val="20"/>
          <w:szCs w:val="20"/>
          <w:color w:val="auto"/>
        </w:rPr>
      </w:pPr>
    </w:p>
    <w:p>
      <w:pPr>
        <w:ind w:right="160" w:firstLine="648"/>
        <w:spacing w:after="0" w:line="236" w:lineRule="auto"/>
        <w:rPr>
          <w:sz w:val="20"/>
          <w:szCs w:val="20"/>
          <w:color w:val="auto"/>
        </w:rPr>
      </w:pPr>
      <w:r>
        <w:rPr>
          <w:rFonts w:ascii="Arial" w:cs="Arial" w:eastAsia="Arial" w:hAnsi="Arial"/>
          <w:sz w:val="22"/>
          <w:szCs w:val="22"/>
          <w:color w:val="auto"/>
        </w:rPr>
        <w:t xml:space="preserve">Section 12.13. </w:t>
      </w:r>
      <w:r>
        <w:rPr>
          <w:rFonts w:ascii="Arial" w:cs="Arial" w:eastAsia="Arial" w:hAnsi="Arial"/>
          <w:sz w:val="22"/>
          <w:szCs w:val="22"/>
          <w:u w:val="single" w:color="auto"/>
          <w:color w:val="auto"/>
        </w:rPr>
        <w:t>Assignment</w:t>
      </w:r>
      <w:r>
        <w:rPr>
          <w:rFonts w:ascii="Arial" w:cs="Arial" w:eastAsia="Arial" w:hAnsi="Arial"/>
          <w:sz w:val="22"/>
          <w:szCs w:val="22"/>
          <w:color w:val="auto"/>
        </w:rPr>
        <w:t>. Neither this Agreement, nor any of the rights, interests or obligations under this Agreement, shall be assigned, in whole or in part, by either Party without the prior written consent of the other Party. Any attempted or purported assignment in violation of the preceding sentence shall be null and void and of no effect whatsoever. Subject to the preceding two sentences, this Agreement shall be binding upon, inure to the benefit of, and be enforceable by, the Parties and their respective successors and assigns.</w:t>
      </w:r>
    </w:p>
    <w:p>
      <w:pPr>
        <w:spacing w:after="0" w:line="214"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Section 12.14.</w:t>
      </w:r>
      <w:r>
        <w:rPr>
          <w:sz w:val="20"/>
          <w:szCs w:val="20"/>
          <w:color w:val="auto"/>
        </w:rPr>
        <w:tab/>
      </w:r>
      <w:r>
        <w:rPr>
          <w:rFonts w:ascii="Arial" w:cs="Arial" w:eastAsia="Arial" w:hAnsi="Arial"/>
          <w:sz w:val="19"/>
          <w:szCs w:val="19"/>
          <w:u w:val="single" w:color="auto"/>
          <w:color w:val="auto"/>
        </w:rPr>
        <w:t>Specific Performance</w:t>
      </w:r>
      <w:r>
        <w:rPr>
          <w:rFonts w:ascii="Arial" w:cs="Arial" w:eastAsia="Arial" w:hAnsi="Arial"/>
          <w:sz w:val="19"/>
          <w:szCs w:val="19"/>
          <w:color w:val="auto"/>
        </w:rPr>
        <w:t>.</w:t>
      </w:r>
    </w:p>
    <w:p>
      <w:pPr>
        <w:spacing w:after="0" w:line="233" w:lineRule="exact"/>
        <w:rPr>
          <w:sz w:val="20"/>
          <w:szCs w:val="20"/>
          <w:color w:val="auto"/>
        </w:rPr>
      </w:pPr>
    </w:p>
    <w:p>
      <w:pPr>
        <w:ind w:firstLine="656"/>
        <w:spacing w:after="0" w:line="235" w:lineRule="auto"/>
        <w:tabs>
          <w:tab w:leader="none" w:pos="1428" w:val="left"/>
        </w:tabs>
        <w:numPr>
          <w:ilvl w:val="0"/>
          <w:numId w:val="31"/>
        </w:numPr>
        <w:rPr>
          <w:rFonts w:ascii="Arial" w:cs="Arial" w:eastAsia="Arial" w:hAnsi="Arial"/>
          <w:sz w:val="22"/>
          <w:szCs w:val="22"/>
          <w:color w:val="auto"/>
        </w:rPr>
      </w:pPr>
      <w:r>
        <w:rPr>
          <w:rFonts w:ascii="Arial" w:cs="Arial" w:eastAsia="Arial" w:hAnsi="Arial"/>
          <w:sz w:val="22"/>
          <w:szCs w:val="22"/>
          <w:color w:val="auto"/>
        </w:rPr>
        <w:t xml:space="preserve">The Parties agree that irreparable damage would occur if any provision of this Agreement were not performed in accordance with the specific terms hereof or were otherwise breached. It is accordingly agreed that prior to the termination of this Agreement in accordance with </w:t>
      </w:r>
      <w:r>
        <w:rPr>
          <w:rFonts w:ascii="Arial" w:cs="Arial" w:eastAsia="Arial" w:hAnsi="Arial"/>
          <w:sz w:val="22"/>
          <w:szCs w:val="22"/>
          <w:u w:val="single" w:color="auto"/>
          <w:color w:val="auto"/>
        </w:rPr>
        <w:t>Section 12.1</w:t>
      </w:r>
      <w:r>
        <w:rPr>
          <w:rFonts w:ascii="Arial" w:cs="Arial" w:eastAsia="Arial" w:hAnsi="Arial"/>
          <w:sz w:val="22"/>
          <w:szCs w:val="22"/>
          <w:color w:val="auto"/>
        </w:rPr>
        <w:t>, the Parties shall be entitled to an injunction or injunctions to prevent breaches of this Agreement and to enforce specifically the terms and provisions of this Agreement (without necessity of posting bond or other security (any requirements therefor being expressly waived)), this being in addition to any other remedy to which they are entitled at Law or in equity.</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0" w:name="page71"/>
    <w:bookmarkEnd w:id="70"/>
    <w:p>
      <w:pPr>
        <w:ind w:right="100" w:firstLine="656"/>
        <w:spacing w:after="0" w:line="282" w:lineRule="auto"/>
        <w:tabs>
          <w:tab w:leader="none" w:pos="1440" w:val="left"/>
        </w:tabs>
        <w:numPr>
          <w:ilvl w:val="0"/>
          <w:numId w:val="32"/>
        </w:numPr>
        <w:rPr>
          <w:rFonts w:ascii="Arial" w:cs="Arial" w:eastAsia="Arial" w:hAnsi="Arial"/>
          <w:sz w:val="19"/>
          <w:szCs w:val="19"/>
          <w:color w:val="auto"/>
        </w:rPr>
      </w:pPr>
      <w:r>
        <w:rPr>
          <w:rFonts w:ascii="Arial" w:cs="Arial" w:eastAsia="Arial" w:hAnsi="Arial"/>
          <w:sz w:val="19"/>
          <w:szCs w:val="19"/>
          <w:color w:val="auto"/>
        </w:rPr>
        <w:t>Each of the Parties agrees that it will not oppose the granting of an injunction, specific performance or other equitable relief as provided herein on the basis that (i) the other Party has an adequate remedy at Law or (ii) an award of specific performance is not an appropriate remedy for any reason at Law or equity. Any Party seeking an injunction or injunctions to prevent breaches of this Agreement and to enforce specifically the terms and provisions of this Agreement shall not be required to provide any bond or other security in connection with any such order or injunction.</w:t>
      </w:r>
    </w:p>
    <w:p>
      <w:pPr>
        <w:spacing w:after="0" w:line="175"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Section 12.15.</w:t>
      </w:r>
      <w:r>
        <w:rPr>
          <w:sz w:val="20"/>
          <w:szCs w:val="20"/>
          <w:color w:val="auto"/>
        </w:rPr>
        <w:tab/>
      </w:r>
      <w:r>
        <w:rPr>
          <w:rFonts w:ascii="Arial" w:cs="Arial" w:eastAsia="Arial" w:hAnsi="Arial"/>
          <w:sz w:val="19"/>
          <w:szCs w:val="19"/>
          <w:u w:val="single" w:color="auto"/>
          <w:color w:val="auto"/>
        </w:rPr>
        <w:t>Payment Terms</w:t>
      </w:r>
      <w:r>
        <w:rPr>
          <w:rFonts w:ascii="Arial" w:cs="Arial" w:eastAsia="Arial" w:hAnsi="Arial"/>
          <w:sz w:val="19"/>
          <w:szCs w:val="19"/>
          <w:color w:val="auto"/>
        </w:rPr>
        <w:t>.</w:t>
      </w:r>
    </w:p>
    <w:p>
      <w:pPr>
        <w:spacing w:after="0" w:line="233" w:lineRule="exact"/>
        <w:rPr>
          <w:sz w:val="20"/>
          <w:szCs w:val="20"/>
          <w:color w:val="auto"/>
        </w:rPr>
      </w:pPr>
    </w:p>
    <w:p>
      <w:pPr>
        <w:ind w:firstLine="656"/>
        <w:spacing w:after="0" w:line="236" w:lineRule="auto"/>
        <w:tabs>
          <w:tab w:leader="none" w:pos="1428" w:val="left"/>
        </w:tabs>
        <w:numPr>
          <w:ilvl w:val="0"/>
          <w:numId w:val="33"/>
        </w:numPr>
        <w:rPr>
          <w:rFonts w:ascii="Arial" w:cs="Arial" w:eastAsia="Arial" w:hAnsi="Arial"/>
          <w:sz w:val="22"/>
          <w:szCs w:val="22"/>
          <w:color w:val="auto"/>
        </w:rPr>
      </w:pPr>
      <w:r>
        <w:rPr>
          <w:rFonts w:ascii="Arial" w:cs="Arial" w:eastAsia="Arial" w:hAnsi="Arial"/>
          <w:sz w:val="22"/>
          <w:szCs w:val="22"/>
          <w:color w:val="auto"/>
        </w:rPr>
        <w:t>Except as otherwise expressly provided to the contrary in this Agreement, any amount to be paid or reimbursed by a Party (where applicable, or a member of such Party’s Group) to the other Party (where applicable, or a member of such other Party’s Group) under this Agreement shall be paid or reimbursed hereunder within sixty (60) days after presentation of an invoice or a written demand therefor, in either case setting forth, or accompanied by, reasonable documentation or other reasonable explanation supporting such amount.</w:t>
      </w:r>
    </w:p>
    <w:p>
      <w:pPr>
        <w:spacing w:after="0" w:line="214" w:lineRule="exact"/>
        <w:rPr>
          <w:rFonts w:ascii="Arial" w:cs="Arial" w:eastAsia="Arial" w:hAnsi="Arial"/>
          <w:sz w:val="22"/>
          <w:szCs w:val="22"/>
          <w:color w:val="auto"/>
        </w:rPr>
      </w:pPr>
    </w:p>
    <w:p>
      <w:pPr>
        <w:ind w:right="180" w:firstLine="656"/>
        <w:spacing w:after="0" w:line="249" w:lineRule="auto"/>
        <w:tabs>
          <w:tab w:leader="none" w:pos="1440" w:val="left"/>
        </w:tabs>
        <w:numPr>
          <w:ilvl w:val="0"/>
          <w:numId w:val="33"/>
        </w:numPr>
        <w:rPr>
          <w:rFonts w:ascii="Arial" w:cs="Arial" w:eastAsia="Arial" w:hAnsi="Arial"/>
          <w:sz w:val="21"/>
          <w:szCs w:val="21"/>
          <w:color w:val="auto"/>
        </w:rPr>
      </w:pPr>
      <w:r>
        <w:rPr>
          <w:rFonts w:ascii="Arial" w:cs="Arial" w:eastAsia="Arial" w:hAnsi="Arial"/>
          <w:sz w:val="21"/>
          <w:szCs w:val="21"/>
          <w:color w:val="auto"/>
        </w:rPr>
        <w:t>Except as expressly provided to the contrary in this Agreement, any amount not paid when due pursuant to this Agreement (and any amount billed or otherwise invoiced or demanded and properly payable that is not paid within sixty (60) days of such bill, invoice or other demand) shall bear interest at a rate per annum equal to the Prime Rate, from time to time in effect, plus two percent (2%), calculated for the actual number of days elapsed, accrued from the date on which such payment was due up to the date of the actual receipt of payment.</w:t>
      </w:r>
    </w:p>
    <w:p>
      <w:pPr>
        <w:spacing w:after="0" w:line="205" w:lineRule="exact"/>
        <w:rPr>
          <w:rFonts w:ascii="Arial" w:cs="Arial" w:eastAsia="Arial" w:hAnsi="Arial"/>
          <w:sz w:val="21"/>
          <w:szCs w:val="21"/>
          <w:color w:val="auto"/>
        </w:rPr>
      </w:pPr>
    </w:p>
    <w:p>
      <w:pPr>
        <w:ind w:firstLine="656"/>
        <w:spacing w:after="0" w:line="273" w:lineRule="auto"/>
        <w:tabs>
          <w:tab w:leader="none" w:pos="1428" w:val="left"/>
        </w:tabs>
        <w:numPr>
          <w:ilvl w:val="0"/>
          <w:numId w:val="33"/>
        </w:numPr>
        <w:rPr>
          <w:rFonts w:ascii="Arial" w:cs="Arial" w:eastAsia="Arial" w:hAnsi="Arial"/>
          <w:sz w:val="19"/>
          <w:szCs w:val="19"/>
          <w:color w:val="auto"/>
        </w:rPr>
      </w:pPr>
      <w:r>
        <w:rPr>
          <w:rFonts w:ascii="Arial" w:cs="Arial" w:eastAsia="Arial" w:hAnsi="Arial"/>
          <w:sz w:val="19"/>
          <w:szCs w:val="19"/>
          <w:color w:val="auto"/>
        </w:rPr>
        <w:t xml:space="preserve">Without the consent of the Party receiving any payment under this Agreement specifying otherwise, all payments to be made by either TFMC or TEN under this Agreement shall be made in U.S. dollars or in Euros, as requested by the recipient Party. Except as expressly provided herein, any payment required to be made pursuant to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which is not expressed in either U.S. dollars or Euros shall be converted into U.S. dollars or Euros, as the case may be, by using the applicable exchange rate used by the recipient Party for financial reporting or accounting purposes for the month in which the applicable Tax Return is filed or in which any applicable Final Determination is made. In the event that any payment required to be made hereunder other than pursuant to the preceding sentence is denominated in a currency other than U.S. dollars or Euros, the amount of such payment shall be converted into U.S. dollars or Euros, as requested by the indemnified Party, using the applicable exchange rate used by the recipient Party for financial reporting or accounting purposes for the month in which notice of the claim is given to the indemnifying Party.</w:t>
      </w:r>
    </w:p>
    <w:p>
      <w:pPr>
        <w:spacing w:after="0" w:line="188" w:lineRule="exact"/>
        <w:rPr>
          <w:sz w:val="20"/>
          <w:szCs w:val="20"/>
          <w:color w:val="auto"/>
        </w:rPr>
      </w:pPr>
    </w:p>
    <w:p>
      <w:pPr>
        <w:ind w:right="120" w:firstLine="648"/>
        <w:spacing w:after="0" w:line="257" w:lineRule="auto"/>
        <w:rPr>
          <w:sz w:val="20"/>
          <w:szCs w:val="20"/>
          <w:color w:val="auto"/>
        </w:rPr>
      </w:pPr>
      <w:r>
        <w:rPr>
          <w:rFonts w:ascii="Arial" w:cs="Arial" w:eastAsia="Arial" w:hAnsi="Arial"/>
          <w:sz w:val="21"/>
          <w:szCs w:val="21"/>
          <w:color w:val="auto"/>
        </w:rPr>
        <w:t xml:space="preserve">Section 12.16. </w:t>
      </w:r>
      <w:r>
        <w:rPr>
          <w:rFonts w:ascii="Arial" w:cs="Arial" w:eastAsia="Arial" w:hAnsi="Arial"/>
          <w:sz w:val="21"/>
          <w:szCs w:val="21"/>
          <w:u w:val="single" w:color="auto"/>
          <w:color w:val="auto"/>
        </w:rPr>
        <w:t>Survival of Covenants</w:t>
      </w:r>
      <w:r>
        <w:rPr>
          <w:rFonts w:ascii="Arial" w:cs="Arial" w:eastAsia="Arial" w:hAnsi="Arial"/>
          <w:sz w:val="21"/>
          <w:szCs w:val="21"/>
          <w:color w:val="auto"/>
        </w:rPr>
        <w:t>. Except as expressly set forth in this Agreement, the covenants, representations and warranties contained in this Agreement, and liability for the breach of any obligations contained herein, shall survive the Transactions and shall remain in full force and effect in accordance with their terms.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1" w:name="page72"/>
    <w:bookmarkEnd w:id="71"/>
    <w:p>
      <w:pPr>
        <w:ind w:right="20" w:firstLine="648"/>
        <w:spacing w:after="0" w:line="244" w:lineRule="auto"/>
        <w:rPr>
          <w:sz w:val="20"/>
          <w:szCs w:val="20"/>
          <w:color w:val="auto"/>
        </w:rPr>
      </w:pPr>
      <w:r>
        <w:rPr>
          <w:rFonts w:ascii="Arial" w:cs="Arial" w:eastAsia="Arial" w:hAnsi="Arial"/>
          <w:sz w:val="21"/>
          <w:szCs w:val="21"/>
          <w:color w:val="auto"/>
        </w:rPr>
        <w:t xml:space="preserve">Section 12.17. </w:t>
      </w:r>
      <w:r>
        <w:rPr>
          <w:rFonts w:ascii="Arial" w:cs="Arial" w:eastAsia="Arial" w:hAnsi="Arial"/>
          <w:sz w:val="21"/>
          <w:szCs w:val="21"/>
          <w:u w:val="single" w:color="auto"/>
          <w:color w:val="auto"/>
        </w:rPr>
        <w:t>Construction</w:t>
      </w:r>
      <w:r>
        <w:rPr>
          <w:rFonts w:ascii="Arial" w:cs="Arial" w:eastAsia="Arial" w:hAnsi="Arial"/>
          <w:sz w:val="21"/>
          <w:szCs w:val="21"/>
          <w:color w:val="auto"/>
        </w:rPr>
        <w:t>. This Agreement shall be construed as if jointly drafted by the Parties and no rule of construction or strict interpretation shall be applied against either Party. The Parties represent that this Agreement is entered into with full consideration of any and all rights which the Parties may have. The Parties have conducted such investigations they thought appropriate, and have consulted with such advisors as they deemed appropriate regarding this Agreement and their rights and asserted rights in connection therewith. The Parties are not relying upon any representations or statements made by the other Party, or such other Party’s employees, agents, representatives or attorneys, regarding this Agreement, except to the extent such representations are expressly set forth or incorporated in this Agreement. The Parties are not relying upon a legal duty, if one exists, on the part of the other Party (or such other Party’s employees, agents, representatives or attorneys) to disclose any information in connection with the execution of this Agreement or their preparation, it being expressly understood that neither Party shall ever assert any failure to disclose information on the part of the other Party as a ground for challenging this Agreement.</w:t>
      </w:r>
    </w:p>
    <w:p>
      <w:pPr>
        <w:spacing w:after="0" w:line="216" w:lineRule="exact"/>
        <w:rPr>
          <w:sz w:val="20"/>
          <w:szCs w:val="20"/>
          <w:color w:val="auto"/>
        </w:rPr>
      </w:pPr>
    </w:p>
    <w:p>
      <w:pPr>
        <w:ind w:right="280" w:firstLine="648"/>
        <w:spacing w:after="0" w:line="328" w:lineRule="auto"/>
        <w:rPr>
          <w:sz w:val="20"/>
          <w:szCs w:val="20"/>
          <w:color w:val="auto"/>
        </w:rPr>
      </w:pPr>
      <w:r>
        <w:rPr>
          <w:rFonts w:ascii="Arial" w:cs="Arial" w:eastAsia="Arial" w:hAnsi="Arial"/>
          <w:sz w:val="19"/>
          <w:szCs w:val="19"/>
          <w:color w:val="auto"/>
        </w:rPr>
        <w:t xml:space="preserve">Section 12.18. </w:t>
      </w:r>
      <w:r>
        <w:rPr>
          <w:rFonts w:ascii="Arial" w:cs="Arial" w:eastAsia="Arial" w:hAnsi="Arial"/>
          <w:sz w:val="19"/>
          <w:szCs w:val="19"/>
          <w:u w:val="single" w:color="auto"/>
          <w:color w:val="auto"/>
        </w:rPr>
        <w:t>Performance</w:t>
      </w:r>
      <w:r>
        <w:rPr>
          <w:rFonts w:ascii="Arial" w:cs="Arial" w:eastAsia="Arial" w:hAnsi="Arial"/>
          <w:sz w:val="19"/>
          <w:szCs w:val="19"/>
          <w:color w:val="auto"/>
        </w:rPr>
        <w:t>. Each Party shall cause to be performed, and hereby guarantees the performance of, all actions, agreements and obligations set forth herein to be performed by any Subsidiary or Affiliate of such Party.</w:t>
      </w:r>
    </w:p>
    <w:p>
      <w:pPr>
        <w:spacing w:after="0" w:line="132"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 xml:space="preserve">Section 12.19. </w:t>
      </w:r>
      <w:r>
        <w:rPr>
          <w:rFonts w:ascii="Arial" w:cs="Arial" w:eastAsia="Arial" w:hAnsi="Arial"/>
          <w:sz w:val="22"/>
          <w:szCs w:val="22"/>
          <w:u w:val="single" w:color="auto"/>
          <w:color w:val="auto"/>
        </w:rPr>
        <w:t>No Admission of Liability</w:t>
      </w:r>
      <w:r>
        <w:rPr>
          <w:rFonts w:ascii="Arial" w:cs="Arial" w:eastAsia="Arial" w:hAnsi="Arial"/>
          <w:sz w:val="22"/>
          <w:szCs w:val="22"/>
          <w:color w:val="auto"/>
        </w:rPr>
        <w:t>. The allocation of assets and liabilities herein is solely for the purpose of allocating such assets and liabilities between TFMC and TEN and is not intended as an admission of liability or responsibility for any alleged liabilities vis-à-vis any Third Party, including with respect to the liabilities of any non-wholly owned subsidiary of TFMC or TEN.</w:t>
      </w:r>
    </w:p>
    <w:p>
      <w:pPr>
        <w:spacing w:after="0" w:line="212" w:lineRule="exact"/>
        <w:rPr>
          <w:sz w:val="20"/>
          <w:szCs w:val="20"/>
          <w:color w:val="auto"/>
        </w:rPr>
      </w:pPr>
    </w:p>
    <w:p>
      <w:pPr>
        <w:ind w:right="80" w:firstLine="648"/>
        <w:spacing w:after="0" w:line="246" w:lineRule="auto"/>
        <w:rPr>
          <w:sz w:val="20"/>
          <w:szCs w:val="20"/>
          <w:color w:val="auto"/>
        </w:rPr>
      </w:pPr>
      <w:r>
        <w:rPr>
          <w:rFonts w:ascii="Arial" w:cs="Arial" w:eastAsia="Arial" w:hAnsi="Arial"/>
          <w:sz w:val="21"/>
          <w:szCs w:val="21"/>
          <w:color w:val="auto"/>
        </w:rPr>
        <w:t xml:space="preserve">Section 12.20. </w:t>
      </w:r>
      <w:r>
        <w:rPr>
          <w:rFonts w:ascii="Arial" w:cs="Arial" w:eastAsia="Arial" w:hAnsi="Arial"/>
          <w:sz w:val="21"/>
          <w:szCs w:val="21"/>
          <w:u w:val="single" w:color="auto"/>
          <w:color w:val="auto"/>
        </w:rPr>
        <w:t>Limitations of Liability</w:t>
      </w:r>
      <w:r>
        <w:rPr>
          <w:rFonts w:ascii="Arial" w:cs="Arial" w:eastAsia="Arial" w:hAnsi="Arial"/>
          <w:sz w:val="21"/>
          <w:szCs w:val="21"/>
          <w:color w:val="auto"/>
        </w:rPr>
        <w:t>. NOTWITHSTANDING ANYTHING IN THIS AGREEMENT TO THE CONTRARY, NEITHER TFMC NOR ITS AFFILIATES, ON THE ONE HAND, NOR TEN NOR ITS AFFILIATES, ON THE OTHER HAND, SHALL BE LIABLE UNDER THIS AGREEMENT TO THE OTHER FOR ANY INCIDENTAL CONSEQUENTIAL, SPECIAL, INDIRECT, PUNITIVE, EXEMPLARY, REMOTE, SPECULATIVE OR SIMILAR DAMAGES IN EXCESS OF COMPENSATORY DAMAGES OF THE OTHER ARISING IN CONNECTION WITH THE TRANSACTIONS CONTEMPLATED HEREBY OR THEREBY (OTHER THAN ANY SUCH LIABILITY WITH RESPECT TO INDEMNIFICATION OF SUCH DAMAGES PAID BY AN INDEMNITEE IN RESPECT OF A THIRD-PARTY CLAIM).</w:t>
      </w:r>
    </w:p>
    <w:p>
      <w:pPr>
        <w:spacing w:after="0" w:line="211" w:lineRule="exact"/>
        <w:rPr>
          <w:sz w:val="20"/>
          <w:szCs w:val="20"/>
          <w:color w:val="auto"/>
        </w:rPr>
      </w:pPr>
    </w:p>
    <w:p>
      <w:pPr>
        <w:ind w:right="60" w:firstLine="648"/>
        <w:spacing w:after="0"/>
        <w:rPr>
          <w:sz w:val="20"/>
          <w:szCs w:val="20"/>
          <w:color w:val="auto"/>
        </w:rPr>
      </w:pPr>
      <w:r>
        <w:rPr>
          <w:rFonts w:ascii="Arial" w:cs="Arial" w:eastAsia="Arial" w:hAnsi="Arial"/>
          <w:sz w:val="22"/>
          <w:szCs w:val="22"/>
          <w:color w:val="auto"/>
        </w:rPr>
        <w:t xml:space="preserve">Section 12.21. </w:t>
      </w:r>
      <w:r>
        <w:rPr>
          <w:rFonts w:ascii="Arial" w:cs="Arial" w:eastAsia="Arial" w:hAnsi="Arial"/>
          <w:sz w:val="22"/>
          <w:szCs w:val="22"/>
          <w:u w:val="single" w:color="auto"/>
          <w:color w:val="auto"/>
        </w:rPr>
        <w:t>Other Agreements</w:t>
      </w:r>
      <w:r>
        <w:rPr>
          <w:rFonts w:ascii="Arial" w:cs="Arial" w:eastAsia="Arial" w:hAnsi="Arial"/>
          <w:sz w:val="22"/>
          <w:szCs w:val="22"/>
          <w:color w:val="auto"/>
        </w:rPr>
        <w:t>. Except as expressly set forth herein, this Agreement is not intended to address, and should not be interpreted to address, the matters specifically and expressly covered by the Separation Agreement or the other Ancillary Agreements.</w:t>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[Signature Page Follows.]</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72" w:name="page73"/>
    <w:bookmarkEnd w:id="72"/>
    <w:p>
      <w:pPr>
        <w:ind w:right="279" w:firstLine="648"/>
        <w:spacing w:after="0" w:line="251" w:lineRule="auto"/>
        <w:rPr>
          <w:sz w:val="20"/>
          <w:szCs w:val="20"/>
          <w:color w:val="auto"/>
        </w:rPr>
      </w:pPr>
      <w:r>
        <w:rPr>
          <w:rFonts w:ascii="Arial" w:cs="Arial" w:eastAsia="Arial" w:hAnsi="Arial"/>
          <w:sz w:val="22"/>
          <w:szCs w:val="22"/>
          <w:color w:val="auto"/>
        </w:rPr>
        <w:t>IN WITNESS WHEREOF, the parties have caused this Agreement to be executed by their duly authorized representatives.</w:t>
      </w:r>
    </w:p>
    <w:p>
      <w:pPr>
        <w:spacing w:after="0" w:line="208"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TechnipFMC PLC</w:t>
      </w:r>
    </w:p>
    <w:p>
      <w:pPr>
        <w:spacing w:after="0" w:line="225" w:lineRule="exact"/>
        <w:rPr>
          <w:sz w:val="20"/>
          <w:szCs w:val="20"/>
          <w:color w:val="auto"/>
        </w:rPr>
      </w:pPr>
    </w:p>
    <w:p>
      <w:pPr>
        <w:ind w:left="5040"/>
        <w:spacing w:after="0"/>
        <w:tabs>
          <w:tab w:leader="none" w:pos="5500" w:val="left"/>
        </w:tabs>
        <w:rPr>
          <w:sz w:val="20"/>
          <w:szCs w:val="20"/>
          <w:color w:val="auto"/>
        </w:rPr>
      </w:pPr>
      <w:r>
        <w:rPr>
          <w:rFonts w:ascii="Arial" w:cs="Arial" w:eastAsia="Arial" w:hAnsi="Arial"/>
          <w:sz w:val="18"/>
          <w:szCs w:val="18"/>
          <w:color w:val="auto"/>
        </w:rPr>
        <w:t>By:</w:t>
        <w:tab/>
        <w:t>/s/ Alf Melin</w:t>
      </w:r>
    </w:p>
    <w:p>
      <w:pPr>
        <w:spacing w:after="0" w:line="36"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Name:Alf Melin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-121920</wp:posOffset>
            </wp:positionV>
            <wp:extent cx="24942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17"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231"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[Signature Page to Tax Matters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73" w:name="page74"/>
    <w:bookmarkEnd w:id="73"/>
    <w:p>
      <w:pPr>
        <w:ind w:right="279" w:firstLine="648"/>
        <w:spacing w:after="0" w:line="251" w:lineRule="auto"/>
        <w:rPr>
          <w:sz w:val="20"/>
          <w:szCs w:val="20"/>
          <w:color w:val="auto"/>
        </w:rPr>
      </w:pPr>
      <w:r>
        <w:rPr>
          <w:rFonts w:ascii="Arial" w:cs="Arial" w:eastAsia="Arial" w:hAnsi="Arial"/>
          <w:sz w:val="22"/>
          <w:szCs w:val="22"/>
          <w:color w:val="auto"/>
        </w:rPr>
        <w:t>IN WITNESS WHEREOF, the parties have caused this Agreement to be executed by their duly authorized representatives.</w:t>
      </w:r>
    </w:p>
    <w:p>
      <w:pPr>
        <w:spacing w:after="0" w:line="208"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Technip Energies N.V.</w:t>
      </w:r>
    </w:p>
    <w:p>
      <w:pPr>
        <w:spacing w:after="0" w:line="225" w:lineRule="exact"/>
        <w:rPr>
          <w:sz w:val="20"/>
          <w:szCs w:val="20"/>
          <w:color w:val="auto"/>
        </w:rPr>
      </w:pPr>
    </w:p>
    <w:p>
      <w:pPr>
        <w:ind w:left="5040"/>
        <w:spacing w:after="0"/>
        <w:tabs>
          <w:tab w:leader="none" w:pos="5500" w:val="left"/>
        </w:tabs>
        <w:rPr>
          <w:sz w:val="20"/>
          <w:szCs w:val="20"/>
          <w:color w:val="auto"/>
        </w:rPr>
      </w:pPr>
      <w:r>
        <w:rPr>
          <w:rFonts w:ascii="Arial" w:cs="Arial" w:eastAsia="Arial" w:hAnsi="Arial"/>
          <w:sz w:val="18"/>
          <w:szCs w:val="18"/>
          <w:color w:val="auto"/>
        </w:rPr>
        <w:t>By:</w:t>
        <w:tab/>
        <w:t>/s/ Bruno Vibert</w:t>
      </w:r>
    </w:p>
    <w:p>
      <w:pPr>
        <w:spacing w:after="0" w:line="36"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Name:Bruno Vibert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-121920</wp:posOffset>
            </wp:positionV>
            <wp:extent cx="24942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17"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Title: Chief Financial Officer</w:t>
      </w:r>
    </w:p>
    <w:p>
      <w:pPr>
        <w:spacing w:after="0" w:line="231"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[Signature Page to Tax Matters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74" w:name="page75"/>
    <w:bookmarkEnd w:id="74"/>
    <w:p>
      <w:pPr>
        <w:jc w:val="center"/>
        <w:ind w:right="-59"/>
        <w:spacing w:after="0"/>
        <w:rPr>
          <w:sz w:val="20"/>
          <w:szCs w:val="20"/>
          <w:color w:val="auto"/>
        </w:rPr>
      </w:pPr>
      <w:r>
        <w:rPr>
          <w:rFonts w:ascii="Arial" w:cs="Arial" w:eastAsia="Arial" w:hAnsi="Arial"/>
          <w:sz w:val="22"/>
          <w:szCs w:val="22"/>
          <w:b w:val="1"/>
          <w:bCs w:val="1"/>
          <w:color w:val="auto"/>
        </w:rPr>
        <w:t>ANNEX I</w:t>
      </w:r>
      <w:r>
        <w:rPr>
          <w:rFonts w:ascii="Arial" w:cs="Arial" w:eastAsia="Arial" w:hAnsi="Arial"/>
          <w:sz w:val="22"/>
          <w:szCs w:val="22"/>
          <w:color w:val="auto"/>
        </w:rPr>
        <w:t>:</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Defined Terms</w:t>
      </w:r>
    </w:p>
    <w:p>
      <w:pPr>
        <w:spacing w:after="0" w:line="249" w:lineRule="exact"/>
        <w:rPr>
          <w:sz w:val="20"/>
          <w:szCs w:val="20"/>
          <w:color w:val="auto"/>
        </w:rPr>
      </w:pPr>
    </w:p>
    <w:p>
      <w:pPr>
        <w:ind w:right="380" w:firstLine="648"/>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Adjustment Request</w:t>
      </w:r>
      <w:r>
        <w:rPr>
          <w:rFonts w:ascii="Arial" w:cs="Arial" w:eastAsia="Arial" w:hAnsi="Arial"/>
          <w:sz w:val="21"/>
          <w:szCs w:val="21"/>
          <w:color w:val="auto"/>
        </w:rPr>
        <w:t>” means any formal or informal claim or request filed with any Tax Authority, or with any administrative agency or court, for the adjustment, refund, or credit of Taxes, including (a) any amended Tax Return claiming adjustment to the Taxes as reported on the Tax Return or, if applicable, as previously adjusted, (b) any claim for equitable recoupment or other offset, and (c) any claim for refund or credit of Taxes previously paid.</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has the meaning set forth in the Separation Agreement.</w:t>
      </w:r>
    </w:p>
    <w:p>
      <w:pPr>
        <w:spacing w:after="0" w:line="233" w:lineRule="exact"/>
        <w:rPr>
          <w:sz w:val="20"/>
          <w:szCs w:val="20"/>
          <w:color w:val="auto"/>
        </w:rPr>
      </w:pPr>
    </w:p>
    <w:p>
      <w:pPr>
        <w:ind w:right="3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Ancillary Agreement</w:t>
      </w:r>
      <w:r>
        <w:rPr>
          <w:rFonts w:ascii="Arial" w:cs="Arial" w:eastAsia="Arial" w:hAnsi="Arial"/>
          <w:sz w:val="22"/>
          <w:szCs w:val="22"/>
          <w:color w:val="auto"/>
        </w:rPr>
        <w:t xml:space="preserve">” has the meaning set forth in the Separation Agreement;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that for purposes of this Agreement, this Agreement shall not constitute an Ancillary Agreement.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Assets</w:t>
      </w:r>
      <w:r>
        <w:rPr>
          <w:rFonts w:ascii="Arial" w:cs="Arial" w:eastAsia="Arial" w:hAnsi="Arial"/>
          <w:sz w:val="22"/>
          <w:szCs w:val="22"/>
          <w:color w:val="auto"/>
        </w:rPr>
        <w:t>” has the meaning set forth in the Separation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has the meaning set forth in the Separation Agreement.</w:t>
      </w:r>
    </w:p>
    <w:p>
      <w:pPr>
        <w:spacing w:after="0" w:line="233" w:lineRule="exact"/>
        <w:rPr>
          <w:sz w:val="20"/>
          <w:szCs w:val="20"/>
          <w:color w:val="auto"/>
        </w:rPr>
      </w:pPr>
    </w:p>
    <w:p>
      <w:pPr>
        <w:ind w:right="2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Stock</w:t>
      </w:r>
      <w:r>
        <w:rPr>
          <w:rFonts w:ascii="Arial" w:cs="Arial" w:eastAsia="Arial" w:hAnsi="Arial"/>
          <w:sz w:val="22"/>
          <w:szCs w:val="22"/>
          <w:color w:val="auto"/>
        </w:rPr>
        <w:t>” means all classes or series of capital stock of a corporation, including (a) common stock, (b) all options, warrants and other rights to acquire such capital stock and (c) all instruments properly treated as stock in such corporation for U.S. federal Income Tax purposes.</w:t>
      </w:r>
    </w:p>
    <w:p>
      <w:pPr>
        <w:spacing w:after="0" w:line="213"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of the Books Method</w:t>
      </w:r>
      <w:r>
        <w:rPr>
          <w:rFonts w:ascii="Arial" w:cs="Arial" w:eastAsia="Arial" w:hAnsi="Arial"/>
          <w:sz w:val="22"/>
          <w:szCs w:val="22"/>
          <w:color w:val="auto"/>
        </w:rPr>
        <w:t>” means the apportionment of items between portions of a Tax Period based on a closing of the books and records on the close of the Distribution Date (in the event that the Distribution Date is not the last day of the Tax Period, as if the Distribution Date were the last day of the Tax Period), subject to adjustment for items accrued on the Distribution Date that are properly allocable to the Tax Period following the Distribution, as jointly determined by TFMC and TEN; provided that any items not susceptible to such apportionment shall be apportioned on the basis of elapsed days during the relevant portion of the Tax Period.</w:t>
      </w:r>
    </w:p>
    <w:p>
      <w:pPr>
        <w:spacing w:after="0" w:line="215" w:lineRule="exact"/>
        <w:rPr>
          <w:sz w:val="20"/>
          <w:szCs w:val="20"/>
          <w:color w:val="auto"/>
        </w:rPr>
      </w:pPr>
    </w:p>
    <w:p>
      <w:pPr>
        <w:ind w:right="14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Distribution</w:t>
      </w:r>
      <w:r>
        <w:rPr>
          <w:rFonts w:ascii="Arial" w:cs="Arial" w:eastAsia="Arial" w:hAnsi="Arial"/>
          <w:sz w:val="22"/>
          <w:szCs w:val="22"/>
          <w:color w:val="auto"/>
        </w:rPr>
        <w:t>” means the issuance and distribution of ordinary shares of TEN to holders of TFMC ordinary shares on the Record Date on a pro rata basis.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Distribution Date</w:t>
      </w:r>
      <w:r>
        <w:rPr>
          <w:rFonts w:ascii="Arial" w:cs="Arial" w:eastAsia="Arial" w:hAnsi="Arial"/>
          <w:sz w:val="22"/>
          <w:szCs w:val="22"/>
          <w:color w:val="auto"/>
        </w:rPr>
        <w:t>” has the meaning set forth in the Separation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Time</w:t>
      </w:r>
      <w:r>
        <w:rPr>
          <w:rFonts w:ascii="Arial" w:cs="Arial" w:eastAsia="Arial" w:hAnsi="Arial"/>
          <w:sz w:val="22"/>
          <w:szCs w:val="22"/>
          <w:color w:val="auto"/>
        </w:rPr>
        <w:t>” has the meaning set forth in the Separation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Employee Matters Agreement</w:t>
      </w:r>
      <w:r>
        <w:rPr>
          <w:rFonts w:ascii="Arial" w:cs="Arial" w:eastAsia="Arial" w:hAnsi="Arial"/>
          <w:sz w:val="22"/>
          <w:szCs w:val="22"/>
          <w:color w:val="auto"/>
        </w:rPr>
        <w:t>” has the meaning set forth in the Separation Agreement.</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5" w:name="page76"/>
    <w:bookmarkEnd w:id="75"/>
    <w:p>
      <w:pPr>
        <w:ind w:firstLine="648"/>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Final Determination</w:t>
      </w:r>
      <w:r>
        <w:rPr>
          <w:rFonts w:ascii="Arial" w:cs="Arial" w:eastAsia="Arial" w:hAnsi="Arial"/>
          <w:sz w:val="19"/>
          <w:szCs w:val="19"/>
          <w:color w:val="auto"/>
        </w:rPr>
        <w:t>” means the final resolution of liability for any Tax, which resolution may be for a specific issue or adjustment or for any Tax Period, (a) by IRS Form 870 or 870-AD (or any successor forms thereto), on the date of acceptance by or on behalf of the taxpayer, or by a comparable form under the laws of a state, local, or foreign taxing jurisdiction, except that an IRS Form 870 or 870-AD or comparable form shall not constitute a Final Determination to the extent that it reserves (whether by its terms or by operation of law) the right of the taxpayer to file a claim for refund or the right of the Tax Authority to assert a further deficiency in respect of such issue or adjustment or for such Tax Period (as the case may be); (b) by a decision, judgment, decree, or other order by a court of competent jurisdiction, which has become final and unappealable; (c) by a closing agreement or accepted offer in compromise under Sections 7121 or 7122 of the Code, or a comparable agreement under the laws of a state, local, or foreign taxing jurisdiction; (d) by any allowance of a refund or credit in respect of an overpayment of a Tax, but only after the expiration of all periods during which such refund may be recovered (including by way of offset) by the jurisdiction imposing such Tax; (e) by a final settlement resulting from a treaty-based competent authority determination; or (f) by any other final disposition, including by reason of the expiration of the applicable statute of limitations, the execution of a pre-filing agreement with the IRS or other Tax Authority, or by mutual agreement of the Parties.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Entity</w:t>
      </w:r>
      <w:r>
        <w:rPr>
          <w:rFonts w:ascii="Arial" w:cs="Arial" w:eastAsia="Arial" w:hAnsi="Arial"/>
          <w:sz w:val="22"/>
          <w:szCs w:val="22"/>
          <w:color w:val="auto"/>
        </w:rPr>
        <w:t>” has the meaning set forth in the Separation Agreement.</w:t>
      </w:r>
    </w:p>
    <w:p>
      <w:pPr>
        <w:spacing w:after="0" w:line="233" w:lineRule="exact"/>
        <w:rPr>
          <w:sz w:val="20"/>
          <w:szCs w:val="20"/>
          <w:color w:val="auto"/>
        </w:rPr>
      </w:pPr>
    </w:p>
    <w:p>
      <w:pPr>
        <w:jc w:val="both"/>
        <w:ind w:right="6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Group</w:t>
      </w:r>
      <w:r>
        <w:rPr>
          <w:rFonts w:ascii="Arial" w:cs="Arial" w:eastAsia="Arial" w:hAnsi="Arial"/>
          <w:sz w:val="22"/>
          <w:szCs w:val="22"/>
          <w:color w:val="auto"/>
        </w:rPr>
        <w:t>” means (a) with respect to TFMC, the TFMC Group, and (b) with respect to TEN, the TEN Group, as the context requires.</w:t>
      </w:r>
    </w:p>
    <w:p>
      <w:pPr>
        <w:spacing w:after="0" w:line="202" w:lineRule="exact"/>
        <w:rPr>
          <w:sz w:val="20"/>
          <w:szCs w:val="20"/>
          <w:color w:val="auto"/>
        </w:rPr>
      </w:pPr>
    </w:p>
    <w:p>
      <w:pPr>
        <w:ind w:right="40"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Income Tax</w:t>
      </w:r>
      <w:r>
        <w:rPr>
          <w:rFonts w:ascii="Arial" w:cs="Arial" w:eastAsia="Arial" w:hAnsi="Arial"/>
          <w:sz w:val="19"/>
          <w:szCs w:val="19"/>
          <w:color w:val="auto"/>
        </w:rPr>
        <w:t>” means all U.S. federal, state, local and foreign income, franchise or similar Taxes imposed on (or measured by) net income or net profits, and any interest, penalties, additions to Tax or additional amounts in respect of the foregoing.</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IRS</w:t>
      </w:r>
      <w:r>
        <w:rPr>
          <w:rFonts w:ascii="Arial" w:cs="Arial" w:eastAsia="Arial" w:hAnsi="Arial"/>
          <w:sz w:val="22"/>
          <w:szCs w:val="22"/>
          <w:color w:val="auto"/>
        </w:rPr>
        <w:t>” means the U.S. Internal Revenue Service or any successor agency.</w:t>
      </w:r>
    </w:p>
    <w:p>
      <w:pPr>
        <w:spacing w:after="0" w:line="233" w:lineRule="exact"/>
        <w:rPr>
          <w:sz w:val="20"/>
          <w:szCs w:val="20"/>
          <w:color w:val="auto"/>
        </w:rPr>
      </w:pPr>
    </w:p>
    <w:p>
      <w:pPr>
        <w:ind w:right="18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Joint Return</w:t>
      </w:r>
      <w:r>
        <w:rPr>
          <w:rFonts w:ascii="Arial" w:cs="Arial" w:eastAsia="Arial" w:hAnsi="Arial"/>
          <w:sz w:val="22"/>
          <w:szCs w:val="22"/>
          <w:color w:val="auto"/>
        </w:rPr>
        <w:t>” means any Tax Return that includes, by election or otherwise, one or more members of the TFMC Group together with one or more members of the TEN Group.</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Law</w:t>
      </w:r>
      <w:r>
        <w:rPr>
          <w:rFonts w:ascii="Arial" w:cs="Arial" w:eastAsia="Arial" w:hAnsi="Arial"/>
          <w:sz w:val="22"/>
          <w:szCs w:val="22"/>
          <w:color w:val="auto"/>
        </w:rPr>
        <w:t>” has the meaning set forth in the Separation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Liabilities</w:t>
      </w:r>
      <w:r>
        <w:rPr>
          <w:rFonts w:ascii="Arial" w:cs="Arial" w:eastAsia="Arial" w:hAnsi="Arial"/>
          <w:sz w:val="22"/>
          <w:szCs w:val="22"/>
          <w:color w:val="auto"/>
        </w:rPr>
        <w:t>” has the meaning set forth in the Separation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Parties</w:t>
      </w:r>
      <w:r>
        <w:rPr>
          <w:rFonts w:ascii="Arial" w:cs="Arial" w:eastAsia="Arial" w:hAnsi="Arial"/>
          <w:sz w:val="22"/>
          <w:szCs w:val="22"/>
          <w:color w:val="auto"/>
        </w:rPr>
        <w:t>” and “</w:t>
      </w:r>
      <w:r>
        <w:rPr>
          <w:rFonts w:ascii="Arial" w:cs="Arial" w:eastAsia="Arial" w:hAnsi="Arial"/>
          <w:sz w:val="22"/>
          <w:szCs w:val="22"/>
          <w:u w:val="single" w:color="auto"/>
          <w:color w:val="auto"/>
        </w:rPr>
        <w:t>Party</w:t>
      </w:r>
      <w:r>
        <w:rPr>
          <w:rFonts w:ascii="Arial" w:cs="Arial" w:eastAsia="Arial" w:hAnsi="Arial"/>
          <w:sz w:val="22"/>
          <w:szCs w:val="22"/>
          <w:color w:val="auto"/>
        </w:rPr>
        <w:t>” have the meaning set forth in the preamble to this Agreement.</w:t>
      </w:r>
    </w:p>
    <w:p>
      <w:pPr>
        <w:spacing w:after="0" w:line="233" w:lineRule="exact"/>
        <w:rPr>
          <w:sz w:val="20"/>
          <w:szCs w:val="20"/>
          <w:color w:val="auto"/>
        </w:rPr>
      </w:pPr>
    </w:p>
    <w:p>
      <w:pPr>
        <w:jc w:val="both"/>
        <w:ind w:right="6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Payment Date</w:t>
      </w:r>
      <w:r>
        <w:rPr>
          <w:rFonts w:ascii="Arial" w:cs="Arial" w:eastAsia="Arial" w:hAnsi="Arial"/>
          <w:sz w:val="22"/>
          <w:szCs w:val="22"/>
          <w:color w:val="auto"/>
        </w:rPr>
        <w:t>” means, with respect to a Tax Return, (a) the due date for any required installment of estimated Taxes, (b) the due date (determined without regard to extensions) for filing such Tax Return, or (c) the date such Tax Return is filed, as the case may be.</w:t>
      </w:r>
    </w:p>
    <w:p>
      <w:pPr>
        <w:spacing w:after="0" w:line="213" w:lineRule="exact"/>
        <w:rPr>
          <w:sz w:val="20"/>
          <w:szCs w:val="20"/>
          <w:color w:val="auto"/>
        </w:rPr>
      </w:pPr>
    </w:p>
    <w:p>
      <w:pPr>
        <w:jc w:val="both"/>
        <w:ind w:right="44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individual, corporation (including not-for-profit), general or limited partnership, limited liability company, joint venture (including with respect to any vessel), estate, trust, association, organization, Governmental Entity or other entity of any kind or nature, without regard to whether any entity is treated as disregarded for U.S. federal Income Tax purposes.</w:t>
      </w:r>
    </w:p>
    <w:p>
      <w:pPr>
        <w:spacing w:after="0" w:line="212" w:lineRule="exact"/>
        <w:rPr>
          <w:sz w:val="20"/>
          <w:szCs w:val="20"/>
          <w:color w:val="auto"/>
        </w:rPr>
      </w:pPr>
    </w:p>
    <w:p>
      <w:pPr>
        <w:ind w:right="30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Post-Distribution Period</w:t>
      </w:r>
      <w:r>
        <w:rPr>
          <w:rFonts w:ascii="Arial" w:cs="Arial" w:eastAsia="Arial" w:hAnsi="Arial"/>
          <w:sz w:val="22"/>
          <w:szCs w:val="22"/>
          <w:color w:val="auto"/>
        </w:rPr>
        <w:t>” means any Tax Period beginning after the Distribution Date and, in the case of any Straddle Period, the portion of such Tax Period beginning on the day after the Distribution Date.</w:t>
      </w:r>
    </w:p>
    <w:p>
      <w:pPr>
        <w:spacing w:after="0" w:line="202"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Pre-Distribution Period</w:t>
      </w:r>
      <w:r>
        <w:rPr>
          <w:rFonts w:ascii="Arial" w:cs="Arial" w:eastAsia="Arial" w:hAnsi="Arial"/>
          <w:sz w:val="22"/>
          <w:szCs w:val="22"/>
          <w:color w:val="auto"/>
        </w:rPr>
        <w:t>” means any Tax Period ending on or before the Distribution Date and, in the case of any Straddle Period, the portion of such Straddle Period ending on and including the Distribution Date.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Prime Rate</w:t>
      </w:r>
      <w:r>
        <w:rPr>
          <w:rFonts w:ascii="Arial" w:cs="Arial" w:eastAsia="Arial" w:hAnsi="Arial"/>
          <w:sz w:val="22"/>
          <w:szCs w:val="22"/>
          <w:color w:val="auto"/>
        </w:rPr>
        <w:t>” has the meaning set forth in the Separation Agreement.</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6" w:name="page77"/>
    <w:bookmarkEnd w:id="76"/>
    <w:p>
      <w:pPr>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Prior Group</w:t>
      </w:r>
      <w:r>
        <w:rPr>
          <w:rFonts w:ascii="Arial" w:cs="Arial" w:eastAsia="Arial" w:hAnsi="Arial"/>
          <w:sz w:val="22"/>
          <w:szCs w:val="22"/>
          <w:color w:val="auto"/>
        </w:rPr>
        <w:t>” means any group that filed or was required to file (or will file or be required to file) a Tax Return, for a Tax Period or portion thereof ending at the close of the Distribution Date, on an affiliated, consolidated, combined, unitary, fiscal unity or other group basis (including as permitted by Section 1501 of the Code) that includes at least one member of the TEN Group.</w:t>
      </w:r>
    </w:p>
    <w:p>
      <w:pPr>
        <w:spacing w:after="0" w:line="212" w:lineRule="exact"/>
        <w:rPr>
          <w:sz w:val="20"/>
          <w:szCs w:val="20"/>
          <w:color w:val="auto"/>
        </w:rPr>
      </w:pPr>
    </w:p>
    <w:p>
      <w:pPr>
        <w:ind w:right="40" w:firstLine="648"/>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Privilege</w:t>
      </w:r>
      <w:r>
        <w:rPr>
          <w:rFonts w:ascii="Arial" w:cs="Arial" w:eastAsia="Arial" w:hAnsi="Arial"/>
          <w:sz w:val="21"/>
          <w:szCs w:val="21"/>
          <w:color w:val="auto"/>
        </w:rPr>
        <w:t>” means any common law or statutory privilege or protection that may be asserted under applicable law, including, any privilege or protection arising under or relating to the attorney-client relationship, work product privileges, the tax practitioner privilege and any other privilege relating to internal evaluation processes.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Record Date</w:t>
      </w:r>
      <w:r>
        <w:rPr>
          <w:rFonts w:ascii="Arial" w:cs="Arial" w:eastAsia="Arial" w:hAnsi="Arial"/>
          <w:sz w:val="22"/>
          <w:szCs w:val="22"/>
          <w:color w:val="auto"/>
        </w:rPr>
        <w:t>” has the meaning set forth in the Separation Agreement.</w:t>
      </w:r>
    </w:p>
    <w:p>
      <w:pPr>
        <w:spacing w:after="0" w:line="233" w:lineRule="exact"/>
        <w:rPr>
          <w:sz w:val="20"/>
          <w:szCs w:val="20"/>
          <w:color w:val="auto"/>
        </w:rPr>
      </w:pPr>
    </w:p>
    <w:p>
      <w:pPr>
        <w:ind w:right="14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Responsible Party</w:t>
      </w:r>
      <w:r>
        <w:rPr>
          <w:rFonts w:ascii="Arial" w:cs="Arial" w:eastAsia="Arial" w:hAnsi="Arial"/>
          <w:sz w:val="22"/>
          <w:szCs w:val="22"/>
          <w:color w:val="auto"/>
        </w:rPr>
        <w:t>” means, with respect to any Tax Return, the Party having responsibility for preparing and filing such Tax Return under this Agreement.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Separation</w:t>
      </w:r>
      <w:r>
        <w:rPr>
          <w:rFonts w:ascii="Arial" w:cs="Arial" w:eastAsia="Arial" w:hAnsi="Arial"/>
          <w:sz w:val="22"/>
          <w:szCs w:val="22"/>
          <w:color w:val="auto"/>
        </w:rPr>
        <w:t>” has the meaning set forth in the Separation Agreement.</w:t>
      </w:r>
    </w:p>
    <w:p>
      <w:pPr>
        <w:spacing w:after="0" w:line="233" w:lineRule="exact"/>
        <w:rPr>
          <w:sz w:val="20"/>
          <w:szCs w:val="20"/>
          <w:color w:val="auto"/>
        </w:rPr>
      </w:pPr>
    </w:p>
    <w:p>
      <w:pPr>
        <w:ind w:right="36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Separation Taxes</w:t>
      </w:r>
      <w:r>
        <w:rPr>
          <w:rFonts w:ascii="Arial" w:cs="Arial" w:eastAsia="Arial" w:hAnsi="Arial"/>
          <w:sz w:val="22"/>
          <w:szCs w:val="22"/>
          <w:color w:val="auto"/>
        </w:rPr>
        <w:t>” means any Taxes actually paid by the TFMC Group or the TEN Group in connection with the transactions comprising the Separation, determined on a “with and without” basis comparing any Taxes that would have been paid by the TFMC Group or the TEN Group in the applicable Tax Period had the transactions comprising the Separation not occurred.</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Shared Contract</w:t>
      </w:r>
      <w:r>
        <w:rPr>
          <w:rFonts w:ascii="Arial" w:cs="Arial" w:eastAsia="Arial" w:hAnsi="Arial"/>
          <w:sz w:val="22"/>
          <w:szCs w:val="22"/>
          <w:color w:val="auto"/>
        </w:rPr>
        <w:t>” has the meaning set forth in the Separation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Shared Permit</w:t>
      </w:r>
      <w:r>
        <w:rPr>
          <w:rFonts w:ascii="Arial" w:cs="Arial" w:eastAsia="Arial" w:hAnsi="Arial"/>
          <w:sz w:val="22"/>
          <w:szCs w:val="22"/>
          <w:color w:val="auto"/>
        </w:rPr>
        <w:t>” has the meaning set forth in the Separation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Straddle Period</w:t>
      </w:r>
      <w:r>
        <w:rPr>
          <w:rFonts w:ascii="Arial" w:cs="Arial" w:eastAsia="Arial" w:hAnsi="Arial"/>
          <w:sz w:val="22"/>
          <w:szCs w:val="22"/>
          <w:color w:val="auto"/>
        </w:rPr>
        <w:t>” means any Tax Period that begins before and ends after the Distribution Date.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has the meaning set forth in the Separation Agreement.</w:t>
      </w:r>
    </w:p>
    <w:p>
      <w:pPr>
        <w:spacing w:after="0" w:line="233" w:lineRule="exact"/>
        <w:rPr>
          <w:sz w:val="20"/>
          <w:szCs w:val="20"/>
          <w:color w:val="auto"/>
        </w:rPr>
      </w:pPr>
    </w:p>
    <w:p>
      <w:pPr>
        <w:ind w:right="16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w:t>
      </w:r>
      <w:r>
        <w:rPr>
          <w:rFonts w:ascii="Arial" w:cs="Arial" w:eastAsia="Arial" w:hAnsi="Arial"/>
          <w:sz w:val="22"/>
          <w:szCs w:val="22"/>
          <w:color w:val="auto"/>
        </w:rPr>
        <w:t>” or “</w:t>
      </w:r>
      <w:r>
        <w:rPr>
          <w:rFonts w:ascii="Arial" w:cs="Arial" w:eastAsia="Arial" w:hAnsi="Arial"/>
          <w:sz w:val="22"/>
          <w:szCs w:val="22"/>
          <w:u w:val="single" w:color="auto"/>
          <w:color w:val="auto"/>
        </w:rPr>
        <w:t>Taxes</w:t>
      </w:r>
      <w:r>
        <w:rPr>
          <w:rFonts w:ascii="Arial" w:cs="Arial" w:eastAsia="Arial" w:hAnsi="Arial"/>
          <w:sz w:val="22"/>
          <w:szCs w:val="22"/>
          <w:color w:val="auto"/>
        </w:rPr>
        <w:t>” means any income, gross income, gross receipts, profits, capital stock, franchise, withholding, payroll, social security, workers compensation, unemployment, disability, property, ad valorem, value added, stamp, excise, severance, occupation, service, sales, use, license, lease, transfer, import, export, escheat, alternative minimum, universal service fund, estimated or other tax (including any fee, assessment, or other charge in the nature of or in lieu of any tax), imposed by any Governmental Entity or political subdivision thereof, and any interest, penalty, additions to tax or additional amounts in respect of the foregoing.</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Advisor</w:t>
      </w:r>
      <w:r>
        <w:rPr>
          <w:rFonts w:ascii="Arial" w:cs="Arial" w:eastAsia="Arial" w:hAnsi="Arial"/>
          <w:sz w:val="22"/>
          <w:szCs w:val="22"/>
          <w:color w:val="auto"/>
        </w:rPr>
        <w:t>” means a Tax counsel or accountant, in each case of recognized national standing.</w:t>
      </w:r>
    </w:p>
    <w:p>
      <w:pPr>
        <w:spacing w:after="0" w:line="233" w:lineRule="exact"/>
        <w:rPr>
          <w:sz w:val="20"/>
          <w:szCs w:val="20"/>
          <w:color w:val="auto"/>
        </w:rPr>
      </w:pPr>
    </w:p>
    <w:p>
      <w:pPr>
        <w:ind w:right="22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Attribute</w:t>
      </w:r>
      <w:r>
        <w:rPr>
          <w:rFonts w:ascii="Arial" w:cs="Arial" w:eastAsia="Arial" w:hAnsi="Arial"/>
          <w:sz w:val="22"/>
          <w:szCs w:val="22"/>
          <w:color w:val="auto"/>
        </w:rPr>
        <w:t>” means a net operating loss, net capital loss, unused investment credit, unused foreign Tax credit, excess charitable contribution, general business credit, research and development credit, earnings and profits, basis, or any other Tax Item that could reduce a Tax or create a Tax Benefit.</w:t>
      </w: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77" w:name="page78"/>
    <w:bookmarkEnd w:id="77"/>
    <w:p>
      <w:pPr>
        <w:ind w:right="32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Tax Authority</w:t>
      </w:r>
      <w:r>
        <w:rPr>
          <w:rFonts w:ascii="Arial" w:cs="Arial" w:eastAsia="Arial" w:hAnsi="Arial"/>
          <w:sz w:val="21"/>
          <w:szCs w:val="21"/>
          <w:color w:val="auto"/>
        </w:rPr>
        <w:t>” means, with respect to any Tax, the Governmental Entity or political subdivision thereof that imposes such Tax, and the agency (if any) charged with the collection of such Tax for such entity or subdivision.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 Benefit</w:t>
      </w:r>
      <w:r>
        <w:rPr>
          <w:rFonts w:ascii="Arial" w:cs="Arial" w:eastAsia="Arial" w:hAnsi="Arial"/>
          <w:sz w:val="19"/>
          <w:szCs w:val="19"/>
          <w:color w:val="auto"/>
        </w:rPr>
        <w:t>” means any refund, credit, or other item that causes reduction in otherwise required liability for cash Taxes.</w:t>
      </w:r>
    </w:p>
    <w:p>
      <w:pPr>
        <w:spacing w:after="0" w:line="268" w:lineRule="exact"/>
        <w:rPr>
          <w:sz w:val="20"/>
          <w:szCs w:val="20"/>
          <w:color w:val="auto"/>
        </w:rPr>
      </w:pPr>
    </w:p>
    <w:p>
      <w:pPr>
        <w:ind w:right="44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Contest</w:t>
      </w:r>
      <w:r>
        <w:rPr>
          <w:rFonts w:ascii="Arial" w:cs="Arial" w:eastAsia="Arial" w:hAnsi="Arial"/>
          <w:sz w:val="22"/>
          <w:szCs w:val="22"/>
          <w:color w:val="auto"/>
        </w:rPr>
        <w:t>” means an audit, review, examination, contest, litigation, investigation or any other administrative or judicial proceeding with the purpose or effect of redetermining Taxes (including any administrative or judicial review of any claim for refund).</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Item</w:t>
      </w:r>
      <w:r>
        <w:rPr>
          <w:rFonts w:ascii="Arial" w:cs="Arial" w:eastAsia="Arial" w:hAnsi="Arial"/>
          <w:sz w:val="22"/>
          <w:szCs w:val="22"/>
          <w:color w:val="auto"/>
        </w:rPr>
        <w:t>” means, with respect to any Income Tax, any item of income, gain, loss, deduction, or credit.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Law</w:t>
      </w:r>
      <w:r>
        <w:rPr>
          <w:rFonts w:ascii="Arial" w:cs="Arial" w:eastAsia="Arial" w:hAnsi="Arial"/>
          <w:sz w:val="22"/>
          <w:szCs w:val="22"/>
          <w:color w:val="auto"/>
        </w:rPr>
        <w:t>” means the Law of any Governmental Entity or political subdivision thereof relating to any Tax.</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Opinions</w:t>
      </w:r>
      <w:r>
        <w:rPr>
          <w:rFonts w:ascii="Arial" w:cs="Arial" w:eastAsia="Arial" w:hAnsi="Arial"/>
          <w:sz w:val="22"/>
          <w:szCs w:val="22"/>
          <w:color w:val="auto"/>
        </w:rPr>
        <w:t>” means any opinions of Tax Advisors deliverable to TFMC in connection with the Distribution.</w:t>
      </w:r>
    </w:p>
    <w:p>
      <w:pPr>
        <w:spacing w:after="0" w:line="233"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Period</w:t>
      </w:r>
      <w:r>
        <w:rPr>
          <w:rFonts w:ascii="Arial" w:cs="Arial" w:eastAsia="Arial" w:hAnsi="Arial"/>
          <w:sz w:val="22"/>
          <w:szCs w:val="22"/>
          <w:color w:val="auto"/>
        </w:rPr>
        <w:t>” means, with respect to any Tax, the period for which the Tax is reported as provided under the Code or other applicable Tax Law.</w:t>
      </w:r>
    </w:p>
    <w:p>
      <w:pPr>
        <w:spacing w:after="0" w:line="202" w:lineRule="exact"/>
        <w:rPr>
          <w:sz w:val="20"/>
          <w:szCs w:val="20"/>
          <w:color w:val="auto"/>
        </w:rPr>
      </w:pPr>
    </w:p>
    <w:p>
      <w:pPr>
        <w:ind w:right="260"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Records</w:t>
      </w:r>
      <w:r>
        <w:rPr>
          <w:rFonts w:ascii="Arial" w:cs="Arial" w:eastAsia="Arial" w:hAnsi="Arial"/>
          <w:sz w:val="22"/>
          <w:szCs w:val="22"/>
          <w:color w:val="auto"/>
        </w:rPr>
        <w:t>” means any (a) Tax Returns, (b) Tax Return workpapers, (c) documentation relating to any Tax Contests, and (d) any other books of account or records (whether or not in written, electronic or other tangible or intangible forms and whether or not stored on electronic or any other medium) maintained or required to be maintained under the Code or other applicable Tax Laws or under any record retention agreement with any Tax Authority, in each case filed or required to be filed with respect to or otherwise relating to Taxes.</w:t>
      </w:r>
    </w:p>
    <w:p>
      <w:pPr>
        <w:spacing w:after="0" w:line="214" w:lineRule="exact"/>
        <w:rPr>
          <w:sz w:val="20"/>
          <w:szCs w:val="20"/>
          <w:color w:val="auto"/>
        </w:rPr>
      </w:pPr>
    </w:p>
    <w:p>
      <w:pPr>
        <w:ind w:right="22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Return</w:t>
      </w:r>
      <w:r>
        <w:rPr>
          <w:rFonts w:ascii="Arial" w:cs="Arial" w:eastAsia="Arial" w:hAnsi="Arial"/>
          <w:sz w:val="22"/>
          <w:szCs w:val="22"/>
          <w:color w:val="auto"/>
        </w:rPr>
        <w:t>” means any report of Taxes due, any claim for refund of Taxes paid, any information return with respect to Taxes, or any other similar report, statement, declaration, or document filed or required to be filed under the Code or other Tax Law with respect to Taxes, including any attachments, exhibits, or other materials submitted with any of the foregoing, and including any amendments or supplements to any of the foregoing.</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TEN Business</w:t>
      </w:r>
      <w:r>
        <w:rPr>
          <w:rFonts w:ascii="Arial" w:cs="Arial" w:eastAsia="Arial" w:hAnsi="Arial"/>
          <w:sz w:val="22"/>
          <w:szCs w:val="22"/>
          <w:color w:val="auto"/>
        </w:rPr>
        <w:t>” has the meaning set forth in the Separation Agreement.</w:t>
      </w:r>
    </w:p>
    <w:p>
      <w:pPr>
        <w:spacing w:after="0" w:line="233" w:lineRule="exact"/>
        <w:rPr>
          <w:sz w:val="20"/>
          <w:szCs w:val="20"/>
          <w:color w:val="auto"/>
        </w:rPr>
      </w:pPr>
    </w:p>
    <w:p>
      <w:pPr>
        <w:ind w:right="4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TEN Carryback</w:t>
      </w:r>
      <w:r>
        <w:rPr>
          <w:rFonts w:ascii="Arial" w:cs="Arial" w:eastAsia="Arial" w:hAnsi="Arial"/>
          <w:sz w:val="22"/>
          <w:szCs w:val="22"/>
          <w:color w:val="auto"/>
        </w:rPr>
        <w:t>” means any net operating loss, net capital loss, excess Tax credit, or other similar Tax item of any member of the TEN Group which may or must be carried from one Tax Period to another prior Tax Period under the Code or other applicable Tax Law.</w:t>
      </w:r>
    </w:p>
    <w:p>
      <w:pPr>
        <w:spacing w:after="0" w:line="213" w:lineRule="exact"/>
        <w:rPr>
          <w:sz w:val="20"/>
          <w:szCs w:val="20"/>
          <w:color w:val="auto"/>
        </w:rPr>
      </w:pPr>
    </w:p>
    <w:p>
      <w:pPr>
        <w:ind w:right="480" w:firstLine="702"/>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TEN Equity Awards</w:t>
      </w:r>
      <w:r>
        <w:rPr>
          <w:rFonts w:ascii="Arial" w:cs="Arial" w:eastAsia="Arial" w:hAnsi="Arial"/>
          <w:sz w:val="22"/>
          <w:szCs w:val="22"/>
          <w:color w:val="auto"/>
        </w:rPr>
        <w:t>” means options, share appreciation rights, restricted shares, share units or other compensatory rights with respect to TEN Shares.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TEN Equity Compensation Award</w:t>
      </w:r>
      <w:r>
        <w:rPr>
          <w:rFonts w:ascii="Arial" w:cs="Arial" w:eastAsia="Arial" w:hAnsi="Arial"/>
          <w:sz w:val="22"/>
          <w:szCs w:val="22"/>
          <w:color w:val="auto"/>
        </w:rPr>
        <w:t>” has the meaning set forth in the Employee Matters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TEN Group</w:t>
      </w:r>
      <w:r>
        <w:rPr>
          <w:rFonts w:ascii="Arial" w:cs="Arial" w:eastAsia="Arial" w:hAnsi="Arial"/>
          <w:sz w:val="22"/>
          <w:szCs w:val="22"/>
          <w:color w:val="auto"/>
        </w:rPr>
        <w:t>” has the meaning set forth in the Separation Agreement.</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78" w:name="page79"/>
    <w:bookmarkEnd w:id="78"/>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TEN Indemnitees</w:t>
      </w:r>
      <w:r>
        <w:rPr>
          <w:rFonts w:ascii="Arial" w:cs="Arial" w:eastAsia="Arial" w:hAnsi="Arial"/>
          <w:sz w:val="22"/>
          <w:szCs w:val="22"/>
          <w:color w:val="auto"/>
        </w:rPr>
        <w:t>” has the meaning set forth in the Separation Agreement.</w:t>
      </w:r>
    </w:p>
    <w:p>
      <w:pPr>
        <w:spacing w:after="0" w:line="234" w:lineRule="exact"/>
        <w:rPr>
          <w:sz w:val="20"/>
          <w:szCs w:val="20"/>
          <w:color w:val="auto"/>
        </w:rPr>
      </w:pPr>
    </w:p>
    <w:p>
      <w:pPr>
        <w:ind w:right="1080"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TEN Separate Return</w:t>
      </w:r>
      <w:r>
        <w:rPr>
          <w:rFonts w:ascii="Arial" w:cs="Arial" w:eastAsia="Arial" w:hAnsi="Arial"/>
          <w:sz w:val="19"/>
          <w:szCs w:val="19"/>
          <w:color w:val="auto"/>
        </w:rPr>
        <w:t>” means any Tax Return of or including any member of the TEN Group (including any consolidated, combined or unitary return) that does not include any member of the TFMC Group.</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TEN Shares</w:t>
      </w:r>
      <w:r>
        <w:rPr>
          <w:rFonts w:ascii="Arial" w:cs="Arial" w:eastAsia="Arial" w:hAnsi="Arial"/>
          <w:sz w:val="22"/>
          <w:szCs w:val="22"/>
          <w:color w:val="auto"/>
        </w:rPr>
        <w:t>” has the meaning set forth in the Separation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TFMC Business</w:t>
      </w:r>
      <w:r>
        <w:rPr>
          <w:rFonts w:ascii="Arial" w:cs="Arial" w:eastAsia="Arial" w:hAnsi="Arial"/>
          <w:sz w:val="22"/>
          <w:szCs w:val="22"/>
          <w:color w:val="auto"/>
        </w:rPr>
        <w:t>” has the meaning set forth in the Separation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TFMC Equity Compensation Award</w:t>
      </w:r>
      <w:r>
        <w:rPr>
          <w:rFonts w:ascii="Arial" w:cs="Arial" w:eastAsia="Arial" w:hAnsi="Arial"/>
          <w:sz w:val="22"/>
          <w:szCs w:val="22"/>
          <w:color w:val="auto"/>
        </w:rPr>
        <w:t>” has the meaning set forth in the Employee Matters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TFMC Group</w:t>
      </w:r>
      <w:r>
        <w:rPr>
          <w:rFonts w:ascii="Arial" w:cs="Arial" w:eastAsia="Arial" w:hAnsi="Arial"/>
          <w:sz w:val="22"/>
          <w:szCs w:val="22"/>
          <w:color w:val="auto"/>
        </w:rPr>
        <w:t>” has the meaning set forth in the Separation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TFMC Indemnitees</w:t>
      </w:r>
      <w:r>
        <w:rPr>
          <w:rFonts w:ascii="Arial" w:cs="Arial" w:eastAsia="Arial" w:hAnsi="Arial"/>
          <w:sz w:val="22"/>
          <w:szCs w:val="22"/>
          <w:color w:val="auto"/>
        </w:rPr>
        <w:t>” has the meaning set forth in the Separation Agreement.</w:t>
      </w:r>
    </w:p>
    <w:p>
      <w:pPr>
        <w:spacing w:after="0" w:line="233" w:lineRule="exact"/>
        <w:rPr>
          <w:sz w:val="20"/>
          <w:szCs w:val="20"/>
          <w:color w:val="auto"/>
        </w:rPr>
      </w:pPr>
    </w:p>
    <w:p>
      <w:pPr>
        <w:ind w:right="74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TFMC Separate Return</w:t>
      </w:r>
      <w:r>
        <w:rPr>
          <w:rFonts w:ascii="Arial" w:cs="Arial" w:eastAsia="Arial" w:hAnsi="Arial"/>
          <w:sz w:val="21"/>
          <w:szCs w:val="21"/>
          <w:color w:val="auto"/>
        </w:rPr>
        <w:t>” means any Tax Return of or including any member of the TFMC Group (including any consolidated, combined or unitary return) that does not include any member of the TEN Group.</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TFMC Shares</w:t>
      </w:r>
      <w:r>
        <w:rPr>
          <w:rFonts w:ascii="Arial" w:cs="Arial" w:eastAsia="Arial" w:hAnsi="Arial"/>
          <w:sz w:val="22"/>
          <w:szCs w:val="22"/>
          <w:color w:val="auto"/>
        </w:rPr>
        <w:t>” has the meaning set forth in the Separation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 Party</w:t>
      </w:r>
      <w:r>
        <w:rPr>
          <w:rFonts w:ascii="Arial" w:cs="Arial" w:eastAsia="Arial" w:hAnsi="Arial"/>
          <w:sz w:val="22"/>
          <w:szCs w:val="22"/>
          <w:color w:val="auto"/>
        </w:rPr>
        <w:t>” means any Person other than the Parties or any of their respective Subsidiaries.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TIOPA</w:t>
      </w:r>
      <w:r>
        <w:rPr>
          <w:rFonts w:ascii="Arial" w:cs="Arial" w:eastAsia="Arial" w:hAnsi="Arial"/>
          <w:sz w:val="22"/>
          <w:szCs w:val="22"/>
          <w:color w:val="auto"/>
        </w:rPr>
        <w:t>” means the UK Taxation (International and Other Provisions) Act 2010.</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Transactions</w:t>
      </w:r>
      <w:r>
        <w:rPr>
          <w:rFonts w:ascii="Arial" w:cs="Arial" w:eastAsia="Arial" w:hAnsi="Arial"/>
          <w:sz w:val="22"/>
          <w:szCs w:val="22"/>
          <w:color w:val="auto"/>
        </w:rPr>
        <w:t>” has the meaning set forth in the Separation Agreement.</w:t>
      </w:r>
    </w:p>
    <w:p>
      <w:pPr>
        <w:spacing w:after="0" w:line="233"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Treasury Regulations</w:t>
      </w:r>
      <w:r>
        <w:rPr>
          <w:rFonts w:ascii="Arial" w:cs="Arial" w:eastAsia="Arial" w:hAnsi="Arial"/>
          <w:sz w:val="22"/>
          <w:szCs w:val="22"/>
          <w:color w:val="auto"/>
        </w:rPr>
        <w:t>” means the regulations promulgated from time to time under the Code as in effect for the relevant Tax Period.</w:t>
      </w:r>
    </w:p>
    <w:p>
      <w:pPr>
        <w:spacing w:after="0" w:line="202"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Group Relief</w:t>
      </w:r>
      <w:r>
        <w:rPr>
          <w:rFonts w:ascii="Arial" w:cs="Arial" w:eastAsia="Arial" w:hAnsi="Arial"/>
          <w:sz w:val="22"/>
          <w:szCs w:val="22"/>
          <w:color w:val="auto"/>
        </w:rPr>
        <w:t>” means (a) group relief capable of being surrendered or claimed pursuant to Part 5 of the UK Corporation Tax Act 2010, or (b) the notional transfer of an asset or reallocation of a gain or loss pursuant to section 171A or section 179A of the UK Taxation of Chargeable Gains Act 1992 and the notional reallocation of a gain pursuant to section 792 of the UK Corporation Tax Act 2009.</w:t>
      </w:r>
    </w:p>
    <w:p>
      <w:pPr>
        <w:spacing w:after="0" w:line="212" w:lineRule="exact"/>
        <w:rPr>
          <w:sz w:val="20"/>
          <w:szCs w:val="20"/>
          <w:color w:val="auto"/>
        </w:rPr>
      </w:pPr>
    </w:p>
    <w:p>
      <w:pPr>
        <w:ind w:right="2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Tax Relief</w:t>
      </w:r>
      <w:r>
        <w:rPr>
          <w:rFonts w:ascii="Arial" w:cs="Arial" w:eastAsia="Arial" w:hAnsi="Arial"/>
          <w:sz w:val="22"/>
          <w:szCs w:val="22"/>
          <w:color w:val="auto"/>
        </w:rPr>
        <w:t>” means any loss, relief, allowance, set-off, deduction, credit, or relief from or against or available for UK Tax purposes and/or in respect of UK Tax or in the computation of income, profits, or gains for UK Tax purposes of Tax or any right to a repayment of, or saving in respect of, UK Tax, including UK Group Relief.</w:t>
      </w:r>
    </w:p>
    <w:p>
      <w:pPr>
        <w:spacing w:after="0" w:line="213" w:lineRule="exact"/>
        <w:rPr>
          <w:sz w:val="20"/>
          <w:szCs w:val="20"/>
          <w:color w:val="auto"/>
        </w:rPr>
      </w:pPr>
    </w:p>
    <w:p>
      <w:pPr>
        <w:ind w:right="180"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Valuations</w:t>
      </w:r>
      <w:r>
        <w:rPr>
          <w:rFonts w:ascii="Arial" w:cs="Arial" w:eastAsia="Arial" w:hAnsi="Arial"/>
          <w:sz w:val="19"/>
          <w:szCs w:val="19"/>
          <w:color w:val="auto"/>
        </w:rPr>
        <w:t>” means the valuations and methodologies prepared for TFMC to facilitate, or otherwise in connection with, the Separation and the carrying values reflected on TEN’s opening balance sheet following the Distribution.</w:t>
      </w: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81"/>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160" w:type="dxa"/>
            <w:vAlign w:val="bottom"/>
            <w:gridSpan w:val="2"/>
          </w:tcPr>
          <w:p>
            <w:pPr>
              <w:jc w:val="center"/>
              <w:ind w:right="2970"/>
              <w:spacing w:after="0"/>
              <w:rPr>
                <w:sz w:val="20"/>
                <w:szCs w:val="20"/>
                <w:color w:val="auto"/>
              </w:rPr>
            </w:pPr>
            <w:r>
              <w:rPr>
                <w:rFonts w:ascii="Arial" w:cs="Arial" w:eastAsia="Arial" w:hAnsi="Arial"/>
                <w:sz w:val="22"/>
                <w:szCs w:val="22"/>
                <w:b w:val="1"/>
                <w:bCs w:val="1"/>
                <w:color w:val="auto"/>
                <w:w w:val="89"/>
              </w:rPr>
              <w:t>Other Defined Term References</w:t>
            </w:r>
          </w:p>
        </w:tc>
      </w:tr>
      <w:tr>
        <w:trPr>
          <w:trHeight w:val="408"/>
        </w:trPr>
        <w:tc>
          <w:tcPr>
            <w:tcW w:w="3080" w:type="dxa"/>
            <w:vAlign w:val="bottom"/>
            <w:gridSpan w:val="16"/>
          </w:tcPr>
          <w:p>
            <w:pPr>
              <w:spacing w:after="0"/>
              <w:rPr>
                <w:sz w:val="20"/>
                <w:szCs w:val="20"/>
                <w:color w:val="auto"/>
              </w:rPr>
            </w:pPr>
            <w:r>
              <w:rPr>
                <w:rFonts w:ascii="Arial" w:cs="Arial" w:eastAsia="Arial" w:hAnsi="Arial"/>
                <w:sz w:val="18"/>
                <w:szCs w:val="18"/>
                <w:b w:val="1"/>
                <w:bCs w:val="1"/>
                <w:color w:val="auto"/>
              </w:rPr>
              <w:t>Defined Term</w:t>
            </w:r>
          </w:p>
        </w:tc>
        <w:tc>
          <w:tcPr>
            <w:tcW w:w="76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82"/>
              </w:rPr>
              <w:t>Section</w:t>
            </w:r>
          </w:p>
        </w:tc>
      </w:tr>
      <w:tr>
        <w:trPr>
          <w:trHeight w:val="20"/>
        </w:trPr>
        <w:tc>
          <w:tcPr>
            <w:tcW w:w="3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r>
      <w:tr>
        <w:trPr>
          <w:trHeight w:val="196"/>
        </w:trPr>
        <w:tc>
          <w:tcPr>
            <w:tcW w:w="1060" w:type="dxa"/>
            <w:vAlign w:val="bottom"/>
            <w:gridSpan w:val="5"/>
          </w:tcPr>
          <w:p>
            <w:pPr>
              <w:spacing w:after="0" w:line="196" w:lineRule="exact"/>
              <w:rPr>
                <w:sz w:val="20"/>
                <w:szCs w:val="20"/>
                <w:color w:val="auto"/>
              </w:rPr>
            </w:pPr>
            <w:r>
              <w:rPr>
                <w:rFonts w:ascii="Arial" w:cs="Arial" w:eastAsia="Arial" w:hAnsi="Arial"/>
                <w:sz w:val="18"/>
                <w:szCs w:val="18"/>
                <w:color w:val="auto"/>
              </w:rPr>
              <w:t>Agreement</w:t>
            </w:r>
          </w:p>
        </w:tc>
        <w:tc>
          <w:tcPr>
            <w:tcW w:w="2020" w:type="dxa"/>
            <w:vAlign w:val="bottom"/>
            <w:gridSpan w:val="11"/>
          </w:tcPr>
          <w:p>
            <w:pPr>
              <w:spacing w:after="0"/>
              <w:rPr>
                <w:sz w:val="17"/>
                <w:szCs w:val="17"/>
                <w:color w:val="auto"/>
              </w:rPr>
            </w:pPr>
          </w:p>
        </w:tc>
        <w:tc>
          <w:tcPr>
            <w:tcW w:w="8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Preamble</w:t>
            </w:r>
          </w:p>
        </w:tc>
      </w:tr>
      <w:tr>
        <w:trPr>
          <w:trHeight w:val="196"/>
        </w:trPr>
        <w:tc>
          <w:tcPr>
            <w:tcW w:w="800" w:type="dxa"/>
            <w:vAlign w:val="bottom"/>
            <w:tcBorders>
              <w:top w:val="single" w:sz="8" w:color="auto"/>
            </w:tcBorders>
            <w:gridSpan w:val="4"/>
          </w:tcPr>
          <w:p>
            <w:pPr>
              <w:spacing w:after="0" w:line="196" w:lineRule="exact"/>
              <w:rPr>
                <w:sz w:val="20"/>
                <w:szCs w:val="20"/>
                <w:color w:val="auto"/>
              </w:rPr>
            </w:pPr>
            <w:r>
              <w:rPr>
                <w:rFonts w:ascii="Arial" w:cs="Arial" w:eastAsia="Arial" w:hAnsi="Arial"/>
                <w:sz w:val="18"/>
                <w:szCs w:val="18"/>
                <w:color w:val="auto"/>
              </w:rPr>
              <w:t>Code</w:t>
            </w:r>
          </w:p>
        </w:tc>
        <w:tc>
          <w:tcPr>
            <w:tcW w:w="2280" w:type="dxa"/>
            <w:vAlign w:val="bottom"/>
            <w:gridSpan w:val="12"/>
          </w:tcPr>
          <w:p>
            <w:pPr>
              <w:spacing w:after="0"/>
              <w:rPr>
                <w:sz w:val="17"/>
                <w:szCs w:val="17"/>
                <w:color w:val="auto"/>
              </w:rPr>
            </w:pPr>
          </w:p>
        </w:tc>
        <w:tc>
          <w:tcPr>
            <w:tcW w:w="8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Recitals</w:t>
            </w:r>
          </w:p>
        </w:tc>
      </w:tr>
      <w:tr>
        <w:trPr>
          <w:trHeight w:val="20"/>
        </w:trPr>
        <w:tc>
          <w:tcPr>
            <w:tcW w:w="3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160" w:type="dxa"/>
            <w:vAlign w:val="bottom"/>
            <w:gridSpan w:val="2"/>
          </w:tcPr>
          <w:p>
            <w:pPr>
              <w:spacing w:after="0" w:line="20" w:lineRule="exact"/>
              <w:rPr>
                <w:sz w:val="1"/>
                <w:szCs w:val="1"/>
                <w:color w:val="auto"/>
              </w:rPr>
            </w:pPr>
          </w:p>
        </w:tc>
      </w:tr>
      <w:tr>
        <w:trPr>
          <w:trHeight w:val="196"/>
        </w:trPr>
        <w:tc>
          <w:tcPr>
            <w:tcW w:w="3080" w:type="dxa"/>
            <w:vAlign w:val="bottom"/>
            <w:gridSpan w:val="16"/>
          </w:tcPr>
          <w:p>
            <w:pPr>
              <w:spacing w:after="0" w:line="196" w:lineRule="exact"/>
              <w:rPr>
                <w:sz w:val="20"/>
                <w:szCs w:val="20"/>
                <w:color w:val="auto"/>
              </w:rPr>
            </w:pPr>
            <w:r>
              <w:rPr>
                <w:rFonts w:ascii="Arial" w:cs="Arial" w:eastAsia="Arial" w:hAnsi="Arial"/>
                <w:sz w:val="18"/>
                <w:szCs w:val="18"/>
                <w:color w:val="auto"/>
              </w:rPr>
              <w:t>Controlling Party</w:t>
            </w:r>
          </w:p>
        </w:tc>
        <w:tc>
          <w:tcPr>
            <w:tcW w:w="8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Section 7.2(c)</w:t>
            </w:r>
          </w:p>
        </w:tc>
      </w:tr>
      <w:tr>
        <w:trPr>
          <w:trHeight w:val="196"/>
        </w:trPr>
        <w:tc>
          <w:tcPr>
            <w:tcW w:w="1260" w:type="dxa"/>
            <w:vAlign w:val="bottom"/>
            <w:tcBorders>
              <w:top w:val="single" w:sz="8" w:color="auto"/>
            </w:tcBorders>
            <w:gridSpan w:val="8"/>
          </w:tcPr>
          <w:p>
            <w:pPr>
              <w:spacing w:after="0" w:line="196" w:lineRule="exact"/>
              <w:rPr>
                <w:sz w:val="20"/>
                <w:szCs w:val="20"/>
                <w:color w:val="auto"/>
              </w:rPr>
            </w:pPr>
            <w:r>
              <w:rPr>
                <w:rFonts w:ascii="Arial" w:cs="Arial" w:eastAsia="Arial" w:hAnsi="Arial"/>
                <w:sz w:val="18"/>
                <w:szCs w:val="18"/>
                <w:color w:val="auto"/>
              </w:rPr>
              <w:t>Final Allocation</w:t>
            </w:r>
          </w:p>
        </w:tc>
        <w:tc>
          <w:tcPr>
            <w:tcW w:w="1820" w:type="dxa"/>
            <w:vAlign w:val="bottom"/>
            <w:gridSpan w:val="8"/>
          </w:tcPr>
          <w:p>
            <w:pPr>
              <w:spacing w:after="0"/>
              <w:rPr>
                <w:sz w:val="17"/>
                <w:szCs w:val="17"/>
                <w:color w:val="auto"/>
              </w:rPr>
            </w:pPr>
          </w:p>
        </w:tc>
        <w:tc>
          <w:tcPr>
            <w:tcW w:w="8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Section 2.5(b)</w:t>
            </w:r>
          </w:p>
        </w:tc>
      </w:tr>
      <w:tr>
        <w:trPr>
          <w:trHeight w:val="20"/>
        </w:trPr>
        <w:tc>
          <w:tcPr>
            <w:tcW w:w="3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56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160" w:type="dxa"/>
            <w:vAlign w:val="bottom"/>
            <w:gridSpan w:val="2"/>
          </w:tcPr>
          <w:p>
            <w:pPr>
              <w:spacing w:after="0" w:line="20" w:lineRule="exact"/>
              <w:rPr>
                <w:sz w:val="1"/>
                <w:szCs w:val="1"/>
                <w:color w:val="auto"/>
              </w:rPr>
            </w:pPr>
          </w:p>
        </w:tc>
      </w:tr>
      <w:tr>
        <w:trPr>
          <w:trHeight w:val="196"/>
        </w:trPr>
        <w:tc>
          <w:tcPr>
            <w:tcW w:w="3080" w:type="dxa"/>
            <w:vAlign w:val="bottom"/>
            <w:gridSpan w:val="16"/>
          </w:tcPr>
          <w:p>
            <w:pPr>
              <w:spacing w:after="0" w:line="196" w:lineRule="exact"/>
              <w:rPr>
                <w:sz w:val="20"/>
                <w:szCs w:val="20"/>
                <w:color w:val="auto"/>
              </w:rPr>
            </w:pPr>
            <w:r>
              <w:rPr>
                <w:rFonts w:ascii="Arial" w:cs="Arial" w:eastAsia="Arial" w:hAnsi="Arial"/>
                <w:sz w:val="18"/>
                <w:szCs w:val="18"/>
                <w:color w:val="auto"/>
              </w:rPr>
              <w:t>Intended Tax Treatment</w:t>
            </w:r>
          </w:p>
        </w:tc>
        <w:tc>
          <w:tcPr>
            <w:tcW w:w="8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Recitals</w:t>
            </w:r>
          </w:p>
        </w:tc>
      </w:tr>
      <w:tr>
        <w:trPr>
          <w:trHeight w:val="20"/>
        </w:trPr>
        <w:tc>
          <w:tcPr>
            <w:tcW w:w="3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56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160" w:type="dxa"/>
            <w:vAlign w:val="bottom"/>
            <w:gridSpan w:val="2"/>
          </w:tcPr>
          <w:p>
            <w:pPr>
              <w:spacing w:after="0" w:line="20" w:lineRule="exact"/>
              <w:rPr>
                <w:sz w:val="1"/>
                <w:szCs w:val="1"/>
                <w:color w:val="auto"/>
              </w:rPr>
            </w:pPr>
          </w:p>
        </w:tc>
      </w:tr>
      <w:tr>
        <w:trPr>
          <w:trHeight w:val="196"/>
        </w:trPr>
        <w:tc>
          <w:tcPr>
            <w:tcW w:w="3080" w:type="dxa"/>
            <w:vAlign w:val="bottom"/>
            <w:gridSpan w:val="16"/>
          </w:tcPr>
          <w:p>
            <w:pPr>
              <w:spacing w:after="0" w:line="196" w:lineRule="exact"/>
              <w:rPr>
                <w:sz w:val="20"/>
                <w:szCs w:val="20"/>
                <w:color w:val="auto"/>
              </w:rPr>
            </w:pPr>
            <w:r>
              <w:rPr>
                <w:rFonts w:ascii="Arial" w:cs="Arial" w:eastAsia="Arial" w:hAnsi="Arial"/>
                <w:sz w:val="18"/>
                <w:szCs w:val="18"/>
                <w:color w:val="auto"/>
              </w:rPr>
              <w:t>Interest Restriction Returns</w:t>
            </w:r>
          </w:p>
        </w:tc>
        <w:tc>
          <w:tcPr>
            <w:tcW w:w="8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Section 2.6(b)(ii)</w:t>
            </w:r>
          </w:p>
        </w:tc>
      </w:tr>
      <w:tr>
        <w:trPr>
          <w:trHeight w:val="196"/>
        </w:trPr>
        <w:tc>
          <w:tcPr>
            <w:tcW w:w="1980" w:type="dxa"/>
            <w:vAlign w:val="bottom"/>
            <w:tcBorders>
              <w:top w:val="single" w:sz="8" w:color="auto"/>
            </w:tcBorders>
            <w:gridSpan w:val="15"/>
          </w:tcPr>
          <w:p>
            <w:pPr>
              <w:spacing w:after="0" w:line="196" w:lineRule="exact"/>
              <w:rPr>
                <w:sz w:val="20"/>
                <w:szCs w:val="20"/>
                <w:color w:val="auto"/>
              </w:rPr>
            </w:pPr>
            <w:r>
              <w:rPr>
                <w:rFonts w:ascii="Arial" w:cs="Arial" w:eastAsia="Arial" w:hAnsi="Arial"/>
                <w:sz w:val="18"/>
                <w:szCs w:val="18"/>
                <w:color w:val="auto"/>
              </w:rPr>
              <w:t>Loss</w:t>
            </w:r>
          </w:p>
        </w:tc>
        <w:tc>
          <w:tcPr>
            <w:tcW w:w="1100" w:type="dxa"/>
            <w:vAlign w:val="bottom"/>
          </w:tcPr>
          <w:p>
            <w:pPr>
              <w:spacing w:after="0"/>
              <w:rPr>
                <w:sz w:val="17"/>
                <w:szCs w:val="17"/>
                <w:color w:val="auto"/>
              </w:rPr>
            </w:pPr>
          </w:p>
        </w:tc>
        <w:tc>
          <w:tcPr>
            <w:tcW w:w="8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Section 4.2(a)</w:t>
            </w:r>
          </w:p>
        </w:tc>
      </w:tr>
      <w:tr>
        <w:trPr>
          <w:trHeight w:val="20"/>
        </w:trPr>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8160" w:type="dxa"/>
            <w:vAlign w:val="bottom"/>
            <w:gridSpan w:val="2"/>
          </w:tcPr>
          <w:p>
            <w:pPr>
              <w:spacing w:after="0" w:line="20" w:lineRule="exact"/>
              <w:rPr>
                <w:sz w:val="1"/>
                <w:szCs w:val="1"/>
                <w:color w:val="auto"/>
              </w:rPr>
            </w:pPr>
          </w:p>
        </w:tc>
      </w:tr>
      <w:tr>
        <w:trPr>
          <w:trHeight w:val="196"/>
        </w:trPr>
        <w:tc>
          <w:tcPr>
            <w:tcW w:w="1640" w:type="dxa"/>
            <w:vAlign w:val="bottom"/>
            <w:tcBorders>
              <w:bottom w:val="single" w:sz="8" w:color="auto"/>
            </w:tcBorders>
            <w:gridSpan w:val="13"/>
          </w:tcPr>
          <w:p>
            <w:pPr>
              <w:spacing w:after="0" w:line="196" w:lineRule="exact"/>
              <w:rPr>
                <w:sz w:val="20"/>
                <w:szCs w:val="20"/>
                <w:color w:val="auto"/>
              </w:rPr>
            </w:pPr>
            <w:r>
              <w:rPr>
                <w:rFonts w:ascii="Arial" w:cs="Arial" w:eastAsia="Arial" w:hAnsi="Arial"/>
                <w:sz w:val="18"/>
                <w:szCs w:val="18"/>
                <w:color w:val="auto"/>
                <w:w w:val="94"/>
              </w:rPr>
              <w:t>Non-Controlling Party</w:t>
            </w:r>
          </w:p>
        </w:tc>
        <w:tc>
          <w:tcPr>
            <w:tcW w:w="1440" w:type="dxa"/>
            <w:vAlign w:val="bottom"/>
            <w:gridSpan w:val="3"/>
          </w:tcPr>
          <w:p>
            <w:pPr>
              <w:spacing w:after="0"/>
              <w:rPr>
                <w:sz w:val="17"/>
                <w:szCs w:val="17"/>
                <w:color w:val="auto"/>
              </w:rPr>
            </w:pPr>
          </w:p>
        </w:tc>
        <w:tc>
          <w:tcPr>
            <w:tcW w:w="8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Section 7.2(c)</w:t>
            </w:r>
          </w:p>
        </w:tc>
      </w:tr>
      <w:tr>
        <w:trPr>
          <w:trHeight w:val="196"/>
        </w:trPr>
        <w:tc>
          <w:tcPr>
            <w:tcW w:w="3080" w:type="dxa"/>
            <w:vAlign w:val="bottom"/>
            <w:gridSpan w:val="16"/>
          </w:tcPr>
          <w:p>
            <w:pPr>
              <w:spacing w:after="0" w:line="196" w:lineRule="exact"/>
              <w:rPr>
                <w:sz w:val="20"/>
                <w:szCs w:val="20"/>
                <w:color w:val="auto"/>
              </w:rPr>
            </w:pPr>
            <w:r>
              <w:rPr>
                <w:rFonts w:ascii="Arial" w:cs="Arial" w:eastAsia="Arial" w:hAnsi="Arial"/>
                <w:sz w:val="18"/>
                <w:szCs w:val="18"/>
                <w:color w:val="auto"/>
              </w:rPr>
              <w:t>Party</w:t>
            </w:r>
          </w:p>
        </w:tc>
        <w:tc>
          <w:tcPr>
            <w:tcW w:w="8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Preamble</w:t>
            </w:r>
          </w:p>
        </w:tc>
      </w:tr>
      <w:tr>
        <w:trPr>
          <w:trHeight w:val="20"/>
        </w:trPr>
        <w:tc>
          <w:tcPr>
            <w:tcW w:w="38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8160" w:type="dxa"/>
            <w:vAlign w:val="bottom"/>
            <w:gridSpan w:val="2"/>
          </w:tcPr>
          <w:p>
            <w:pPr>
              <w:spacing w:after="0" w:line="20" w:lineRule="exact"/>
              <w:rPr>
                <w:sz w:val="1"/>
                <w:szCs w:val="1"/>
                <w:color w:val="auto"/>
              </w:rPr>
            </w:pPr>
          </w:p>
        </w:tc>
      </w:tr>
      <w:tr>
        <w:trPr>
          <w:trHeight w:val="196"/>
        </w:trPr>
        <w:tc>
          <w:tcPr>
            <w:tcW w:w="3080" w:type="dxa"/>
            <w:vAlign w:val="bottom"/>
            <w:gridSpan w:val="16"/>
          </w:tcPr>
          <w:p>
            <w:pPr>
              <w:spacing w:after="0" w:line="196" w:lineRule="exact"/>
              <w:rPr>
                <w:sz w:val="20"/>
                <w:szCs w:val="20"/>
                <w:color w:val="auto"/>
              </w:rPr>
            </w:pPr>
            <w:r>
              <w:rPr>
                <w:rFonts w:ascii="Arial" w:cs="Arial" w:eastAsia="Arial" w:hAnsi="Arial"/>
                <w:sz w:val="18"/>
                <w:szCs w:val="18"/>
                <w:color w:val="auto"/>
              </w:rPr>
              <w:t>Past Practices</w:t>
            </w:r>
          </w:p>
        </w:tc>
        <w:tc>
          <w:tcPr>
            <w:tcW w:w="8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Section 2.3(a)</w:t>
            </w:r>
          </w:p>
        </w:tc>
      </w:tr>
      <w:tr>
        <w:trPr>
          <w:trHeight w:val="196"/>
        </w:trPr>
        <w:tc>
          <w:tcPr>
            <w:tcW w:w="1060" w:type="dxa"/>
            <w:vAlign w:val="bottom"/>
            <w:tcBorders>
              <w:top w:val="single" w:sz="8" w:color="auto"/>
            </w:tcBorders>
            <w:gridSpan w:val="5"/>
          </w:tcPr>
          <w:p>
            <w:pPr>
              <w:spacing w:after="0" w:line="196" w:lineRule="exact"/>
              <w:rPr>
                <w:sz w:val="20"/>
                <w:szCs w:val="20"/>
                <w:color w:val="auto"/>
              </w:rPr>
            </w:pPr>
            <w:r>
              <w:rPr>
                <w:rFonts w:ascii="Arial" w:cs="Arial" w:eastAsia="Arial" w:hAnsi="Arial"/>
                <w:sz w:val="18"/>
                <w:szCs w:val="18"/>
                <w:color w:val="auto"/>
              </w:rPr>
              <w:t>Payor</w:t>
            </w:r>
          </w:p>
        </w:tc>
        <w:tc>
          <w:tcPr>
            <w:tcW w:w="2020" w:type="dxa"/>
            <w:vAlign w:val="bottom"/>
            <w:gridSpan w:val="11"/>
          </w:tcPr>
          <w:p>
            <w:pPr>
              <w:spacing w:after="0"/>
              <w:rPr>
                <w:sz w:val="17"/>
                <w:szCs w:val="17"/>
                <w:color w:val="auto"/>
              </w:rPr>
            </w:pPr>
          </w:p>
        </w:tc>
        <w:tc>
          <w:tcPr>
            <w:tcW w:w="8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Section 3.3(a)</w:t>
            </w:r>
          </w:p>
        </w:tc>
      </w:tr>
      <w:tr>
        <w:trPr>
          <w:trHeight w:val="20"/>
        </w:trPr>
        <w:tc>
          <w:tcPr>
            <w:tcW w:w="38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8160" w:type="dxa"/>
            <w:vAlign w:val="bottom"/>
            <w:gridSpan w:val="2"/>
          </w:tcPr>
          <w:p>
            <w:pPr>
              <w:spacing w:after="0" w:line="20" w:lineRule="exact"/>
              <w:rPr>
                <w:sz w:val="1"/>
                <w:szCs w:val="1"/>
                <w:color w:val="auto"/>
              </w:rPr>
            </w:pPr>
          </w:p>
        </w:tc>
      </w:tr>
      <w:tr>
        <w:trPr>
          <w:trHeight w:val="196"/>
        </w:trPr>
        <w:tc>
          <w:tcPr>
            <w:tcW w:w="3080" w:type="dxa"/>
            <w:vAlign w:val="bottom"/>
            <w:gridSpan w:val="16"/>
          </w:tcPr>
          <w:p>
            <w:pPr>
              <w:spacing w:after="0" w:line="196" w:lineRule="exact"/>
              <w:rPr>
                <w:sz w:val="20"/>
                <w:szCs w:val="20"/>
                <w:color w:val="auto"/>
              </w:rPr>
            </w:pPr>
            <w:r>
              <w:rPr>
                <w:rFonts w:ascii="Arial" w:cs="Arial" w:eastAsia="Arial" w:hAnsi="Arial"/>
                <w:sz w:val="18"/>
                <w:szCs w:val="18"/>
                <w:color w:val="auto"/>
              </w:rPr>
              <w:t>Proposed Allocation</w:t>
            </w:r>
          </w:p>
        </w:tc>
        <w:tc>
          <w:tcPr>
            <w:tcW w:w="8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Section 2.5(b)</w:t>
            </w:r>
          </w:p>
        </w:tc>
      </w:tr>
      <w:tr>
        <w:trPr>
          <w:trHeight w:val="196"/>
        </w:trPr>
        <w:tc>
          <w:tcPr>
            <w:tcW w:w="1100" w:type="dxa"/>
            <w:vAlign w:val="bottom"/>
            <w:tcBorders>
              <w:top w:val="single" w:sz="8" w:color="auto"/>
              <w:bottom w:val="single" w:sz="8" w:color="auto"/>
            </w:tcBorders>
            <w:gridSpan w:val="6"/>
          </w:tcPr>
          <w:p>
            <w:pPr>
              <w:spacing w:after="0" w:line="196" w:lineRule="exact"/>
              <w:rPr>
                <w:sz w:val="20"/>
                <w:szCs w:val="20"/>
                <w:color w:val="auto"/>
              </w:rPr>
            </w:pPr>
            <w:r>
              <w:rPr>
                <w:rFonts w:ascii="Arial" w:cs="Arial" w:eastAsia="Arial" w:hAnsi="Arial"/>
                <w:sz w:val="18"/>
                <w:szCs w:val="18"/>
                <w:color w:val="auto"/>
                <w:w w:val="89"/>
              </w:rPr>
              <w:t>Required Party</w:t>
            </w:r>
          </w:p>
        </w:tc>
        <w:tc>
          <w:tcPr>
            <w:tcW w:w="380" w:type="dxa"/>
            <w:vAlign w:val="bottom"/>
            <w:tcBorders>
              <w:top w:val="single" w:sz="8" w:color="auto"/>
            </w:tcBorders>
            <w:gridSpan w:val="3"/>
          </w:tcPr>
          <w:p>
            <w:pPr>
              <w:spacing w:after="0"/>
              <w:rPr>
                <w:sz w:val="17"/>
                <w:szCs w:val="17"/>
                <w:color w:val="auto"/>
              </w:rPr>
            </w:pPr>
          </w:p>
        </w:tc>
        <w:tc>
          <w:tcPr>
            <w:tcW w:w="1600" w:type="dxa"/>
            <w:vAlign w:val="bottom"/>
            <w:gridSpan w:val="7"/>
          </w:tcPr>
          <w:p>
            <w:pPr>
              <w:spacing w:after="0"/>
              <w:rPr>
                <w:sz w:val="17"/>
                <w:szCs w:val="17"/>
                <w:color w:val="auto"/>
              </w:rPr>
            </w:pPr>
          </w:p>
        </w:tc>
        <w:tc>
          <w:tcPr>
            <w:tcW w:w="8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Section 3.3(a)</w:t>
            </w:r>
          </w:p>
        </w:tc>
      </w:tr>
      <w:tr>
        <w:trPr>
          <w:trHeight w:val="196"/>
        </w:trPr>
        <w:tc>
          <w:tcPr>
            <w:tcW w:w="1100" w:type="dxa"/>
            <w:vAlign w:val="bottom"/>
            <w:tcBorders>
              <w:bottom w:val="single" w:sz="8" w:color="auto"/>
            </w:tcBorders>
            <w:gridSpan w:val="6"/>
          </w:tcPr>
          <w:p>
            <w:pPr>
              <w:spacing w:after="0" w:line="196" w:lineRule="exact"/>
              <w:rPr>
                <w:sz w:val="20"/>
                <w:szCs w:val="20"/>
                <w:color w:val="auto"/>
              </w:rPr>
            </w:pPr>
            <w:r>
              <w:rPr>
                <w:rFonts w:ascii="Arial" w:cs="Arial" w:eastAsia="Arial" w:hAnsi="Arial"/>
                <w:sz w:val="18"/>
                <w:szCs w:val="18"/>
                <w:color w:val="auto"/>
                <w:w w:val="89"/>
              </w:rPr>
              <w:t>Retention Date</w:t>
            </w:r>
          </w:p>
        </w:tc>
        <w:tc>
          <w:tcPr>
            <w:tcW w:w="1980" w:type="dxa"/>
            <w:vAlign w:val="bottom"/>
            <w:gridSpan w:val="10"/>
          </w:tcPr>
          <w:p>
            <w:pPr>
              <w:spacing w:after="0"/>
              <w:rPr>
                <w:sz w:val="17"/>
                <w:szCs w:val="17"/>
                <w:color w:val="auto"/>
              </w:rPr>
            </w:pPr>
          </w:p>
        </w:tc>
        <w:tc>
          <w:tcPr>
            <w:tcW w:w="8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Section 6.1</w:t>
            </w:r>
          </w:p>
        </w:tc>
      </w:tr>
      <w:tr>
        <w:trPr>
          <w:trHeight w:val="196"/>
        </w:trPr>
        <w:tc>
          <w:tcPr>
            <w:tcW w:w="3080" w:type="dxa"/>
            <w:vAlign w:val="bottom"/>
            <w:gridSpan w:val="16"/>
          </w:tcPr>
          <w:p>
            <w:pPr>
              <w:spacing w:after="0" w:line="196" w:lineRule="exact"/>
              <w:rPr>
                <w:sz w:val="20"/>
                <w:szCs w:val="20"/>
                <w:color w:val="auto"/>
              </w:rPr>
            </w:pPr>
            <w:r>
              <w:rPr>
                <w:rFonts w:ascii="Arial" w:cs="Arial" w:eastAsia="Arial" w:hAnsi="Arial"/>
                <w:sz w:val="18"/>
                <w:szCs w:val="18"/>
                <w:color w:val="auto"/>
              </w:rPr>
              <w:t>Separation Agreement</w:t>
            </w:r>
          </w:p>
        </w:tc>
        <w:tc>
          <w:tcPr>
            <w:tcW w:w="8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Recitals</w:t>
            </w:r>
          </w:p>
        </w:tc>
      </w:tr>
      <w:tr>
        <w:trPr>
          <w:trHeight w:val="196"/>
        </w:trPr>
        <w:tc>
          <w:tcPr>
            <w:tcW w:w="1560" w:type="dxa"/>
            <w:vAlign w:val="bottom"/>
            <w:tcBorders>
              <w:top w:val="single" w:sz="8" w:color="auto"/>
              <w:bottom w:val="single" w:sz="8" w:color="auto"/>
            </w:tcBorders>
            <w:gridSpan w:val="11"/>
          </w:tcPr>
          <w:p>
            <w:pPr>
              <w:spacing w:after="0" w:line="196" w:lineRule="exact"/>
              <w:rPr>
                <w:sz w:val="20"/>
                <w:szCs w:val="20"/>
                <w:color w:val="auto"/>
              </w:rPr>
            </w:pPr>
            <w:r>
              <w:rPr>
                <w:rFonts w:ascii="Arial" w:cs="Arial" w:eastAsia="Arial" w:hAnsi="Arial"/>
                <w:sz w:val="18"/>
                <w:szCs w:val="18"/>
                <w:color w:val="auto"/>
                <w:w w:val="93"/>
              </w:rPr>
              <w:t>Substantial Authority</w:t>
            </w:r>
          </w:p>
        </w:tc>
        <w:tc>
          <w:tcPr>
            <w:tcW w:w="60" w:type="dxa"/>
            <w:vAlign w:val="bottom"/>
            <w:tcBorders>
              <w:top w:val="single" w:sz="8" w:color="auto"/>
            </w:tcBorders>
          </w:tcPr>
          <w:p>
            <w:pPr>
              <w:spacing w:after="0"/>
              <w:rPr>
                <w:sz w:val="17"/>
                <w:szCs w:val="17"/>
                <w:color w:val="auto"/>
              </w:rPr>
            </w:pPr>
          </w:p>
        </w:tc>
        <w:tc>
          <w:tcPr>
            <w:tcW w:w="1460" w:type="dxa"/>
            <w:vAlign w:val="bottom"/>
            <w:gridSpan w:val="4"/>
          </w:tcPr>
          <w:p>
            <w:pPr>
              <w:spacing w:after="0"/>
              <w:rPr>
                <w:sz w:val="17"/>
                <w:szCs w:val="17"/>
                <w:color w:val="auto"/>
              </w:rPr>
            </w:pPr>
          </w:p>
        </w:tc>
        <w:tc>
          <w:tcPr>
            <w:tcW w:w="8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Section 2.3(a)</w:t>
            </w:r>
          </w:p>
        </w:tc>
      </w:tr>
      <w:tr>
        <w:trPr>
          <w:trHeight w:val="196"/>
        </w:trPr>
        <w:tc>
          <w:tcPr>
            <w:tcW w:w="3080" w:type="dxa"/>
            <w:vAlign w:val="bottom"/>
            <w:gridSpan w:val="16"/>
          </w:tcPr>
          <w:p>
            <w:pPr>
              <w:spacing w:after="0" w:line="196" w:lineRule="exact"/>
              <w:rPr>
                <w:sz w:val="20"/>
                <w:szCs w:val="20"/>
                <w:color w:val="auto"/>
              </w:rPr>
            </w:pPr>
            <w:r>
              <w:rPr>
                <w:rFonts w:ascii="Arial" w:cs="Arial" w:eastAsia="Arial" w:hAnsi="Arial"/>
                <w:sz w:val="18"/>
                <w:szCs w:val="18"/>
                <w:color w:val="auto"/>
              </w:rPr>
              <w:t>Tax Matters Disputes</w:t>
            </w:r>
          </w:p>
        </w:tc>
        <w:tc>
          <w:tcPr>
            <w:tcW w:w="8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Section 11.1</w:t>
            </w:r>
          </w:p>
        </w:tc>
      </w:tr>
      <w:tr>
        <w:trPr>
          <w:trHeight w:val="196"/>
        </w:trPr>
        <w:tc>
          <w:tcPr>
            <w:tcW w:w="38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94"/>
              </w:rPr>
              <w:t>TEN</w:t>
            </w:r>
          </w:p>
        </w:tc>
        <w:tc>
          <w:tcPr>
            <w:tcW w:w="1160" w:type="dxa"/>
            <w:vAlign w:val="bottom"/>
            <w:tcBorders>
              <w:top w:val="single" w:sz="8" w:color="auto"/>
            </w:tcBorders>
            <w:gridSpan w:val="8"/>
          </w:tcPr>
          <w:p>
            <w:pPr>
              <w:spacing w:after="0"/>
              <w:rPr>
                <w:sz w:val="17"/>
                <w:szCs w:val="17"/>
                <w:color w:val="auto"/>
              </w:rPr>
            </w:pPr>
          </w:p>
        </w:tc>
        <w:tc>
          <w:tcPr>
            <w:tcW w:w="1540" w:type="dxa"/>
            <w:vAlign w:val="bottom"/>
            <w:gridSpan w:val="6"/>
          </w:tcPr>
          <w:p>
            <w:pPr>
              <w:spacing w:after="0"/>
              <w:rPr>
                <w:sz w:val="17"/>
                <w:szCs w:val="17"/>
                <w:color w:val="auto"/>
              </w:rPr>
            </w:pPr>
          </w:p>
        </w:tc>
        <w:tc>
          <w:tcPr>
            <w:tcW w:w="8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Recitals</w:t>
            </w:r>
          </w:p>
        </w:tc>
      </w:tr>
      <w:tr>
        <w:trPr>
          <w:trHeight w:val="196"/>
        </w:trPr>
        <w:tc>
          <w:tcPr>
            <w:tcW w:w="3080" w:type="dxa"/>
            <w:vAlign w:val="bottom"/>
            <w:gridSpan w:val="16"/>
          </w:tcPr>
          <w:p>
            <w:pPr>
              <w:spacing w:after="0" w:line="196" w:lineRule="exact"/>
              <w:rPr>
                <w:sz w:val="20"/>
                <w:szCs w:val="20"/>
                <w:color w:val="auto"/>
              </w:rPr>
            </w:pPr>
            <w:r>
              <w:rPr>
                <w:rFonts w:ascii="Arial" w:cs="Arial" w:eastAsia="Arial" w:hAnsi="Arial"/>
                <w:sz w:val="18"/>
                <w:szCs w:val="18"/>
                <w:color w:val="auto"/>
              </w:rPr>
              <w:t>TFMC</w:t>
            </w:r>
          </w:p>
        </w:tc>
        <w:tc>
          <w:tcPr>
            <w:tcW w:w="8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Preamble</w:t>
            </w:r>
          </w:p>
        </w:tc>
      </w:tr>
      <w:tr>
        <w:trPr>
          <w:trHeight w:val="602"/>
        </w:trPr>
        <w:tc>
          <w:tcPr>
            <w:tcW w:w="3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600" w:type="dxa"/>
            <w:vAlign w:val="bottom"/>
          </w:tcPr>
          <w:p>
            <w:pPr>
              <w:jc w:val="right"/>
              <w:ind w:right="4930"/>
              <w:spacing w:after="0"/>
              <w:rPr>
                <w:sz w:val="20"/>
                <w:szCs w:val="20"/>
                <w:color w:val="auto"/>
              </w:rPr>
            </w:pPr>
            <w:r>
              <w:rPr>
                <w:rFonts w:ascii="Arial" w:cs="Arial" w:eastAsia="Arial" w:hAnsi="Arial"/>
                <w:sz w:val="14"/>
                <w:szCs w:val="14"/>
                <w:color w:val="auto"/>
              </w:rPr>
              <w:t>6</w:t>
            </w:r>
          </w:p>
        </w:tc>
        <w:tc>
          <w:tcPr>
            <w:tcW w:w="560" w:type="dxa"/>
            <w:vAlign w:val="bottom"/>
          </w:tcPr>
          <w:p>
            <w:pPr>
              <w:spacing w:after="0"/>
              <w:rPr>
                <w:sz w:val="24"/>
                <w:szCs w:val="24"/>
                <w:color w:val="auto"/>
              </w:rPr>
            </w:pPr>
          </w:p>
        </w:tc>
      </w:tr>
      <w:tr>
        <w:trPr>
          <w:trHeight w:val="46"/>
        </w:trPr>
        <w:tc>
          <w:tcPr>
            <w:tcW w:w="3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76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1" w:right="33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22"/>
          <w:szCs w:val="22"/>
          <w:b w:val="1"/>
          <w:bCs w:val="1"/>
          <w:u w:val="single" w:color="auto"/>
          <w:color w:val="auto"/>
        </w:rPr>
        <w:t>Exhibit A</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French Group Exit Agreements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72390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81" w:name="page82"/>
    <w:bookmarkEnd w:id="81"/>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233680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EMPLOYEE MATTERS AGREEMENT</w:t>
      </w:r>
    </w:p>
    <w:p>
      <w:pPr>
        <w:spacing w:after="0" w:line="233"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between</w:t>
      </w:r>
    </w:p>
    <w:p>
      <w:pPr>
        <w:spacing w:after="0" w:line="233"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TECHNIPFMC PLC</w:t>
      </w:r>
    </w:p>
    <w:p>
      <w:pPr>
        <w:spacing w:after="0" w:line="233"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and</w:t>
      </w:r>
    </w:p>
    <w:p>
      <w:pPr>
        <w:spacing w:after="0" w:line="233"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TECHNIP ENERGIES N.V.</w:t>
      </w:r>
    </w:p>
    <w:p>
      <w:pPr>
        <w:spacing w:after="0" w:line="233" w:lineRule="exact"/>
        <w:rPr>
          <w:sz w:val="20"/>
          <w:szCs w:val="20"/>
          <w:color w:val="auto"/>
        </w:rPr>
      </w:pPr>
    </w:p>
    <w:p>
      <w:pPr>
        <w:ind w:left="3120"/>
        <w:spacing w:after="0"/>
        <w:rPr>
          <w:sz w:val="20"/>
          <w:szCs w:val="20"/>
          <w:color w:val="auto"/>
        </w:rPr>
      </w:pPr>
      <w:r>
        <w:rPr>
          <w:rFonts w:ascii="Arial" w:cs="Arial" w:eastAsia="Arial" w:hAnsi="Arial"/>
          <w:sz w:val="22"/>
          <w:szCs w:val="22"/>
          <w:b w:val="1"/>
          <w:bCs w:val="1"/>
          <w:color w:val="auto"/>
        </w:rPr>
        <w:t>Dated as of February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79375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431165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74"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81"/>
        </w:trPr>
        <w:tc>
          <w:tcPr>
            <w:tcW w:w="940" w:type="dxa"/>
            <w:vAlign w:val="bottom"/>
          </w:tcPr>
          <w:p>
            <w:pPr>
              <w:spacing w:after="0"/>
              <w:rPr>
                <w:sz w:val="24"/>
                <w:szCs w:val="24"/>
                <w:color w:val="auto"/>
              </w:rPr>
            </w:pPr>
          </w:p>
        </w:tc>
        <w:tc>
          <w:tcPr>
            <w:tcW w:w="7880" w:type="dxa"/>
            <w:vAlign w:val="bottom"/>
          </w:tcPr>
          <w:p>
            <w:pPr>
              <w:ind w:left="3520"/>
              <w:spacing w:after="0"/>
              <w:rPr>
                <w:sz w:val="20"/>
                <w:szCs w:val="20"/>
                <w:color w:val="auto"/>
              </w:rPr>
            </w:pPr>
            <w:r>
              <w:rPr>
                <w:rFonts w:ascii="Arial" w:cs="Arial" w:eastAsia="Arial" w:hAnsi="Arial"/>
                <w:sz w:val="22"/>
                <w:szCs w:val="22"/>
                <w:b w:val="1"/>
                <w:bCs w:val="1"/>
                <w:color w:val="auto"/>
              </w:rPr>
              <w:t>TABLE OF CONTENTS</w:t>
            </w:r>
          </w:p>
        </w:tc>
        <w:tc>
          <w:tcPr>
            <w:tcW w:w="2420" w:type="dxa"/>
            <w:vAlign w:val="bottom"/>
          </w:tcPr>
          <w:p>
            <w:pPr>
              <w:spacing w:after="0"/>
              <w:rPr>
                <w:sz w:val="24"/>
                <w:szCs w:val="24"/>
                <w:color w:val="auto"/>
              </w:rPr>
            </w:pPr>
          </w:p>
        </w:tc>
      </w:tr>
      <w:tr>
        <w:trPr>
          <w:trHeight w:val="449"/>
        </w:trPr>
        <w:tc>
          <w:tcPr>
            <w:tcW w:w="94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 GENERAL PRINCIPLES; LITIGATION</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40" w:type="dxa"/>
            <w:vAlign w:val="bottom"/>
          </w:tcPr>
          <w:p>
            <w:pPr>
              <w:jc w:val="right"/>
              <w:ind w:right="70"/>
              <w:spacing w:after="0"/>
              <w:rPr>
                <w:sz w:val="20"/>
                <w:szCs w:val="20"/>
                <w:color w:val="auto"/>
              </w:rPr>
            </w:pPr>
            <w:r>
              <w:rPr>
                <w:rFonts w:ascii="Arial" w:cs="Arial" w:eastAsia="Arial" w:hAnsi="Arial"/>
                <w:sz w:val="18"/>
                <w:szCs w:val="18"/>
                <w:color w:val="auto"/>
              </w:rPr>
              <w:t>1.1</w:t>
            </w:r>
          </w:p>
        </w:tc>
        <w:tc>
          <w:tcPr>
            <w:tcW w:w="7880" w:type="dxa"/>
            <w:vAlign w:val="bottom"/>
          </w:tcPr>
          <w:p>
            <w:pPr>
              <w:ind w:left="160"/>
              <w:spacing w:after="0"/>
              <w:rPr>
                <w:sz w:val="20"/>
                <w:szCs w:val="20"/>
                <w:color w:val="auto"/>
              </w:rPr>
            </w:pPr>
            <w:r>
              <w:rPr>
                <w:rFonts w:ascii="Arial" w:cs="Arial" w:eastAsia="Arial" w:hAnsi="Arial"/>
                <w:sz w:val="18"/>
                <w:szCs w:val="18"/>
                <w:color w:val="auto"/>
              </w:rPr>
              <w:t>TFMC Group Employee Liabilities</w:t>
            </w:r>
          </w:p>
        </w:tc>
        <w:tc>
          <w:tcPr>
            <w:tcW w:w="2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TEN Group Employee Liabilities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940" w:type="dxa"/>
            <w:vAlign w:val="bottom"/>
          </w:tcPr>
          <w:p>
            <w:pPr>
              <w:jc w:val="right"/>
              <w:ind w:right="70"/>
              <w:spacing w:after="0"/>
              <w:rPr>
                <w:sz w:val="20"/>
                <w:szCs w:val="20"/>
                <w:color w:val="auto"/>
              </w:rPr>
            </w:pPr>
            <w:r>
              <w:rPr>
                <w:rFonts w:ascii="Arial" w:cs="Arial" w:eastAsia="Arial" w:hAnsi="Arial"/>
                <w:sz w:val="18"/>
                <w:szCs w:val="18"/>
                <w:color w:val="auto"/>
              </w:rPr>
              <w:t>1.3</w:t>
            </w:r>
          </w:p>
        </w:tc>
        <w:tc>
          <w:tcPr>
            <w:tcW w:w="7880" w:type="dxa"/>
            <w:vAlign w:val="bottom"/>
          </w:tcPr>
          <w:p>
            <w:pPr>
              <w:ind w:left="160"/>
              <w:spacing w:after="0"/>
              <w:rPr>
                <w:sz w:val="20"/>
                <w:szCs w:val="20"/>
                <w:color w:val="auto"/>
              </w:rPr>
            </w:pPr>
            <w:r>
              <w:rPr>
                <w:rFonts w:ascii="Arial" w:cs="Arial" w:eastAsia="Arial" w:hAnsi="Arial"/>
                <w:sz w:val="18"/>
                <w:szCs w:val="18"/>
                <w:color w:val="auto"/>
              </w:rPr>
              <w:t>TFMC Benefit Plans/TEN Benefit Plans</w:t>
            </w:r>
          </w:p>
        </w:tc>
        <w:tc>
          <w:tcPr>
            <w:tcW w:w="24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w:t>
            </w: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Employee-Related Litigation</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ARTICLE II. EMPLOYEES AND EMPLOYEE TRANSFERS</w:t>
            </w:r>
          </w:p>
        </w:tc>
        <w:tc>
          <w:tcPr>
            <w:tcW w:w="2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w:t>
            </w: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Assignment and Transfer of Employees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40" w:type="dxa"/>
            <w:vAlign w:val="bottom"/>
          </w:tcPr>
          <w:p>
            <w:pPr>
              <w:jc w:val="right"/>
              <w:ind w:right="70"/>
              <w:spacing w:after="0"/>
              <w:rPr>
                <w:sz w:val="20"/>
                <w:szCs w:val="20"/>
                <w:color w:val="auto"/>
              </w:rPr>
            </w:pPr>
            <w:r>
              <w:rPr>
                <w:rFonts w:ascii="Arial" w:cs="Arial" w:eastAsia="Arial" w:hAnsi="Arial"/>
                <w:sz w:val="18"/>
                <w:szCs w:val="18"/>
                <w:color w:val="auto"/>
              </w:rPr>
              <w:t>2.2</w:t>
            </w:r>
          </w:p>
        </w:tc>
        <w:tc>
          <w:tcPr>
            <w:tcW w:w="7880" w:type="dxa"/>
            <w:vAlign w:val="bottom"/>
          </w:tcPr>
          <w:p>
            <w:pPr>
              <w:ind w:left="160"/>
              <w:spacing w:after="0"/>
              <w:rPr>
                <w:sz w:val="20"/>
                <w:szCs w:val="20"/>
                <w:color w:val="auto"/>
              </w:rPr>
            </w:pPr>
            <w:r>
              <w:rPr>
                <w:rFonts w:ascii="Arial" w:cs="Arial" w:eastAsia="Arial" w:hAnsi="Arial"/>
                <w:sz w:val="18"/>
                <w:szCs w:val="18"/>
                <w:color w:val="auto"/>
              </w:rPr>
              <w:t>Automatic Transfers</w:t>
            </w:r>
          </w:p>
        </w:tc>
        <w:tc>
          <w:tcPr>
            <w:tcW w:w="2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w:t>
            </w: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Delayed Transfers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40" w:type="dxa"/>
            <w:vAlign w:val="bottom"/>
          </w:tcPr>
          <w:p>
            <w:pPr>
              <w:jc w:val="right"/>
              <w:ind w:right="70"/>
              <w:spacing w:after="0"/>
              <w:rPr>
                <w:sz w:val="20"/>
                <w:szCs w:val="20"/>
                <w:color w:val="auto"/>
              </w:rPr>
            </w:pPr>
            <w:r>
              <w:rPr>
                <w:rFonts w:ascii="Arial" w:cs="Arial" w:eastAsia="Arial" w:hAnsi="Arial"/>
                <w:sz w:val="18"/>
                <w:szCs w:val="18"/>
                <w:color w:val="auto"/>
              </w:rPr>
              <w:t>2.4</w:t>
            </w:r>
          </w:p>
        </w:tc>
        <w:tc>
          <w:tcPr>
            <w:tcW w:w="7880" w:type="dxa"/>
            <w:vAlign w:val="bottom"/>
          </w:tcPr>
          <w:p>
            <w:pPr>
              <w:ind w:left="160"/>
              <w:spacing w:after="0"/>
              <w:rPr>
                <w:sz w:val="20"/>
                <w:szCs w:val="20"/>
                <w:color w:val="auto"/>
              </w:rPr>
            </w:pPr>
            <w:r>
              <w:rPr>
                <w:rFonts w:ascii="Arial" w:cs="Arial" w:eastAsia="Arial" w:hAnsi="Arial"/>
                <w:sz w:val="18"/>
                <w:szCs w:val="18"/>
                <w:color w:val="auto"/>
              </w:rPr>
              <w:t>Collective Bargaining Agreements</w:t>
            </w:r>
          </w:p>
        </w:tc>
        <w:tc>
          <w:tcPr>
            <w:tcW w:w="2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w:t>
            </w: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Employment Agreements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40" w:type="dxa"/>
            <w:vAlign w:val="bottom"/>
          </w:tcPr>
          <w:p>
            <w:pPr>
              <w:jc w:val="right"/>
              <w:ind w:right="70"/>
              <w:spacing w:after="0"/>
              <w:rPr>
                <w:sz w:val="20"/>
                <w:szCs w:val="20"/>
                <w:color w:val="auto"/>
              </w:rPr>
            </w:pPr>
            <w:r>
              <w:rPr>
                <w:rFonts w:ascii="Arial" w:cs="Arial" w:eastAsia="Arial" w:hAnsi="Arial"/>
                <w:sz w:val="18"/>
                <w:szCs w:val="18"/>
                <w:color w:val="auto"/>
              </w:rPr>
              <w:t>2.6</w:t>
            </w:r>
          </w:p>
        </w:tc>
        <w:tc>
          <w:tcPr>
            <w:tcW w:w="7880" w:type="dxa"/>
            <w:vAlign w:val="bottom"/>
          </w:tcPr>
          <w:p>
            <w:pPr>
              <w:ind w:left="160"/>
              <w:spacing w:after="0"/>
              <w:rPr>
                <w:sz w:val="20"/>
                <w:szCs w:val="20"/>
                <w:color w:val="auto"/>
              </w:rPr>
            </w:pPr>
            <w:r>
              <w:rPr>
                <w:rFonts w:ascii="Arial" w:cs="Arial" w:eastAsia="Arial" w:hAnsi="Arial"/>
                <w:sz w:val="18"/>
                <w:szCs w:val="18"/>
                <w:color w:val="auto"/>
              </w:rPr>
              <w:t>Transfer and Termination Liabilities</w:t>
            </w:r>
          </w:p>
        </w:tc>
        <w:tc>
          <w:tcPr>
            <w:tcW w:w="2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III. SERVICE CREDIT</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40" w:type="dxa"/>
            <w:vAlign w:val="bottom"/>
          </w:tcPr>
          <w:p>
            <w:pPr>
              <w:jc w:val="right"/>
              <w:ind w:right="70"/>
              <w:spacing w:after="0"/>
              <w:rPr>
                <w:sz w:val="20"/>
                <w:szCs w:val="20"/>
                <w:color w:val="auto"/>
              </w:rPr>
            </w:pPr>
            <w:r>
              <w:rPr>
                <w:rFonts w:ascii="Arial" w:cs="Arial" w:eastAsia="Arial" w:hAnsi="Arial"/>
                <w:sz w:val="18"/>
                <w:szCs w:val="18"/>
                <w:color w:val="auto"/>
              </w:rPr>
              <w:t>3.1</w:t>
            </w:r>
          </w:p>
        </w:tc>
        <w:tc>
          <w:tcPr>
            <w:tcW w:w="7880" w:type="dxa"/>
            <w:vAlign w:val="bottom"/>
          </w:tcPr>
          <w:p>
            <w:pPr>
              <w:ind w:left="160"/>
              <w:spacing w:after="0"/>
              <w:rPr>
                <w:sz w:val="20"/>
                <w:szCs w:val="20"/>
                <w:color w:val="auto"/>
              </w:rPr>
            </w:pPr>
            <w:r>
              <w:rPr>
                <w:rFonts w:ascii="Arial" w:cs="Arial" w:eastAsia="Arial" w:hAnsi="Arial"/>
                <w:sz w:val="18"/>
                <w:szCs w:val="18"/>
                <w:color w:val="auto"/>
              </w:rPr>
              <w:t>Service Credit for Employee Transfers</w:t>
            </w:r>
          </w:p>
        </w:tc>
        <w:tc>
          <w:tcPr>
            <w:tcW w:w="24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IV. VACATION, PAID TIME OFF AND BONUSES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40" w:type="dxa"/>
            <w:vAlign w:val="bottom"/>
          </w:tcPr>
          <w:p>
            <w:pPr>
              <w:jc w:val="right"/>
              <w:ind w:right="70"/>
              <w:spacing w:after="0"/>
              <w:rPr>
                <w:sz w:val="20"/>
                <w:szCs w:val="20"/>
                <w:color w:val="auto"/>
              </w:rPr>
            </w:pPr>
            <w:r>
              <w:rPr>
                <w:rFonts w:ascii="Arial" w:cs="Arial" w:eastAsia="Arial" w:hAnsi="Arial"/>
                <w:sz w:val="18"/>
                <w:szCs w:val="18"/>
                <w:color w:val="auto"/>
              </w:rPr>
              <w:t>4.1</w:t>
            </w:r>
          </w:p>
        </w:tc>
        <w:tc>
          <w:tcPr>
            <w:tcW w:w="7880" w:type="dxa"/>
            <w:vAlign w:val="bottom"/>
          </w:tcPr>
          <w:p>
            <w:pPr>
              <w:ind w:left="160"/>
              <w:spacing w:after="0"/>
              <w:rPr>
                <w:sz w:val="20"/>
                <w:szCs w:val="20"/>
                <w:color w:val="auto"/>
              </w:rPr>
            </w:pPr>
            <w:r>
              <w:rPr>
                <w:rFonts w:ascii="Arial" w:cs="Arial" w:eastAsia="Arial" w:hAnsi="Arial"/>
                <w:sz w:val="18"/>
                <w:szCs w:val="18"/>
                <w:color w:val="auto"/>
              </w:rPr>
              <w:t>Vacation and Paid Time Off</w:t>
            </w:r>
          </w:p>
        </w:tc>
        <w:tc>
          <w:tcPr>
            <w:tcW w:w="24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4.2</w:t>
            </w: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Annual Bonuses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ARTICLE V. BENEFIT PLANS GENERALLY AND RETIREMENT BENEFITS</w:t>
            </w:r>
          </w:p>
        </w:tc>
        <w:tc>
          <w:tcPr>
            <w:tcW w:w="24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5.1</w:t>
            </w: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Benefit Plans Generally</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40" w:type="dxa"/>
            <w:vAlign w:val="bottom"/>
          </w:tcPr>
          <w:p>
            <w:pPr>
              <w:jc w:val="right"/>
              <w:ind w:right="70"/>
              <w:spacing w:after="0"/>
              <w:rPr>
                <w:sz w:val="20"/>
                <w:szCs w:val="20"/>
                <w:color w:val="auto"/>
              </w:rPr>
            </w:pPr>
            <w:r>
              <w:rPr>
                <w:rFonts w:ascii="Arial" w:cs="Arial" w:eastAsia="Arial" w:hAnsi="Arial"/>
                <w:sz w:val="18"/>
                <w:szCs w:val="18"/>
                <w:color w:val="auto"/>
              </w:rPr>
              <w:t>5.2</w:t>
            </w:r>
          </w:p>
        </w:tc>
        <w:tc>
          <w:tcPr>
            <w:tcW w:w="7880" w:type="dxa"/>
            <w:vAlign w:val="bottom"/>
          </w:tcPr>
          <w:p>
            <w:pPr>
              <w:ind w:left="160"/>
              <w:spacing w:after="0"/>
              <w:rPr>
                <w:sz w:val="20"/>
                <w:szCs w:val="20"/>
                <w:color w:val="auto"/>
              </w:rPr>
            </w:pPr>
            <w:r>
              <w:rPr>
                <w:rFonts w:ascii="Arial" w:cs="Arial" w:eastAsia="Arial" w:hAnsi="Arial"/>
                <w:sz w:val="18"/>
                <w:szCs w:val="18"/>
                <w:color w:val="auto"/>
              </w:rPr>
              <w:t>Retirement Plans</w:t>
            </w:r>
          </w:p>
        </w:tc>
        <w:tc>
          <w:tcPr>
            <w:tcW w:w="24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5.3</w:t>
            </w: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 Distributions on Separation</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ARTICLE VI. CERTAIN WELFARE BENEFIT PLAN MATTERS</w:t>
            </w:r>
          </w:p>
        </w:tc>
        <w:tc>
          <w:tcPr>
            <w:tcW w:w="24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6.1</w:t>
            </w: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Spinoff Welfare Plans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40" w:type="dxa"/>
            <w:vAlign w:val="bottom"/>
          </w:tcPr>
          <w:p>
            <w:pPr>
              <w:jc w:val="right"/>
              <w:ind w:right="70"/>
              <w:spacing w:after="0"/>
              <w:rPr>
                <w:sz w:val="20"/>
                <w:szCs w:val="20"/>
                <w:color w:val="auto"/>
              </w:rPr>
            </w:pPr>
            <w:r>
              <w:rPr>
                <w:rFonts w:ascii="Arial" w:cs="Arial" w:eastAsia="Arial" w:hAnsi="Arial"/>
                <w:sz w:val="18"/>
                <w:szCs w:val="18"/>
                <w:color w:val="auto"/>
              </w:rPr>
              <w:t>6.2</w:t>
            </w:r>
          </w:p>
        </w:tc>
        <w:tc>
          <w:tcPr>
            <w:tcW w:w="7880" w:type="dxa"/>
            <w:vAlign w:val="bottom"/>
          </w:tcPr>
          <w:p>
            <w:pPr>
              <w:ind w:left="160"/>
              <w:spacing w:after="0"/>
              <w:rPr>
                <w:sz w:val="20"/>
                <w:szCs w:val="20"/>
                <w:color w:val="auto"/>
              </w:rPr>
            </w:pPr>
            <w:r>
              <w:rPr>
                <w:rFonts w:ascii="Arial" w:cs="Arial" w:eastAsia="Arial" w:hAnsi="Arial"/>
                <w:sz w:val="18"/>
                <w:szCs w:val="18"/>
                <w:color w:val="auto"/>
              </w:rPr>
              <w:t>Welfare Claims</w:t>
            </w:r>
          </w:p>
        </w:tc>
        <w:tc>
          <w:tcPr>
            <w:tcW w:w="24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6.3</w:t>
            </w: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Continuation of Elections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40" w:type="dxa"/>
            <w:vAlign w:val="bottom"/>
          </w:tcPr>
          <w:p>
            <w:pPr>
              <w:jc w:val="right"/>
              <w:ind w:right="70"/>
              <w:spacing w:after="0"/>
              <w:rPr>
                <w:sz w:val="20"/>
                <w:szCs w:val="20"/>
                <w:color w:val="auto"/>
              </w:rPr>
            </w:pPr>
            <w:r>
              <w:rPr>
                <w:rFonts w:ascii="Arial" w:cs="Arial" w:eastAsia="Arial" w:hAnsi="Arial"/>
                <w:sz w:val="18"/>
                <w:szCs w:val="18"/>
                <w:color w:val="auto"/>
              </w:rPr>
              <w:t>6.4</w:t>
            </w:r>
          </w:p>
        </w:tc>
        <w:tc>
          <w:tcPr>
            <w:tcW w:w="7880" w:type="dxa"/>
            <w:vAlign w:val="bottom"/>
          </w:tcPr>
          <w:p>
            <w:pPr>
              <w:ind w:left="160"/>
              <w:spacing w:after="0"/>
              <w:rPr>
                <w:sz w:val="20"/>
                <w:szCs w:val="20"/>
                <w:color w:val="auto"/>
              </w:rPr>
            </w:pPr>
            <w:r>
              <w:rPr>
                <w:rFonts w:ascii="Arial" w:cs="Arial" w:eastAsia="Arial" w:hAnsi="Arial"/>
                <w:sz w:val="18"/>
                <w:szCs w:val="18"/>
                <w:color w:val="auto"/>
              </w:rPr>
              <w:t>Deductibles, Cost-Sharing Provisions, and Coverage Maximums</w:t>
            </w:r>
          </w:p>
        </w:tc>
        <w:tc>
          <w:tcPr>
            <w:tcW w:w="24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6.5</w:t>
            </w: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Workers’ Compensation</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ARTICLE VII. TECHNIPFMC EQUITY COMPENSATION AWARDS</w:t>
            </w:r>
          </w:p>
        </w:tc>
        <w:tc>
          <w:tcPr>
            <w:tcW w:w="2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7.1</w:t>
            </w: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 TFMC Equity Compensation Awards</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40" w:type="dxa"/>
            <w:vAlign w:val="bottom"/>
          </w:tcPr>
          <w:p>
            <w:pPr>
              <w:jc w:val="right"/>
              <w:ind w:right="70"/>
              <w:spacing w:after="0"/>
              <w:rPr>
                <w:sz w:val="20"/>
                <w:szCs w:val="20"/>
                <w:color w:val="auto"/>
              </w:rPr>
            </w:pPr>
            <w:r>
              <w:rPr>
                <w:rFonts w:ascii="Arial" w:cs="Arial" w:eastAsia="Arial" w:hAnsi="Arial"/>
                <w:sz w:val="18"/>
                <w:szCs w:val="18"/>
                <w:color w:val="auto"/>
              </w:rPr>
              <w:t>7.2</w:t>
            </w:r>
          </w:p>
        </w:tc>
        <w:tc>
          <w:tcPr>
            <w:tcW w:w="7880" w:type="dxa"/>
            <w:vAlign w:val="bottom"/>
          </w:tcPr>
          <w:p>
            <w:pPr>
              <w:ind w:left="160"/>
              <w:spacing w:after="0"/>
              <w:rPr>
                <w:sz w:val="20"/>
                <w:szCs w:val="20"/>
                <w:color w:val="auto"/>
              </w:rPr>
            </w:pPr>
            <w:r>
              <w:rPr>
                <w:rFonts w:ascii="Arial" w:cs="Arial" w:eastAsia="Arial" w:hAnsi="Arial"/>
                <w:sz w:val="18"/>
                <w:szCs w:val="18"/>
                <w:color w:val="auto"/>
              </w:rPr>
              <w:t>Conformity with Laws</w:t>
            </w:r>
          </w:p>
        </w:tc>
        <w:tc>
          <w:tcPr>
            <w:tcW w:w="24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7.3</w:t>
            </w: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Withholding and Reporting</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940" w:type="dxa"/>
            <w:vAlign w:val="bottom"/>
          </w:tcPr>
          <w:p>
            <w:pPr>
              <w:jc w:val="right"/>
              <w:ind w:right="70"/>
              <w:spacing w:after="0"/>
              <w:rPr>
                <w:sz w:val="20"/>
                <w:szCs w:val="20"/>
                <w:color w:val="auto"/>
              </w:rPr>
            </w:pPr>
            <w:r>
              <w:rPr>
                <w:rFonts w:ascii="Arial" w:cs="Arial" w:eastAsia="Arial" w:hAnsi="Arial"/>
                <w:sz w:val="18"/>
                <w:szCs w:val="18"/>
                <w:color w:val="auto"/>
              </w:rPr>
              <w:t>7.4</w:t>
            </w:r>
          </w:p>
        </w:tc>
        <w:tc>
          <w:tcPr>
            <w:tcW w:w="7880" w:type="dxa"/>
            <w:vAlign w:val="bottom"/>
          </w:tcPr>
          <w:p>
            <w:pPr>
              <w:ind w:left="160"/>
              <w:spacing w:after="0"/>
              <w:rPr>
                <w:sz w:val="20"/>
                <w:szCs w:val="20"/>
                <w:color w:val="auto"/>
              </w:rPr>
            </w:pPr>
            <w:r>
              <w:rPr>
                <w:rFonts w:ascii="Arial" w:cs="Arial" w:eastAsia="Arial" w:hAnsi="Arial"/>
                <w:sz w:val="18"/>
                <w:szCs w:val="18"/>
                <w:color w:val="auto"/>
              </w:rPr>
              <w:t>Employment Treatment</w:t>
            </w:r>
          </w:p>
        </w:tc>
        <w:tc>
          <w:tcPr>
            <w:tcW w:w="242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16"/>
        </w:trPr>
        <w:tc>
          <w:tcPr>
            <w:tcW w:w="10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7.5</w:t>
            </w:r>
          </w:p>
        </w:tc>
        <w:tc>
          <w:tcPr>
            <w:tcW w:w="8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Registration</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020" w:type="dxa"/>
            <w:vAlign w:val="bottom"/>
          </w:tcPr>
          <w:p>
            <w:pPr>
              <w:ind w:left="580"/>
              <w:spacing w:after="0"/>
              <w:rPr>
                <w:sz w:val="20"/>
                <w:szCs w:val="20"/>
                <w:color w:val="auto"/>
              </w:rPr>
            </w:pPr>
            <w:r>
              <w:rPr>
                <w:rFonts w:ascii="Arial" w:cs="Arial" w:eastAsia="Arial" w:hAnsi="Arial"/>
                <w:sz w:val="18"/>
                <w:szCs w:val="18"/>
                <w:color w:val="auto"/>
              </w:rPr>
              <w:t>7.6</w:t>
            </w:r>
          </w:p>
        </w:tc>
        <w:tc>
          <w:tcPr>
            <w:tcW w:w="8380" w:type="dxa"/>
            <w:vAlign w:val="bottom"/>
          </w:tcPr>
          <w:p>
            <w:pPr>
              <w:ind w:left="120"/>
              <w:spacing w:after="0"/>
              <w:rPr>
                <w:sz w:val="20"/>
                <w:szCs w:val="20"/>
                <w:color w:val="auto"/>
              </w:rPr>
            </w:pPr>
            <w:r>
              <w:rPr>
                <w:rFonts w:ascii="Arial" w:cs="Arial" w:eastAsia="Arial" w:hAnsi="Arial"/>
                <w:sz w:val="18"/>
                <w:szCs w:val="18"/>
                <w:color w:val="auto"/>
              </w:rPr>
              <w:t>Accelerated Vesting</w:t>
            </w:r>
          </w:p>
        </w:tc>
        <w:tc>
          <w:tcPr>
            <w:tcW w:w="18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VIII. BENEFIT PLAN TRANSITION SERVICES, BENEFIT PLAN THIRD-PARTY CLAIMS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20" w:type="dxa"/>
            <w:vAlign w:val="bottom"/>
          </w:tcPr>
          <w:p>
            <w:pPr>
              <w:ind w:left="580"/>
              <w:spacing w:after="0"/>
              <w:rPr>
                <w:sz w:val="20"/>
                <w:szCs w:val="20"/>
                <w:color w:val="auto"/>
              </w:rPr>
            </w:pPr>
            <w:r>
              <w:rPr>
                <w:rFonts w:ascii="Arial" w:cs="Arial" w:eastAsia="Arial" w:hAnsi="Arial"/>
                <w:sz w:val="18"/>
                <w:szCs w:val="18"/>
                <w:color w:val="auto"/>
              </w:rPr>
              <w:t>8.1</w:t>
            </w:r>
          </w:p>
        </w:tc>
        <w:tc>
          <w:tcPr>
            <w:tcW w:w="8380" w:type="dxa"/>
            <w:vAlign w:val="bottom"/>
          </w:tcPr>
          <w:p>
            <w:pPr>
              <w:ind w:left="120"/>
              <w:spacing w:after="0"/>
              <w:rPr>
                <w:sz w:val="20"/>
                <w:szCs w:val="20"/>
                <w:color w:val="auto"/>
              </w:rPr>
            </w:pPr>
            <w:r>
              <w:rPr>
                <w:rFonts w:ascii="Arial" w:cs="Arial" w:eastAsia="Arial" w:hAnsi="Arial"/>
                <w:sz w:val="18"/>
                <w:szCs w:val="18"/>
                <w:color w:val="auto"/>
              </w:rPr>
              <w:t>General Principles</w:t>
            </w:r>
          </w:p>
        </w:tc>
        <w:tc>
          <w:tcPr>
            <w:tcW w:w="18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8.2</w:t>
            </w:r>
          </w:p>
        </w:tc>
        <w:tc>
          <w:tcPr>
            <w:tcW w:w="8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Benefit Plan Third-Party Claims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400" w:type="dxa"/>
            <w:vAlign w:val="bottom"/>
            <w:gridSpan w:val="2"/>
          </w:tcPr>
          <w:p>
            <w:pPr>
              <w:spacing w:after="0"/>
              <w:rPr>
                <w:sz w:val="20"/>
                <w:szCs w:val="20"/>
                <w:color w:val="auto"/>
              </w:rPr>
            </w:pPr>
            <w:r>
              <w:rPr>
                <w:rFonts w:ascii="Arial" w:cs="Arial" w:eastAsia="Arial" w:hAnsi="Arial"/>
                <w:sz w:val="18"/>
                <w:szCs w:val="18"/>
                <w:color w:val="auto"/>
              </w:rPr>
              <w:t>ARTICLE IX. INDEMNIFICATION</w:t>
            </w:r>
          </w:p>
        </w:tc>
        <w:tc>
          <w:tcPr>
            <w:tcW w:w="18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9.1</w:t>
            </w:r>
          </w:p>
        </w:tc>
        <w:tc>
          <w:tcPr>
            <w:tcW w:w="8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Indemnification</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400" w:type="dxa"/>
            <w:vAlign w:val="bottom"/>
            <w:gridSpan w:val="2"/>
          </w:tcPr>
          <w:p>
            <w:pPr>
              <w:spacing w:after="0"/>
              <w:rPr>
                <w:sz w:val="20"/>
                <w:szCs w:val="20"/>
                <w:color w:val="auto"/>
              </w:rPr>
            </w:pPr>
            <w:r>
              <w:rPr>
                <w:rFonts w:ascii="Arial" w:cs="Arial" w:eastAsia="Arial" w:hAnsi="Arial"/>
                <w:sz w:val="18"/>
                <w:szCs w:val="18"/>
                <w:color w:val="auto"/>
              </w:rPr>
              <w:t>ARTICLE X. ADDITIONAL COVENANTS</w:t>
            </w:r>
          </w:p>
        </w:tc>
        <w:tc>
          <w:tcPr>
            <w:tcW w:w="18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10.1</w:t>
            </w:r>
          </w:p>
        </w:tc>
        <w:tc>
          <w:tcPr>
            <w:tcW w:w="8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Cooperation</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20" w:type="dxa"/>
            <w:vAlign w:val="bottom"/>
          </w:tcPr>
          <w:p>
            <w:pPr>
              <w:ind w:left="580"/>
              <w:spacing w:after="0"/>
              <w:rPr>
                <w:sz w:val="20"/>
                <w:szCs w:val="20"/>
                <w:color w:val="auto"/>
              </w:rPr>
            </w:pPr>
            <w:r>
              <w:rPr>
                <w:rFonts w:ascii="Arial" w:cs="Arial" w:eastAsia="Arial" w:hAnsi="Arial"/>
                <w:sz w:val="18"/>
                <w:szCs w:val="18"/>
                <w:color w:val="auto"/>
              </w:rPr>
              <w:t>10.2</w:t>
            </w:r>
          </w:p>
        </w:tc>
        <w:tc>
          <w:tcPr>
            <w:tcW w:w="8380" w:type="dxa"/>
            <w:vAlign w:val="bottom"/>
          </w:tcPr>
          <w:p>
            <w:pPr>
              <w:ind w:left="120"/>
              <w:spacing w:after="0"/>
              <w:rPr>
                <w:sz w:val="20"/>
                <w:szCs w:val="20"/>
                <w:color w:val="auto"/>
              </w:rPr>
            </w:pPr>
            <w:r>
              <w:rPr>
                <w:rFonts w:ascii="Arial" w:cs="Arial" w:eastAsia="Arial" w:hAnsi="Arial"/>
                <w:sz w:val="18"/>
                <w:szCs w:val="18"/>
                <w:color w:val="auto"/>
              </w:rPr>
              <w:t>Vendor Contracts</w:t>
            </w:r>
          </w:p>
        </w:tc>
        <w:tc>
          <w:tcPr>
            <w:tcW w:w="18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10.3</w:t>
            </w:r>
          </w:p>
        </w:tc>
        <w:tc>
          <w:tcPr>
            <w:tcW w:w="8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Data Privacy</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400" w:type="dxa"/>
            <w:vAlign w:val="bottom"/>
            <w:gridSpan w:val="2"/>
          </w:tcPr>
          <w:p>
            <w:pPr>
              <w:spacing w:after="0"/>
              <w:rPr>
                <w:sz w:val="20"/>
                <w:szCs w:val="20"/>
                <w:color w:val="auto"/>
              </w:rPr>
            </w:pPr>
            <w:r>
              <w:rPr>
                <w:rFonts w:ascii="Arial" w:cs="Arial" w:eastAsia="Arial" w:hAnsi="Arial"/>
                <w:sz w:val="18"/>
                <w:szCs w:val="18"/>
                <w:color w:val="auto"/>
              </w:rPr>
              <w:t>ARTICLE XI. DISPUTE RESOLUTION</w:t>
            </w:r>
          </w:p>
        </w:tc>
        <w:tc>
          <w:tcPr>
            <w:tcW w:w="18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11.1</w:t>
            </w:r>
          </w:p>
        </w:tc>
        <w:tc>
          <w:tcPr>
            <w:tcW w:w="8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Dispute Resolution</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400" w:type="dxa"/>
            <w:vAlign w:val="bottom"/>
            <w:gridSpan w:val="2"/>
          </w:tcPr>
          <w:p>
            <w:pPr>
              <w:spacing w:after="0"/>
              <w:rPr>
                <w:sz w:val="20"/>
                <w:szCs w:val="20"/>
                <w:color w:val="auto"/>
              </w:rPr>
            </w:pPr>
            <w:r>
              <w:rPr>
                <w:rFonts w:ascii="Arial" w:cs="Arial" w:eastAsia="Arial" w:hAnsi="Arial"/>
                <w:sz w:val="18"/>
                <w:szCs w:val="18"/>
                <w:color w:val="auto"/>
              </w:rPr>
              <w:t>ARTICLE XII. MISCELLANEOUS</w:t>
            </w:r>
          </w:p>
        </w:tc>
        <w:tc>
          <w:tcPr>
            <w:tcW w:w="18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12.1</w:t>
            </w:r>
          </w:p>
        </w:tc>
        <w:tc>
          <w:tcPr>
            <w:tcW w:w="8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20" w:type="dxa"/>
            <w:vAlign w:val="bottom"/>
          </w:tcPr>
          <w:p>
            <w:pPr>
              <w:ind w:left="580"/>
              <w:spacing w:after="0"/>
              <w:rPr>
                <w:sz w:val="20"/>
                <w:szCs w:val="20"/>
                <w:color w:val="auto"/>
              </w:rPr>
            </w:pPr>
            <w:r>
              <w:rPr>
                <w:rFonts w:ascii="Arial" w:cs="Arial" w:eastAsia="Arial" w:hAnsi="Arial"/>
                <w:sz w:val="18"/>
                <w:szCs w:val="18"/>
                <w:color w:val="auto"/>
              </w:rPr>
              <w:t>12.2</w:t>
            </w:r>
          </w:p>
        </w:tc>
        <w:tc>
          <w:tcPr>
            <w:tcW w:w="8380" w:type="dxa"/>
            <w:vAlign w:val="bottom"/>
          </w:tcPr>
          <w:p>
            <w:pPr>
              <w:ind w:left="120"/>
              <w:spacing w:after="0"/>
              <w:rPr>
                <w:sz w:val="20"/>
                <w:szCs w:val="20"/>
                <w:color w:val="auto"/>
              </w:rPr>
            </w:pPr>
            <w:r>
              <w:rPr>
                <w:rFonts w:ascii="Arial" w:cs="Arial" w:eastAsia="Arial" w:hAnsi="Arial"/>
                <w:sz w:val="18"/>
                <w:szCs w:val="18"/>
                <w:color w:val="auto"/>
              </w:rPr>
              <w:t>Termination</w:t>
            </w:r>
          </w:p>
        </w:tc>
        <w:tc>
          <w:tcPr>
            <w:tcW w:w="18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12.3</w:t>
            </w:r>
          </w:p>
        </w:tc>
        <w:tc>
          <w:tcPr>
            <w:tcW w:w="8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Defined Terms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020" w:type="dxa"/>
            <w:vAlign w:val="bottom"/>
          </w:tcPr>
          <w:p>
            <w:pPr>
              <w:ind w:left="580"/>
              <w:spacing w:after="0"/>
              <w:rPr>
                <w:sz w:val="20"/>
                <w:szCs w:val="20"/>
                <w:color w:val="auto"/>
              </w:rPr>
            </w:pPr>
            <w:r>
              <w:rPr>
                <w:rFonts w:ascii="Arial" w:cs="Arial" w:eastAsia="Arial" w:hAnsi="Arial"/>
                <w:sz w:val="18"/>
                <w:szCs w:val="18"/>
                <w:color w:val="auto"/>
              </w:rPr>
              <w:t>12.4</w:t>
            </w:r>
          </w:p>
        </w:tc>
        <w:tc>
          <w:tcPr>
            <w:tcW w:w="8380" w:type="dxa"/>
            <w:vAlign w:val="bottom"/>
          </w:tcPr>
          <w:p>
            <w:pPr>
              <w:ind w:left="120"/>
              <w:spacing w:after="0"/>
              <w:rPr>
                <w:sz w:val="20"/>
                <w:szCs w:val="20"/>
                <w:color w:val="auto"/>
              </w:rPr>
            </w:pPr>
            <w:r>
              <w:rPr>
                <w:rFonts w:ascii="Arial" w:cs="Arial" w:eastAsia="Arial" w:hAnsi="Arial"/>
                <w:sz w:val="18"/>
                <w:szCs w:val="18"/>
                <w:color w:val="auto"/>
              </w:rPr>
              <w:t>Other Agreements</w:t>
            </w:r>
          </w:p>
        </w:tc>
        <w:tc>
          <w:tcPr>
            <w:tcW w:w="18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ANNEX I DEFINED TERMS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9400" w:type="dxa"/>
            <w:vAlign w:val="bottom"/>
            <w:gridSpan w:val="2"/>
          </w:tcPr>
          <w:p>
            <w:pPr>
              <w:spacing w:after="0"/>
              <w:rPr>
                <w:sz w:val="20"/>
                <w:szCs w:val="20"/>
                <w:color w:val="auto"/>
              </w:rPr>
            </w:pPr>
            <w:r>
              <w:rPr>
                <w:rFonts w:ascii="Arial" w:cs="Arial" w:eastAsia="Arial" w:hAnsi="Arial"/>
                <w:sz w:val="18"/>
                <w:szCs w:val="18"/>
                <w:color w:val="auto"/>
              </w:rPr>
              <w:t>COUNTRY SCHEDULE - AUSTRALIA</w:t>
            </w:r>
          </w:p>
        </w:tc>
        <w:tc>
          <w:tcPr>
            <w:tcW w:w="18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COUNTRY SCHEDULE - FRANCE</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9400" w:type="dxa"/>
            <w:vAlign w:val="bottom"/>
            <w:gridSpan w:val="2"/>
          </w:tcPr>
          <w:p>
            <w:pPr>
              <w:spacing w:after="0"/>
              <w:rPr>
                <w:sz w:val="20"/>
                <w:szCs w:val="20"/>
                <w:color w:val="auto"/>
              </w:rPr>
            </w:pPr>
            <w:r>
              <w:rPr>
                <w:rFonts w:ascii="Arial" w:cs="Arial" w:eastAsia="Arial" w:hAnsi="Arial"/>
                <w:sz w:val="18"/>
                <w:szCs w:val="18"/>
                <w:color w:val="auto"/>
              </w:rPr>
              <w:t>COUNTRY SCHEDULE - UNITED STATES</w:t>
            </w:r>
          </w:p>
        </w:tc>
        <w:tc>
          <w:tcPr>
            <w:tcW w:w="1840" w:type="dxa"/>
            <w:vAlign w:val="bottom"/>
          </w:tcPr>
          <w:p>
            <w:pPr>
              <w:jc w:val="right"/>
              <w:spacing w:after="0"/>
              <w:rPr>
                <w:sz w:val="20"/>
                <w:szCs w:val="20"/>
                <w:color w:val="auto"/>
              </w:rPr>
            </w:pPr>
            <w:r>
              <w:rPr>
                <w:rFonts w:ascii="Arial" w:cs="Arial" w:eastAsia="Arial" w:hAnsi="Arial"/>
                <w:sz w:val="18"/>
                <w:szCs w:val="18"/>
                <w:color w:val="auto"/>
              </w:rPr>
              <w:t>32</w:t>
            </w:r>
          </w:p>
        </w:tc>
      </w:tr>
    </w:tbl>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22"/>
          <w:szCs w:val="22"/>
          <w:color w:val="auto"/>
        </w:rPr>
        <w:t>EMPLOYEE MATTERS AGREEMENT</w:t>
      </w:r>
    </w:p>
    <w:p>
      <w:pPr>
        <w:spacing w:after="0" w:line="234" w:lineRule="exact"/>
        <w:rPr>
          <w:sz w:val="20"/>
          <w:szCs w:val="20"/>
          <w:color w:val="auto"/>
        </w:rPr>
      </w:pPr>
    </w:p>
    <w:p>
      <w:pPr>
        <w:ind w:right="220" w:firstLine="648"/>
        <w:spacing w:after="0" w:line="236" w:lineRule="auto"/>
        <w:rPr>
          <w:sz w:val="20"/>
          <w:szCs w:val="20"/>
          <w:color w:val="auto"/>
        </w:rPr>
      </w:pPr>
      <w:r>
        <w:rPr>
          <w:rFonts w:ascii="Arial" w:cs="Arial" w:eastAsia="Arial" w:hAnsi="Arial"/>
          <w:sz w:val="22"/>
          <w:szCs w:val="22"/>
          <w:color w:val="auto"/>
        </w:rPr>
        <w:t>This EMPLOYEE MATTERS AGREEMENT (this “</w:t>
      </w:r>
      <w:r>
        <w:rPr>
          <w:rFonts w:ascii="Arial" w:cs="Arial" w:eastAsia="Arial" w:hAnsi="Arial"/>
          <w:sz w:val="22"/>
          <w:szCs w:val="22"/>
          <w:u w:val="single" w:color="auto"/>
          <w:color w:val="auto"/>
        </w:rPr>
        <w:t>Employee Matters Agreement</w:t>
      </w:r>
      <w:r>
        <w:rPr>
          <w:rFonts w:ascii="Arial" w:cs="Arial" w:eastAsia="Arial" w:hAnsi="Arial"/>
          <w:sz w:val="22"/>
          <w:szCs w:val="22"/>
          <w:color w:val="auto"/>
        </w:rPr>
        <w:t>”) is entered into effective as of February 15, 2021, by and between TechnipFMC plc, a public limited company formed under the laws of England and Wales (“</w:t>
      </w:r>
      <w:r>
        <w:rPr>
          <w:rFonts w:ascii="Arial" w:cs="Arial" w:eastAsia="Arial" w:hAnsi="Arial"/>
          <w:sz w:val="22"/>
          <w:szCs w:val="22"/>
          <w:u w:val="single" w:color="auto"/>
          <w:color w:val="auto"/>
        </w:rPr>
        <w:t>TFMC</w:t>
      </w:r>
      <w:r>
        <w:rPr>
          <w:rFonts w:ascii="Arial" w:cs="Arial" w:eastAsia="Arial" w:hAnsi="Arial"/>
          <w:sz w:val="22"/>
          <w:szCs w:val="22"/>
          <w:color w:val="auto"/>
        </w:rPr>
        <w:t>”), and Technip Energies N.V., a public limited liability company incorporated under the laws of the Netherlands and a wholly owned subsidiary of TFMC (“</w:t>
      </w:r>
      <w:r>
        <w:rPr>
          <w:rFonts w:ascii="Arial" w:cs="Arial" w:eastAsia="Arial" w:hAnsi="Arial"/>
          <w:sz w:val="22"/>
          <w:szCs w:val="22"/>
          <w:u w:val="single" w:color="auto"/>
          <w:color w:val="auto"/>
        </w:rPr>
        <w:t>TEN</w:t>
      </w:r>
      <w:r>
        <w:rPr>
          <w:rFonts w:ascii="Arial" w:cs="Arial" w:eastAsia="Arial" w:hAnsi="Arial"/>
          <w:sz w:val="22"/>
          <w:szCs w:val="22"/>
          <w:color w:val="auto"/>
        </w:rPr>
        <w:t>”). TFMC and TEN are each a “</w:t>
      </w:r>
      <w:r>
        <w:rPr>
          <w:rFonts w:ascii="Arial" w:cs="Arial" w:eastAsia="Arial" w:hAnsi="Arial"/>
          <w:sz w:val="22"/>
          <w:szCs w:val="22"/>
          <w:u w:val="single" w:color="auto"/>
          <w:color w:val="auto"/>
        </w:rPr>
        <w:t>Party</w:t>
      </w:r>
      <w:r>
        <w:rPr>
          <w:rFonts w:ascii="Arial" w:cs="Arial" w:eastAsia="Arial" w:hAnsi="Arial"/>
          <w:sz w:val="22"/>
          <w:szCs w:val="22"/>
          <w:color w:val="auto"/>
        </w:rPr>
        <w:t>” and are sometimes referred to herein collectively as the “</w:t>
      </w:r>
      <w:r>
        <w:rPr>
          <w:rFonts w:ascii="Arial" w:cs="Arial" w:eastAsia="Arial" w:hAnsi="Arial"/>
          <w:sz w:val="22"/>
          <w:szCs w:val="22"/>
          <w:u w:val="single" w:color="auto"/>
          <w:color w:val="auto"/>
        </w:rPr>
        <w:t>Parties</w:t>
      </w:r>
      <w:r>
        <w:rPr>
          <w:rFonts w:ascii="Arial" w:cs="Arial" w:eastAsia="Arial" w:hAnsi="Arial"/>
          <w:sz w:val="22"/>
          <w:szCs w:val="22"/>
          <w:color w:val="auto"/>
        </w:rPr>
        <w: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RECITALS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TFMC, acting together with its Subsidiaries, currently conducts the TFMC Business and the TEN Business;</w:t>
      </w:r>
    </w:p>
    <w:p>
      <w:pPr>
        <w:spacing w:after="0" w:line="268"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WHEREAS, TFMC and TEN have entered into that certain Separation and Distribution Agreement, dated as of January 7, 2021 (the “</w:t>
      </w:r>
      <w:r>
        <w:rPr>
          <w:rFonts w:ascii="Arial" w:cs="Arial" w:eastAsia="Arial" w:hAnsi="Arial"/>
          <w:sz w:val="22"/>
          <w:szCs w:val="22"/>
          <w:u w:val="single" w:color="auto"/>
          <w:color w:val="auto"/>
        </w:rPr>
        <w:t>Separation Agreement</w:t>
      </w:r>
      <w:r>
        <w:rPr>
          <w:rFonts w:ascii="Arial" w:cs="Arial" w:eastAsia="Arial" w:hAnsi="Arial"/>
          <w:sz w:val="22"/>
          <w:szCs w:val="22"/>
          <w:color w:val="auto"/>
        </w:rPr>
        <w:t>”) pursuant to which the Separation will be consummated;</w:t>
      </w:r>
    </w:p>
    <w:p>
      <w:pPr>
        <w:spacing w:after="0" w:line="202" w:lineRule="exact"/>
        <w:rPr>
          <w:sz w:val="20"/>
          <w:szCs w:val="20"/>
          <w:color w:val="auto"/>
        </w:rPr>
      </w:pPr>
    </w:p>
    <w:p>
      <w:pPr>
        <w:ind w:right="40" w:firstLine="648"/>
        <w:spacing w:after="0" w:line="248" w:lineRule="auto"/>
        <w:rPr>
          <w:sz w:val="20"/>
          <w:szCs w:val="20"/>
          <w:color w:val="auto"/>
        </w:rPr>
      </w:pPr>
      <w:r>
        <w:rPr>
          <w:rFonts w:ascii="Arial" w:cs="Arial" w:eastAsia="Arial" w:hAnsi="Arial"/>
          <w:sz w:val="21"/>
          <w:szCs w:val="21"/>
          <w:color w:val="auto"/>
        </w:rPr>
        <w:t>WHEREAS, TFMC and TEN have agreed that, except as otherwise specifically provided herein, the general approach and philosophy underlying this Employee Matters Agreement is to (a) allocate Assets, Liabilities and responsibilities to the TFMC Group (as opposed to the TEN Group) to the extent they relate to current or former employees and other service providers primarily related to the TFMC Assets or the TFMC Business and (b) allocate Assets, Liabilities and responsibilities to the TEN Group (as opposed to the TFMC Group) to the extent they relate to current or former employees and other service providers primarily related to the TEN Assets or the TEN Business; and</w:t>
      </w:r>
    </w:p>
    <w:p>
      <w:pPr>
        <w:spacing w:after="0" w:line="204" w:lineRule="exact"/>
        <w:rPr>
          <w:sz w:val="20"/>
          <w:szCs w:val="20"/>
          <w:color w:val="auto"/>
        </w:rPr>
      </w:pPr>
    </w:p>
    <w:p>
      <w:pPr>
        <w:ind w:right="120" w:firstLine="648"/>
        <w:spacing w:after="0" w:line="297" w:lineRule="auto"/>
        <w:rPr>
          <w:sz w:val="20"/>
          <w:szCs w:val="20"/>
          <w:color w:val="auto"/>
        </w:rPr>
      </w:pPr>
      <w:r>
        <w:rPr>
          <w:rFonts w:ascii="Arial" w:cs="Arial" w:eastAsia="Arial" w:hAnsi="Arial"/>
          <w:sz w:val="19"/>
          <w:szCs w:val="19"/>
          <w:color w:val="auto"/>
        </w:rPr>
        <w:t>WHEREAS, TFMC and TEN desire to set forth their agreement on the rights and obligations of TFMC and TEN and the members of the TFMC Group and the TEN Group, respectively, with respect to the treatment of, and the compensation and employee benefits provided to, current and former employees of TFMC and TEN and their Subsidiaries.</w:t>
      </w:r>
    </w:p>
    <w:p>
      <w:pPr>
        <w:spacing w:after="0" w:line="161"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NOW, THEREFORE, in consideration of the foregoing and the mutual agreements, provisions and covenants contained in this Employee Matters Agreement, the Parties hereby agree as follows: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GENERAL PRINCIPLES; LITIGATION</w:t>
      </w:r>
    </w:p>
    <w:p>
      <w:pPr>
        <w:spacing w:after="0" w:line="215" w:lineRule="exact"/>
        <w:rPr>
          <w:sz w:val="20"/>
          <w:szCs w:val="20"/>
          <w:color w:val="auto"/>
        </w:rPr>
      </w:pPr>
    </w:p>
    <w:p>
      <w:pPr>
        <w:ind w:right="60" w:firstLine="648"/>
        <w:spacing w:after="0" w:line="234"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TFMC Group Employee Liabilities</w:t>
      </w:r>
      <w:r>
        <w:rPr>
          <w:rFonts w:ascii="Arial" w:cs="Arial" w:eastAsia="Arial" w:hAnsi="Arial"/>
          <w:sz w:val="22"/>
          <w:szCs w:val="22"/>
          <w:color w:val="auto"/>
        </w:rPr>
        <w:t>. Except as specifically provided in this Employee Matters Agreement, a Country Schedule, or required by applicable local Law, the TFMC Group will be solely responsible for (i) all employment, compensation and employee benefits Liabilities relating to TFMC Employees and Former TFMC Employees, (ii) all Liabilities relating to or arising under each TFMC Benefit Plan, and (iii) any other Liabilities expressly assigned or allocated to a TFMC Group member under this Employee Matters Agreement, whether arising before, on or after the Distribution Date, whether based on facts occurring before, on or after the Distribution Date and irrespective of which Person such Liabilities are asserted against or which Person such Liabilities attached to as a matter of applicable Law or contract (collectively, “</w:t>
      </w:r>
      <w:r>
        <w:rPr>
          <w:rFonts w:ascii="Arial" w:cs="Arial" w:eastAsia="Arial" w:hAnsi="Arial"/>
          <w:sz w:val="22"/>
          <w:szCs w:val="22"/>
          <w:u w:val="single" w:color="auto"/>
          <w:color w:val="auto"/>
        </w:rPr>
        <w:t>TFMC Employee</w:t>
      </w:r>
      <w:r>
        <w:rPr>
          <w:rFonts w:ascii="Arial" w:cs="Arial" w:eastAsia="Arial" w:hAnsi="Arial"/>
          <w:sz w:val="22"/>
          <w:szCs w:val="22"/>
          <w:color w:val="auto"/>
        </w:rPr>
        <w:t xml:space="preserve"> </w:t>
      </w:r>
      <w:r>
        <w:rPr>
          <w:rFonts w:ascii="Arial" w:cs="Arial" w:eastAsia="Arial" w:hAnsi="Arial"/>
          <w:sz w:val="22"/>
          <w:szCs w:val="22"/>
          <w:u w:val="single" w:color="auto"/>
          <w:color w:val="auto"/>
        </w:rPr>
        <w:t>Liabilities</w:t>
      </w:r>
      <w:r>
        <w:rPr>
          <w:rFonts w:ascii="Arial" w:cs="Arial" w:eastAsia="Arial" w:hAnsi="Arial"/>
          <w:sz w:val="22"/>
          <w:szCs w:val="22"/>
          <w:color w:val="auto"/>
        </w:rPr>
        <w: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5" w:name="page86"/>
    <w:bookmarkEnd w:id="85"/>
    <w:p>
      <w:pPr>
        <w:ind w:right="80" w:firstLine="648"/>
        <w:spacing w:after="0" w:line="277"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TEN Group Employee Liabilities</w:t>
      </w:r>
      <w:r>
        <w:rPr>
          <w:rFonts w:ascii="Arial" w:cs="Arial" w:eastAsia="Arial" w:hAnsi="Arial"/>
          <w:sz w:val="19"/>
          <w:szCs w:val="19"/>
          <w:color w:val="auto"/>
        </w:rPr>
        <w:t>. Except as specifically provided in this Employee Matters Agreement, a Country Schedule, or required by applicable local Law, the TEN Group will be solely responsible for (i) all employment, compensation and employee benefits Liabilities relating to TEN Employees and Former TEN Employees, (ii) all Liabilities relating to or arising under each TEN Benefit Plan, and (iii) any other Liabilities expressly assigned or allocated to a TEN Group member under this Employee Matters Agreement, whether arising before, on or after the Distribution Date, whether based on facts occurring before, on or after the Distribution Date and irrespective of which Person such Liabilities are asserted against or which Person such Liabilities attached to as a matter of applicable Law or contract (collectively, “</w:t>
      </w:r>
      <w:r>
        <w:rPr>
          <w:rFonts w:ascii="Arial" w:cs="Arial" w:eastAsia="Arial" w:hAnsi="Arial"/>
          <w:sz w:val="19"/>
          <w:szCs w:val="19"/>
          <w:u w:val="single" w:color="auto"/>
          <w:color w:val="auto"/>
        </w:rPr>
        <w:t>TEN Employee Liabilities</w:t>
      </w:r>
      <w:r>
        <w:rPr>
          <w:rFonts w:ascii="Arial" w:cs="Arial" w:eastAsia="Arial" w:hAnsi="Arial"/>
          <w:sz w:val="19"/>
          <w:szCs w:val="19"/>
          <w:color w:val="auto"/>
        </w:rPr>
        <w:t>”).</w:t>
      </w:r>
    </w:p>
    <w:p>
      <w:pPr>
        <w:spacing w:after="0" w:line="179" w:lineRule="exact"/>
        <w:rPr>
          <w:sz w:val="20"/>
          <w:szCs w:val="20"/>
          <w:color w:val="auto"/>
        </w:rPr>
      </w:pPr>
    </w:p>
    <w:p>
      <w:pPr>
        <w:jc w:val="both"/>
        <w:ind w:right="560" w:firstLine="648"/>
        <w:spacing w:after="0" w:line="328" w:lineRule="auto"/>
        <w:rPr>
          <w:sz w:val="20"/>
          <w:szCs w:val="20"/>
          <w:color w:val="auto"/>
        </w:rPr>
      </w:pPr>
      <w:r>
        <w:rPr>
          <w:rFonts w:ascii="Arial" w:cs="Arial" w:eastAsia="Arial" w:hAnsi="Arial"/>
          <w:sz w:val="19"/>
          <w:szCs w:val="19"/>
          <w:color w:val="auto"/>
        </w:rPr>
        <w:t xml:space="preserve">1.3 </w:t>
      </w:r>
      <w:r>
        <w:rPr>
          <w:rFonts w:ascii="Arial" w:cs="Arial" w:eastAsia="Arial" w:hAnsi="Arial"/>
          <w:sz w:val="19"/>
          <w:szCs w:val="19"/>
          <w:u w:val="single" w:color="auto"/>
          <w:color w:val="auto"/>
        </w:rPr>
        <w:t>TFMC Benefit Plans/TEN Benefit Plans</w:t>
      </w:r>
      <w:r>
        <w:rPr>
          <w:rFonts w:ascii="Arial" w:cs="Arial" w:eastAsia="Arial" w:hAnsi="Arial"/>
          <w:sz w:val="19"/>
          <w:szCs w:val="19"/>
          <w:color w:val="auto"/>
        </w:rPr>
        <w:t>. Unless otherwise specifically provided in this Employee Matters Agreement or on a Country Schedule, required by applicable local Law, or provided in the Transition Services Agreement:</w:t>
      </w:r>
    </w:p>
    <w:p>
      <w:pPr>
        <w:spacing w:after="0" w:line="132" w:lineRule="exact"/>
        <w:rPr>
          <w:sz w:val="20"/>
          <w:szCs w:val="20"/>
          <w:color w:val="auto"/>
        </w:rPr>
      </w:pPr>
    </w:p>
    <w:p>
      <w:pPr>
        <w:ind w:firstLine="656"/>
        <w:spacing w:after="0" w:line="236" w:lineRule="auto"/>
        <w:tabs>
          <w:tab w:leader="none" w:pos="1428" w:val="left"/>
        </w:tabs>
        <w:numPr>
          <w:ilvl w:val="0"/>
          <w:numId w:val="34"/>
        </w:numPr>
        <w:rPr>
          <w:rFonts w:ascii="Arial" w:cs="Arial" w:eastAsia="Arial" w:hAnsi="Arial"/>
          <w:sz w:val="22"/>
          <w:szCs w:val="22"/>
          <w:color w:val="auto"/>
        </w:rPr>
      </w:pPr>
      <w:r>
        <w:rPr>
          <w:rFonts w:ascii="Arial" w:cs="Arial" w:eastAsia="Arial" w:hAnsi="Arial"/>
          <w:sz w:val="22"/>
          <w:szCs w:val="22"/>
          <w:color w:val="auto"/>
        </w:rPr>
        <w:t>Effective as of the applicable Plan Split Date, the TFMC Group will be exclusively responsible for administering each TFMC Benefit Plan (including any Split TFMC Retirement Plan, Split TFMC Welfare Plan, TFMC Spinoff Retirement Plan and TFMC Spinoff Welfare Plan) in accordance with its terms and for all obligations and Liabilities with respect to the TFMC Benefit Plans and all benefits owed to participants in the TFMC Benefit Plans, whether arising before, on or after the Distribution Date.</w:t>
      </w:r>
    </w:p>
    <w:p>
      <w:pPr>
        <w:spacing w:after="0" w:line="214" w:lineRule="exact"/>
        <w:rPr>
          <w:rFonts w:ascii="Arial" w:cs="Arial" w:eastAsia="Arial" w:hAnsi="Arial"/>
          <w:sz w:val="22"/>
          <w:szCs w:val="22"/>
          <w:color w:val="auto"/>
        </w:rPr>
      </w:pPr>
    </w:p>
    <w:p>
      <w:pPr>
        <w:ind w:right="220" w:firstLine="656"/>
        <w:spacing w:after="0" w:line="287" w:lineRule="auto"/>
        <w:tabs>
          <w:tab w:leader="none" w:pos="1440" w:val="left"/>
        </w:tabs>
        <w:numPr>
          <w:ilvl w:val="0"/>
          <w:numId w:val="34"/>
        </w:numPr>
        <w:rPr>
          <w:rFonts w:ascii="Arial" w:cs="Arial" w:eastAsia="Arial" w:hAnsi="Arial"/>
          <w:sz w:val="19"/>
          <w:szCs w:val="19"/>
          <w:color w:val="auto"/>
        </w:rPr>
      </w:pPr>
      <w:r>
        <w:rPr>
          <w:rFonts w:ascii="Arial" w:cs="Arial" w:eastAsia="Arial" w:hAnsi="Arial"/>
          <w:sz w:val="19"/>
          <w:szCs w:val="19"/>
          <w:color w:val="auto"/>
        </w:rPr>
        <w:t>Effective as of the applicable Plan Split Date the TEN Group will be exclusively responsible for administering each TEN Benefit Plan (including any Split TEN Retirement Plan, Split TEN Welfare Plan, TEN Spinoff Retirement Plan and TEN Spinoff Welfare Plan) in accordance with its terms and for all obligations and Liabilities with respect to the TEN Benefit Plans and all benefits owed to participants in the TEN Benefit Plans, whether arising before, on or after the Distribution Date.</w:t>
      </w:r>
    </w:p>
    <w:p>
      <w:pPr>
        <w:spacing w:after="0" w:line="170"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u w:val="single" w:color="auto"/>
          <w:color w:val="auto"/>
        </w:rPr>
        <w:t>Employee-Related Litigation</w:t>
      </w:r>
      <w:r>
        <w:rPr>
          <w:rFonts w:ascii="Arial" w:cs="Arial" w:eastAsia="Arial" w:hAnsi="Arial"/>
          <w:sz w:val="19"/>
          <w:szCs w:val="19"/>
          <w:color w:val="auto"/>
        </w:rPr>
        <w:t>. Effective as of the Distribution Date, Liabilities with respect to any Pre-</w:t>
      </w:r>
    </w:p>
    <w:p>
      <w:pPr>
        <w:spacing w:after="0" w:line="8" w:lineRule="exact"/>
        <w:rPr>
          <w:sz w:val="20"/>
          <w:szCs w:val="20"/>
          <w:color w:val="auto"/>
        </w:rPr>
      </w:pPr>
    </w:p>
    <w:p>
      <w:pPr>
        <w:ind w:right="20"/>
        <w:spacing w:after="0" w:line="232" w:lineRule="auto"/>
        <w:rPr>
          <w:sz w:val="20"/>
          <w:szCs w:val="20"/>
          <w:color w:val="auto"/>
        </w:rPr>
      </w:pPr>
      <w:r>
        <w:rPr>
          <w:rFonts w:ascii="Arial" w:cs="Arial" w:eastAsia="Arial" w:hAnsi="Arial"/>
          <w:sz w:val="22"/>
          <w:szCs w:val="22"/>
          <w:color w:val="auto"/>
        </w:rPr>
        <w:t xml:space="preserve">Distribution Action: (i) will be a TEN Employee Liability if it relates to TEN Employees, Former TEN Employees and/or TEN Benefit Plans, including all matters included as a TEN Action on </w:t>
      </w:r>
      <w:r>
        <w:rPr>
          <w:rFonts w:ascii="Arial" w:cs="Arial" w:eastAsia="Arial" w:hAnsi="Arial"/>
          <w:sz w:val="22"/>
          <w:szCs w:val="22"/>
          <w:u w:val="single" w:color="auto"/>
          <w:color w:val="auto"/>
        </w:rPr>
        <w:t>Schedule I.B</w:t>
      </w:r>
      <w:r>
        <w:rPr>
          <w:rFonts w:ascii="Arial" w:cs="Arial" w:eastAsia="Arial" w:hAnsi="Arial"/>
          <w:sz w:val="22"/>
          <w:szCs w:val="22"/>
          <w:color w:val="auto"/>
        </w:rPr>
        <w:t xml:space="preserve"> to the Separation Agreement; (ii) will be a TFMC Employee Liability if it relates to TFMC Employees, Former TFMC Employees and/or TFMC Benefit Plans, including all matters listed as TFMC Actions on </w:t>
      </w:r>
      <w:r>
        <w:rPr>
          <w:rFonts w:ascii="Arial" w:cs="Arial" w:eastAsia="Arial" w:hAnsi="Arial"/>
          <w:sz w:val="22"/>
          <w:szCs w:val="22"/>
          <w:u w:val="single" w:color="auto"/>
          <w:color w:val="auto"/>
        </w:rPr>
        <w:t>Schedule I.H</w:t>
      </w:r>
      <w:r>
        <w:rPr>
          <w:rFonts w:ascii="Arial" w:cs="Arial" w:eastAsia="Arial" w:hAnsi="Arial"/>
          <w:sz w:val="22"/>
          <w:szCs w:val="22"/>
          <w:color w:val="auto"/>
        </w:rPr>
        <w:t xml:space="preserve"> of the Separation Agreement; and (iii) will be a shared Liability between TFMC and TEN to the extent it cannot be readily attributed to TFMC Employees, Former TFMC Employees or TFMC Benefit Plans on the one hand, or TEN Employees, Former TEN Employees or TEN Benefit Plans, on the other hand, as described in clauses (i) and (ii).</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6" w:name="page87"/>
    <w:bookmarkEnd w:id="86"/>
    <w:p>
      <w:pPr>
        <w:jc w:val="center"/>
        <w:spacing w:after="0"/>
        <w:rPr>
          <w:sz w:val="20"/>
          <w:szCs w:val="20"/>
          <w:color w:val="auto"/>
        </w:rPr>
      </w:pPr>
      <w:r>
        <w:rPr>
          <w:rFonts w:ascii="Arial" w:cs="Arial" w:eastAsia="Arial" w:hAnsi="Arial"/>
          <w:sz w:val="22"/>
          <w:szCs w:val="22"/>
          <w:color w:val="auto"/>
        </w:rPr>
        <w:t>ARTICLE 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EMPLOYEES AND EMPLOYEE TRANSFERS</w:t>
      </w:r>
    </w:p>
    <w:p>
      <w:pPr>
        <w:spacing w:after="0" w:line="215" w:lineRule="exact"/>
        <w:rPr>
          <w:sz w:val="20"/>
          <w:szCs w:val="20"/>
          <w:color w:val="auto"/>
        </w:rPr>
      </w:pPr>
    </w:p>
    <w:p>
      <w:pPr>
        <w:ind w:left="640"/>
        <w:spacing w:after="0"/>
        <w:tabs>
          <w:tab w:leader="none" w:pos="142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u w:val="single" w:color="auto"/>
          <w:color w:val="auto"/>
        </w:rPr>
        <w:t>Assignment and Transfer of Employees</w:t>
      </w:r>
      <w:r>
        <w:rPr>
          <w:rFonts w:ascii="Arial" w:cs="Arial" w:eastAsia="Arial" w:hAnsi="Arial"/>
          <w:sz w:val="19"/>
          <w:szCs w:val="19"/>
          <w:color w:val="auto"/>
        </w:rPr>
        <w:t>.</w:t>
      </w:r>
    </w:p>
    <w:p>
      <w:pPr>
        <w:spacing w:after="0" w:line="233" w:lineRule="exact"/>
        <w:rPr>
          <w:sz w:val="20"/>
          <w:szCs w:val="20"/>
          <w:color w:val="auto"/>
        </w:rPr>
      </w:pPr>
    </w:p>
    <w:p>
      <w:pPr>
        <w:ind w:left="-20" w:firstLine="656"/>
        <w:spacing w:after="0" w:line="248" w:lineRule="auto"/>
        <w:tabs>
          <w:tab w:leader="none" w:pos="1408" w:val="left"/>
        </w:tabs>
        <w:numPr>
          <w:ilvl w:val="0"/>
          <w:numId w:val="35"/>
        </w:numPr>
        <w:rPr>
          <w:rFonts w:ascii="Arial" w:cs="Arial" w:eastAsia="Arial" w:hAnsi="Arial"/>
          <w:sz w:val="21"/>
          <w:szCs w:val="21"/>
          <w:color w:val="auto"/>
        </w:rPr>
      </w:pPr>
      <w:r>
        <w:rPr>
          <w:rFonts w:ascii="Arial" w:cs="Arial" w:eastAsia="Arial" w:hAnsi="Arial"/>
          <w:sz w:val="21"/>
          <w:szCs w:val="21"/>
          <w:color w:val="auto"/>
        </w:rPr>
        <w:t>Effective as of no later than the Distribution Date, and except as otherwise agreed by the Parties, the applicable members of the TFMC Group and the TEN Group shall have taken such actions as are necessary to ensure that (i) each individual who the parties have agreed will be treated as a TEN Employee is employed by a TEN Entity as of such date and (ii) each individual who the parties have agreed will be treated as a TFMC Employee is employed by a TFMC Entity as of such date. The Parties agree to execute, and to seek to have the applicable employees execute, such documentation, if any, as may be necessary to reflect such assignment or transfer.</w:t>
      </w:r>
    </w:p>
    <w:p>
      <w:pPr>
        <w:spacing w:after="0" w:line="203" w:lineRule="exact"/>
        <w:rPr>
          <w:rFonts w:ascii="Arial" w:cs="Arial" w:eastAsia="Arial" w:hAnsi="Arial"/>
          <w:sz w:val="21"/>
          <w:szCs w:val="21"/>
          <w:color w:val="auto"/>
        </w:rPr>
      </w:pPr>
    </w:p>
    <w:p>
      <w:pPr>
        <w:ind w:left="-20" w:firstLine="656"/>
        <w:spacing w:after="0" w:line="249" w:lineRule="auto"/>
        <w:tabs>
          <w:tab w:leader="none" w:pos="1420" w:val="left"/>
        </w:tabs>
        <w:numPr>
          <w:ilvl w:val="0"/>
          <w:numId w:val="35"/>
        </w:numPr>
        <w:rPr>
          <w:rFonts w:ascii="Arial" w:cs="Arial" w:eastAsia="Arial" w:hAnsi="Arial"/>
          <w:sz w:val="21"/>
          <w:szCs w:val="21"/>
          <w:color w:val="auto"/>
        </w:rPr>
      </w:pPr>
      <w:r>
        <w:rPr>
          <w:rFonts w:ascii="Arial" w:cs="Arial" w:eastAsia="Arial" w:hAnsi="Arial"/>
          <w:sz w:val="21"/>
          <w:szCs w:val="21"/>
          <w:color w:val="auto"/>
        </w:rPr>
        <w:t>All transfers of employment will be accomplished in accordance with applicable Laws, and each Party will use commercially reasonable efforts to (i) transfer employees upon the same terms and conditions as such employee enjoyed immediately prior to such transfer or upon the same terms and conditions as other similarly situated employees of the employing entity into which such employee is transferred, and (ii) effectuate such transfers in a manner that does not result in the payment of severance, end of service gratuities or similar amounts, unless otherwise required by Law.</w:t>
      </w:r>
    </w:p>
    <w:p>
      <w:pPr>
        <w:spacing w:after="0" w:line="205" w:lineRule="exact"/>
        <w:rPr>
          <w:rFonts w:ascii="Arial" w:cs="Arial" w:eastAsia="Arial" w:hAnsi="Arial"/>
          <w:sz w:val="21"/>
          <w:szCs w:val="21"/>
          <w:color w:val="auto"/>
        </w:rPr>
      </w:pPr>
    </w:p>
    <w:p>
      <w:pPr>
        <w:ind w:left="-20" w:firstLine="656"/>
        <w:spacing w:after="0" w:line="282" w:lineRule="auto"/>
        <w:tabs>
          <w:tab w:leader="none" w:pos="1462" w:val="left"/>
        </w:tabs>
        <w:numPr>
          <w:ilvl w:val="0"/>
          <w:numId w:val="35"/>
        </w:numPr>
        <w:rPr>
          <w:rFonts w:ascii="Arial" w:cs="Arial" w:eastAsia="Arial" w:hAnsi="Arial"/>
          <w:sz w:val="19"/>
          <w:szCs w:val="19"/>
          <w:color w:val="auto"/>
        </w:rPr>
      </w:pPr>
      <w:r>
        <w:rPr>
          <w:rFonts w:ascii="Arial" w:cs="Arial" w:eastAsia="Arial" w:hAnsi="Arial"/>
          <w:sz w:val="19"/>
          <w:szCs w:val="19"/>
          <w:color w:val="auto"/>
        </w:rPr>
        <w:t>To the extent that (i) the applicable Law of any jurisdiction, (ii) any applicable Collective Bargaining Agreement or other applicable agreement with a works council or economic committee, or (iii) any applicable employment agreement would require either Party to provide terms of employment to any transferred Employee that are more favorable than those otherwise provided for in this Employee Matters Agreement in connection with the Distribution, then such Party will or will cause a member of its Group to provide such Employee with such more favorable terms.</w:t>
      </w:r>
    </w:p>
    <w:p>
      <w:pPr>
        <w:spacing w:after="0" w:line="174" w:lineRule="exact"/>
        <w:rPr>
          <w:rFonts w:ascii="Arial" w:cs="Arial" w:eastAsia="Arial" w:hAnsi="Arial"/>
          <w:sz w:val="19"/>
          <w:szCs w:val="19"/>
          <w:color w:val="auto"/>
        </w:rPr>
      </w:pPr>
    </w:p>
    <w:p>
      <w:pPr>
        <w:ind w:left="-20" w:right="20" w:firstLine="656"/>
        <w:spacing w:after="0" w:line="277" w:lineRule="auto"/>
        <w:tabs>
          <w:tab w:leader="none" w:pos="1420" w:val="left"/>
        </w:tabs>
        <w:numPr>
          <w:ilvl w:val="0"/>
          <w:numId w:val="35"/>
        </w:numPr>
        <w:rPr>
          <w:rFonts w:ascii="Arial" w:cs="Arial" w:eastAsia="Arial" w:hAnsi="Arial"/>
          <w:sz w:val="19"/>
          <w:szCs w:val="19"/>
          <w:color w:val="auto"/>
        </w:rPr>
      </w:pPr>
      <w:r>
        <w:rPr>
          <w:rFonts w:ascii="Arial" w:cs="Arial" w:eastAsia="Arial" w:hAnsi="Arial"/>
          <w:sz w:val="19"/>
          <w:szCs w:val="19"/>
          <w:color w:val="auto"/>
        </w:rPr>
        <w:t>For purposes of this Employee Matters Agreement, with respect to any former employee who provided services to both the TEN Business and the TFMC Business as a shared services employee, and whose employment terminated prior to the Distribution Date, then such former employee will be treated as either a Former TEN Employee or a Former TFMC Employee based on the following principles: (i) such employee will be allocated to the business for which he or she performed a majority of his or services, as reasonably determined by the Parties working in good faith, or (ii) if it cannot be determined that such former employee performed a majority of his or her services for one of the businesses, then such former employee will be treated as a former employee of the entity from which he or she terminated employment.</w:t>
      </w:r>
    </w:p>
    <w:p>
      <w:pPr>
        <w:spacing w:after="0" w:line="179" w:lineRule="exact"/>
        <w:rPr>
          <w:sz w:val="20"/>
          <w:szCs w:val="20"/>
          <w:color w:val="auto"/>
        </w:rPr>
      </w:pPr>
    </w:p>
    <w:p>
      <w:pPr>
        <w:ind w:left="640"/>
        <w:spacing w:after="0"/>
        <w:tabs>
          <w:tab w:leader="none" w:pos="142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u w:val="single" w:color="auto"/>
          <w:color w:val="auto"/>
        </w:rPr>
        <w:t>Automatic Transfers</w:t>
      </w:r>
      <w:r>
        <w:rPr>
          <w:rFonts w:ascii="Arial" w:cs="Arial" w:eastAsia="Arial" w:hAnsi="Arial"/>
          <w:sz w:val="19"/>
          <w:szCs w:val="19"/>
          <w:color w:val="auto"/>
        </w:rPr>
        <w:t>.</w:t>
      </w:r>
    </w:p>
    <w:p>
      <w:pPr>
        <w:spacing w:after="0" w:line="233" w:lineRule="exact"/>
        <w:rPr>
          <w:sz w:val="20"/>
          <w:szCs w:val="20"/>
          <w:color w:val="auto"/>
        </w:rPr>
      </w:pPr>
    </w:p>
    <w:p>
      <w:pPr>
        <w:ind w:left="-20" w:right="100" w:firstLine="656"/>
        <w:spacing w:after="0" w:line="277" w:lineRule="auto"/>
        <w:tabs>
          <w:tab w:leader="none" w:pos="1408" w:val="left"/>
        </w:tabs>
        <w:numPr>
          <w:ilvl w:val="0"/>
          <w:numId w:val="36"/>
        </w:numPr>
        <w:rPr>
          <w:rFonts w:ascii="Arial" w:cs="Arial" w:eastAsia="Arial" w:hAnsi="Arial"/>
          <w:sz w:val="19"/>
          <w:szCs w:val="19"/>
          <w:color w:val="auto"/>
        </w:rPr>
      </w:pPr>
      <w:r>
        <w:rPr>
          <w:rFonts w:ascii="Arial" w:cs="Arial" w:eastAsia="Arial" w:hAnsi="Arial"/>
          <w:sz w:val="19"/>
          <w:szCs w:val="19"/>
          <w:color w:val="auto"/>
        </w:rPr>
        <w:t>If any employee is employed by a TFMC Entity immediately prior to the Distribution Date, and who is required by applicable Law to transfer, or who has accepted a transfer of employment (on the same or different terms that applied prior to the Distribution), to a TEN Entity in connection with the transactions contemplated by this Employee Matters Agreement, the Separation Agreement or the other Ancillary Agreements, but such employee has not actually become an employee of the TEN Group prior to the Distribution Date, then such employee’s employment will transfer automatically on the Distribution Date to a TEN Entity in accordance with such applicable Law, or such employee will otherwise be deemed to be a TEN Employee for purposes of this Employee Matters Agreement and the Distribution Date will be such employee’s Employment Transfer Date.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18" w:right="359" w:bottom="1440" w:gutter="0" w:footer="0" w:header="0"/>
        </w:sectPr>
      </w:pPr>
    </w:p>
    <w:bookmarkStart w:id="87" w:name="page88"/>
    <w:bookmarkEnd w:id="87"/>
    <w:p>
      <w:pPr>
        <w:ind w:right="20" w:firstLine="656"/>
        <w:spacing w:after="0" w:line="234" w:lineRule="auto"/>
        <w:tabs>
          <w:tab w:leader="none" w:pos="1440" w:val="left"/>
        </w:tabs>
        <w:numPr>
          <w:ilvl w:val="0"/>
          <w:numId w:val="37"/>
        </w:numPr>
        <w:rPr>
          <w:rFonts w:ascii="Arial" w:cs="Arial" w:eastAsia="Arial" w:hAnsi="Arial"/>
          <w:sz w:val="22"/>
          <w:szCs w:val="22"/>
          <w:color w:val="auto"/>
        </w:rPr>
      </w:pPr>
      <w:r>
        <w:rPr>
          <w:rFonts w:ascii="Arial" w:cs="Arial" w:eastAsia="Arial" w:hAnsi="Arial"/>
          <w:sz w:val="22"/>
          <w:szCs w:val="22"/>
          <w:color w:val="auto"/>
        </w:rPr>
        <w:t>Any employee who is employed by a TEN Entity immediately prior to the Distribution Date, and who is required by applicable Law to transfer, or who has accepted a transfer of employment (on the same or different terms that applied prior to the Distribution), to a TFMC Entity in connection with the transactions contemplated by this Employee Matters Agreement, the Separation Agreement or the other Ancillary Agreements, but such employee has not actually become an employee of the TFMC Group prior to the Distribution Date, then such employee’s employment will transfer automatically on the Distribution Date to a TFMC Entity in accordance with such applicable Law, or such employee will otherwise be deemed to be a TFMC Employee for purposes of this Employee Matters Agreement and the Distribution Date will be such employee’s Employment Transfer Date.</w:t>
      </w:r>
    </w:p>
    <w:p>
      <w:pPr>
        <w:spacing w:after="0" w:line="214" w:lineRule="exact"/>
        <w:rPr>
          <w:sz w:val="20"/>
          <w:szCs w:val="20"/>
          <w:color w:val="auto"/>
        </w:rPr>
      </w:pPr>
    </w:p>
    <w:p>
      <w:pPr>
        <w:ind w:right="100" w:firstLine="648"/>
        <w:spacing w:after="0" w:line="238" w:lineRule="auto"/>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u w:val="single" w:color="auto"/>
          <w:color w:val="auto"/>
        </w:rPr>
        <w:t>Delayed Transfers</w:t>
      </w:r>
      <w:r>
        <w:rPr>
          <w:rFonts w:ascii="Arial" w:cs="Arial" w:eastAsia="Arial" w:hAnsi="Arial"/>
          <w:sz w:val="22"/>
          <w:szCs w:val="22"/>
          <w:color w:val="auto"/>
        </w:rPr>
        <w:t>. Any employee whose employment transfers from the TFMC Group to the TEN Group or from the TEN Group to the TFMC Group, as applicable, pursuant to one of the following categories will be a “</w:t>
      </w:r>
      <w:r>
        <w:rPr>
          <w:rFonts w:ascii="Arial" w:cs="Arial" w:eastAsia="Arial" w:hAnsi="Arial"/>
          <w:sz w:val="22"/>
          <w:szCs w:val="22"/>
          <w:u w:val="single" w:color="auto"/>
          <w:color w:val="auto"/>
        </w:rPr>
        <w:t>Delayed Transfer</w:t>
      </w:r>
      <w:r>
        <w:rPr>
          <w:rFonts w:ascii="Arial" w:cs="Arial" w:eastAsia="Arial" w:hAnsi="Arial"/>
          <w:sz w:val="22"/>
          <w:szCs w:val="22"/>
          <w:color w:val="auto"/>
        </w:rPr>
        <w:t xml:space="preserve"> </w:t>
      </w:r>
      <w:r>
        <w:rPr>
          <w:rFonts w:ascii="Arial" w:cs="Arial" w:eastAsia="Arial" w:hAnsi="Arial"/>
          <w:sz w:val="22"/>
          <w:szCs w:val="22"/>
          <w:u w:val="single" w:color="auto"/>
          <w:color w:val="auto"/>
        </w:rPr>
        <w:t>Employee</w:t>
      </w:r>
      <w:r>
        <w:rPr>
          <w:rFonts w:ascii="Arial" w:cs="Arial" w:eastAsia="Arial" w:hAnsi="Arial"/>
          <w:sz w:val="22"/>
          <w:szCs w:val="22"/>
          <w:color w:val="auto"/>
        </w:rPr>
        <w:t xml:space="preserv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such employee was continuously employed by a TEN Entity or the TFMC Group (as applicable) from the Distribution Date through the date of the applicable employment transfer:</w:t>
      </w:r>
    </w:p>
    <w:p>
      <w:pPr>
        <w:spacing w:after="0" w:line="212" w:lineRule="exact"/>
        <w:rPr>
          <w:sz w:val="20"/>
          <w:szCs w:val="20"/>
          <w:color w:val="auto"/>
        </w:rPr>
      </w:pPr>
    </w:p>
    <w:p>
      <w:pPr>
        <w:ind w:right="80" w:firstLine="656"/>
        <w:spacing w:after="0" w:line="297" w:lineRule="auto"/>
        <w:tabs>
          <w:tab w:leader="none" w:pos="1482" w:val="left"/>
        </w:tabs>
        <w:numPr>
          <w:ilvl w:val="0"/>
          <w:numId w:val="38"/>
        </w:numPr>
        <w:rPr>
          <w:rFonts w:ascii="Arial" w:cs="Arial" w:eastAsia="Arial" w:hAnsi="Arial"/>
          <w:sz w:val="19"/>
          <w:szCs w:val="19"/>
          <w:color w:val="auto"/>
        </w:rPr>
      </w:pPr>
      <w:r>
        <w:rPr>
          <w:rFonts w:ascii="Arial" w:cs="Arial" w:eastAsia="Arial" w:hAnsi="Arial"/>
          <w:sz w:val="19"/>
          <w:szCs w:val="19"/>
          <w:color w:val="auto"/>
        </w:rPr>
        <w:t xml:space="preserve">any employee who was inadvertently and erroneously treated as being employed by the wrong employer on the Distribution Date (including any employee who was inadvertently automatically transferred under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or who rejected such transfer) and who is transferred to the correct employer within six (6) months after the Distribution Date;</w:t>
      </w:r>
    </w:p>
    <w:p>
      <w:pPr>
        <w:spacing w:after="0" w:line="160" w:lineRule="exact"/>
        <w:rPr>
          <w:rFonts w:ascii="Arial" w:cs="Arial" w:eastAsia="Arial" w:hAnsi="Arial"/>
          <w:sz w:val="19"/>
          <w:szCs w:val="19"/>
          <w:color w:val="auto"/>
        </w:rPr>
      </w:pPr>
    </w:p>
    <w:p>
      <w:pPr>
        <w:ind w:right="340" w:firstLine="656"/>
        <w:spacing w:after="0" w:line="297" w:lineRule="auto"/>
        <w:tabs>
          <w:tab w:leader="none" w:pos="1440" w:val="left"/>
        </w:tabs>
        <w:numPr>
          <w:ilvl w:val="0"/>
          <w:numId w:val="38"/>
        </w:numPr>
        <w:rPr>
          <w:rFonts w:ascii="Arial" w:cs="Arial" w:eastAsia="Arial" w:hAnsi="Arial"/>
          <w:sz w:val="19"/>
          <w:szCs w:val="19"/>
          <w:color w:val="auto"/>
        </w:rPr>
      </w:pPr>
      <w:r>
        <w:rPr>
          <w:rFonts w:ascii="Arial" w:cs="Arial" w:eastAsia="Arial" w:hAnsi="Arial"/>
          <w:sz w:val="19"/>
          <w:szCs w:val="19"/>
          <w:color w:val="auto"/>
        </w:rPr>
        <w:t>any employee whose transfer of employment required a Governmental Entity’s or other Third Party’s authorization, approval or consent (including in connection with a visa or work permit) where such authorization, approval or consent is obtained and such transfer of employment occurs within six (6) months after the Distribution Date;</w:t>
      </w:r>
    </w:p>
    <w:p>
      <w:pPr>
        <w:spacing w:after="0" w:line="160" w:lineRule="exact"/>
        <w:rPr>
          <w:rFonts w:ascii="Arial" w:cs="Arial" w:eastAsia="Arial" w:hAnsi="Arial"/>
          <w:sz w:val="19"/>
          <w:szCs w:val="19"/>
          <w:color w:val="auto"/>
        </w:rPr>
      </w:pPr>
    </w:p>
    <w:p>
      <w:pPr>
        <w:ind w:firstLine="656"/>
        <w:spacing w:after="0" w:line="238" w:lineRule="auto"/>
        <w:tabs>
          <w:tab w:leader="none" w:pos="1428" w:val="left"/>
        </w:tabs>
        <w:numPr>
          <w:ilvl w:val="0"/>
          <w:numId w:val="38"/>
        </w:numPr>
        <w:rPr>
          <w:rFonts w:ascii="Arial" w:cs="Arial" w:eastAsia="Arial" w:hAnsi="Arial"/>
          <w:sz w:val="22"/>
          <w:szCs w:val="22"/>
          <w:color w:val="auto"/>
        </w:rPr>
      </w:pPr>
      <w:r>
        <w:rPr>
          <w:rFonts w:ascii="Arial" w:cs="Arial" w:eastAsia="Arial" w:hAnsi="Arial"/>
          <w:sz w:val="22"/>
          <w:szCs w:val="22"/>
          <w:color w:val="auto"/>
        </w:rPr>
        <w:t>unless otherwise required by applicable Law, any employee who was on an approved long-term or short-term disability leave on the Distribution Date and who returns to active service within eighteen (18) months after the Distribution Date (or such other period required by applicable Law), with such transfer occurring immediately upon the employee returning to active service); or</w:t>
      </w:r>
    </w:p>
    <w:p>
      <w:pPr>
        <w:spacing w:after="0" w:line="211" w:lineRule="exact"/>
        <w:rPr>
          <w:rFonts w:ascii="Arial" w:cs="Arial" w:eastAsia="Arial" w:hAnsi="Arial"/>
          <w:sz w:val="22"/>
          <w:szCs w:val="22"/>
          <w:color w:val="auto"/>
        </w:rPr>
      </w:pPr>
    </w:p>
    <w:p>
      <w:pPr>
        <w:ind w:right="200" w:firstLine="656"/>
        <w:spacing w:after="0" w:line="328" w:lineRule="auto"/>
        <w:tabs>
          <w:tab w:leader="none" w:pos="1440" w:val="left"/>
        </w:tabs>
        <w:numPr>
          <w:ilvl w:val="0"/>
          <w:numId w:val="38"/>
        </w:numPr>
        <w:rPr>
          <w:rFonts w:ascii="Arial" w:cs="Arial" w:eastAsia="Arial" w:hAnsi="Arial"/>
          <w:sz w:val="19"/>
          <w:szCs w:val="19"/>
          <w:color w:val="auto"/>
        </w:rPr>
      </w:pPr>
      <w:r>
        <w:rPr>
          <w:rFonts w:ascii="Arial" w:cs="Arial" w:eastAsia="Arial" w:hAnsi="Arial"/>
          <w:sz w:val="19"/>
          <w:szCs w:val="19"/>
          <w:color w:val="auto"/>
        </w:rPr>
        <w:t>any employee who transfers employment before, or at the expiration of, the applicable period of the Transition Services Agreement under which such employee provides services, as mutually determined between TFMC and TEN.</w:t>
      </w:r>
    </w:p>
    <w:p>
      <w:pPr>
        <w:spacing w:after="0" w:line="131" w:lineRule="exact"/>
        <w:rPr>
          <w:rFonts w:ascii="Arial" w:cs="Arial" w:eastAsia="Arial" w:hAnsi="Arial"/>
          <w:sz w:val="19"/>
          <w:szCs w:val="19"/>
          <w:color w:val="auto"/>
        </w:rPr>
      </w:pPr>
    </w:p>
    <w:p>
      <w:pPr>
        <w:ind w:right="140" w:firstLine="656"/>
        <w:spacing w:after="0" w:line="297" w:lineRule="auto"/>
        <w:tabs>
          <w:tab w:leader="none" w:pos="1428" w:val="left"/>
        </w:tabs>
        <w:numPr>
          <w:ilvl w:val="0"/>
          <w:numId w:val="38"/>
        </w:numPr>
        <w:rPr>
          <w:rFonts w:ascii="Arial" w:cs="Arial" w:eastAsia="Arial" w:hAnsi="Arial"/>
          <w:sz w:val="19"/>
          <w:szCs w:val="19"/>
          <w:color w:val="auto"/>
        </w:rPr>
      </w:pPr>
      <w:r>
        <w:rPr>
          <w:rFonts w:ascii="Arial" w:cs="Arial" w:eastAsia="Arial" w:hAnsi="Arial"/>
          <w:sz w:val="19"/>
          <w:szCs w:val="19"/>
          <w:color w:val="auto"/>
        </w:rPr>
        <w:t>Notwithstanding anything herein to the contrary, no employee will be considered a Delayed Transfer Employee unless the mutual agreement with respect to, and the Delayed Transfer Date of, the Delayed Transfer Employee occurs on or before the end of the maximum period during which the transfer is permitted to occur, as detailed above.</w:t>
      </w: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88" w:name="page89"/>
    <w:bookmarkEnd w:id="88"/>
    <w:p>
      <w:pPr>
        <w:ind w:left="660"/>
        <w:spacing w:after="0"/>
        <w:tabs>
          <w:tab w:leader="none" w:pos="144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u w:val="single" w:color="auto"/>
          <w:color w:val="auto"/>
        </w:rPr>
        <w:t>Collective Bargaining Agreements</w:t>
      </w:r>
      <w:r>
        <w:rPr>
          <w:rFonts w:ascii="Arial" w:cs="Arial" w:eastAsia="Arial" w:hAnsi="Arial"/>
          <w:sz w:val="19"/>
          <w:szCs w:val="19"/>
          <w:color w:val="auto"/>
        </w:rPr>
        <w:t>.</w:t>
      </w:r>
    </w:p>
    <w:p>
      <w:pPr>
        <w:spacing w:after="0" w:line="234" w:lineRule="exact"/>
        <w:rPr>
          <w:sz w:val="20"/>
          <w:szCs w:val="20"/>
          <w:color w:val="auto"/>
        </w:rPr>
      </w:pPr>
    </w:p>
    <w:p>
      <w:pPr>
        <w:ind w:firstLine="656"/>
        <w:spacing w:after="0" w:line="233" w:lineRule="auto"/>
        <w:tabs>
          <w:tab w:leader="none" w:pos="1428" w:val="left"/>
        </w:tabs>
        <w:numPr>
          <w:ilvl w:val="0"/>
          <w:numId w:val="39"/>
        </w:numPr>
        <w:rPr>
          <w:rFonts w:ascii="Arial" w:cs="Arial" w:eastAsia="Arial" w:hAnsi="Arial"/>
          <w:sz w:val="22"/>
          <w:szCs w:val="22"/>
          <w:color w:val="auto"/>
        </w:rPr>
      </w:pPr>
      <w:r>
        <w:rPr>
          <w:rFonts w:ascii="Arial" w:cs="Arial" w:eastAsia="Arial" w:hAnsi="Arial"/>
          <w:sz w:val="22"/>
          <w:szCs w:val="22"/>
          <w:color w:val="auto"/>
        </w:rPr>
        <w:t xml:space="preserve">Unless otherwise required by applicable local Law, the Parties agree that if Employees are being transferred into a newly formed entity pursuant to this </w:t>
      </w:r>
      <w:r>
        <w:rPr>
          <w:rFonts w:ascii="Arial" w:cs="Arial" w:eastAsia="Arial" w:hAnsi="Arial"/>
          <w:sz w:val="22"/>
          <w:szCs w:val="22"/>
          <w:u w:val="single" w:color="auto"/>
          <w:color w:val="auto"/>
        </w:rPr>
        <w:t>Article 2</w:t>
      </w:r>
      <w:r>
        <w:rPr>
          <w:rFonts w:ascii="Arial" w:cs="Arial" w:eastAsia="Arial" w:hAnsi="Arial"/>
          <w:sz w:val="22"/>
          <w:szCs w:val="22"/>
          <w:color w:val="auto"/>
        </w:rPr>
        <w:t>, then (a) the Collective Bargaining Agreements that are applicable to any such TEN Employees will have effect after the applicable Employment Transfer Date as if originally made between such TEN Entity (or a union, works council, or trade organization of which a TEN Group entity is a member) and the other parties to the Collective Bargaining Agreement, subject to the terms of such Collective Bargaining Agreement, and (ii) the Collective Bargaining Agreements that are applicable to any such TFMC Employees will have effect after the Employment Transfer Date as if originally made between a TFMC Entity (or a union, works council, or trade organization of which a TFMC Group entity is a member) and the other parties to the Collective Bargaining Agreement, subject to the terms of such Collective Bargaining Agreement.</w:t>
      </w:r>
    </w:p>
    <w:p>
      <w:pPr>
        <w:spacing w:after="0" w:line="219" w:lineRule="exact"/>
        <w:rPr>
          <w:rFonts w:ascii="Arial" w:cs="Arial" w:eastAsia="Arial" w:hAnsi="Arial"/>
          <w:sz w:val="22"/>
          <w:szCs w:val="22"/>
          <w:color w:val="auto"/>
        </w:rPr>
      </w:pPr>
    </w:p>
    <w:p>
      <w:pPr>
        <w:ind w:right="220" w:firstLine="656"/>
        <w:spacing w:after="0"/>
        <w:tabs>
          <w:tab w:leader="none" w:pos="1440" w:val="left"/>
        </w:tabs>
        <w:numPr>
          <w:ilvl w:val="0"/>
          <w:numId w:val="39"/>
        </w:numPr>
        <w:rPr>
          <w:rFonts w:ascii="Arial" w:cs="Arial" w:eastAsia="Arial" w:hAnsi="Arial"/>
          <w:sz w:val="22"/>
          <w:szCs w:val="22"/>
          <w:color w:val="auto"/>
        </w:rPr>
      </w:pPr>
      <w:r>
        <w:rPr>
          <w:rFonts w:ascii="Arial" w:cs="Arial" w:eastAsia="Arial" w:hAnsi="Arial"/>
          <w:sz w:val="22"/>
          <w:szCs w:val="22"/>
          <w:color w:val="auto"/>
        </w:rPr>
        <w:t>To the extent required by applicable local Law or any applicable Collective Bargaining Agreement, the parties shall cooperate and consult in good faith to provide notice, engage in consultation, and take any similar action which may be required on its part in connection with the Separation.</w:t>
      </w:r>
    </w:p>
    <w:p>
      <w:pPr>
        <w:spacing w:after="0" w:line="213" w:lineRule="exact"/>
        <w:rPr>
          <w:sz w:val="20"/>
          <w:szCs w:val="20"/>
          <w:color w:val="auto"/>
        </w:rPr>
      </w:pPr>
    </w:p>
    <w:p>
      <w:pPr>
        <w:ind w:right="60" w:firstLine="648"/>
        <w:spacing w:after="0" w:line="246" w:lineRule="auto"/>
        <w:rPr>
          <w:sz w:val="20"/>
          <w:szCs w:val="20"/>
          <w:color w:val="auto"/>
        </w:rPr>
      </w:pPr>
      <w:r>
        <w:rPr>
          <w:rFonts w:ascii="Arial" w:cs="Arial" w:eastAsia="Arial" w:hAnsi="Arial"/>
          <w:sz w:val="21"/>
          <w:szCs w:val="21"/>
          <w:color w:val="auto"/>
        </w:rPr>
        <w:t xml:space="preserve">2.5 </w:t>
      </w:r>
      <w:r>
        <w:rPr>
          <w:rFonts w:ascii="Arial" w:cs="Arial" w:eastAsia="Arial" w:hAnsi="Arial"/>
          <w:sz w:val="21"/>
          <w:szCs w:val="21"/>
          <w:u w:val="single" w:color="auto"/>
          <w:color w:val="auto"/>
        </w:rPr>
        <w:t>Employment Agreements</w:t>
      </w:r>
      <w:r>
        <w:rPr>
          <w:rFonts w:ascii="Arial" w:cs="Arial" w:eastAsia="Arial" w:hAnsi="Arial"/>
          <w:sz w:val="21"/>
          <w:szCs w:val="21"/>
          <w:color w:val="auto"/>
        </w:rPr>
        <w:t xml:space="preserve">. Unless otherwise required by applicable local Law, effective as of the applicable Employment Transfer Date, (a) a TEN Entity will assume and be solely responsible for any Employment Agreement to which a TEN Employee transferred under this </w:t>
      </w:r>
      <w:r>
        <w:rPr>
          <w:rFonts w:ascii="Arial" w:cs="Arial" w:eastAsia="Arial" w:hAnsi="Arial"/>
          <w:sz w:val="21"/>
          <w:szCs w:val="21"/>
          <w:u w:val="single" w:color="auto"/>
          <w:color w:val="auto"/>
        </w:rPr>
        <w:t>Article II</w:t>
      </w:r>
      <w:r>
        <w:rPr>
          <w:rFonts w:ascii="Arial" w:cs="Arial" w:eastAsia="Arial" w:hAnsi="Arial"/>
          <w:sz w:val="21"/>
          <w:szCs w:val="21"/>
          <w:color w:val="auto"/>
        </w:rPr>
        <w:t xml:space="preserve"> is a party (a “</w:t>
      </w:r>
      <w:r>
        <w:rPr>
          <w:rFonts w:ascii="Arial" w:cs="Arial" w:eastAsia="Arial" w:hAnsi="Arial"/>
          <w:sz w:val="21"/>
          <w:szCs w:val="21"/>
          <w:u w:val="single" w:color="auto"/>
          <w:color w:val="auto"/>
        </w:rPr>
        <w:t>TEN Employment Agreement</w:t>
      </w:r>
      <w:r>
        <w:rPr>
          <w:rFonts w:ascii="Arial" w:cs="Arial" w:eastAsia="Arial" w:hAnsi="Arial"/>
          <w:sz w:val="21"/>
          <w:szCs w:val="21"/>
          <w:color w:val="auto"/>
        </w:rPr>
        <w:t xml:space="preserve">”), as if originally made between the TEN Group, and the TFMC Group will have no Liabilities or other obligations with respect thereto and (b) TFMC or a TFMC Entity will assume and be solely responsible for any Employment Agreement to which a TFMC Employee transferred under this </w:t>
      </w:r>
      <w:r>
        <w:rPr>
          <w:rFonts w:ascii="Arial" w:cs="Arial" w:eastAsia="Arial" w:hAnsi="Arial"/>
          <w:sz w:val="21"/>
          <w:szCs w:val="21"/>
          <w:u w:val="single" w:color="auto"/>
          <w:color w:val="auto"/>
        </w:rPr>
        <w:t>Article II</w:t>
      </w:r>
      <w:r>
        <w:rPr>
          <w:rFonts w:ascii="Arial" w:cs="Arial" w:eastAsia="Arial" w:hAnsi="Arial"/>
          <w:sz w:val="21"/>
          <w:szCs w:val="21"/>
          <w:color w:val="auto"/>
        </w:rPr>
        <w:t xml:space="preserve"> is a party (a “</w:t>
      </w:r>
      <w:r>
        <w:rPr>
          <w:rFonts w:ascii="Arial" w:cs="Arial" w:eastAsia="Arial" w:hAnsi="Arial"/>
          <w:sz w:val="21"/>
          <w:szCs w:val="21"/>
          <w:u w:val="single" w:color="auto"/>
          <w:color w:val="auto"/>
        </w:rPr>
        <w:t>TFMC Employment Agreement</w:t>
      </w:r>
      <w:r>
        <w:rPr>
          <w:rFonts w:ascii="Arial" w:cs="Arial" w:eastAsia="Arial" w:hAnsi="Arial"/>
          <w:sz w:val="21"/>
          <w:szCs w:val="21"/>
          <w:color w:val="auto"/>
        </w:rPr>
        <w:t>”), as if originally made between the TFMC Group and the TEN Group will have no Liabilities or other obligations with respect thereto.</w:t>
      </w:r>
    </w:p>
    <w:p>
      <w:pPr>
        <w:spacing w:after="0" w:line="211"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u w:val="single" w:color="auto"/>
          <w:color w:val="auto"/>
        </w:rPr>
        <w:t>Transfer and Termination Liabilities</w:t>
      </w:r>
      <w:r>
        <w:rPr>
          <w:rFonts w:ascii="Arial" w:cs="Arial" w:eastAsia="Arial" w:hAnsi="Arial"/>
          <w:sz w:val="19"/>
          <w:szCs w:val="19"/>
          <w:color w:val="auto"/>
        </w:rPr>
        <w:t>. Notwithstanding</w:t>
      </w:r>
      <w:r>
        <w:rPr>
          <w:rFonts w:ascii="Arial" w:cs="Arial" w:eastAsia="Arial" w:hAnsi="Arial"/>
          <w:sz w:val="19"/>
          <w:szCs w:val="19"/>
          <w:u w:val="single" w:color="auto"/>
          <w:color w:val="auto"/>
        </w:rPr>
        <w:t xml:space="preserve"> Section 5.1(a) </w:t>
      </w:r>
      <w:r>
        <w:rPr>
          <w:rFonts w:ascii="Arial" w:cs="Arial" w:eastAsia="Arial" w:hAnsi="Arial"/>
          <w:sz w:val="19"/>
          <w:szCs w:val="19"/>
          <w:color w:val="auto"/>
        </w:rPr>
        <w:t>or</w:t>
      </w:r>
      <w:r>
        <w:rPr>
          <w:rFonts w:ascii="Arial" w:cs="Arial" w:eastAsia="Arial" w:hAnsi="Arial"/>
          <w:sz w:val="19"/>
          <w:szCs w:val="19"/>
          <w:u w:val="single" w:color="auto"/>
          <w:color w:val="auto"/>
        </w:rPr>
        <w:t xml:space="preserve"> Section 5.1(b)</w:t>
      </w:r>
      <w:r>
        <w:rPr>
          <w:rFonts w:ascii="Arial" w:cs="Arial" w:eastAsia="Arial" w:hAnsi="Arial"/>
          <w:sz w:val="19"/>
          <w:szCs w:val="19"/>
          <w:color w:val="auto"/>
        </w:rPr>
        <w:t>:</w:t>
      </w:r>
    </w:p>
    <w:p>
      <w:pPr>
        <w:spacing w:after="0" w:line="233" w:lineRule="exact"/>
        <w:rPr>
          <w:sz w:val="20"/>
          <w:szCs w:val="20"/>
          <w:color w:val="auto"/>
        </w:rPr>
      </w:pPr>
    </w:p>
    <w:p>
      <w:pPr>
        <w:ind w:right="80" w:firstLine="656"/>
        <w:spacing w:after="0" w:line="236" w:lineRule="auto"/>
        <w:tabs>
          <w:tab w:leader="none" w:pos="1428" w:val="left"/>
        </w:tabs>
        <w:numPr>
          <w:ilvl w:val="0"/>
          <w:numId w:val="40"/>
        </w:numPr>
        <w:rPr>
          <w:rFonts w:ascii="Arial" w:cs="Arial" w:eastAsia="Arial" w:hAnsi="Arial"/>
          <w:sz w:val="22"/>
          <w:szCs w:val="22"/>
          <w:color w:val="auto"/>
        </w:rPr>
      </w:pPr>
      <w:r>
        <w:rPr>
          <w:rFonts w:ascii="Arial" w:cs="Arial" w:eastAsia="Arial" w:hAnsi="Arial"/>
          <w:sz w:val="22"/>
          <w:szCs w:val="22"/>
          <w:color w:val="auto"/>
        </w:rPr>
        <w:t xml:space="preserve">With respect to any severance, end of service, jubilee, payout of accrued vacation or other paid-time off or other benefits owed to any TFMC Employee or Former TFMC Employee required as a result of the transfer of his or her employment contemplated by this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or other termination of employment occurring before, on or after the Distribution Date (the “</w:t>
      </w:r>
      <w:r>
        <w:rPr>
          <w:rFonts w:ascii="Arial" w:cs="Arial" w:eastAsia="Arial" w:hAnsi="Arial"/>
          <w:sz w:val="22"/>
          <w:szCs w:val="22"/>
          <w:u w:val="single" w:color="auto"/>
          <w:color w:val="auto"/>
        </w:rPr>
        <w:t>TFMC Severance Benefits</w:t>
      </w:r>
      <w:r>
        <w:rPr>
          <w:rFonts w:ascii="Arial" w:cs="Arial" w:eastAsia="Arial" w:hAnsi="Arial"/>
          <w:sz w:val="22"/>
          <w:szCs w:val="22"/>
          <w:color w:val="auto"/>
        </w:rPr>
        <w:t>”), the TFMC Group and the applicable TFMC Benefit Plans will be solely responsible for all such TFMC Severance Benefits.</w:t>
      </w:r>
    </w:p>
    <w:p>
      <w:pPr>
        <w:spacing w:after="0" w:line="214" w:lineRule="exact"/>
        <w:rPr>
          <w:rFonts w:ascii="Arial" w:cs="Arial" w:eastAsia="Arial" w:hAnsi="Arial"/>
          <w:sz w:val="22"/>
          <w:szCs w:val="22"/>
          <w:color w:val="auto"/>
        </w:rPr>
      </w:pPr>
    </w:p>
    <w:p>
      <w:pPr>
        <w:ind w:right="20" w:firstLine="656"/>
        <w:spacing w:after="0" w:line="236" w:lineRule="auto"/>
        <w:tabs>
          <w:tab w:leader="none" w:pos="1440" w:val="left"/>
        </w:tabs>
        <w:numPr>
          <w:ilvl w:val="0"/>
          <w:numId w:val="40"/>
        </w:numPr>
        <w:rPr>
          <w:rFonts w:ascii="Arial" w:cs="Arial" w:eastAsia="Arial" w:hAnsi="Arial"/>
          <w:sz w:val="22"/>
          <w:szCs w:val="22"/>
          <w:color w:val="auto"/>
        </w:rPr>
      </w:pPr>
      <w:r>
        <w:rPr>
          <w:rFonts w:ascii="Arial" w:cs="Arial" w:eastAsia="Arial" w:hAnsi="Arial"/>
          <w:sz w:val="22"/>
          <w:szCs w:val="22"/>
          <w:color w:val="auto"/>
        </w:rPr>
        <w:t xml:space="preserve">With respect to any severance, end or service, jubilee, payout of accrued vacation or other paid-time off or other benefits owed to any TEN Employee or Former TEN Employee required as a result of the transfer of employment of his or her employment contemplated by this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or a termination of employment occurring before, on or after to the Distribution Date (the “</w:t>
      </w:r>
      <w:r>
        <w:rPr>
          <w:rFonts w:ascii="Arial" w:cs="Arial" w:eastAsia="Arial" w:hAnsi="Arial"/>
          <w:sz w:val="22"/>
          <w:szCs w:val="22"/>
          <w:u w:val="single" w:color="auto"/>
          <w:color w:val="auto"/>
        </w:rPr>
        <w:t>TEN Severance Benefits</w:t>
      </w:r>
      <w:r>
        <w:rPr>
          <w:rFonts w:ascii="Arial" w:cs="Arial" w:eastAsia="Arial" w:hAnsi="Arial"/>
          <w:sz w:val="22"/>
          <w:szCs w:val="22"/>
          <w:color w:val="auto"/>
        </w:rPr>
        <w:t>”), the TEN Group and the applicable TEN Spinoff Benefit Plans will be solely responsible for all such TEN Severance Benefits.</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89" w:name="page90"/>
    <w:bookmarkEnd w:id="89"/>
    <w:p>
      <w:pPr>
        <w:jc w:val="center"/>
        <w:ind w:right="-59"/>
        <w:spacing w:after="0"/>
        <w:rPr>
          <w:sz w:val="20"/>
          <w:szCs w:val="20"/>
          <w:color w:val="auto"/>
        </w:rPr>
      </w:pPr>
      <w:r>
        <w:rPr>
          <w:rFonts w:ascii="Arial" w:cs="Arial" w:eastAsia="Arial" w:hAnsi="Arial"/>
          <w:sz w:val="22"/>
          <w:szCs w:val="22"/>
          <w:color w:val="auto"/>
        </w:rPr>
        <w:t>ARTICLE III.</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SERVICE CREDIT</w:t>
      </w:r>
    </w:p>
    <w:p>
      <w:pPr>
        <w:spacing w:after="0" w:line="215" w:lineRule="exact"/>
        <w:rPr>
          <w:sz w:val="20"/>
          <w:szCs w:val="20"/>
          <w:color w:val="auto"/>
        </w:rPr>
      </w:pPr>
    </w:p>
    <w:p>
      <w:pPr>
        <w:ind w:right="460" w:firstLine="648"/>
        <w:spacing w:after="0" w:line="250"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Service Credit for Employee Transfers</w:t>
      </w:r>
      <w:r>
        <w:rPr>
          <w:rFonts w:ascii="Arial" w:cs="Arial" w:eastAsia="Arial" w:hAnsi="Arial"/>
          <w:sz w:val="22"/>
          <w:szCs w:val="22"/>
          <w:color w:val="auto"/>
        </w:rPr>
        <w:t>. To the extent not already required by applicable Law, the following service crediting rules will apply:</w:t>
      </w:r>
    </w:p>
    <w:p>
      <w:pPr>
        <w:spacing w:after="0" w:line="202" w:lineRule="exact"/>
        <w:rPr>
          <w:sz w:val="20"/>
          <w:szCs w:val="20"/>
          <w:color w:val="auto"/>
        </w:rPr>
      </w:pPr>
    </w:p>
    <w:p>
      <w:pPr>
        <w:ind w:right="20" w:firstLine="656"/>
        <w:spacing w:after="0" w:line="275" w:lineRule="auto"/>
        <w:tabs>
          <w:tab w:leader="none" w:pos="1428" w:val="left"/>
        </w:tabs>
        <w:numPr>
          <w:ilvl w:val="0"/>
          <w:numId w:val="41"/>
        </w:numPr>
        <w:rPr>
          <w:rFonts w:ascii="Arial" w:cs="Arial" w:eastAsia="Arial" w:hAnsi="Arial"/>
          <w:sz w:val="19"/>
          <w:szCs w:val="19"/>
          <w:color w:val="auto"/>
        </w:rPr>
      </w:pPr>
      <w:r>
        <w:rPr>
          <w:rFonts w:ascii="Arial" w:cs="Arial" w:eastAsia="Arial" w:hAnsi="Arial"/>
          <w:sz w:val="19"/>
          <w:szCs w:val="19"/>
          <w:color w:val="auto"/>
        </w:rPr>
        <w:t xml:space="preserve">From and after the Employment Transfer Date, in the case of all TEN Benefit Plans, TEN will, and will cause its Affiliates to, provide credit under the TEN Benefit Plans to each TEN Employee (and Former TEN Employee, if applicable) for all service with the TFMC Group prior to the applicable Employment Transfer Date, as applicable, including for purposes of eligibility, vesting, and benefit service under the appropriate TEN Benefit Plans in which the TEN Employee (and Former TEN Employee, if applicable) is eligible to participate, subject to the terms of the applicable TEN Benefit Plans, to the extent recognized by the TFMC Group under an analogous TFMC Benefit Plan prior to the applicable Employment Transfer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service will not be recognized to the extent that such recognition would result in the duplication of benefits taking into account both TFMC Benefit Plans and TEN Benefit Plans.</w:t>
      </w:r>
    </w:p>
    <w:p>
      <w:pPr>
        <w:spacing w:after="0" w:line="184" w:lineRule="exact"/>
        <w:rPr>
          <w:rFonts w:ascii="Arial" w:cs="Arial" w:eastAsia="Arial" w:hAnsi="Arial"/>
          <w:sz w:val="19"/>
          <w:szCs w:val="19"/>
          <w:color w:val="auto"/>
        </w:rPr>
      </w:pPr>
    </w:p>
    <w:p>
      <w:pPr>
        <w:ind w:right="160" w:firstLine="656"/>
        <w:spacing w:after="0" w:line="275" w:lineRule="auto"/>
        <w:tabs>
          <w:tab w:leader="none" w:pos="1440" w:val="left"/>
        </w:tabs>
        <w:numPr>
          <w:ilvl w:val="0"/>
          <w:numId w:val="41"/>
        </w:numPr>
        <w:rPr>
          <w:rFonts w:ascii="Arial" w:cs="Arial" w:eastAsia="Arial" w:hAnsi="Arial"/>
          <w:sz w:val="19"/>
          <w:szCs w:val="19"/>
          <w:color w:val="auto"/>
        </w:rPr>
      </w:pPr>
      <w:r>
        <w:rPr>
          <w:rFonts w:ascii="Arial" w:cs="Arial" w:eastAsia="Arial" w:hAnsi="Arial"/>
          <w:sz w:val="19"/>
          <w:szCs w:val="19"/>
          <w:color w:val="auto"/>
        </w:rPr>
        <w:t xml:space="preserve">From and after the Employment Transfer Date, in the case of all TFMC Benefit Plans, TFMC will, and will cause its Affiliates to, provide credit under the TFMC Benefit Plans to each TFMC Employee (and Former TFMC Employee, if applicable) for all service with the TEN Group prior to the Employment Transfer Date, including for purposes of eligibility, vesting, and benefit service under the appropriate TFMC Benefit Plans in which the TFMC Employee (and Former TFMC Employee, if applicable) is eligible to participate, subject to the terms of the applicable TFMC Benefit Plans, to the extent recognized by the TEN Group under an analogous TEN Benefit Plan prior to the applicable Employment Transfer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service will not be recognized to the extent that such recognition would result in the duplication of benefits taking into account both TFMC Benefit Plans and TEN Benefit Plans.</w:t>
      </w:r>
    </w:p>
    <w:p>
      <w:pPr>
        <w:spacing w:after="0" w:line="184" w:lineRule="exact"/>
        <w:rPr>
          <w:rFonts w:ascii="Arial" w:cs="Arial" w:eastAsia="Arial" w:hAnsi="Arial"/>
          <w:sz w:val="19"/>
          <w:szCs w:val="19"/>
          <w:color w:val="auto"/>
        </w:rPr>
      </w:pPr>
    </w:p>
    <w:p>
      <w:pPr>
        <w:ind w:firstLine="656"/>
        <w:spacing w:after="0" w:line="252" w:lineRule="auto"/>
        <w:tabs>
          <w:tab w:leader="none" w:pos="1428" w:val="left"/>
        </w:tabs>
        <w:numPr>
          <w:ilvl w:val="0"/>
          <w:numId w:val="41"/>
        </w:numPr>
        <w:rPr>
          <w:rFonts w:ascii="Arial" w:cs="Arial" w:eastAsia="Arial" w:hAnsi="Arial"/>
          <w:sz w:val="21"/>
          <w:szCs w:val="21"/>
          <w:color w:val="auto"/>
        </w:rPr>
      </w:pPr>
      <w:r>
        <w:rPr>
          <w:rFonts w:ascii="Arial" w:cs="Arial" w:eastAsia="Arial" w:hAnsi="Arial"/>
          <w:sz w:val="21"/>
          <w:szCs w:val="21"/>
          <w:color w:val="auto"/>
        </w:rPr>
        <w:t>Except with respect to Delayed Transfer Employees, with respect to any employee hired after the Distribution Date, unless required by Law (i) the Benefit Plans of the TEN Group for employees hired by the TEN Group will not recognize such employee’s service with the TFMC Group (if any) and (ii) the Benefit Plans of the TFMC Group for employees hired by the TFMC Group will not recognize such employee’s service with the TEN Group (if any).</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ARTICLE IV.</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VACATION, PAID TIME OFF AND BONUSES</w:t>
      </w:r>
    </w:p>
    <w:p>
      <w:pPr>
        <w:spacing w:after="0" w:line="215" w:lineRule="exact"/>
        <w:rPr>
          <w:sz w:val="20"/>
          <w:szCs w:val="20"/>
          <w:color w:val="auto"/>
        </w:rPr>
      </w:pPr>
    </w:p>
    <w:p>
      <w:pPr>
        <w:ind w:right="140" w:firstLine="648"/>
        <w:spacing w:after="0" w:line="282"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Vacation and Paid Time Off</w:t>
      </w:r>
      <w:r>
        <w:rPr>
          <w:rFonts w:ascii="Arial" w:cs="Arial" w:eastAsia="Arial" w:hAnsi="Arial"/>
          <w:sz w:val="19"/>
          <w:szCs w:val="19"/>
          <w:color w:val="auto"/>
        </w:rPr>
        <w:t xml:space="preserve">. Except to the extent not permitted by applicable Law or paid out as provided in </w:t>
      </w:r>
      <w:r>
        <w:rPr>
          <w:rFonts w:ascii="Arial" w:cs="Arial" w:eastAsia="Arial" w:hAnsi="Arial"/>
          <w:sz w:val="19"/>
          <w:szCs w:val="19"/>
          <w:u w:val="single" w:color="auto"/>
          <w:color w:val="auto"/>
        </w:rPr>
        <w:t>Section 2.6</w:t>
      </w:r>
      <w:r>
        <w:rPr>
          <w:rFonts w:ascii="Arial" w:cs="Arial" w:eastAsia="Arial" w:hAnsi="Arial"/>
          <w:sz w:val="19"/>
          <w:szCs w:val="19"/>
          <w:color w:val="auto"/>
        </w:rPr>
        <w:t xml:space="preserve">, the TFMC Group will assume or retain, as applicable, responsibility for accrued paid vacation and other paid time off attributable to TFMC Employees as of the Employment Transfer Date. Except to the extent not permitted by applicable Law or paid out as provided in </w:t>
      </w:r>
      <w:r>
        <w:rPr>
          <w:rFonts w:ascii="Arial" w:cs="Arial" w:eastAsia="Arial" w:hAnsi="Arial"/>
          <w:sz w:val="19"/>
          <w:szCs w:val="19"/>
          <w:u w:val="single" w:color="auto"/>
          <w:color w:val="auto"/>
        </w:rPr>
        <w:t>Section 2.6</w:t>
      </w:r>
      <w:r>
        <w:rPr>
          <w:rFonts w:ascii="Arial" w:cs="Arial" w:eastAsia="Arial" w:hAnsi="Arial"/>
          <w:sz w:val="19"/>
          <w:szCs w:val="19"/>
          <w:color w:val="auto"/>
        </w:rPr>
        <w:t>, the TEN Group will assume or retain, as applicable, responsibility for accrued paid vacation and other paid time off attributable to TEN Employees as of the Employment Transfer Date.</w:t>
      </w: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90" w:name="page91"/>
    <w:bookmarkEnd w:id="90"/>
    <w:p>
      <w:pPr>
        <w:ind w:firstLine="648"/>
        <w:spacing w:after="0" w:line="249" w:lineRule="auto"/>
        <w:rPr>
          <w:sz w:val="20"/>
          <w:szCs w:val="20"/>
          <w:color w:val="auto"/>
        </w:rPr>
      </w:pPr>
      <w:r>
        <w:rPr>
          <w:rFonts w:ascii="Arial" w:cs="Arial" w:eastAsia="Arial" w:hAnsi="Arial"/>
          <w:sz w:val="21"/>
          <w:szCs w:val="21"/>
          <w:color w:val="auto"/>
        </w:rPr>
        <w:t xml:space="preserve">4.2 </w:t>
      </w:r>
      <w:r>
        <w:rPr>
          <w:rFonts w:ascii="Arial" w:cs="Arial" w:eastAsia="Arial" w:hAnsi="Arial"/>
          <w:sz w:val="21"/>
          <w:szCs w:val="21"/>
          <w:u w:val="single" w:color="auto"/>
          <w:color w:val="auto"/>
        </w:rPr>
        <w:t>Annual Bonuses</w:t>
      </w:r>
      <w:r>
        <w:rPr>
          <w:rFonts w:ascii="Arial" w:cs="Arial" w:eastAsia="Arial" w:hAnsi="Arial"/>
          <w:sz w:val="21"/>
          <w:szCs w:val="21"/>
          <w:color w:val="auto"/>
        </w:rPr>
        <w:t>. For 2021 TFMC will establish performance goals for the period occurring prior to the Distribution Date, and for the period following the Distribution Date each of the TFMC Group and the TEN Group will be responsible for establishing the performance goals applicable to their respective employees. TFMC Group will be responsible for paying any annual bonus for its employees for each of the 2021 performance periods and the TEN Group will be responsible for paying any annual bonus for its employees for each of the 2021 performance periods.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V.</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BENEFIT PLANS GENERALLY AND RETIREMENT BENEFITS</w:t>
      </w:r>
    </w:p>
    <w:p>
      <w:pPr>
        <w:spacing w:after="0" w:line="215"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u w:val="single" w:color="auto"/>
          <w:color w:val="auto"/>
        </w:rPr>
        <w:t>Benefit Plans Generally</w:t>
      </w:r>
      <w:r>
        <w:rPr>
          <w:rFonts w:ascii="Arial" w:cs="Arial" w:eastAsia="Arial" w:hAnsi="Arial"/>
          <w:sz w:val="19"/>
          <w:szCs w:val="19"/>
          <w:color w:val="auto"/>
        </w:rPr>
        <w:t>.</w:t>
      </w:r>
    </w:p>
    <w:p>
      <w:pPr>
        <w:spacing w:after="0" w:line="233" w:lineRule="exact"/>
        <w:rPr>
          <w:sz w:val="20"/>
          <w:szCs w:val="20"/>
          <w:color w:val="auto"/>
        </w:rPr>
      </w:pPr>
    </w:p>
    <w:p>
      <w:pPr>
        <w:ind w:right="40" w:firstLine="656"/>
        <w:spacing w:after="0" w:line="248" w:lineRule="auto"/>
        <w:tabs>
          <w:tab w:leader="none" w:pos="1428" w:val="left"/>
        </w:tabs>
        <w:numPr>
          <w:ilvl w:val="0"/>
          <w:numId w:val="42"/>
        </w:numPr>
        <w:rPr>
          <w:rFonts w:ascii="Arial" w:cs="Arial" w:eastAsia="Arial" w:hAnsi="Arial"/>
          <w:sz w:val="21"/>
          <w:szCs w:val="21"/>
          <w:color w:val="auto"/>
        </w:rPr>
      </w:pPr>
      <w:r>
        <w:rPr>
          <w:rFonts w:ascii="Arial" w:cs="Arial" w:eastAsia="Arial" w:hAnsi="Arial"/>
          <w:sz w:val="21"/>
          <w:szCs w:val="21"/>
          <w:color w:val="auto"/>
        </w:rPr>
        <w:t>Except as otherwise specifically provided in this Employee Matters Agreement or on a Country Schedule, on the relevant Employment Transfer Date, a TEN Entity will assume all or a portion of the obligations under the TFMC Benefit Plans solely to the extent applicable to the TEN Employees and Former TEN Employees and all associated Assets and Liabilities therewith. TEN will cause the TEN Group to assume such portion of the TFMC Plans or to otherwise apply the terms of such TFMC Benefit Plans on and after the relevant Employment Transfer Date to TEN Employees or Former TEN Employees for such time as permitted or required under applicable Law.</w:t>
      </w:r>
    </w:p>
    <w:p>
      <w:pPr>
        <w:spacing w:after="0" w:line="203" w:lineRule="exact"/>
        <w:rPr>
          <w:rFonts w:ascii="Arial" w:cs="Arial" w:eastAsia="Arial" w:hAnsi="Arial"/>
          <w:sz w:val="21"/>
          <w:szCs w:val="21"/>
          <w:color w:val="auto"/>
        </w:rPr>
      </w:pPr>
    </w:p>
    <w:p>
      <w:pPr>
        <w:ind w:right="20" w:firstLine="656"/>
        <w:spacing w:after="0" w:line="248" w:lineRule="auto"/>
        <w:tabs>
          <w:tab w:leader="none" w:pos="1440" w:val="left"/>
        </w:tabs>
        <w:numPr>
          <w:ilvl w:val="0"/>
          <w:numId w:val="42"/>
        </w:numPr>
        <w:rPr>
          <w:rFonts w:ascii="Arial" w:cs="Arial" w:eastAsia="Arial" w:hAnsi="Arial"/>
          <w:sz w:val="21"/>
          <w:szCs w:val="21"/>
          <w:color w:val="auto"/>
        </w:rPr>
      </w:pPr>
      <w:r>
        <w:rPr>
          <w:rFonts w:ascii="Arial" w:cs="Arial" w:eastAsia="Arial" w:hAnsi="Arial"/>
          <w:sz w:val="21"/>
          <w:szCs w:val="21"/>
          <w:color w:val="auto"/>
        </w:rPr>
        <w:t>Except as otherwise specifically provided in this Employee Matters Agreement or on a Country Schedule, on the relevant Employment Transfer Date, a TFMC Entity will assume all or a portion of the obligations under the TEN Benefit Plans solely to the extent applicable to the TFMC Employees and Former TFMC Employees and all associated Assets and Liabilities therewith. TFMC will cause the TFMC Group to assume such portion of the TEN Plans or apply the terms of such TEN Benefit Plans on or after the relevant Employment Transfer Date to TFMC Employees or Former TFMC Employees for such period of time as permitted or required under applicable Law.</w:t>
      </w:r>
    </w:p>
    <w:p>
      <w:pPr>
        <w:spacing w:after="0" w:line="204"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u w:val="single" w:color="auto"/>
          <w:color w:val="auto"/>
        </w:rPr>
        <w:t>Retirement Plans</w:t>
      </w:r>
      <w:r>
        <w:rPr>
          <w:rFonts w:ascii="Arial" w:cs="Arial" w:eastAsia="Arial" w:hAnsi="Arial"/>
          <w:sz w:val="19"/>
          <w:szCs w:val="19"/>
          <w:color w:val="auto"/>
        </w:rPr>
        <w:t>.</w:t>
      </w:r>
    </w:p>
    <w:p>
      <w:pPr>
        <w:spacing w:after="0" w:line="233" w:lineRule="exact"/>
        <w:rPr>
          <w:sz w:val="20"/>
          <w:szCs w:val="20"/>
          <w:color w:val="auto"/>
        </w:rPr>
      </w:pPr>
    </w:p>
    <w:p>
      <w:pPr>
        <w:ind w:left="1440" w:hanging="784"/>
        <w:spacing w:after="0"/>
        <w:tabs>
          <w:tab w:leader="none" w:pos="1440"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Spinoff Plans Generally</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660" w:right="40" w:firstLine="644"/>
        <w:spacing w:after="0" w:line="244" w:lineRule="auto"/>
        <w:tabs>
          <w:tab w:leader="none" w:pos="1998" w:val="left"/>
        </w:tabs>
        <w:numPr>
          <w:ilvl w:val="1"/>
          <w:numId w:val="43"/>
        </w:numPr>
        <w:rPr>
          <w:rFonts w:ascii="Arial" w:cs="Arial" w:eastAsia="Arial" w:hAnsi="Arial"/>
          <w:sz w:val="21"/>
          <w:szCs w:val="21"/>
          <w:color w:val="auto"/>
        </w:rPr>
      </w:pPr>
      <w:r>
        <w:rPr>
          <w:rFonts w:ascii="Arial" w:cs="Arial" w:eastAsia="Arial" w:hAnsi="Arial"/>
          <w:sz w:val="21"/>
          <w:szCs w:val="21"/>
          <w:color w:val="auto"/>
        </w:rPr>
        <w:t xml:space="preserve">Except as provided in </w:t>
      </w:r>
      <w:r>
        <w:rPr>
          <w:rFonts w:ascii="Arial" w:cs="Arial" w:eastAsia="Arial" w:hAnsi="Arial"/>
          <w:sz w:val="21"/>
          <w:szCs w:val="21"/>
          <w:u w:val="single" w:color="auto"/>
          <w:color w:val="auto"/>
        </w:rPr>
        <w:t>Section 5.2(f)</w:t>
      </w:r>
      <w:r>
        <w:rPr>
          <w:rFonts w:ascii="Arial" w:cs="Arial" w:eastAsia="Arial" w:hAnsi="Arial"/>
          <w:sz w:val="21"/>
          <w:szCs w:val="21"/>
          <w:color w:val="auto"/>
        </w:rPr>
        <w:t>, effective as of the relevant Plan Split Date, TEN or another member of the TEN Group will adopt and establish retirement plans, and, if applicable, any related trust (such plans and trusts, the “</w:t>
      </w:r>
      <w:r>
        <w:rPr>
          <w:rFonts w:ascii="Arial" w:cs="Arial" w:eastAsia="Arial" w:hAnsi="Arial"/>
          <w:sz w:val="21"/>
          <w:szCs w:val="21"/>
          <w:u w:val="single" w:color="auto"/>
          <w:color w:val="auto"/>
        </w:rPr>
        <w:t>TEN Spinoff Retirement Plans</w:t>
      </w:r>
      <w:r>
        <w:rPr>
          <w:rFonts w:ascii="Arial" w:cs="Arial" w:eastAsia="Arial" w:hAnsi="Arial"/>
          <w:sz w:val="21"/>
          <w:szCs w:val="21"/>
          <w:color w:val="auto"/>
        </w:rPr>
        <w:t>”) with terms and features (including employer contribution provisions) that are substantially similar to the retirement Benefit Plans maintained by a TFMC Entity for the benefit of TEN Employees and Former TEN Employees (such Benefit Plans, the “</w:t>
      </w:r>
      <w:r>
        <w:rPr>
          <w:rFonts w:ascii="Arial" w:cs="Arial" w:eastAsia="Arial" w:hAnsi="Arial"/>
          <w:sz w:val="21"/>
          <w:szCs w:val="21"/>
          <w:u w:val="single" w:color="auto"/>
          <w:color w:val="auto"/>
        </w:rPr>
        <w:t>Split TFMC Retirement Plans</w:t>
      </w:r>
      <w:r>
        <w:rPr>
          <w:rFonts w:ascii="Arial" w:cs="Arial" w:eastAsia="Arial" w:hAnsi="Arial"/>
          <w:sz w:val="21"/>
          <w:szCs w:val="21"/>
          <w:color w:val="auto"/>
        </w:rPr>
        <w:t>”) such that (for the avoidance of doubt) each Split TFMC Retirement Plan is substantially replicated to a corresponding TEN Spinoff Retirement Plan. A TEN Entity will be solely responsible for taking all necessary, reasonable, and appropriate actions to establish, maintain and administer the TEN Spinoff Retirement Plans so that they comply with applicable Laws. Each TEN Spinoff Retirement Plan will assume all Liabilities relating to benefits accrued or earned (whether or not vested) by TEN Employees and Former TEN Employees under the corresponding Split TFMC Retirement Plan as of the Plan Split Date or Delayed Transfer Date, if applicable.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1" w:name="page92"/>
    <w:bookmarkEnd w:id="91"/>
    <w:p>
      <w:pPr>
        <w:ind w:left="4" w:firstLine="644"/>
        <w:spacing w:after="0" w:line="244" w:lineRule="auto"/>
        <w:tabs>
          <w:tab w:leader="none" w:pos="1348" w:val="left"/>
        </w:tabs>
        <w:numPr>
          <w:ilvl w:val="1"/>
          <w:numId w:val="44"/>
        </w:numPr>
        <w:rPr>
          <w:rFonts w:ascii="Arial" w:cs="Arial" w:eastAsia="Arial" w:hAnsi="Arial"/>
          <w:sz w:val="21"/>
          <w:szCs w:val="21"/>
          <w:color w:val="auto"/>
        </w:rPr>
      </w:pPr>
      <w:r>
        <w:rPr>
          <w:rFonts w:ascii="Arial" w:cs="Arial" w:eastAsia="Arial" w:hAnsi="Arial"/>
          <w:sz w:val="21"/>
          <w:szCs w:val="21"/>
          <w:color w:val="auto"/>
        </w:rPr>
        <w:t xml:space="preserve">Except as provided in </w:t>
      </w:r>
      <w:r>
        <w:rPr>
          <w:rFonts w:ascii="Arial" w:cs="Arial" w:eastAsia="Arial" w:hAnsi="Arial"/>
          <w:sz w:val="21"/>
          <w:szCs w:val="21"/>
          <w:u w:val="single" w:color="auto"/>
          <w:color w:val="auto"/>
        </w:rPr>
        <w:t>Section 5.2(f)</w:t>
      </w:r>
      <w:r>
        <w:rPr>
          <w:rFonts w:ascii="Arial" w:cs="Arial" w:eastAsia="Arial" w:hAnsi="Arial"/>
          <w:sz w:val="21"/>
          <w:szCs w:val="21"/>
          <w:color w:val="auto"/>
        </w:rPr>
        <w:t>, effective as of the relevant Plan Split Date, TFMC or another member of the TFMC Group will adopt and establish retirement plans, and, if applicable, any related trust (such plans and trusts, the “</w:t>
      </w:r>
      <w:r>
        <w:rPr>
          <w:rFonts w:ascii="Arial" w:cs="Arial" w:eastAsia="Arial" w:hAnsi="Arial"/>
          <w:sz w:val="21"/>
          <w:szCs w:val="21"/>
          <w:u w:val="single" w:color="auto"/>
          <w:color w:val="auto"/>
        </w:rPr>
        <w:t>TFMC Spinoff Retirement Plans</w:t>
      </w:r>
      <w:r>
        <w:rPr>
          <w:rFonts w:ascii="Arial" w:cs="Arial" w:eastAsia="Arial" w:hAnsi="Arial"/>
          <w:sz w:val="21"/>
          <w:szCs w:val="21"/>
          <w:color w:val="auto"/>
        </w:rPr>
        <w:t>”) with terms and features (including employer contribution provisions) that are substantially similar to the retirement Benefit Plans maintained by a TEN Entity for the benefit of TFMC Employees and Former TFMC Employees (such Benefit Plans, the “</w:t>
      </w:r>
      <w:r>
        <w:rPr>
          <w:rFonts w:ascii="Arial" w:cs="Arial" w:eastAsia="Arial" w:hAnsi="Arial"/>
          <w:sz w:val="21"/>
          <w:szCs w:val="21"/>
          <w:u w:val="single" w:color="auto"/>
          <w:color w:val="auto"/>
        </w:rPr>
        <w:t>Split TEN Retirement Plans</w:t>
      </w:r>
      <w:r>
        <w:rPr>
          <w:rFonts w:ascii="Arial" w:cs="Arial" w:eastAsia="Arial" w:hAnsi="Arial"/>
          <w:sz w:val="21"/>
          <w:szCs w:val="21"/>
          <w:color w:val="auto"/>
        </w:rPr>
        <w:t>”) such that (for the avoidance of doubt) each Split TEN Retirement Plan is substantially replicated by a corresponding TFMC Spinoff Retirement Plan. A TFMC Entity will be solely responsible for taking all necessary, reasonable, and appropriate actions to establish, maintain and administer the TFMC Spinoff Retirement Plans so that they comply with applicable Laws. Each TFMC Spinoff Retirement Plan will assume all Liabilities for all benefits accrued or earned (whether or not vested) by TFMC Employees and Former TFMC Employees under the corresponding Split TEN Retirement Plan as of the Plan Split Date or Delayed Transfer Date, if applicable.</w:t>
      </w:r>
    </w:p>
    <w:p>
      <w:pPr>
        <w:spacing w:after="0" w:line="215" w:lineRule="exact"/>
        <w:rPr>
          <w:rFonts w:ascii="Arial" w:cs="Arial" w:eastAsia="Arial" w:hAnsi="Arial"/>
          <w:sz w:val="21"/>
          <w:szCs w:val="21"/>
          <w:color w:val="auto"/>
        </w:rPr>
      </w:pPr>
    </w:p>
    <w:p>
      <w:pPr>
        <w:ind w:left="784" w:hanging="784"/>
        <w:spacing w:after="0"/>
        <w:tabs>
          <w:tab w:leader="none" w:pos="784"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Asset Transfers and Assumption of Liabilities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4" w:right="40" w:firstLine="644"/>
        <w:spacing w:after="0" w:line="279" w:lineRule="auto"/>
        <w:tabs>
          <w:tab w:leader="none" w:pos="1342" w:val="left"/>
        </w:tabs>
        <w:numPr>
          <w:ilvl w:val="1"/>
          <w:numId w:val="45"/>
        </w:numPr>
        <w:rPr>
          <w:rFonts w:ascii="Arial" w:cs="Arial" w:eastAsia="Arial" w:hAnsi="Arial"/>
          <w:sz w:val="19"/>
          <w:szCs w:val="19"/>
          <w:color w:val="auto"/>
        </w:rPr>
      </w:pPr>
      <w:r>
        <w:rPr>
          <w:rFonts w:ascii="Arial" w:cs="Arial" w:eastAsia="Arial" w:hAnsi="Arial"/>
          <w:sz w:val="19"/>
          <w:szCs w:val="19"/>
          <w:color w:val="auto"/>
        </w:rPr>
        <w:t>On or as soon as reasonably practicable following the applicable Plan Split Date or Delayed Transfer Date for any TEN Transferees (but not later than thirty (30) days thereafter), TFMC or another member of the TFMC Group will cause each Split TFMC Retirement Plan to transfer to the applicable TEN Spinoff Retirement Plan, and TEN or another member of the TEN Group will cause such TEN Spinoff Retirement Plan to accept the transfer of, the accounts, related Liabilities and any related Assets in such Split TFMC Retirement Plan attributable to TEN Employees, Former TEN Employees, TEN Transferees and their respective Plan Payees, as set forth on the applicable Country Schedule.</w:t>
      </w:r>
    </w:p>
    <w:p>
      <w:pPr>
        <w:spacing w:after="0" w:line="177" w:lineRule="exact"/>
        <w:rPr>
          <w:sz w:val="20"/>
          <w:szCs w:val="20"/>
          <w:color w:val="auto"/>
        </w:rPr>
      </w:pPr>
    </w:p>
    <w:p>
      <w:pPr>
        <w:ind w:left="4" w:right="40" w:firstLine="644"/>
        <w:spacing w:after="0" w:line="279" w:lineRule="auto"/>
        <w:tabs>
          <w:tab w:leader="none" w:pos="1348" w:val="left"/>
        </w:tabs>
        <w:numPr>
          <w:ilvl w:val="0"/>
          <w:numId w:val="46"/>
        </w:numPr>
        <w:rPr>
          <w:rFonts w:ascii="Arial" w:cs="Arial" w:eastAsia="Arial" w:hAnsi="Arial"/>
          <w:sz w:val="19"/>
          <w:szCs w:val="19"/>
          <w:color w:val="auto"/>
        </w:rPr>
      </w:pPr>
      <w:r>
        <w:rPr>
          <w:rFonts w:ascii="Arial" w:cs="Arial" w:eastAsia="Arial" w:hAnsi="Arial"/>
          <w:sz w:val="19"/>
          <w:szCs w:val="19"/>
          <w:color w:val="auto"/>
        </w:rPr>
        <w:t>On or as soon as reasonably practicable following the applicable Plan Split Date or Delayed Transfer Date for any TFMC Transferees (but not later than thirty (30) days thereafter), a TEN Entity will cause each Split TEN Retirement Plan to transfer to the applicable TFMC Spinoff Retirement Plan and TFMC or another member of the TFMC Group will cause such TFMC Spinoff Retirement Plan to accept the transfer of the accounts, related Liabilities, and related Assets in the corresponding TFMC Spinoff Retirement Plan attributable to any TFMC Employees, Former TFMC Employees, TFMC Transferees and their respective Plan Payees, as set forth on the applicable Country Schedule.</w:t>
      </w:r>
    </w:p>
    <w:p>
      <w:pPr>
        <w:spacing w:after="0" w:line="177" w:lineRule="exact"/>
        <w:rPr>
          <w:rFonts w:ascii="Arial" w:cs="Arial" w:eastAsia="Arial" w:hAnsi="Arial"/>
          <w:sz w:val="19"/>
          <w:szCs w:val="19"/>
          <w:color w:val="auto"/>
        </w:rPr>
      </w:pPr>
    </w:p>
    <w:p>
      <w:pPr>
        <w:ind w:left="4" w:right="620" w:firstLine="644"/>
        <w:spacing w:after="0" w:line="250" w:lineRule="auto"/>
        <w:tabs>
          <w:tab w:leader="none" w:pos="1354" w:val="left"/>
        </w:tabs>
        <w:numPr>
          <w:ilvl w:val="0"/>
          <w:numId w:val="46"/>
        </w:numPr>
        <w:rPr>
          <w:rFonts w:ascii="Arial" w:cs="Arial" w:eastAsia="Arial" w:hAnsi="Arial"/>
          <w:sz w:val="22"/>
          <w:szCs w:val="22"/>
          <w:color w:val="auto"/>
        </w:rPr>
      </w:pPr>
      <w:r>
        <w:rPr>
          <w:rFonts w:ascii="Arial" w:cs="Arial" w:eastAsia="Arial" w:hAnsi="Arial"/>
          <w:sz w:val="22"/>
          <w:szCs w:val="22"/>
          <w:color w:val="auto"/>
        </w:rPr>
        <w:t xml:space="preserve">The transfer of any Assets under this </w:t>
      </w:r>
      <w:r>
        <w:rPr>
          <w:rFonts w:ascii="Arial" w:cs="Arial" w:eastAsia="Arial" w:hAnsi="Arial"/>
          <w:sz w:val="22"/>
          <w:szCs w:val="22"/>
          <w:u w:val="single" w:color="auto"/>
          <w:color w:val="auto"/>
        </w:rPr>
        <w:t>Section 5.2(b)</w:t>
      </w:r>
      <w:r>
        <w:rPr>
          <w:rFonts w:ascii="Arial" w:cs="Arial" w:eastAsia="Arial" w:hAnsi="Arial"/>
          <w:sz w:val="22"/>
          <w:szCs w:val="22"/>
          <w:color w:val="auto"/>
        </w:rPr>
        <w:t xml:space="preserve"> will be in cash or in-kind (as determined by the transferor) and, if relevant include outstanding loan balances.</w:t>
      </w:r>
    </w:p>
    <w:p>
      <w:pPr>
        <w:spacing w:after="0" w:line="380" w:lineRule="exact"/>
        <w:rPr>
          <w:sz w:val="20"/>
          <w:szCs w:val="20"/>
          <w:color w:val="auto"/>
        </w:rPr>
      </w:pPr>
    </w:p>
    <w:p>
      <w:pPr>
        <w:ind w:left="4924"/>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118" w:right="359" w:bottom="1440" w:gutter="0" w:footer="0" w:header="0"/>
        </w:sectPr>
      </w:pPr>
    </w:p>
    <w:bookmarkStart w:id="92" w:name="page93"/>
    <w:bookmarkEnd w:id="92"/>
    <w:p>
      <w:pPr>
        <w:ind w:left="784" w:hanging="784"/>
        <w:spacing w:after="0"/>
        <w:tabs>
          <w:tab w:leader="none" w:pos="784"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Liabilities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4" w:right="60" w:firstLine="644"/>
        <w:spacing w:after="0"/>
        <w:tabs>
          <w:tab w:leader="none" w:pos="1396" w:val="left"/>
        </w:tabs>
        <w:numPr>
          <w:ilvl w:val="1"/>
          <w:numId w:val="47"/>
        </w:numPr>
        <w:rPr>
          <w:rFonts w:ascii="Arial" w:cs="Arial" w:eastAsia="Arial" w:hAnsi="Arial"/>
          <w:sz w:val="22"/>
          <w:szCs w:val="22"/>
          <w:color w:val="auto"/>
        </w:rPr>
      </w:pPr>
      <w:r>
        <w:rPr>
          <w:rFonts w:ascii="Arial" w:cs="Arial" w:eastAsia="Arial" w:hAnsi="Arial"/>
          <w:sz w:val="22"/>
          <w:szCs w:val="22"/>
          <w:color w:val="auto"/>
        </w:rPr>
        <w:t>From and after the Distribution Date, TEN and the TEN Group will be solely and exclusively responsible for all obligations and Liabilities with respect to, or related to, benefits under the TEN Spinoff Retirement Plans, whether accrued before, on or after the Distribution Date.</w:t>
      </w:r>
    </w:p>
    <w:p>
      <w:pPr>
        <w:spacing w:after="0" w:line="213" w:lineRule="exact"/>
        <w:rPr>
          <w:rFonts w:ascii="Arial" w:cs="Arial" w:eastAsia="Arial" w:hAnsi="Arial"/>
          <w:sz w:val="22"/>
          <w:szCs w:val="22"/>
          <w:color w:val="auto"/>
        </w:rPr>
      </w:pPr>
    </w:p>
    <w:p>
      <w:pPr>
        <w:ind w:left="4" w:right="200" w:firstLine="644"/>
        <w:spacing w:after="0"/>
        <w:tabs>
          <w:tab w:leader="none" w:pos="1348" w:val="left"/>
        </w:tabs>
        <w:numPr>
          <w:ilvl w:val="1"/>
          <w:numId w:val="47"/>
        </w:numPr>
        <w:rPr>
          <w:rFonts w:ascii="Arial" w:cs="Arial" w:eastAsia="Arial" w:hAnsi="Arial"/>
          <w:sz w:val="22"/>
          <w:szCs w:val="22"/>
          <w:color w:val="auto"/>
        </w:rPr>
      </w:pPr>
      <w:r>
        <w:rPr>
          <w:rFonts w:ascii="Arial" w:cs="Arial" w:eastAsia="Arial" w:hAnsi="Arial"/>
          <w:sz w:val="22"/>
          <w:szCs w:val="22"/>
          <w:color w:val="auto"/>
        </w:rPr>
        <w:t>From and after the Distribution Date, TFMC and the TFMC Group will be solely and exclusively responsible for all obligations and Liabilities with respect to, or related to, benefits under the TFMC Spinoff Retirement Plans, whether accrued before, on or after the Distribution Date.</w:t>
      </w:r>
    </w:p>
    <w:p>
      <w:pPr>
        <w:spacing w:after="0" w:line="213" w:lineRule="exact"/>
        <w:rPr>
          <w:rFonts w:ascii="Arial" w:cs="Arial" w:eastAsia="Arial" w:hAnsi="Arial"/>
          <w:sz w:val="22"/>
          <w:szCs w:val="22"/>
          <w:color w:val="auto"/>
        </w:rPr>
      </w:pPr>
    </w:p>
    <w:p>
      <w:pPr>
        <w:ind w:left="784" w:hanging="784"/>
        <w:spacing w:after="0"/>
        <w:tabs>
          <w:tab w:leader="none" w:pos="784"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Continuation of Elections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4" w:firstLine="644"/>
        <w:spacing w:after="0" w:line="248" w:lineRule="auto"/>
        <w:tabs>
          <w:tab w:leader="none" w:pos="1396" w:val="left"/>
        </w:tabs>
        <w:numPr>
          <w:ilvl w:val="1"/>
          <w:numId w:val="47"/>
        </w:numPr>
        <w:rPr>
          <w:rFonts w:ascii="Arial" w:cs="Arial" w:eastAsia="Arial" w:hAnsi="Arial"/>
          <w:sz w:val="21"/>
          <w:szCs w:val="21"/>
          <w:color w:val="auto"/>
        </w:rPr>
      </w:pPr>
      <w:r>
        <w:rPr>
          <w:rFonts w:ascii="Arial" w:cs="Arial" w:eastAsia="Arial" w:hAnsi="Arial"/>
          <w:sz w:val="21"/>
          <w:szCs w:val="21"/>
          <w:color w:val="auto"/>
        </w:rPr>
        <w:t>As of the applicable Plan Split Date, or Delayed Transfer Date for TEN Transferees, the parties will cooperate in good faith to cause the TEN Spinoff Retirement Plans to recognize and maintain all elections (to the extent still applicable and reasonable), including investment and payment form elections, beneficiary designations, and the rights of alternate payees under qualified domestic relations orders with respect to TEN Employees, Former TEN Employees and their respective Plan Payees under the corresponding Split TFMC Retirement Plan, subject to the terms of the applicable TEN Spinoff Retirement Plans.</w:t>
      </w:r>
    </w:p>
    <w:p>
      <w:pPr>
        <w:spacing w:after="0" w:line="203" w:lineRule="exact"/>
        <w:rPr>
          <w:rFonts w:ascii="Arial" w:cs="Arial" w:eastAsia="Arial" w:hAnsi="Arial"/>
          <w:sz w:val="21"/>
          <w:szCs w:val="21"/>
          <w:color w:val="auto"/>
        </w:rPr>
      </w:pPr>
    </w:p>
    <w:p>
      <w:pPr>
        <w:ind w:left="4" w:firstLine="644"/>
        <w:spacing w:after="0" w:line="235" w:lineRule="auto"/>
        <w:tabs>
          <w:tab w:leader="none" w:pos="1402" w:val="left"/>
        </w:tabs>
        <w:numPr>
          <w:ilvl w:val="1"/>
          <w:numId w:val="47"/>
        </w:numPr>
        <w:rPr>
          <w:rFonts w:ascii="Arial" w:cs="Arial" w:eastAsia="Arial" w:hAnsi="Arial"/>
          <w:sz w:val="22"/>
          <w:szCs w:val="22"/>
          <w:color w:val="auto"/>
        </w:rPr>
      </w:pPr>
      <w:r>
        <w:rPr>
          <w:rFonts w:ascii="Arial" w:cs="Arial" w:eastAsia="Arial" w:hAnsi="Arial"/>
          <w:sz w:val="22"/>
          <w:szCs w:val="22"/>
          <w:color w:val="auto"/>
        </w:rPr>
        <w:t>As of the applicable Plan Split Date, or Delayed Transfer Date for TFMC Transferees, the parties will cooperate in good faith to cause the TFMC Spinoff Retirement Plans to recognize and maintain all elections (to the extent still applicable and reasonable), including investment and payment form elections, beneficiary designations, and the rights of alternate payees under qualified domestic relations orders with respect to TFMC Employees and their respective Plan Payees under the corresponding Split TEN Retirement Plan, subject to the terms of the applicable TFMC Spinoff Retirement Plans.</w:t>
      </w:r>
    </w:p>
    <w:p>
      <w:pPr>
        <w:spacing w:after="0" w:line="214" w:lineRule="exact"/>
        <w:rPr>
          <w:rFonts w:ascii="Arial" w:cs="Arial" w:eastAsia="Arial" w:hAnsi="Arial"/>
          <w:sz w:val="22"/>
          <w:szCs w:val="22"/>
          <w:color w:val="auto"/>
        </w:rPr>
      </w:pPr>
    </w:p>
    <w:p>
      <w:pPr>
        <w:ind w:left="784" w:hanging="784"/>
        <w:spacing w:after="0"/>
        <w:tabs>
          <w:tab w:leader="none" w:pos="784"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Contributions Due</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4" w:right="180" w:firstLine="644"/>
        <w:spacing w:after="0" w:line="282" w:lineRule="auto"/>
        <w:tabs>
          <w:tab w:leader="none" w:pos="1396" w:val="left"/>
        </w:tabs>
        <w:numPr>
          <w:ilvl w:val="1"/>
          <w:numId w:val="47"/>
        </w:numPr>
        <w:rPr>
          <w:rFonts w:ascii="Arial" w:cs="Arial" w:eastAsia="Arial" w:hAnsi="Arial"/>
          <w:sz w:val="19"/>
          <w:szCs w:val="19"/>
          <w:color w:val="auto"/>
        </w:rPr>
      </w:pPr>
      <w:r>
        <w:rPr>
          <w:rFonts w:ascii="Arial" w:cs="Arial" w:eastAsia="Arial" w:hAnsi="Arial"/>
          <w:sz w:val="19"/>
          <w:szCs w:val="19"/>
          <w:color w:val="auto"/>
        </w:rPr>
        <w:t>All amounts payable to the Split TFMC Retirement Plans with respect to employee deferrals, matching contributions and employer contributions for TEN Employees and Former TEN Employees relating to a time period ending on or prior to the Plan Split Date (or, for TEN Transferees, the applicable Delayed Transfer Date), determined in accordance with the terms and provisions of the Split TFMC Retirement Plans and applicable Law, will be paid by TEN or another member of the TEN Group to the appropriate Split TFMC Retirement Plan.</w:t>
      </w:r>
    </w:p>
    <w:p>
      <w:pPr>
        <w:spacing w:after="0" w:line="174" w:lineRule="exact"/>
        <w:rPr>
          <w:rFonts w:ascii="Arial" w:cs="Arial" w:eastAsia="Arial" w:hAnsi="Arial"/>
          <w:sz w:val="19"/>
          <w:szCs w:val="19"/>
          <w:color w:val="auto"/>
        </w:rPr>
      </w:pPr>
    </w:p>
    <w:p>
      <w:pPr>
        <w:ind w:left="4" w:right="40" w:firstLine="644"/>
        <w:spacing w:after="0" w:line="282" w:lineRule="auto"/>
        <w:tabs>
          <w:tab w:leader="none" w:pos="1402" w:val="left"/>
        </w:tabs>
        <w:numPr>
          <w:ilvl w:val="1"/>
          <w:numId w:val="47"/>
        </w:numPr>
        <w:rPr>
          <w:rFonts w:ascii="Arial" w:cs="Arial" w:eastAsia="Arial" w:hAnsi="Arial"/>
          <w:sz w:val="19"/>
          <w:szCs w:val="19"/>
          <w:color w:val="auto"/>
        </w:rPr>
      </w:pPr>
      <w:r>
        <w:rPr>
          <w:rFonts w:ascii="Arial" w:cs="Arial" w:eastAsia="Arial" w:hAnsi="Arial"/>
          <w:sz w:val="19"/>
          <w:szCs w:val="19"/>
          <w:color w:val="auto"/>
        </w:rPr>
        <w:t>All amounts payable to the Split TEN Retirement Plans with respect to employee deferrals, matching contributions and employer contributions for TFMC Employees and Former TFMC Employees relating to a time period ending on or prior to the Plan Split Date (or, for TFMC Transferees, the applicable Delayed Transfer Date), determined in accordance with the terms and provisions of the Split TEN Retirement Plans and applicable Law, will be paid by TFMC or another member of the TFMC Group to the appropriate Split TEN Retirement Plan.</w:t>
      </w:r>
    </w:p>
    <w:p>
      <w:pPr>
        <w:spacing w:after="0" w:line="353" w:lineRule="exact"/>
        <w:rPr>
          <w:sz w:val="20"/>
          <w:szCs w:val="20"/>
          <w:color w:val="auto"/>
        </w:rPr>
      </w:pPr>
    </w:p>
    <w:p>
      <w:pPr>
        <w:ind w:left="4924"/>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118" w:right="359" w:bottom="1440" w:gutter="0" w:footer="0" w:header="0"/>
        </w:sectPr>
      </w:pPr>
    </w:p>
    <w:bookmarkStart w:id="93" w:name="page94"/>
    <w:bookmarkEnd w:id="93"/>
    <w:p>
      <w:pPr>
        <w:ind w:right="160" w:firstLine="656"/>
        <w:spacing w:after="0" w:line="238" w:lineRule="auto"/>
        <w:tabs>
          <w:tab w:leader="none" w:pos="1458" w:val="left"/>
        </w:tabs>
        <w:numPr>
          <w:ilvl w:val="0"/>
          <w:numId w:val="48"/>
        </w:numPr>
        <w:rPr>
          <w:rFonts w:ascii="Arial" w:cs="Arial" w:eastAsia="Arial" w:hAnsi="Arial"/>
          <w:sz w:val="22"/>
          <w:szCs w:val="22"/>
          <w:color w:val="auto"/>
        </w:rPr>
      </w:pPr>
      <w:r>
        <w:rPr>
          <w:rFonts w:ascii="Arial" w:cs="Arial" w:eastAsia="Arial" w:hAnsi="Arial"/>
          <w:sz w:val="22"/>
          <w:szCs w:val="22"/>
          <w:color w:val="auto"/>
        </w:rPr>
        <w:t xml:space="preserve">Notwithstanding </w:t>
      </w:r>
      <w:r>
        <w:rPr>
          <w:rFonts w:ascii="Arial" w:cs="Arial" w:eastAsia="Arial" w:hAnsi="Arial"/>
          <w:sz w:val="22"/>
          <w:szCs w:val="22"/>
          <w:u w:val="single" w:color="auto"/>
          <w:color w:val="auto"/>
        </w:rPr>
        <w:t>Section 5.1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5.2(a)</w:t>
      </w:r>
      <w:r>
        <w:rPr>
          <w:rFonts w:ascii="Arial" w:cs="Arial" w:eastAsia="Arial" w:hAnsi="Arial"/>
          <w:sz w:val="22"/>
          <w:szCs w:val="22"/>
          <w:color w:val="auto"/>
        </w:rPr>
        <w:t xml:space="preserve"> or anything in this Employee Matters Agreement to the contrary, or as otherwise required by applicable Law, TFMC will retain all Liabilities with respect to all Employees under the FMC Technologies Pension Plan and the FMC Technologies Inc. Employees’ Retirement Program, and the TEN Group shall not have any Liability or obligations with respect thereto.</w:t>
      </w:r>
    </w:p>
    <w:p>
      <w:pPr>
        <w:spacing w:after="0" w:line="212" w:lineRule="exact"/>
        <w:rPr>
          <w:sz w:val="20"/>
          <w:szCs w:val="20"/>
          <w:color w:val="auto"/>
        </w:rPr>
      </w:pPr>
    </w:p>
    <w:p>
      <w:pPr>
        <w:ind w:right="20" w:firstLine="648"/>
        <w:spacing w:after="0" w:line="275"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No Distributions on Separation</w:t>
      </w:r>
      <w:r>
        <w:rPr>
          <w:rFonts w:ascii="Arial" w:cs="Arial" w:eastAsia="Arial" w:hAnsi="Arial"/>
          <w:sz w:val="19"/>
          <w:szCs w:val="19"/>
          <w:color w:val="auto"/>
        </w:rPr>
        <w:t>. TFMC and TEN acknowledge that neither the Distribution nor any of the other transactions contemplated by this Employee Matters Agreement (including the split of certain plans as of the Plan Split Date), the Separation Agreement, or the other Ancillary Agreements will trigger a payment or distribution of compensation under any Benefit Plan that is a not a tax-qualified retirement plan for any TFMC Employee, TEN Employee, Former TFMC Employee or Former TEN Employee (or any applicable Plan Payee thereof) and, consequently, that the payment or distribution of any compensation to which any TFMC Employee, TEN Employee, Former TFMC Employee or Former TEN Employee (or any applicable Plan Payee thereof) is entitled under any such Benefit Plan will occur upon such individual’s separation from service from the TFMC Group or the TEN Group, as applicable, or at such other time as specified in the applicable Benefit Plan.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CERTAIN WELFARE BENEFIT PLAN MATTERS</w:t>
      </w:r>
    </w:p>
    <w:p>
      <w:pPr>
        <w:spacing w:after="0" w:line="215"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u w:val="single" w:color="auto"/>
          <w:color w:val="auto"/>
        </w:rPr>
        <w:t>Spinoff Welfare Plans</w:t>
      </w:r>
      <w:r>
        <w:rPr>
          <w:rFonts w:ascii="Arial" w:cs="Arial" w:eastAsia="Arial" w:hAnsi="Arial"/>
          <w:sz w:val="19"/>
          <w:szCs w:val="19"/>
          <w:color w:val="auto"/>
        </w:rPr>
        <w:t>.</w:t>
      </w:r>
    </w:p>
    <w:p>
      <w:pPr>
        <w:spacing w:after="0" w:line="233" w:lineRule="exact"/>
        <w:rPr>
          <w:sz w:val="20"/>
          <w:szCs w:val="20"/>
          <w:color w:val="auto"/>
        </w:rPr>
      </w:pPr>
    </w:p>
    <w:p>
      <w:pPr>
        <w:ind w:firstLine="656"/>
        <w:spacing w:after="0" w:line="272" w:lineRule="auto"/>
        <w:tabs>
          <w:tab w:leader="none" w:pos="1428" w:val="left"/>
        </w:tabs>
        <w:numPr>
          <w:ilvl w:val="0"/>
          <w:numId w:val="49"/>
        </w:numPr>
        <w:rPr>
          <w:rFonts w:ascii="Arial" w:cs="Arial" w:eastAsia="Arial" w:hAnsi="Arial"/>
          <w:sz w:val="19"/>
          <w:szCs w:val="19"/>
          <w:color w:val="auto"/>
        </w:rPr>
      </w:pPr>
      <w:r>
        <w:rPr>
          <w:rFonts w:ascii="Arial" w:cs="Arial" w:eastAsia="Arial" w:hAnsi="Arial"/>
          <w:sz w:val="19"/>
          <w:szCs w:val="19"/>
          <w:color w:val="auto"/>
        </w:rPr>
        <w:t>Effective as of the applicable Plan Split Date (or the applicable Delayed Transfer Date with respect to any TEN Transferee), a TEN Entity will provide all welfare benefits required under applicable Law to TEN Employees and, if necessary, establish certain welfare benefit plans (such plans, the “</w:t>
      </w:r>
      <w:r>
        <w:rPr>
          <w:rFonts w:ascii="Arial" w:cs="Arial" w:eastAsia="Arial" w:hAnsi="Arial"/>
          <w:sz w:val="19"/>
          <w:szCs w:val="19"/>
          <w:u w:val="single" w:color="auto"/>
          <w:color w:val="auto"/>
        </w:rPr>
        <w:t>TEN Spinoff Welfare Plans</w:t>
      </w:r>
      <w:r>
        <w:rPr>
          <w:rFonts w:ascii="Arial" w:cs="Arial" w:eastAsia="Arial" w:hAnsi="Arial"/>
          <w:sz w:val="19"/>
          <w:szCs w:val="19"/>
          <w:color w:val="auto"/>
        </w:rPr>
        <w:t>”) having terms and features (including benefit coverage options and employer contribution provisions) that are substantially similar to one of the corresponding TFMC Benefit Plans provided to TEN Employees or Former TEN Employees, to the extent applicable (such TFMC Benefit Plans, the “</w:t>
      </w:r>
      <w:r>
        <w:rPr>
          <w:rFonts w:ascii="Arial" w:cs="Arial" w:eastAsia="Arial" w:hAnsi="Arial"/>
          <w:sz w:val="19"/>
          <w:szCs w:val="19"/>
          <w:u w:val="single" w:color="auto"/>
          <w:color w:val="auto"/>
        </w:rPr>
        <w:t>Split</w:t>
      </w:r>
      <w:r>
        <w:rPr>
          <w:rFonts w:ascii="Arial" w:cs="Arial" w:eastAsia="Arial" w:hAnsi="Arial"/>
          <w:sz w:val="19"/>
          <w:szCs w:val="19"/>
          <w:color w:val="auto"/>
        </w:rPr>
        <w:t xml:space="preserve"> </w:t>
      </w:r>
      <w:r>
        <w:rPr>
          <w:rFonts w:ascii="Arial" w:cs="Arial" w:eastAsia="Arial" w:hAnsi="Arial"/>
          <w:sz w:val="19"/>
          <w:szCs w:val="19"/>
          <w:u w:val="single" w:color="auto"/>
          <w:color w:val="auto"/>
        </w:rPr>
        <w:t>TFMC Welfare Plans</w:t>
      </w:r>
      <w:r>
        <w:rPr>
          <w:rFonts w:ascii="Arial" w:cs="Arial" w:eastAsia="Arial" w:hAnsi="Arial"/>
          <w:sz w:val="19"/>
          <w:szCs w:val="19"/>
          <w:color w:val="auto"/>
        </w:rPr>
        <w:t>”), such that (for the avoidance of doubt) each Split TFMC Welfare Plan is substantially replicated by a TEN Spinoff Welfare Plan, except as otherwise provided on a Country Schedule. From and after the Plan Split Date or Delayed Transfer Date, as applicable, TEN will cause each TEN Spinoff Welfare Plan to cover those TEN Employees, Former TEN Employees and their Plan Payees who immediately prior to the Plan Split Date or Delayed Transfer Date were participating in, or entitled to present or future benefits under, the corresponding Split TFMC Welfare Plan. Effective as of the Plan Split Date or Delayed Transfer Date, TFMC will cause TEN Employees (and Former TEN Employees, if applicable) and their Plan Payees to cease to be covered by the TFMC Welfare Plans (including the Split TFMC Welfare Plans), except as otherwise provided in the Transition Services Agreement.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4" w:name="page95"/>
    <w:bookmarkEnd w:id="94"/>
    <w:p>
      <w:pPr>
        <w:ind w:left="-20" w:firstLine="656"/>
        <w:spacing w:after="0" w:line="272" w:lineRule="auto"/>
        <w:tabs>
          <w:tab w:leader="none" w:pos="1420" w:val="left"/>
        </w:tabs>
        <w:numPr>
          <w:ilvl w:val="0"/>
          <w:numId w:val="50"/>
        </w:numPr>
        <w:rPr>
          <w:rFonts w:ascii="Arial" w:cs="Arial" w:eastAsia="Arial" w:hAnsi="Arial"/>
          <w:sz w:val="19"/>
          <w:szCs w:val="19"/>
          <w:color w:val="auto"/>
        </w:rPr>
      </w:pPr>
      <w:r>
        <w:rPr>
          <w:rFonts w:ascii="Arial" w:cs="Arial" w:eastAsia="Arial" w:hAnsi="Arial"/>
          <w:sz w:val="19"/>
          <w:szCs w:val="19"/>
          <w:color w:val="auto"/>
        </w:rPr>
        <w:t>Effective as of the applicable Plan Split Date (or the applicable Delayed Transfer Date with respect to any TFMC Transferee), a TFMC Entity will provide all welfare benefits required under applicable Law to TFMC Employees and, if necessary, establish certain welfare benefit plans (such plans, the “</w:t>
      </w:r>
      <w:r>
        <w:rPr>
          <w:rFonts w:ascii="Arial" w:cs="Arial" w:eastAsia="Arial" w:hAnsi="Arial"/>
          <w:sz w:val="19"/>
          <w:szCs w:val="19"/>
          <w:u w:val="single" w:color="auto"/>
          <w:color w:val="auto"/>
        </w:rPr>
        <w:t>TFMC Spinoff Welfare Plans</w:t>
      </w:r>
      <w:r>
        <w:rPr>
          <w:rFonts w:ascii="Arial" w:cs="Arial" w:eastAsia="Arial" w:hAnsi="Arial"/>
          <w:sz w:val="19"/>
          <w:szCs w:val="19"/>
          <w:color w:val="auto"/>
        </w:rPr>
        <w:t>”) having terms and features (including benefit coverage options and employer contribution provisions) that are substantially similar to one of the corresponding TEN Benefit Plans provided to TFMC Employees or Former TFMC Employees (such TEN Benefit Plans, the “</w:t>
      </w:r>
      <w:r>
        <w:rPr>
          <w:rFonts w:ascii="Arial" w:cs="Arial" w:eastAsia="Arial" w:hAnsi="Arial"/>
          <w:sz w:val="19"/>
          <w:szCs w:val="19"/>
          <w:u w:val="single" w:color="auto"/>
          <w:color w:val="auto"/>
        </w:rPr>
        <w:t>Split TEN Welfare Plans</w:t>
      </w:r>
      <w:r>
        <w:rPr>
          <w:rFonts w:ascii="Arial" w:cs="Arial" w:eastAsia="Arial" w:hAnsi="Arial"/>
          <w:sz w:val="19"/>
          <w:szCs w:val="19"/>
          <w:color w:val="auto"/>
        </w:rPr>
        <w:t>”), such that (for the avoidance of doubt) each Split TEN Welfare Plan is substantially replicated by a TFMC Spinoff Welfare Plan, except as otherwise provided on a Country Schedule. From and after the Plan Split Date or Delayed Transfer Date, as applicable, TFMC will cause each TFMC Spinoff Welfare Plan to cover those TFMC Employees, TFMC Former Employees and their Plan Payees who immediately prior to the Plan Split Date or Employment Transfer Date were participating in, or entitled to present or future benefits under, the corresponding Split TEN Welfare Plan. Effective as of the Plan Split Date or Employment Transfer Date, TEN will cause TFMC Employees (and Former TFMC Employees, if applicable) and their Plan Payees to cease to be covered by the TEN Welfare Plans (including the Split TEN Welfare Plans), except as otherwise provided in the Transition Services Agreement.</w:t>
      </w:r>
    </w:p>
    <w:p>
      <w:pPr>
        <w:spacing w:after="0" w:line="200" w:lineRule="exact"/>
        <w:rPr>
          <w:sz w:val="20"/>
          <w:szCs w:val="20"/>
          <w:color w:val="auto"/>
        </w:rPr>
      </w:pPr>
    </w:p>
    <w:p>
      <w:pPr>
        <w:spacing w:after="0" w:line="231" w:lineRule="exact"/>
        <w:rPr>
          <w:sz w:val="20"/>
          <w:szCs w:val="20"/>
          <w:color w:val="auto"/>
        </w:rPr>
      </w:pPr>
    </w:p>
    <w:p>
      <w:pPr>
        <w:ind w:left="640"/>
        <w:spacing w:after="0"/>
        <w:tabs>
          <w:tab w:leader="none" w:pos="142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u w:val="single" w:color="auto"/>
          <w:color w:val="auto"/>
        </w:rPr>
        <w:t>Welfare Claims</w:t>
      </w:r>
      <w:r>
        <w:rPr>
          <w:rFonts w:ascii="Arial" w:cs="Arial" w:eastAsia="Arial" w:hAnsi="Arial"/>
          <w:sz w:val="19"/>
          <w:szCs w:val="19"/>
          <w:color w:val="auto"/>
        </w:rPr>
        <w:t>.</w:t>
      </w:r>
    </w:p>
    <w:p>
      <w:pPr>
        <w:spacing w:after="0" w:line="233" w:lineRule="exact"/>
        <w:rPr>
          <w:sz w:val="20"/>
          <w:szCs w:val="20"/>
          <w:color w:val="auto"/>
        </w:rPr>
      </w:pPr>
    </w:p>
    <w:p>
      <w:pPr>
        <w:ind w:left="-20" w:right="20" w:firstLine="656"/>
        <w:spacing w:after="0" w:line="277" w:lineRule="auto"/>
        <w:tabs>
          <w:tab w:leader="none" w:pos="1462" w:val="left"/>
        </w:tabs>
        <w:numPr>
          <w:ilvl w:val="0"/>
          <w:numId w:val="51"/>
        </w:numPr>
        <w:rPr>
          <w:rFonts w:ascii="Arial" w:cs="Arial" w:eastAsia="Arial" w:hAnsi="Arial"/>
          <w:sz w:val="19"/>
          <w:szCs w:val="19"/>
          <w:color w:val="auto"/>
        </w:rPr>
      </w:pPr>
      <w:r>
        <w:rPr>
          <w:rFonts w:ascii="Arial" w:cs="Arial" w:eastAsia="Arial" w:hAnsi="Arial"/>
          <w:sz w:val="19"/>
          <w:szCs w:val="19"/>
          <w:color w:val="auto"/>
        </w:rPr>
        <w:t xml:space="preserve">The TFMC Group and the TFMC Spinoff Welfare Plans will be solely responsible for all claims incurred by TFMC Employees, TFMC Former Employees and their Plan Payees under the TFMC Spinoff Welfare Plans and Split TEN Welfare Plans (except with respect to TEN Severance Benefits, which are covered by </w:t>
      </w:r>
      <w:r>
        <w:rPr>
          <w:rFonts w:ascii="Arial" w:cs="Arial" w:eastAsia="Arial" w:hAnsi="Arial"/>
          <w:sz w:val="19"/>
          <w:szCs w:val="19"/>
          <w:u w:val="single" w:color="auto"/>
          <w:color w:val="auto"/>
        </w:rPr>
        <w:t>Section 2.6(a)</w:t>
      </w:r>
      <w:r>
        <w:rPr>
          <w:rFonts w:ascii="Arial" w:cs="Arial" w:eastAsia="Arial" w:hAnsi="Arial"/>
          <w:sz w:val="19"/>
          <w:szCs w:val="19"/>
          <w:color w:val="auto"/>
        </w:rPr>
        <w:t xml:space="preserve"> or as otherwise provided in the Transition Services Agreement) (“</w:t>
      </w:r>
      <w:r>
        <w:rPr>
          <w:rFonts w:ascii="Arial" w:cs="Arial" w:eastAsia="Arial" w:hAnsi="Arial"/>
          <w:sz w:val="19"/>
          <w:szCs w:val="19"/>
          <w:u w:val="single" w:color="auto"/>
          <w:color w:val="auto"/>
        </w:rPr>
        <w:t>TFMC Welfare Claims</w:t>
      </w:r>
      <w:r>
        <w:rPr>
          <w:rFonts w:ascii="Arial" w:cs="Arial" w:eastAsia="Arial" w:hAnsi="Arial"/>
          <w:sz w:val="19"/>
          <w:szCs w:val="19"/>
          <w:color w:val="auto"/>
        </w:rPr>
        <w:t>”), whether incurred before, on or after the Plan Split Date or Delayed Transfer Date, but only to the extent such claims are not otherwise payable under an insurance policy held by the TEN Group. To the extent any TFMC Welfare Claims are payable under an insurance policy held by the TEN Group, TEN will take all commercially reasonable actions necessary to process such claim and obtain payment under the applicable insurance policy.</w:t>
      </w:r>
    </w:p>
    <w:p>
      <w:pPr>
        <w:spacing w:after="0" w:line="178" w:lineRule="exact"/>
        <w:rPr>
          <w:rFonts w:ascii="Arial" w:cs="Arial" w:eastAsia="Arial" w:hAnsi="Arial"/>
          <w:sz w:val="19"/>
          <w:szCs w:val="19"/>
          <w:color w:val="auto"/>
        </w:rPr>
      </w:pPr>
    </w:p>
    <w:p>
      <w:pPr>
        <w:ind w:left="-20" w:right="80" w:firstLine="656"/>
        <w:spacing w:after="0" w:line="277" w:lineRule="auto"/>
        <w:tabs>
          <w:tab w:leader="none" w:pos="1420" w:val="left"/>
        </w:tabs>
        <w:numPr>
          <w:ilvl w:val="0"/>
          <w:numId w:val="51"/>
        </w:numPr>
        <w:rPr>
          <w:rFonts w:ascii="Arial" w:cs="Arial" w:eastAsia="Arial" w:hAnsi="Arial"/>
          <w:sz w:val="19"/>
          <w:szCs w:val="19"/>
          <w:color w:val="auto"/>
        </w:rPr>
      </w:pPr>
      <w:r>
        <w:rPr>
          <w:rFonts w:ascii="Arial" w:cs="Arial" w:eastAsia="Arial" w:hAnsi="Arial"/>
          <w:sz w:val="19"/>
          <w:szCs w:val="19"/>
          <w:color w:val="auto"/>
        </w:rPr>
        <w:t xml:space="preserve">The TEN Group and the TEN Spinoff Welfare Plans will be solely responsible for all claims incurred by TEN Employees, TEN Former Employees, as applicable and their Plan Payees under the TEN Spinoff Welfare Plans and Split TFMC Welfare Plans (except with respect to TFMC Severance Benefits, which is covered by </w:t>
      </w:r>
      <w:r>
        <w:rPr>
          <w:rFonts w:ascii="Arial" w:cs="Arial" w:eastAsia="Arial" w:hAnsi="Arial"/>
          <w:sz w:val="19"/>
          <w:szCs w:val="19"/>
          <w:u w:val="single" w:color="auto"/>
          <w:color w:val="auto"/>
        </w:rPr>
        <w:t>Section 2.6(b)</w:t>
      </w:r>
      <w:r>
        <w:rPr>
          <w:rFonts w:ascii="Arial" w:cs="Arial" w:eastAsia="Arial" w:hAnsi="Arial"/>
          <w:sz w:val="19"/>
          <w:szCs w:val="19"/>
          <w:color w:val="auto"/>
        </w:rPr>
        <w:t>, or as otherwise provided in the Transition Services Agreement) (“</w:t>
      </w:r>
      <w:r>
        <w:rPr>
          <w:rFonts w:ascii="Arial" w:cs="Arial" w:eastAsia="Arial" w:hAnsi="Arial"/>
          <w:sz w:val="19"/>
          <w:szCs w:val="19"/>
          <w:u w:val="single" w:color="auto"/>
          <w:color w:val="auto"/>
        </w:rPr>
        <w:t>TEN Welfare Claims</w:t>
      </w:r>
      <w:r>
        <w:rPr>
          <w:rFonts w:ascii="Arial" w:cs="Arial" w:eastAsia="Arial" w:hAnsi="Arial"/>
          <w:sz w:val="19"/>
          <w:szCs w:val="19"/>
          <w:color w:val="auto"/>
        </w:rPr>
        <w:t>”), whether incurred before, on or after the Plan Split Date or Delayed Transfer Date, but only to the extent such claims are not otherwise payable under an insurance policy held by the TFMC Group. To the extent any TEN Welfare Claims are payable under an insurance policy held by the TFMC Group, TFMC will take all commercially reasonable actions necessary to process such claim and obtain payment under the applicable insurance policy.</w:t>
      </w:r>
    </w:p>
    <w:p>
      <w:pPr>
        <w:spacing w:after="0" w:line="178" w:lineRule="exact"/>
        <w:rPr>
          <w:rFonts w:ascii="Arial" w:cs="Arial" w:eastAsia="Arial" w:hAnsi="Arial"/>
          <w:sz w:val="19"/>
          <w:szCs w:val="19"/>
          <w:color w:val="auto"/>
        </w:rPr>
      </w:pPr>
    </w:p>
    <w:p>
      <w:pPr>
        <w:jc w:val="both"/>
        <w:ind w:left="-20" w:right="80" w:firstLine="656"/>
        <w:spacing w:after="0" w:line="297" w:lineRule="auto"/>
        <w:tabs>
          <w:tab w:leader="none" w:pos="1408" w:val="left"/>
        </w:tabs>
        <w:numPr>
          <w:ilvl w:val="0"/>
          <w:numId w:val="51"/>
        </w:numPr>
        <w:rPr>
          <w:rFonts w:ascii="Arial" w:cs="Arial" w:eastAsia="Arial" w:hAnsi="Arial"/>
          <w:sz w:val="19"/>
          <w:szCs w:val="19"/>
          <w:color w:val="auto"/>
        </w:rPr>
      </w:pPr>
      <w:r>
        <w:rPr>
          <w:rFonts w:ascii="Arial" w:cs="Arial" w:eastAsia="Arial" w:hAnsi="Arial"/>
          <w:sz w:val="19"/>
          <w:szCs w:val="19"/>
          <w:color w:val="auto"/>
        </w:rPr>
        <w:t xml:space="preserve">For purposes of this </w:t>
      </w:r>
      <w:r>
        <w:rPr>
          <w:rFonts w:ascii="Arial" w:cs="Arial" w:eastAsia="Arial" w:hAnsi="Arial"/>
          <w:sz w:val="19"/>
          <w:szCs w:val="19"/>
          <w:u w:val="single" w:color="auto"/>
          <w:color w:val="auto"/>
        </w:rPr>
        <w:t>Article VI</w:t>
      </w:r>
      <w:r>
        <w:rPr>
          <w:rFonts w:ascii="Arial" w:cs="Arial" w:eastAsia="Arial" w:hAnsi="Arial"/>
          <w:sz w:val="19"/>
          <w:szCs w:val="19"/>
          <w:color w:val="auto"/>
        </w:rPr>
        <w:t>, a claim will be deemed “incurred” on (i) the date that the event that gives rise to the claim occurs for purposes of life insurance, severance, sickness, accident, disability and hospitalization programs, and (ii) the date that treatment or services are provided for purposes of health care programs other than hospitalization.</w:t>
      </w:r>
    </w:p>
    <w:p>
      <w:pPr>
        <w:spacing w:after="0" w:line="161" w:lineRule="exact"/>
        <w:rPr>
          <w:sz w:val="20"/>
          <w:szCs w:val="20"/>
          <w:color w:val="auto"/>
        </w:rPr>
      </w:pPr>
    </w:p>
    <w:p>
      <w:pPr>
        <w:ind w:left="640"/>
        <w:spacing w:after="0"/>
        <w:tabs>
          <w:tab w:leader="none" w:pos="142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u w:val="single" w:color="auto"/>
          <w:color w:val="auto"/>
        </w:rPr>
        <w:t>Continuation of Elections</w:t>
      </w:r>
      <w:r>
        <w:rPr>
          <w:rFonts w:ascii="Arial" w:cs="Arial" w:eastAsia="Arial" w:hAnsi="Arial"/>
          <w:sz w:val="19"/>
          <w:szCs w:val="19"/>
          <w:color w:val="auto"/>
        </w:rPr>
        <w:t>.</w:t>
      </w:r>
    </w:p>
    <w:p>
      <w:pPr>
        <w:spacing w:after="0" w:line="233" w:lineRule="exact"/>
        <w:rPr>
          <w:sz w:val="20"/>
          <w:szCs w:val="20"/>
          <w:color w:val="auto"/>
        </w:rPr>
      </w:pPr>
    </w:p>
    <w:p>
      <w:pPr>
        <w:ind w:left="-20" w:right="40" w:firstLine="656"/>
        <w:spacing w:after="0" w:line="274" w:lineRule="auto"/>
        <w:tabs>
          <w:tab w:leader="none" w:pos="1408" w:val="left"/>
        </w:tabs>
        <w:numPr>
          <w:ilvl w:val="0"/>
          <w:numId w:val="52"/>
        </w:numPr>
        <w:rPr>
          <w:rFonts w:ascii="Arial" w:cs="Arial" w:eastAsia="Arial" w:hAnsi="Arial"/>
          <w:sz w:val="19"/>
          <w:szCs w:val="19"/>
          <w:color w:val="auto"/>
        </w:rPr>
      </w:pPr>
      <w:r>
        <w:rPr>
          <w:rFonts w:ascii="Arial" w:cs="Arial" w:eastAsia="Arial" w:hAnsi="Arial"/>
          <w:sz w:val="19"/>
          <w:szCs w:val="19"/>
          <w:color w:val="auto"/>
        </w:rPr>
        <w:t>As of the Plan Split Date, or, if later, the applicable Employment Transfer Date, TEN will cause the TEN Spinoff Welfare Plans to recognize elections and designations (including all coverage and contribution elections and beneficiary designations, all continuation coverage and conversion elections, and all qualified medical child support orders and other orders issued by courts of competent jurisdiction) in effect with respect to TEN Employees (or Former TEN Employees and Plan Payees, if applicable) prior to the Plan Split Date or Employment Transfer Date, as applicable, under the corresponding Split TFMC Welfare Plan, to the extent such elections and designations and orders are applicable to such Split TFMC Welfare Plan, and apply and maintain in force comparable elections and designations and orders under the TEN Spinoff Welfare Plans for the remainder of the period or periods for which such elections or designations are by their original terms effective, in each case, subject to the terms of the applicable TEN Spinoff Welfare Plans.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8" w:right="339" w:bottom="1440" w:gutter="0" w:footer="0" w:header="0"/>
        </w:sectPr>
      </w:pPr>
    </w:p>
    <w:bookmarkStart w:id="95" w:name="page96"/>
    <w:bookmarkEnd w:id="95"/>
    <w:p>
      <w:pPr>
        <w:ind w:left="-40" w:right="60" w:firstLine="656"/>
        <w:spacing w:after="0" w:line="245" w:lineRule="auto"/>
        <w:tabs>
          <w:tab w:leader="none" w:pos="1400" w:val="left"/>
        </w:tabs>
        <w:numPr>
          <w:ilvl w:val="0"/>
          <w:numId w:val="53"/>
        </w:numPr>
        <w:rPr>
          <w:rFonts w:ascii="Arial" w:cs="Arial" w:eastAsia="Arial" w:hAnsi="Arial"/>
          <w:sz w:val="21"/>
          <w:szCs w:val="21"/>
          <w:color w:val="auto"/>
        </w:rPr>
      </w:pPr>
      <w:r>
        <w:rPr>
          <w:rFonts w:ascii="Arial" w:cs="Arial" w:eastAsia="Arial" w:hAnsi="Arial"/>
          <w:sz w:val="21"/>
          <w:szCs w:val="21"/>
          <w:color w:val="auto"/>
        </w:rPr>
        <w:t>As of the Plan Split Date, or Employment Transfer Date, TFMC will cause the TFMC Spinoff Welfare Plans to recognize elections and designations (including all coverage and contribution elections and beneficiary designations, all continuation coverage and conversion elections, and all qualified medical child support orders and other orders issued by courts of competent jurisdiction) in effect with respect to TFMC Employees (or Former TFMC Employees and Plan Payees, if applicable) prior to the Plan Split Date, or Employment Transfer Date, under the corresponding Split TEN Welfare Plan, to the extent such elections and designations and orders are applicable to such Split TEN Welfare Plan, and apply and maintain in force comparable elections and designations and orders under the TFMC Spinoff Welfare Plans for the remainder of the period or periods for which such elections or designations are by their original terms effective, in each case, subject to the terms of the applicable TFMC Spinoff Welfare Plans.</w:t>
      </w:r>
    </w:p>
    <w:p>
      <w:pPr>
        <w:spacing w:after="0" w:line="212" w:lineRule="exact"/>
        <w:rPr>
          <w:sz w:val="20"/>
          <w:szCs w:val="20"/>
          <w:color w:val="auto"/>
        </w:rPr>
      </w:pPr>
    </w:p>
    <w:p>
      <w:pPr>
        <w:ind w:left="620"/>
        <w:spacing w:after="0"/>
        <w:tabs>
          <w:tab w:leader="none" w:pos="1400"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19"/>
          <w:szCs w:val="19"/>
          <w:u w:val="single" w:color="auto"/>
          <w:color w:val="auto"/>
        </w:rPr>
        <w:t>Deductibles, Cost-Sharing Provisions, and Coverage Maximums</w:t>
      </w:r>
      <w:r>
        <w:rPr>
          <w:rFonts w:ascii="Arial" w:cs="Arial" w:eastAsia="Arial" w:hAnsi="Arial"/>
          <w:sz w:val="19"/>
          <w:szCs w:val="19"/>
          <w:color w:val="auto"/>
        </w:rPr>
        <w:t>.</w:t>
      </w:r>
    </w:p>
    <w:p>
      <w:pPr>
        <w:spacing w:after="0" w:line="233" w:lineRule="exact"/>
        <w:rPr>
          <w:sz w:val="20"/>
          <w:szCs w:val="20"/>
          <w:color w:val="auto"/>
        </w:rPr>
      </w:pPr>
    </w:p>
    <w:p>
      <w:pPr>
        <w:ind w:left="-40" w:right="80" w:firstLine="656"/>
        <w:spacing w:after="0" w:line="272" w:lineRule="auto"/>
        <w:tabs>
          <w:tab w:leader="none" w:pos="1388" w:val="left"/>
        </w:tabs>
        <w:numPr>
          <w:ilvl w:val="0"/>
          <w:numId w:val="54"/>
        </w:numPr>
        <w:rPr>
          <w:rFonts w:ascii="Arial" w:cs="Arial" w:eastAsia="Arial" w:hAnsi="Arial"/>
          <w:sz w:val="19"/>
          <w:szCs w:val="19"/>
          <w:color w:val="auto"/>
        </w:rPr>
      </w:pPr>
      <w:r>
        <w:rPr>
          <w:rFonts w:ascii="Arial" w:cs="Arial" w:eastAsia="Arial" w:hAnsi="Arial"/>
          <w:sz w:val="19"/>
          <w:szCs w:val="19"/>
          <w:color w:val="auto"/>
        </w:rPr>
        <w:t>As of the Plan Split Date, or, if later, the applicable Employment Transfer Date, TEN will use commercially reasonable efforts to cause the TEN Spinoff Welfare Plans to recognize all amounts applied to deductibles, co-payments and out-of-pocket maximums with respect to TEN Employees (and Former TEN Employees and Plan Payees, if applicable) under the corresponding Split TFMC Welfare Plan during the plan year in which the Distribution or Delayed Transfer Date occurs, to the same extent recognized under the corresponding Split TFMC Welfare Plan prior to the Plan Split Date or the applicable Employment Transfer Date, and the TEN Spinoff Welfare Plans will not impose any limitations on coverage for preexisting conditions other than such limitations as were applicable under the corresponding Split TFMC Welfare Plan prior to the Plan Split Date or the applicable Employment Transfer Date. As of the Plan Split Date, or, if later, the applicable Employment Transfer Date, TEN will use commercially reasonable efforts to cause the TEN Spinoff Welfare Plans to recognize all amounts (e.g., days or dollars) accrued towards coverage maximums with respect to TEN Employees (and Former TEN Employees, if applicable) under the corresponding Split TFMC Welfare Plan during the plan year in which the Plan Split Date or Employment Transfer Date occurs, to the same extent recognized under the corresponding Split TFMC Welfare Plan prior to the Plan Split Date or the applicable Employment Transfer Date.</w:t>
      </w:r>
    </w:p>
    <w:p>
      <w:pPr>
        <w:spacing w:after="0" w:line="182" w:lineRule="exact"/>
        <w:rPr>
          <w:rFonts w:ascii="Arial" w:cs="Arial" w:eastAsia="Arial" w:hAnsi="Arial"/>
          <w:sz w:val="19"/>
          <w:szCs w:val="19"/>
          <w:color w:val="auto"/>
        </w:rPr>
      </w:pPr>
    </w:p>
    <w:p>
      <w:pPr>
        <w:ind w:left="-40" w:firstLine="656"/>
        <w:spacing w:after="0" w:line="272" w:lineRule="auto"/>
        <w:tabs>
          <w:tab w:leader="none" w:pos="1400" w:val="left"/>
        </w:tabs>
        <w:numPr>
          <w:ilvl w:val="0"/>
          <w:numId w:val="54"/>
        </w:numPr>
        <w:rPr>
          <w:rFonts w:ascii="Arial" w:cs="Arial" w:eastAsia="Arial" w:hAnsi="Arial"/>
          <w:sz w:val="19"/>
          <w:szCs w:val="19"/>
          <w:color w:val="auto"/>
        </w:rPr>
      </w:pPr>
      <w:r>
        <w:rPr>
          <w:rFonts w:ascii="Arial" w:cs="Arial" w:eastAsia="Arial" w:hAnsi="Arial"/>
          <w:sz w:val="19"/>
          <w:szCs w:val="19"/>
          <w:color w:val="auto"/>
        </w:rPr>
        <w:t>As of the Plan Split Date, or Employment Transfer Date, TFMC will use commercially reasonable efforts to cause the TFMC Spinoff Welfare Plans to recognize all amounts applied to deductibles, co-payments and out-of-pocket maximums with respect to TFMC Employees (and Former TFMC Employees and Plan Payees, if applicable) and their under the corresponding Split TEN Welfare Plan during the plan year in which the Distribution or Employment Transfer Date occurs, to the same extent recognized under the corresponding Split TEN Welfare Plan prior to the Plan Split Date or the applicable Employment Transfer Date, and the TFMC Spinoff Welfare Plans will not impose any limitations on coverage for preexisting conditions other than such limitations as were applicable under the corresponding Split TEN Welfare Plan prior to the Plan Split Date or the applicable Employment Transfer Date. As of the Plan Split Date, or, if later, the applicable Employment Transfer Date, TFMC will use commercially reasonable efforts to cause the TFMC Spinoff Welfare Plans to recognize all amounts (e.g., days or dollars) accrued towards coverage maximums with respect to TFMC Employees (and Former TFMC Employees, if applicable) under the corresponding Split TEN Welfare Plan during the plan year in which the Plan Split Date or Employment Transfer Date occurs, to the same extent recognized under the corresponding Split TEN Welfare Plan prior to the Plan Split Date or the applicable Employment Transfer Date.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38100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18" w:right="359" w:bottom="1440" w:gutter="0" w:footer="0" w:header="0"/>
        </w:sectPr>
      </w:pPr>
    </w:p>
    <w:bookmarkStart w:id="96" w:name="page97"/>
    <w:bookmarkEnd w:id="96"/>
    <w:p>
      <w:pPr>
        <w:ind w:firstLine="648"/>
        <w:spacing w:after="0" w:line="270" w:lineRule="auto"/>
        <w:rPr>
          <w:sz w:val="20"/>
          <w:szCs w:val="20"/>
          <w:color w:val="auto"/>
        </w:rPr>
      </w:pPr>
      <w:r>
        <w:rPr>
          <w:rFonts w:ascii="Arial" w:cs="Arial" w:eastAsia="Arial" w:hAnsi="Arial"/>
          <w:sz w:val="19"/>
          <w:szCs w:val="19"/>
          <w:color w:val="auto"/>
        </w:rPr>
        <w:t xml:space="preserve">6.5 </w:t>
      </w:r>
      <w:r>
        <w:rPr>
          <w:rFonts w:ascii="Arial" w:cs="Arial" w:eastAsia="Arial" w:hAnsi="Arial"/>
          <w:sz w:val="19"/>
          <w:szCs w:val="19"/>
          <w:u w:val="single" w:color="auto"/>
          <w:color w:val="auto"/>
        </w:rPr>
        <w:t>Workers’ Compensation</w:t>
      </w:r>
      <w:r>
        <w:rPr>
          <w:rFonts w:ascii="Arial" w:cs="Arial" w:eastAsia="Arial" w:hAnsi="Arial"/>
          <w:sz w:val="19"/>
          <w:szCs w:val="19"/>
          <w:color w:val="auto"/>
        </w:rPr>
        <w:t xml:space="preserve">. If a workers’ compensation claim relating to an employee transferred under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is insured, then the party holding the insurance (the “Insured Party”) that covers such workers’ compensation claim will be responsible for such claim, regardless of when the Workers’ Compensation Events to which such claims relate occurred. To the extent any such Losses are payable under an insurance policy held by the Insured Party, then the Insured Party will use reasonable best efforts to take all actions necessary to obtain payment of such Losses under the applicable insurance policy. The Insured Party will have sole authority for administering, making decisions with respect to, and paying covered workers’ compensation claims with respect to Workers’ Compensation Events occurring before the Employment Transfer Date, subject to the prior consent of the other Party, which consent shall not be unreasonably withheld. The consent described in the immediately preceding sentence will be evidenced in writing with respect to any decision relating to (a) the settlement of a workers’ compensation claim, (b) the designation of an “allowed condition,” or (c) the administration of ongoing litigation. The other Party will, and will cause any other Affiliate (and each of their respective successors and assigns) to, jointly and severally indemnify, defend and hold harmless the Insured Party and each of the Insured Party’s Affiliates and each of their respective successors and assigns from and against any and all Losses incurred arising out of or in connection with a workers’ compensation claim in excess of those covered by the insurance policy and relating to Workers’ Compensation Events occurring prior to the Employment Transfer Date by its respective employees or former employees (i.e., if TEN is the Insured Party, TFMC will indemnify TEN and its Affiliates for TFMC Employees and Former TFMC Employees, and if TFMC is the Insured Party, TEN will indemnify TFMC and its Affiliates for TEN Employees and Former TEN Employees). If any workers’ compensation claim is not insured, then such claim will be treated as an employment related litigation claim under </w:t>
      </w:r>
      <w:r>
        <w:rPr>
          <w:rFonts w:ascii="Arial" w:cs="Arial" w:eastAsia="Arial" w:hAnsi="Arial"/>
          <w:sz w:val="19"/>
          <w:szCs w:val="19"/>
          <w:u w:val="single" w:color="auto"/>
          <w:color w:val="auto"/>
        </w:rPr>
        <w:t>Section 1.4</w:t>
      </w:r>
      <w:r>
        <w:rPr>
          <w:rFonts w:ascii="Arial" w:cs="Arial" w:eastAsia="Arial" w:hAnsi="Arial"/>
          <w:sz w:val="19"/>
          <w:szCs w:val="19"/>
          <w:color w:val="auto"/>
        </w:rPr>
        <w:t>.</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VII.</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TECHNIPFMC EQUITY COMPENSATION AWARDS</w:t>
      </w:r>
    </w:p>
    <w:p>
      <w:pPr>
        <w:spacing w:after="0" w:line="215"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u w:val="single" w:color="auto"/>
          <w:color w:val="auto"/>
        </w:rPr>
        <w:t>Outstanding TFMC Equity Compensation Awards</w:t>
      </w:r>
      <w:r>
        <w:rPr>
          <w:rFonts w:ascii="Arial" w:cs="Arial" w:eastAsia="Arial" w:hAnsi="Arial"/>
          <w:sz w:val="19"/>
          <w:szCs w:val="19"/>
          <w:color w:val="auto"/>
        </w:rPr>
        <w:t>.</w:t>
      </w:r>
    </w:p>
    <w:p>
      <w:pPr>
        <w:spacing w:after="0" w:line="233" w:lineRule="exact"/>
        <w:rPr>
          <w:sz w:val="20"/>
          <w:szCs w:val="20"/>
          <w:color w:val="auto"/>
        </w:rPr>
      </w:pPr>
    </w:p>
    <w:p>
      <w:pPr>
        <w:jc w:val="both"/>
        <w:ind w:right="260" w:firstLine="656"/>
        <w:spacing w:after="0"/>
        <w:tabs>
          <w:tab w:leader="none" w:pos="1428" w:val="left"/>
        </w:tabs>
        <w:numPr>
          <w:ilvl w:val="0"/>
          <w:numId w:val="55"/>
        </w:numPr>
        <w:rPr>
          <w:rFonts w:ascii="Arial" w:cs="Arial" w:eastAsia="Arial" w:hAnsi="Arial"/>
          <w:sz w:val="22"/>
          <w:szCs w:val="22"/>
          <w:color w:val="auto"/>
        </w:rPr>
      </w:pPr>
      <w:r>
        <w:rPr>
          <w:rFonts w:ascii="Arial" w:cs="Arial" w:eastAsia="Arial" w:hAnsi="Arial"/>
          <w:sz w:val="22"/>
          <w:szCs w:val="22"/>
          <w:color w:val="auto"/>
        </w:rPr>
        <w:t xml:space="preserve">Effective immediately prior to the Distribution, subject to the terms of this </w:t>
      </w:r>
      <w:r>
        <w:rPr>
          <w:rFonts w:ascii="Arial" w:cs="Arial" w:eastAsia="Arial" w:hAnsi="Arial"/>
          <w:sz w:val="22"/>
          <w:szCs w:val="22"/>
          <w:u w:val="single" w:color="auto"/>
          <w:color w:val="auto"/>
        </w:rPr>
        <w:t>Article VII</w:t>
      </w:r>
      <w:r>
        <w:rPr>
          <w:rFonts w:ascii="Arial" w:cs="Arial" w:eastAsia="Arial" w:hAnsi="Arial"/>
          <w:sz w:val="22"/>
          <w:szCs w:val="22"/>
          <w:color w:val="auto"/>
        </w:rPr>
        <w:t xml:space="preserve"> (including </w:t>
      </w:r>
      <w:r>
        <w:rPr>
          <w:rFonts w:ascii="Arial" w:cs="Arial" w:eastAsia="Arial" w:hAnsi="Arial"/>
          <w:sz w:val="22"/>
          <w:szCs w:val="22"/>
          <w:u w:val="single" w:color="auto"/>
          <w:color w:val="auto"/>
        </w:rPr>
        <w:t>Section 7.6</w:t>
      </w:r>
      <w:r>
        <w:rPr>
          <w:rFonts w:ascii="Arial" w:cs="Arial" w:eastAsia="Arial" w:hAnsi="Arial"/>
          <w:sz w:val="22"/>
          <w:szCs w:val="22"/>
          <w:color w:val="auto"/>
        </w:rPr>
        <w:t>), each TFMC Equity Compensation Award that is held by a TFMC Participant and is outstanding as of immediately prior to the Distribution will be adjusted as follows:</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7" w:name="page98"/>
    <w:bookmarkEnd w:id="97"/>
    <w:p>
      <w:pPr>
        <w:ind w:left="660" w:firstLine="644"/>
        <w:spacing w:after="0" w:line="275" w:lineRule="auto"/>
        <w:tabs>
          <w:tab w:leader="none" w:pos="2052" w:val="left"/>
        </w:tabs>
        <w:numPr>
          <w:ilvl w:val="1"/>
          <w:numId w:val="56"/>
        </w:numPr>
        <w:rPr>
          <w:rFonts w:ascii="Arial" w:cs="Arial" w:eastAsia="Arial" w:hAnsi="Arial"/>
          <w:sz w:val="19"/>
          <w:szCs w:val="19"/>
          <w:color w:val="auto"/>
        </w:rPr>
      </w:pPr>
      <w:r>
        <w:rPr>
          <w:rFonts w:ascii="Arial" w:cs="Arial" w:eastAsia="Arial" w:hAnsi="Arial"/>
          <w:sz w:val="19"/>
          <w:szCs w:val="19"/>
          <w:color w:val="auto"/>
        </w:rPr>
        <w:t>TFMC Time-Based RSUs held by each TFMC Participant will be adjusted, effective as of the Distribution Date and immediately prior to the Distribution, pursuant to the adjustment provisions of the TFMC LTIP, to be Adjusted TFMC Time-Based RSUs. Subject to the adjustment provisions of the TFMC LTIP, the Adjusted TFMC Time-Based RSUs will be subject to substantially similar vesting and payment terms that were applicable to the respective TFMC Time-Based RSUs immediately prior to the Distribution Date. The number of such Adjusted TFMC Time-Based RSUs that will be held by each such TFMC Participant immediately following such adjustment will be equal to the product (rounded down to the nearest whole unit) of (A) the number of such TFMC Time-Based RSUs held by such TFMC Participant immediately prior to the Distribution and (B) the TFMC Adjustment Ratio.</w:t>
      </w:r>
    </w:p>
    <w:p>
      <w:pPr>
        <w:spacing w:after="0" w:line="184" w:lineRule="exact"/>
        <w:rPr>
          <w:rFonts w:ascii="Arial" w:cs="Arial" w:eastAsia="Arial" w:hAnsi="Arial"/>
          <w:sz w:val="19"/>
          <w:szCs w:val="19"/>
          <w:color w:val="auto"/>
        </w:rPr>
      </w:pPr>
    </w:p>
    <w:p>
      <w:pPr>
        <w:ind w:left="660" w:right="40" w:firstLine="644"/>
        <w:spacing w:after="0" w:line="246" w:lineRule="exact"/>
        <w:tabs>
          <w:tab w:leader="none" w:pos="2058" w:val="left"/>
        </w:tabs>
        <w:numPr>
          <w:ilvl w:val="1"/>
          <w:numId w:val="56"/>
        </w:numPr>
        <w:rPr>
          <w:rFonts w:ascii="Arial" w:cs="Arial" w:eastAsia="Arial" w:hAnsi="Arial"/>
          <w:sz w:val="21"/>
          <w:szCs w:val="21"/>
          <w:color w:val="auto"/>
        </w:rPr>
      </w:pPr>
      <w:r>
        <w:rPr>
          <w:rFonts w:ascii="Arial" w:cs="Arial" w:eastAsia="Arial" w:hAnsi="Arial"/>
          <w:sz w:val="21"/>
          <w:szCs w:val="21"/>
          <w:color w:val="auto"/>
        </w:rPr>
        <w:t>TFMC Performance-Based RSU held by each TFMC Participant will be adjusted, effective as of the Distribution Date and immediately prior to the Distribution, pursuant to the adjustment provisions of the applicable TFMC LTIP, to be Adjusted TFMC Performance</w:t>
      </w:r>
      <w:r>
        <w:rPr>
          <w:rFonts w:ascii="MS PGothic" w:cs="MS PGothic" w:eastAsia="MS PGothic" w:hAnsi="MS PGothic"/>
          <w:sz w:val="21"/>
          <w:szCs w:val="21"/>
          <w:color w:val="auto"/>
        </w:rPr>
        <w:t>‑</w:t>
      </w:r>
      <w:r>
        <w:rPr>
          <w:rFonts w:ascii="Arial" w:cs="Arial" w:eastAsia="Arial" w:hAnsi="Arial"/>
          <w:sz w:val="21"/>
          <w:szCs w:val="21"/>
          <w:color w:val="auto"/>
        </w:rPr>
        <w:t>Based RSUs. Subject to the adjustment provisions of the TFMC LTIP, the Adjusted TFMC Performance-Based RSUs will be subject to substantially similar vesting and payment terms that were applicable to the respective TFMC Performance-Based RSUs immediately prior to the Distribution Date, except that each Adjusted TFMC Performance-Based RSU granted in 2019 and 2020 will be modified to remove all performance-based vesting conditions (such that each Adjusted TFMC Performance-Based RSU granted in 2019 and 2020 will vest following the Distribution Date solely upon the satisfaction of time-based vesting conditions). The number of such Adjusted TFMC Performance-Based RSUs that will be held by each such TFMC Participant immediately following such adjustment will be equal to the product (rounded down to the nearest whole unit) of (A) the target number of such TFMC Performance-Based RSUs held by such TFMC Participant immediately prior to the Distribution and (B) the TFMC Adjustment Ratio.</w:t>
      </w:r>
    </w:p>
    <w:p>
      <w:pPr>
        <w:spacing w:after="0" w:line="212" w:lineRule="exact"/>
        <w:rPr>
          <w:rFonts w:ascii="Arial" w:cs="Arial" w:eastAsia="Arial" w:hAnsi="Arial"/>
          <w:sz w:val="21"/>
          <w:szCs w:val="21"/>
          <w:color w:val="auto"/>
        </w:rPr>
      </w:pPr>
    </w:p>
    <w:p>
      <w:pPr>
        <w:ind w:left="660" w:right="40" w:firstLine="644"/>
        <w:spacing w:after="0" w:line="274" w:lineRule="auto"/>
        <w:tabs>
          <w:tab w:leader="none" w:pos="2064" w:val="left"/>
        </w:tabs>
        <w:numPr>
          <w:ilvl w:val="1"/>
          <w:numId w:val="56"/>
        </w:numPr>
        <w:rPr>
          <w:rFonts w:ascii="Arial" w:cs="Arial" w:eastAsia="Arial" w:hAnsi="Arial"/>
          <w:sz w:val="19"/>
          <w:szCs w:val="19"/>
          <w:color w:val="auto"/>
        </w:rPr>
      </w:pPr>
      <w:r>
        <w:rPr>
          <w:rFonts w:ascii="Arial" w:cs="Arial" w:eastAsia="Arial" w:hAnsi="Arial"/>
          <w:sz w:val="19"/>
          <w:szCs w:val="19"/>
          <w:color w:val="auto"/>
        </w:rPr>
        <w:t xml:space="preserve">TFMC Options, whether vested or unvested, held by each TFMC Participant will be adjusted, effective as of the Distribution Date and immediately prior to the Distribution, pursuant to the adjustment provisions of the TFMC LTIP, to be Adjusted TFMC Options. Subject to the adjustment provisions of the TFMC LTIP, the Adjusted TFMC Options will be subject to substantially similar vesting, exercise and payment terms that were applicable to the respective TFMC Options immediately prior to the Distribution Date. The number of such Adjusted TFMC Options that will be held by each such TFMC Participant will be equal to the product (rounded down to the nearest whole share) of (A) the number of such TFMC Options held by such TFMC Participant immediately prior to the Distribution and (B) the TFMC Adjustment Ratio. The exercise price per Adjusted TFMC Option will be equal to the quotient (rounded up to the nearest whole cent) of (I) the exercise price of the respective TFMC Option </w:t>
      </w:r>
      <w:r>
        <w:rPr>
          <w:rFonts w:ascii="Arial" w:cs="Arial" w:eastAsia="Arial" w:hAnsi="Arial"/>
          <w:sz w:val="19"/>
          <w:szCs w:val="19"/>
          <w:i w:val="1"/>
          <w:iCs w:val="1"/>
          <w:color w:val="auto"/>
        </w:rPr>
        <w:t>divided by</w:t>
      </w:r>
      <w:r>
        <w:rPr>
          <w:rFonts w:ascii="Arial" w:cs="Arial" w:eastAsia="Arial" w:hAnsi="Arial"/>
          <w:sz w:val="19"/>
          <w:szCs w:val="19"/>
          <w:color w:val="auto"/>
        </w:rPr>
        <w:t xml:space="preserve"> (II) the TFMC Adjustment Ratio.</w:t>
      </w:r>
    </w:p>
    <w:p>
      <w:pPr>
        <w:spacing w:after="0" w:line="185" w:lineRule="exact"/>
        <w:rPr>
          <w:rFonts w:ascii="Arial" w:cs="Arial" w:eastAsia="Arial" w:hAnsi="Arial"/>
          <w:sz w:val="19"/>
          <w:szCs w:val="19"/>
          <w:color w:val="auto"/>
        </w:rPr>
      </w:pPr>
    </w:p>
    <w:p>
      <w:pPr>
        <w:ind w:right="260" w:firstLine="656"/>
        <w:spacing w:after="0"/>
        <w:tabs>
          <w:tab w:leader="none" w:pos="1440" w:val="left"/>
        </w:tabs>
        <w:numPr>
          <w:ilvl w:val="0"/>
          <w:numId w:val="57"/>
        </w:numPr>
        <w:rPr>
          <w:rFonts w:ascii="Arial" w:cs="Arial" w:eastAsia="Arial" w:hAnsi="Arial"/>
          <w:sz w:val="22"/>
          <w:szCs w:val="22"/>
          <w:color w:val="auto"/>
        </w:rPr>
      </w:pPr>
      <w:r>
        <w:rPr>
          <w:rFonts w:ascii="Arial" w:cs="Arial" w:eastAsia="Arial" w:hAnsi="Arial"/>
          <w:sz w:val="22"/>
          <w:szCs w:val="22"/>
          <w:color w:val="auto"/>
        </w:rPr>
        <w:t xml:space="preserve">Effective immediately prior to the Distribution, subject to the terms of this </w:t>
      </w:r>
      <w:r>
        <w:rPr>
          <w:rFonts w:ascii="Arial" w:cs="Arial" w:eastAsia="Arial" w:hAnsi="Arial"/>
          <w:sz w:val="22"/>
          <w:szCs w:val="22"/>
          <w:u w:val="single" w:color="auto"/>
          <w:color w:val="auto"/>
        </w:rPr>
        <w:t>Article VII</w:t>
      </w:r>
      <w:r>
        <w:rPr>
          <w:rFonts w:ascii="Arial" w:cs="Arial" w:eastAsia="Arial" w:hAnsi="Arial"/>
          <w:sz w:val="22"/>
          <w:szCs w:val="22"/>
          <w:color w:val="auto"/>
        </w:rPr>
        <w:t xml:space="preserve"> (including </w:t>
      </w:r>
      <w:r>
        <w:rPr>
          <w:rFonts w:ascii="Arial" w:cs="Arial" w:eastAsia="Arial" w:hAnsi="Arial"/>
          <w:sz w:val="22"/>
          <w:szCs w:val="22"/>
          <w:u w:val="single" w:color="auto"/>
          <w:color w:val="auto"/>
        </w:rPr>
        <w:t>Section 7.6</w:t>
      </w:r>
      <w:r>
        <w:rPr>
          <w:rFonts w:ascii="Arial" w:cs="Arial" w:eastAsia="Arial" w:hAnsi="Arial"/>
          <w:sz w:val="22"/>
          <w:szCs w:val="22"/>
          <w:color w:val="auto"/>
        </w:rPr>
        <w:t>), each TFMC Equity Compensation Award that is held by a TEN Participant and is outstanding as of immediately prior to the Distribution will be adjusted as follows: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8" w:name="page99"/>
    <w:bookmarkEnd w:id="98"/>
    <w:p>
      <w:pPr>
        <w:ind w:left="-460" w:right="60" w:firstLine="644"/>
        <w:spacing w:after="0" w:line="275" w:lineRule="auto"/>
        <w:tabs>
          <w:tab w:leader="none" w:pos="932" w:val="left"/>
        </w:tabs>
        <w:numPr>
          <w:ilvl w:val="0"/>
          <w:numId w:val="58"/>
        </w:numPr>
        <w:rPr>
          <w:rFonts w:ascii="Arial" w:cs="Arial" w:eastAsia="Arial" w:hAnsi="Arial"/>
          <w:sz w:val="19"/>
          <w:szCs w:val="19"/>
          <w:color w:val="auto"/>
        </w:rPr>
      </w:pPr>
      <w:r>
        <w:rPr>
          <w:rFonts w:ascii="Arial" w:cs="Arial" w:eastAsia="Arial" w:hAnsi="Arial"/>
          <w:sz w:val="19"/>
          <w:szCs w:val="19"/>
          <w:color w:val="auto"/>
        </w:rPr>
        <w:t xml:space="preserve">After giving effect to </w:t>
      </w:r>
      <w:r>
        <w:rPr>
          <w:rFonts w:ascii="Arial" w:cs="Arial" w:eastAsia="Arial" w:hAnsi="Arial"/>
          <w:sz w:val="19"/>
          <w:szCs w:val="19"/>
          <w:u w:val="single" w:color="auto"/>
          <w:color w:val="auto"/>
        </w:rPr>
        <w:t>Section 7.6</w:t>
      </w:r>
      <w:r>
        <w:rPr>
          <w:rFonts w:ascii="Arial" w:cs="Arial" w:eastAsia="Arial" w:hAnsi="Arial"/>
          <w:sz w:val="19"/>
          <w:szCs w:val="19"/>
          <w:color w:val="auto"/>
        </w:rPr>
        <w:t xml:space="preserve">, each TFMC Time-Based RSU held by each TEN Participant will be cancelled for no consideration on the Distribution Date. On or as soon as practicable following the Distribution, TEN shall grant to each TEN Participant whose TFMC Time-Based RSUs were cancelled TEN Time-Based RSUs equal to the product (rounded down to the nearest whole unit) of (A) the number of such TFMC Time-Based RSUs held by such TEN Participant immediately prior to the Distribution Date and (B) the TEN Adjustment Ratio. The TEN Time-Based RSUs granted under this </w:t>
      </w:r>
      <w:r>
        <w:rPr>
          <w:rFonts w:ascii="Arial" w:cs="Arial" w:eastAsia="Arial" w:hAnsi="Arial"/>
          <w:sz w:val="19"/>
          <w:szCs w:val="19"/>
          <w:u w:val="single" w:color="auto"/>
          <w:color w:val="auto"/>
        </w:rPr>
        <w:t>Section 7.1(b)(i)</w:t>
      </w:r>
      <w:r>
        <w:rPr>
          <w:rFonts w:ascii="Arial" w:cs="Arial" w:eastAsia="Arial" w:hAnsi="Arial"/>
          <w:sz w:val="19"/>
          <w:szCs w:val="19"/>
          <w:color w:val="auto"/>
        </w:rPr>
        <w:t xml:space="preserve"> will be subject to substantially similar vesting and payment terms (subject to any changes made by TEN that are consistent with the TEN LTIP and that do not otherwise require participant consent) that were applicable to the corresponding TFMC Time-Based RSUs immediately prior to the Distribution Date.</w:t>
      </w:r>
    </w:p>
    <w:p>
      <w:pPr>
        <w:spacing w:after="0" w:line="184" w:lineRule="exact"/>
        <w:rPr>
          <w:rFonts w:ascii="Arial" w:cs="Arial" w:eastAsia="Arial" w:hAnsi="Arial"/>
          <w:sz w:val="19"/>
          <w:szCs w:val="19"/>
          <w:color w:val="auto"/>
        </w:rPr>
      </w:pPr>
    </w:p>
    <w:p>
      <w:pPr>
        <w:ind w:left="-460" w:firstLine="644"/>
        <w:spacing w:after="0" w:line="271" w:lineRule="auto"/>
        <w:tabs>
          <w:tab w:leader="none" w:pos="938" w:val="left"/>
        </w:tabs>
        <w:numPr>
          <w:ilvl w:val="0"/>
          <w:numId w:val="58"/>
        </w:numPr>
        <w:rPr>
          <w:rFonts w:ascii="Arial" w:cs="Arial" w:eastAsia="Arial" w:hAnsi="Arial"/>
          <w:sz w:val="19"/>
          <w:szCs w:val="19"/>
          <w:color w:val="auto"/>
        </w:rPr>
      </w:pPr>
      <w:r>
        <w:rPr>
          <w:rFonts w:ascii="Arial" w:cs="Arial" w:eastAsia="Arial" w:hAnsi="Arial"/>
          <w:sz w:val="19"/>
          <w:szCs w:val="19"/>
          <w:color w:val="auto"/>
        </w:rPr>
        <w:t xml:space="preserve">After giving effect to </w:t>
      </w:r>
      <w:r>
        <w:rPr>
          <w:rFonts w:ascii="Arial" w:cs="Arial" w:eastAsia="Arial" w:hAnsi="Arial"/>
          <w:sz w:val="19"/>
          <w:szCs w:val="19"/>
          <w:u w:val="single" w:color="auto"/>
          <w:color w:val="auto"/>
        </w:rPr>
        <w:t>Section 7.6</w:t>
      </w:r>
      <w:r>
        <w:rPr>
          <w:rFonts w:ascii="Arial" w:cs="Arial" w:eastAsia="Arial" w:hAnsi="Arial"/>
          <w:sz w:val="19"/>
          <w:szCs w:val="19"/>
          <w:color w:val="auto"/>
        </w:rPr>
        <w:t xml:space="preserve">, each TFMC Performance-Based RSU held by each TEN Participant will be cancelled for no consideration on the Distribution Date. On or as soon as practicable following the Distribution, TEN will grant TEN RSUs (either as TEN Time-Based RSUs or TEN Performance-Based RSUs as described below) to each TEN Participant whose TFMC Performance-Based RSUs were cancelled with the number of such TEN RSUs equal to the product (which will be rounded down to the nearest whole unit) of (A) the target number of such TFMC Performance-Based RSUs held by such TEN Participant immediately prior to the Distribution and (B) the TEN Adjustment Ratio. Each TEN RSU granted under this </w:t>
      </w:r>
      <w:r>
        <w:rPr>
          <w:rFonts w:ascii="Arial" w:cs="Arial" w:eastAsia="Arial" w:hAnsi="Arial"/>
          <w:sz w:val="19"/>
          <w:szCs w:val="19"/>
          <w:u w:val="single" w:color="auto"/>
          <w:color w:val="auto"/>
        </w:rPr>
        <w:t>Section 7.1(b)(ii)</w:t>
      </w:r>
      <w:r>
        <w:rPr>
          <w:rFonts w:ascii="Arial" w:cs="Arial" w:eastAsia="Arial" w:hAnsi="Arial"/>
          <w:sz w:val="19"/>
          <w:szCs w:val="19"/>
          <w:color w:val="auto"/>
        </w:rPr>
        <w:t xml:space="preserve"> in replacement of TFMC Performance Based RSUs granted in 2019 and 2020 will be granted as a TEN Time-Based RSU which will vest solely upon the satisfaction of the service or time-based vesting conditions and will have payment terms (subject to any changes made by TEN that are consistent with the TEN LTIP and that do not otherwise require participant consent) that were applicable to the corresponding TFMC Performance-Based RSUs immediately prior to the Distribution Date. Each TEN RSU granted under this </w:t>
      </w:r>
      <w:r>
        <w:rPr>
          <w:rFonts w:ascii="Arial" w:cs="Arial" w:eastAsia="Arial" w:hAnsi="Arial"/>
          <w:sz w:val="19"/>
          <w:szCs w:val="19"/>
          <w:u w:val="single" w:color="auto"/>
          <w:color w:val="auto"/>
        </w:rPr>
        <w:t>Section 7.1(b)(ii)</w:t>
      </w:r>
      <w:r>
        <w:rPr>
          <w:rFonts w:ascii="Arial" w:cs="Arial" w:eastAsia="Arial" w:hAnsi="Arial"/>
          <w:sz w:val="19"/>
          <w:szCs w:val="19"/>
          <w:color w:val="auto"/>
        </w:rPr>
        <w:t xml:space="preserve"> that is not in replacement of TFMC Performance Based RSUs granted in 2019 and 2020 will be granted as a TEN Performance-Based RSU, subject to substantially similar vesting and payment terms (subject to any changes made by TEN that are consistent with the TEN LTIP and that do not otherwise require participant consent) that were applicable to the corresponding TFMC Performance-Based RSUs immediately prior to the Distribution Date.</w:t>
      </w:r>
    </w:p>
    <w:p>
      <w:pPr>
        <w:spacing w:after="0" w:line="187" w:lineRule="exact"/>
        <w:rPr>
          <w:rFonts w:ascii="Arial" w:cs="Arial" w:eastAsia="Arial" w:hAnsi="Arial"/>
          <w:sz w:val="19"/>
          <w:szCs w:val="19"/>
          <w:color w:val="auto"/>
        </w:rPr>
      </w:pPr>
    </w:p>
    <w:p>
      <w:pPr>
        <w:ind w:left="-460" w:firstLine="644"/>
        <w:spacing w:after="0" w:line="272" w:lineRule="auto"/>
        <w:tabs>
          <w:tab w:leader="none" w:pos="890" w:val="left"/>
        </w:tabs>
        <w:numPr>
          <w:ilvl w:val="0"/>
          <w:numId w:val="58"/>
        </w:numPr>
        <w:rPr>
          <w:rFonts w:ascii="Arial" w:cs="Arial" w:eastAsia="Arial" w:hAnsi="Arial"/>
          <w:sz w:val="19"/>
          <w:szCs w:val="19"/>
          <w:color w:val="auto"/>
        </w:rPr>
      </w:pPr>
      <w:r>
        <w:rPr>
          <w:rFonts w:ascii="Arial" w:cs="Arial" w:eastAsia="Arial" w:hAnsi="Arial"/>
          <w:sz w:val="19"/>
          <w:szCs w:val="19"/>
          <w:color w:val="auto"/>
        </w:rPr>
        <w:t xml:space="preserve">Each TFMC Option that is vested as of immediately prior to the Distribution (after giving effect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7.6</w:t>
      </w:r>
      <w:r>
        <w:rPr>
          <w:rFonts w:ascii="Arial" w:cs="Arial" w:eastAsia="Arial" w:hAnsi="Arial"/>
          <w:sz w:val="19"/>
          <w:szCs w:val="19"/>
          <w:color w:val="auto"/>
        </w:rPr>
        <w:t xml:space="preserve">) and is held by a TEN Participant will be adjusted, effective as of the Distribution Date and immediately prior to the Distribution, pursuant to the adjustment provisions of the TFMC LTIP, to be Adjusted TFMC Options. The Adjusted TFMC Options will be subject to substantially similar exercise and payment terms that were applicable to the respective TFMC Options immediately prior to the Distribution Date. The number of such Adjusted TFMC Options that will be held by each such TEN Participant will be equal to the product (rounded down to the nearest whole share) of (A) the number of vested TFMC Options held by such by a TEN Participant immediately prior to the Distribution and (B) the TFMC Adjustment Ratio. The exercise price per Adjusted TFMC Option will be equal to the quotient (rounded up to the nearest whole cent) of (I) the exercise price of the respective TFMC Option </w:t>
      </w:r>
      <w:r>
        <w:rPr>
          <w:rFonts w:ascii="Arial" w:cs="Arial" w:eastAsia="Arial" w:hAnsi="Arial"/>
          <w:sz w:val="19"/>
          <w:szCs w:val="19"/>
          <w:i w:val="1"/>
          <w:iCs w:val="1"/>
          <w:color w:val="auto"/>
        </w:rPr>
        <w:t>divided by</w:t>
      </w:r>
      <w:r>
        <w:rPr>
          <w:rFonts w:ascii="Arial" w:cs="Arial" w:eastAsia="Arial" w:hAnsi="Arial"/>
          <w:sz w:val="19"/>
          <w:szCs w:val="19"/>
          <w:color w:val="auto"/>
        </w:rPr>
        <w:t xml:space="preserve"> (II) the TFMC Adjustment Ratio. From and after the Distribution, each of TFMC and TEN shall cooperate in good faith to facilitate the orderly administration of the Adjusted TFMC Options held by TEN Participants, including, without limitation, the sharing of information relating to tax withholding, remittance and reporting and compliance with applicable Law.</w:t>
      </w:r>
    </w:p>
    <w:p>
      <w:pPr>
        <w:spacing w:after="0" w:line="366"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118" w:right="359" w:bottom="1440" w:gutter="0" w:footer="0" w:header="0"/>
        </w:sectPr>
      </w:pPr>
    </w:p>
    <w:bookmarkStart w:id="99" w:name="page100"/>
    <w:bookmarkEnd w:id="99"/>
    <w:p>
      <w:pPr>
        <w:ind w:left="640" w:firstLine="644"/>
        <w:spacing w:after="0" w:line="245" w:lineRule="auto"/>
        <w:tabs>
          <w:tab w:leader="none" w:pos="2032" w:val="left"/>
        </w:tabs>
        <w:numPr>
          <w:ilvl w:val="1"/>
          <w:numId w:val="59"/>
        </w:numPr>
        <w:rPr>
          <w:rFonts w:ascii="Arial" w:cs="Arial" w:eastAsia="Arial" w:hAnsi="Arial"/>
          <w:sz w:val="21"/>
          <w:szCs w:val="21"/>
          <w:color w:val="auto"/>
        </w:rPr>
      </w:pPr>
      <w:r>
        <w:rPr>
          <w:rFonts w:ascii="Arial" w:cs="Arial" w:eastAsia="Arial" w:hAnsi="Arial"/>
          <w:sz w:val="21"/>
          <w:szCs w:val="21"/>
          <w:color w:val="auto"/>
        </w:rPr>
        <w:t xml:space="preserve">Each TFMC Option held by a TEN Participant that is not vested on the Distribution Date will be cancelled for no consideration on the Distribution Date. On or as soon as practicable following the Distribution, TEN will grant TEN Options to each TEN Participant whose TFMC Options were cancelled with the number of such TEN Options to be equal to the product (rounded down to the nearest whole share) of (A) the number of unvested TFMC Options held by such TEN Participant immediately prior to the Distribution and (B) the TEN Adjustment Ratio. The exercise price per TEN Option will be equal to the quotient (rounded up to the nearest whole cent) of (I) the exercise price of the respective TFMC Option </w:t>
      </w:r>
      <w:r>
        <w:rPr>
          <w:rFonts w:ascii="Arial" w:cs="Arial" w:eastAsia="Arial" w:hAnsi="Arial"/>
          <w:sz w:val="21"/>
          <w:szCs w:val="21"/>
          <w:i w:val="1"/>
          <w:iCs w:val="1"/>
          <w:color w:val="auto"/>
        </w:rPr>
        <w:t>divided by</w:t>
      </w:r>
      <w:r>
        <w:rPr>
          <w:rFonts w:ascii="Arial" w:cs="Arial" w:eastAsia="Arial" w:hAnsi="Arial"/>
          <w:sz w:val="21"/>
          <w:szCs w:val="21"/>
          <w:color w:val="auto"/>
        </w:rPr>
        <w:t xml:space="preserve"> (II) the TEN Adjustment Ratio. The TEN Options will be subject to substantially similar vesting and payment terms (subject to any changes made by TEN that are consistent with the TEN LTIP and that do not otherwise require participant consent) that were applicable to the respective TFMC Options immediately prior to the Distribution Date.</w:t>
      </w:r>
    </w:p>
    <w:p>
      <w:pPr>
        <w:spacing w:after="0" w:line="208" w:lineRule="exact"/>
        <w:rPr>
          <w:rFonts w:ascii="Arial" w:cs="Arial" w:eastAsia="Arial" w:hAnsi="Arial"/>
          <w:sz w:val="21"/>
          <w:szCs w:val="21"/>
          <w:color w:val="auto"/>
        </w:rPr>
      </w:pPr>
    </w:p>
    <w:p>
      <w:pPr>
        <w:ind w:left="640" w:right="120" w:firstLine="644"/>
        <w:spacing w:after="0" w:line="279" w:lineRule="auto"/>
        <w:tabs>
          <w:tab w:leader="none" w:pos="2026" w:val="left"/>
        </w:tabs>
        <w:numPr>
          <w:ilvl w:val="1"/>
          <w:numId w:val="59"/>
        </w:numPr>
        <w:rPr>
          <w:rFonts w:ascii="Arial" w:cs="Arial" w:eastAsia="Arial" w:hAnsi="Arial"/>
          <w:sz w:val="19"/>
          <w:szCs w:val="19"/>
          <w:color w:val="auto"/>
        </w:rPr>
      </w:pPr>
      <w:r>
        <w:rPr>
          <w:rFonts w:ascii="Arial" w:cs="Arial" w:eastAsia="Arial" w:hAnsi="Arial"/>
          <w:sz w:val="19"/>
          <w:szCs w:val="19"/>
          <w:color w:val="auto"/>
        </w:rPr>
        <w:t>Each TFMC Time-Based RSU held by each TEN Director will be cancelled for no consideration on the Distribution Date. As soon as practical following the Distribution, TEN shall grant each TEN Director TEN Time-Based RSUs in accordance with TEN’s director remuneration policy in payment of all director equity grants for service to both TEN and TFMC in 2021. Each TFMC Vested Director RSU will be settled either (a) after a period of one (1) to ten (10) years from the grant date or (b) upon the applicable TEN Director’s separation of service from the TFMC board, as previously elected by the applicable TEN Director in accordance with the terms of the TFMC Vested Director RSUs.</w:t>
      </w:r>
    </w:p>
    <w:p>
      <w:pPr>
        <w:spacing w:after="0" w:line="177" w:lineRule="exact"/>
        <w:rPr>
          <w:rFonts w:ascii="Arial" w:cs="Arial" w:eastAsia="Arial" w:hAnsi="Arial"/>
          <w:sz w:val="19"/>
          <w:szCs w:val="19"/>
          <w:color w:val="auto"/>
        </w:rPr>
      </w:pPr>
    </w:p>
    <w:p>
      <w:pPr>
        <w:ind w:left="-20" w:right="100" w:firstLine="656"/>
        <w:spacing w:after="0" w:line="273" w:lineRule="auto"/>
        <w:tabs>
          <w:tab w:leader="none" w:pos="1408" w:val="left"/>
        </w:tabs>
        <w:numPr>
          <w:ilvl w:val="0"/>
          <w:numId w:val="60"/>
        </w:numPr>
        <w:rPr>
          <w:rFonts w:ascii="Arial" w:cs="Arial" w:eastAsia="Arial" w:hAnsi="Arial"/>
          <w:sz w:val="19"/>
          <w:szCs w:val="19"/>
          <w:color w:val="auto"/>
        </w:rPr>
      </w:pPr>
      <w:r>
        <w:rPr>
          <w:rFonts w:ascii="Arial" w:cs="Arial" w:eastAsia="Arial" w:hAnsi="Arial"/>
          <w:sz w:val="19"/>
          <w:szCs w:val="19"/>
          <w:color w:val="auto"/>
        </w:rPr>
        <w:t xml:space="preserve">Prior to the Distribution Date, TEN will establish equity compensation plans, including the TEN LTIP, so that upon the Distribution, TEN will have in effect an equity compensation plan that allows grants of equity compensation awards subject to substantially the same terms as those that apply to the applicable TFMC Equity Compensation Awards (including the TEN Time-Based RSUs and TEN Options, as contemplated by </w:t>
      </w:r>
      <w:r>
        <w:rPr>
          <w:rFonts w:ascii="Arial" w:cs="Arial" w:eastAsia="Arial" w:hAnsi="Arial"/>
          <w:sz w:val="19"/>
          <w:szCs w:val="19"/>
          <w:u w:val="single" w:color="auto"/>
          <w:color w:val="auto"/>
        </w:rPr>
        <w:t>Section 7.1(b)</w:t>
      </w:r>
      <w:r>
        <w:rPr>
          <w:rFonts w:ascii="Arial" w:cs="Arial" w:eastAsia="Arial" w:hAnsi="Arial"/>
          <w:sz w:val="19"/>
          <w:szCs w:val="19"/>
          <w:color w:val="auto"/>
        </w:rPr>
        <w:t xml:space="preserve"> above). From and after the Distribution Date, each TEN Equity Compensation Award will be subject to the terms of the applicable TEN equity compensation plan, the award agreement and such other applicable writings governing such TEN Equity Compensation Award and any Employment Agreement to which the applicable holder is a party. From and after the Distribution Date, (i) TEN will retain, pay, perform, fulfill and discharge all Liabilities arising out of or relating to the TEN Equity Compensation Awards, which will constitute TEN Employee Liabilities for purposes of this Employee Matters Agreement, and (ii) TFMC will retain, pay, perform, fulfill and discharge all Liabilities arising out of or relating to the TFMC Equity Compensation Awards, which will constitute TFMC Employee Liabilities for purposes of this Employee Matters Agreement.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8" w:right="339" w:bottom="1440" w:gutter="0" w:footer="0" w:header="0"/>
        </w:sectPr>
      </w:pPr>
    </w:p>
    <w:bookmarkStart w:id="100" w:name="page101"/>
    <w:bookmarkEnd w:id="100"/>
    <w:p>
      <w:pPr>
        <w:ind w:right="20" w:firstLine="648"/>
        <w:spacing w:after="0" w:line="279" w:lineRule="auto"/>
        <w:rPr>
          <w:sz w:val="20"/>
          <w:szCs w:val="20"/>
          <w:color w:val="auto"/>
        </w:rPr>
      </w:pPr>
      <w:r>
        <w:rPr>
          <w:rFonts w:ascii="Arial" w:cs="Arial" w:eastAsia="Arial" w:hAnsi="Arial"/>
          <w:sz w:val="19"/>
          <w:szCs w:val="19"/>
          <w:color w:val="auto"/>
        </w:rPr>
        <w:t xml:space="preserve">7.2 </w:t>
      </w:r>
      <w:r>
        <w:rPr>
          <w:rFonts w:ascii="Arial" w:cs="Arial" w:eastAsia="Arial" w:hAnsi="Arial"/>
          <w:sz w:val="19"/>
          <w:szCs w:val="19"/>
          <w:u w:val="single" w:color="auto"/>
          <w:color w:val="auto"/>
        </w:rPr>
        <w:t>Conformity with Laws</w:t>
      </w:r>
      <w:r>
        <w:rPr>
          <w:rFonts w:ascii="Arial" w:cs="Arial" w:eastAsia="Arial" w:hAnsi="Arial"/>
          <w:sz w:val="19"/>
          <w:szCs w:val="19"/>
          <w:color w:val="auto"/>
        </w:rPr>
        <w:t xml:space="preserve">. Notwithstanding anything to the contrary in this Employee Matters Agreement, (i) to the extent any of the provisions in this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(or any equity award described herein) do not conform with applicable Laws (including provisions for the collection of withholding taxes), such provisions shall be modified to the extent necessary to conform with such Laws in such manner as is equitable and to preserve the intent hereof, as determined by the parties in good faith, and (ii) the provisions of this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may be modified, as mutually agreed by the parties, to the extent necessary to avoid undue cost or administrative burden arising out of the application of this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to awards subject to Laws.</w:t>
      </w:r>
    </w:p>
    <w:p>
      <w:pPr>
        <w:spacing w:after="0" w:line="178"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19"/>
          <w:szCs w:val="19"/>
          <w:u w:val="single" w:color="auto"/>
          <w:color w:val="auto"/>
        </w:rPr>
        <w:t>Tax Withholding and Reporting</w:t>
      </w:r>
      <w:r>
        <w:rPr>
          <w:rFonts w:ascii="Arial" w:cs="Arial" w:eastAsia="Arial" w:hAnsi="Arial"/>
          <w:sz w:val="19"/>
          <w:szCs w:val="19"/>
          <w:color w:val="auto"/>
        </w:rPr>
        <w:t>.</w:t>
      </w:r>
    </w:p>
    <w:p>
      <w:pPr>
        <w:spacing w:after="0" w:line="233" w:lineRule="exact"/>
        <w:rPr>
          <w:sz w:val="20"/>
          <w:szCs w:val="20"/>
          <w:color w:val="auto"/>
        </w:rPr>
      </w:pPr>
    </w:p>
    <w:p>
      <w:pPr>
        <w:ind w:firstLine="656"/>
        <w:spacing w:after="0" w:line="236" w:lineRule="auto"/>
        <w:tabs>
          <w:tab w:leader="none" w:pos="1428" w:val="left"/>
        </w:tabs>
        <w:numPr>
          <w:ilvl w:val="0"/>
          <w:numId w:val="61"/>
        </w:numPr>
        <w:rPr>
          <w:rFonts w:ascii="Arial" w:cs="Arial" w:eastAsia="Arial" w:hAnsi="Arial"/>
          <w:sz w:val="22"/>
          <w:szCs w:val="22"/>
          <w:color w:val="auto"/>
        </w:rPr>
      </w:pPr>
      <w:r>
        <w:rPr>
          <w:rFonts w:ascii="Arial" w:cs="Arial" w:eastAsia="Arial" w:hAnsi="Arial"/>
          <w:sz w:val="22"/>
          <w:szCs w:val="22"/>
          <w:color w:val="auto"/>
        </w:rPr>
        <w:t>Except as otherwise required by applicable Law, the appropriate member of the TFMC Group will be responsible for all payroll taxes, withholding and reporting with respect to TFMC Equity Compensation Awards held by TFMC Employees, Former TFMC Employees, TEN Employees and Former TEN Employees. Except as otherwise required by applicable Law, the appropriate member of the TEN Group will be responsible for all payroll taxes, withholding and reporting with respect to TEN Equity Compensation Awards held by TEN Employees.</w:t>
      </w:r>
    </w:p>
    <w:p>
      <w:pPr>
        <w:spacing w:after="0" w:line="214" w:lineRule="exact"/>
        <w:rPr>
          <w:rFonts w:ascii="Arial" w:cs="Arial" w:eastAsia="Arial" w:hAnsi="Arial"/>
          <w:sz w:val="22"/>
          <w:szCs w:val="22"/>
          <w:color w:val="auto"/>
        </w:rPr>
      </w:pPr>
    </w:p>
    <w:p>
      <w:pPr>
        <w:ind w:right="80" w:firstLine="656"/>
        <w:spacing w:after="0" w:line="236" w:lineRule="auto"/>
        <w:tabs>
          <w:tab w:leader="none" w:pos="1440" w:val="left"/>
        </w:tabs>
        <w:numPr>
          <w:ilvl w:val="0"/>
          <w:numId w:val="61"/>
        </w:numPr>
        <w:rPr>
          <w:rFonts w:ascii="Arial" w:cs="Arial" w:eastAsia="Arial" w:hAnsi="Arial"/>
          <w:sz w:val="22"/>
          <w:szCs w:val="22"/>
          <w:color w:val="auto"/>
        </w:rPr>
      </w:pPr>
      <w:r>
        <w:rPr>
          <w:rFonts w:ascii="Arial" w:cs="Arial" w:eastAsia="Arial" w:hAnsi="Arial"/>
          <w:sz w:val="22"/>
          <w:szCs w:val="22"/>
          <w:color w:val="auto"/>
        </w:rPr>
        <w:t xml:space="preserve">If TFMC or TEN determines in its reasonable judgment that any action required under this </w:t>
      </w:r>
      <w:r>
        <w:rPr>
          <w:rFonts w:ascii="Arial" w:cs="Arial" w:eastAsia="Arial" w:hAnsi="Arial"/>
          <w:sz w:val="22"/>
          <w:szCs w:val="22"/>
          <w:u w:val="single" w:color="auto"/>
          <w:color w:val="auto"/>
        </w:rPr>
        <w:t>Article VII</w:t>
      </w:r>
      <w:r>
        <w:rPr>
          <w:rFonts w:ascii="Arial" w:cs="Arial" w:eastAsia="Arial" w:hAnsi="Arial"/>
          <w:sz w:val="22"/>
          <w:szCs w:val="22"/>
          <w:color w:val="auto"/>
        </w:rPr>
        <w:t xml:space="preserve"> will not achieve the intended tax, accounting and legal results, including, without limitation, the intended results under Code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409A</w:t>
      </w:r>
      <w:r>
        <w:rPr>
          <w:rFonts w:ascii="Arial" w:cs="Arial" w:eastAsia="Arial" w:hAnsi="Arial"/>
          <w:sz w:val="22"/>
          <w:szCs w:val="22"/>
          <w:color w:val="auto"/>
        </w:rPr>
        <w:t xml:space="preserve"> or FASB ASC Topic 718 – Stock Compensation, then at the request of TFMC or TEN, as applicable, TFMC and TEN will mutually cooperate in taking such actions as are necessary or appropriate to achieve such results, or most nearly achieve such results if the originally-intended results are not fully attainable.</w:t>
      </w:r>
    </w:p>
    <w:p>
      <w:pPr>
        <w:spacing w:after="0" w:line="214" w:lineRule="exact"/>
        <w:rPr>
          <w:rFonts w:ascii="Arial" w:cs="Arial" w:eastAsia="Arial" w:hAnsi="Arial"/>
          <w:sz w:val="22"/>
          <w:szCs w:val="22"/>
          <w:color w:val="auto"/>
        </w:rPr>
      </w:pPr>
    </w:p>
    <w:p>
      <w:pPr>
        <w:ind w:right="340" w:firstLine="656"/>
        <w:spacing w:after="0" w:line="250" w:lineRule="auto"/>
        <w:tabs>
          <w:tab w:leader="none" w:pos="1482" w:val="left"/>
        </w:tabs>
        <w:numPr>
          <w:ilvl w:val="0"/>
          <w:numId w:val="61"/>
        </w:numPr>
        <w:rPr>
          <w:rFonts w:ascii="Arial" w:cs="Arial" w:eastAsia="Arial" w:hAnsi="Arial"/>
          <w:sz w:val="22"/>
          <w:szCs w:val="22"/>
          <w:color w:val="auto"/>
        </w:rPr>
      </w:pPr>
      <w:r>
        <w:rPr>
          <w:rFonts w:ascii="Arial" w:cs="Arial" w:eastAsia="Arial" w:hAnsi="Arial"/>
          <w:sz w:val="22"/>
          <w:szCs w:val="22"/>
          <w:color w:val="auto"/>
        </w:rPr>
        <w:t>Tax deductions with respect to TFMC Equity Compensation Awards and TEN Equity Compensation Awards will be allocated in accordance with the Tax Matters Agreement.</w:t>
      </w:r>
    </w:p>
    <w:p>
      <w:pPr>
        <w:spacing w:after="0" w:line="20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22"/>
          <w:szCs w:val="22"/>
          <w:color w:val="auto"/>
        </w:rPr>
        <w:t>7.4</w:t>
      </w:r>
      <w:r>
        <w:rPr>
          <w:sz w:val="20"/>
          <w:szCs w:val="20"/>
          <w:color w:val="auto"/>
        </w:rPr>
        <w:tab/>
      </w:r>
      <w:r>
        <w:rPr>
          <w:rFonts w:ascii="Arial" w:cs="Arial" w:eastAsia="Arial" w:hAnsi="Arial"/>
          <w:sz w:val="19"/>
          <w:szCs w:val="19"/>
          <w:u w:val="single" w:color="auto"/>
          <w:color w:val="auto"/>
        </w:rPr>
        <w:t>Employment Treatment</w:t>
      </w:r>
      <w:r>
        <w:rPr>
          <w:rFonts w:ascii="Arial" w:cs="Arial" w:eastAsia="Arial" w:hAnsi="Arial"/>
          <w:sz w:val="19"/>
          <w:szCs w:val="19"/>
          <w:color w:val="auto"/>
        </w:rPr>
        <w:t>.</w:t>
      </w:r>
    </w:p>
    <w:p>
      <w:pPr>
        <w:spacing w:after="0" w:line="233" w:lineRule="exact"/>
        <w:rPr>
          <w:sz w:val="20"/>
          <w:szCs w:val="20"/>
          <w:color w:val="auto"/>
        </w:rPr>
      </w:pPr>
    </w:p>
    <w:p>
      <w:pPr>
        <w:ind w:right="120" w:firstLine="656"/>
        <w:spacing w:after="0" w:line="252" w:lineRule="auto"/>
        <w:tabs>
          <w:tab w:leader="none" w:pos="1428" w:val="left"/>
        </w:tabs>
        <w:numPr>
          <w:ilvl w:val="0"/>
          <w:numId w:val="62"/>
        </w:numPr>
        <w:rPr>
          <w:rFonts w:ascii="Arial" w:cs="Arial" w:eastAsia="Arial" w:hAnsi="Arial"/>
          <w:sz w:val="21"/>
          <w:szCs w:val="21"/>
          <w:color w:val="auto"/>
        </w:rPr>
      </w:pPr>
      <w:r>
        <w:rPr>
          <w:rFonts w:ascii="Arial" w:cs="Arial" w:eastAsia="Arial" w:hAnsi="Arial"/>
          <w:sz w:val="21"/>
          <w:szCs w:val="21"/>
          <w:color w:val="auto"/>
        </w:rPr>
        <w:t xml:space="preserve">On the Distribution Date each TEN Employee and Former TEN Employee, other than a TEN Transferee will be deemed to have terminated employment with the TFMC Group and will cease vesting in any TFMC Equity Compensation Award. For purposes of this </w:t>
      </w:r>
      <w:r>
        <w:rPr>
          <w:rFonts w:ascii="Arial" w:cs="Arial" w:eastAsia="Arial" w:hAnsi="Arial"/>
          <w:sz w:val="21"/>
          <w:szCs w:val="21"/>
          <w:u w:val="single" w:color="auto"/>
          <w:color w:val="auto"/>
        </w:rPr>
        <w:t>Article VII</w:t>
      </w:r>
      <w:r>
        <w:rPr>
          <w:rFonts w:ascii="Arial" w:cs="Arial" w:eastAsia="Arial" w:hAnsi="Arial"/>
          <w:sz w:val="21"/>
          <w:szCs w:val="21"/>
          <w:color w:val="auto"/>
        </w:rPr>
        <w:t xml:space="preserve"> only, if an individual is a TEN Transferee, such individual’s employment will be considered to have terminated his or her employment on his or her Delayed Transfer Date.</w:t>
      </w:r>
    </w:p>
    <w:p>
      <w:pPr>
        <w:spacing w:after="0" w:line="200" w:lineRule="exact"/>
        <w:rPr>
          <w:rFonts w:ascii="Arial" w:cs="Arial" w:eastAsia="Arial" w:hAnsi="Arial"/>
          <w:sz w:val="21"/>
          <w:szCs w:val="21"/>
          <w:color w:val="auto"/>
        </w:rPr>
      </w:pPr>
    </w:p>
    <w:p>
      <w:pPr>
        <w:ind w:firstLine="656"/>
        <w:spacing w:after="0" w:line="249" w:lineRule="auto"/>
        <w:tabs>
          <w:tab w:leader="none" w:pos="1440" w:val="left"/>
        </w:tabs>
        <w:numPr>
          <w:ilvl w:val="0"/>
          <w:numId w:val="62"/>
        </w:numPr>
        <w:rPr>
          <w:rFonts w:ascii="Arial" w:cs="Arial" w:eastAsia="Arial" w:hAnsi="Arial"/>
          <w:sz w:val="21"/>
          <w:szCs w:val="21"/>
          <w:color w:val="auto"/>
        </w:rPr>
      </w:pPr>
      <w:r>
        <w:rPr>
          <w:rFonts w:ascii="Arial" w:cs="Arial" w:eastAsia="Arial" w:hAnsi="Arial"/>
          <w:sz w:val="21"/>
          <w:szCs w:val="21"/>
          <w:color w:val="auto"/>
        </w:rPr>
        <w:t>If, after the Distribution Date, TFMC or TEN identifies an administrative error in the individuals identified as holding TFMC Equity Compensation Awards and TEN Equity Compensation Awards, the amount of such awards so held, the forfeiture of any such awards, vesting level of such awards, or any other similar error, TFMC and TEN will mutually cooperate in taking such actions as are necessary or appropriate to place, as nearly as reasonably practicable, the individual and TFMC and TEN in the position in which they would have been had the error not occurred.</w:t>
      </w:r>
    </w:p>
    <w:p>
      <w:pPr>
        <w:spacing w:after="0" w:line="205"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 xml:space="preserve">7.5 </w:t>
      </w:r>
      <w:r>
        <w:rPr>
          <w:rFonts w:ascii="Arial" w:cs="Arial" w:eastAsia="Arial" w:hAnsi="Arial"/>
          <w:sz w:val="22"/>
          <w:szCs w:val="22"/>
          <w:u w:val="single" w:color="auto"/>
          <w:color w:val="auto"/>
        </w:rPr>
        <w:t>Registration</w:t>
      </w:r>
      <w:r>
        <w:rPr>
          <w:rFonts w:ascii="Arial" w:cs="Arial" w:eastAsia="Arial" w:hAnsi="Arial"/>
          <w:sz w:val="22"/>
          <w:szCs w:val="22"/>
          <w:color w:val="auto"/>
        </w:rPr>
        <w:t>. TEN will register the TEN Shares relating to the TEN Equity Compensation Awards and make any necessary filings with the appropriate Governmental Entities as required under securities Laws.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1" w:name="page102"/>
    <w:bookmarkEnd w:id="101"/>
    <w:p>
      <w:pPr>
        <w:ind w:firstLine="648"/>
        <w:spacing w:after="0" w:line="234" w:lineRule="auto"/>
        <w:rPr>
          <w:sz w:val="20"/>
          <w:szCs w:val="20"/>
          <w:color w:val="auto"/>
        </w:rPr>
      </w:pPr>
      <w:r>
        <w:rPr>
          <w:rFonts w:ascii="Arial" w:cs="Arial" w:eastAsia="Arial" w:hAnsi="Arial"/>
          <w:sz w:val="22"/>
          <w:szCs w:val="22"/>
          <w:color w:val="auto"/>
        </w:rPr>
        <w:t xml:space="preserve">7.6 </w:t>
      </w:r>
      <w:r>
        <w:rPr>
          <w:rFonts w:ascii="Arial" w:cs="Arial" w:eastAsia="Arial" w:hAnsi="Arial"/>
          <w:sz w:val="22"/>
          <w:szCs w:val="22"/>
          <w:u w:val="single" w:color="auto"/>
          <w:color w:val="auto"/>
        </w:rPr>
        <w:t>Accelerated Vesting</w:t>
      </w:r>
      <w:r>
        <w:rPr>
          <w:rFonts w:ascii="Arial" w:cs="Arial" w:eastAsia="Arial" w:hAnsi="Arial"/>
          <w:sz w:val="22"/>
          <w:szCs w:val="22"/>
          <w:color w:val="auto"/>
        </w:rPr>
        <w:t xml:space="preserve">. Notwithstanding anything herein to the contrary, each TFMC Time-Based RSU and TFMC Performance-Based RSU that (i) would otherwise vest within one (1) year following the Distribution Date that is not a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409A</w:t>
      </w:r>
      <w:r>
        <w:rPr>
          <w:rFonts w:ascii="Arial" w:cs="Arial" w:eastAsia="Arial" w:hAnsi="Arial"/>
          <w:sz w:val="22"/>
          <w:szCs w:val="22"/>
          <w:color w:val="auto"/>
        </w:rPr>
        <w:t xml:space="preserve"> Award, and (ii) that is held by (A) any TFMC Participant, other than TFMC Participants who are members of the Board of Directors of TFMC or a TFMC Executive Leadership Team member, or (B) a TEN Participant TEN Director, shall accelerate and vest in full prior to or on the Distribution Date, with the number of TFMC Performance-Based RSUs vesting measured based on the level of achievement realized against the performance criteria applicable to TFMC Performance-Based RSUs immediately prior to such acceleration.</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VIII.</w:t>
      </w:r>
    </w:p>
    <w:p>
      <w:pPr>
        <w:jc w:val="center"/>
        <w:spacing w:after="0" w:line="238" w:lineRule="auto"/>
        <w:rPr>
          <w:sz w:val="20"/>
          <w:szCs w:val="20"/>
          <w:color w:val="auto"/>
        </w:rPr>
      </w:pPr>
      <w:r>
        <w:rPr>
          <w:rFonts w:ascii="Arial" w:cs="Arial" w:eastAsia="Arial" w:hAnsi="Arial"/>
          <w:sz w:val="22"/>
          <w:szCs w:val="22"/>
          <w:color w:val="auto"/>
        </w:rPr>
        <w:t>BENEFIT PLAN TRANSITION SERVICES,</w:t>
      </w:r>
    </w:p>
    <w:p>
      <w:pPr>
        <w:jc w:val="center"/>
        <w:spacing w:after="0"/>
        <w:rPr>
          <w:sz w:val="20"/>
          <w:szCs w:val="20"/>
          <w:color w:val="auto"/>
        </w:rPr>
      </w:pPr>
      <w:r>
        <w:rPr>
          <w:rFonts w:ascii="Arial" w:cs="Arial" w:eastAsia="Arial" w:hAnsi="Arial"/>
          <w:sz w:val="22"/>
          <w:szCs w:val="22"/>
          <w:color w:val="auto"/>
        </w:rPr>
        <w:t>BENEFIT PLAN THIRD-PARTY CLAIMS</w:t>
      </w:r>
    </w:p>
    <w:p>
      <w:pPr>
        <w:spacing w:after="0" w:line="215" w:lineRule="exact"/>
        <w:rPr>
          <w:sz w:val="20"/>
          <w:szCs w:val="20"/>
          <w:color w:val="auto"/>
        </w:rPr>
      </w:pPr>
    </w:p>
    <w:p>
      <w:pPr>
        <w:ind w:right="20" w:firstLine="648"/>
        <w:spacing w:after="0" w:line="238" w:lineRule="auto"/>
        <w:rPr>
          <w:sz w:val="20"/>
          <w:szCs w:val="20"/>
          <w:color w:val="auto"/>
        </w:rPr>
      </w:pPr>
      <w:r>
        <w:rPr>
          <w:rFonts w:ascii="Arial" w:cs="Arial" w:eastAsia="Arial" w:hAnsi="Arial"/>
          <w:sz w:val="22"/>
          <w:szCs w:val="22"/>
          <w:color w:val="auto"/>
        </w:rPr>
        <w:t xml:space="preserve">8.1 </w:t>
      </w:r>
      <w:r>
        <w:rPr>
          <w:rFonts w:ascii="Arial" w:cs="Arial" w:eastAsia="Arial" w:hAnsi="Arial"/>
          <w:sz w:val="22"/>
          <w:szCs w:val="22"/>
          <w:u w:val="single" w:color="auto"/>
          <w:color w:val="auto"/>
        </w:rPr>
        <w:t>General Principles</w:t>
      </w:r>
      <w:r>
        <w:rPr>
          <w:rFonts w:ascii="Arial" w:cs="Arial" w:eastAsia="Arial" w:hAnsi="Arial"/>
          <w:sz w:val="22"/>
          <w:szCs w:val="22"/>
          <w:color w:val="auto"/>
        </w:rPr>
        <w:t>. From and after the Distribution Date, any services that a TEN Entity will provide to the members of the TFMC Group or that a TFMC Entity will provide to the members of the TEN Group relating to any Benefit Plans will be set forth in the Transition Services Agreements (and, to the extent provided therein, a TEN Entity or a TFMC Entity will provide administrative services referred to in this Employee Matters Agreement).</w:t>
      </w:r>
    </w:p>
    <w:p>
      <w:pPr>
        <w:spacing w:after="0" w:line="212" w:lineRule="exact"/>
        <w:rPr>
          <w:sz w:val="20"/>
          <w:szCs w:val="20"/>
          <w:color w:val="auto"/>
        </w:rPr>
      </w:pPr>
    </w:p>
    <w:p>
      <w:pPr>
        <w:ind w:right="480" w:firstLine="648"/>
        <w:spacing w:after="0" w:line="250" w:lineRule="auto"/>
        <w:rPr>
          <w:sz w:val="20"/>
          <w:szCs w:val="20"/>
          <w:color w:val="auto"/>
        </w:rPr>
      </w:pPr>
      <w:r>
        <w:rPr>
          <w:rFonts w:ascii="Arial" w:cs="Arial" w:eastAsia="Arial" w:hAnsi="Arial"/>
          <w:sz w:val="22"/>
          <w:szCs w:val="22"/>
          <w:color w:val="auto"/>
        </w:rPr>
        <w:t xml:space="preserve">8.2 </w:t>
      </w:r>
      <w:r>
        <w:rPr>
          <w:rFonts w:ascii="Arial" w:cs="Arial" w:eastAsia="Arial" w:hAnsi="Arial"/>
          <w:sz w:val="22"/>
          <w:szCs w:val="22"/>
          <w:u w:val="single" w:color="auto"/>
          <w:color w:val="auto"/>
        </w:rPr>
        <w:t>Benefit Plan Third-Party Claims</w:t>
      </w:r>
      <w:r>
        <w:rPr>
          <w:rFonts w:ascii="Arial" w:cs="Arial" w:eastAsia="Arial" w:hAnsi="Arial"/>
          <w:sz w:val="22"/>
          <w:szCs w:val="22"/>
          <w:color w:val="auto"/>
        </w:rPr>
        <w:t>. Any Third-Party Claim relating to the matters addressed in this Employee Matters Agreement shall be governed by the applicable provisions of the Separation Agreement.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IX.</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INDEMNIFICATION</w:t>
      </w:r>
    </w:p>
    <w:p>
      <w:pPr>
        <w:spacing w:after="0" w:line="215" w:lineRule="exact"/>
        <w:rPr>
          <w:sz w:val="20"/>
          <w:szCs w:val="20"/>
          <w:color w:val="auto"/>
        </w:rPr>
      </w:pPr>
    </w:p>
    <w:p>
      <w:pPr>
        <w:ind w:right="240" w:firstLine="648"/>
        <w:spacing w:after="0" w:line="234" w:lineRule="auto"/>
        <w:rPr>
          <w:sz w:val="20"/>
          <w:szCs w:val="20"/>
          <w:color w:val="auto"/>
        </w:rPr>
      </w:pPr>
      <w:r>
        <w:rPr>
          <w:rFonts w:ascii="Arial" w:cs="Arial" w:eastAsia="Arial" w:hAnsi="Arial"/>
          <w:sz w:val="22"/>
          <w:szCs w:val="22"/>
          <w:color w:val="auto"/>
        </w:rPr>
        <w:t xml:space="preserve">9.1 </w:t>
      </w:r>
      <w:r>
        <w:rPr>
          <w:rFonts w:ascii="Arial" w:cs="Arial" w:eastAsia="Arial" w:hAnsi="Arial"/>
          <w:sz w:val="22"/>
          <w:szCs w:val="22"/>
          <w:u w:val="single" w:color="auto"/>
          <w:color w:val="auto"/>
        </w:rPr>
        <w:t>Indemnification</w:t>
      </w:r>
      <w:r>
        <w:rPr>
          <w:rFonts w:ascii="Arial" w:cs="Arial" w:eastAsia="Arial" w:hAnsi="Arial"/>
          <w:sz w:val="22"/>
          <w:szCs w:val="22"/>
          <w:color w:val="auto"/>
        </w:rPr>
        <w:t xml:space="preserve">. All TEN Employee Liabilities or any other Liabilities retained or assumed by or allocated to TEN or the TEN Group pursuant to this Employee Matters Agreement will be deemed to be Liabilities for which the TFMC Indemnitees shall be indemnified pursuant to </w:t>
      </w:r>
      <w:r>
        <w:rPr>
          <w:rFonts w:ascii="Arial" w:cs="Arial" w:eastAsia="Arial" w:hAnsi="Arial"/>
          <w:sz w:val="22"/>
          <w:szCs w:val="22"/>
          <w:u w:val="single" w:color="auto"/>
          <w:color w:val="auto"/>
        </w:rPr>
        <w:t>Section 3.3</w:t>
      </w:r>
      <w:r>
        <w:rPr>
          <w:rFonts w:ascii="Arial" w:cs="Arial" w:eastAsia="Arial" w:hAnsi="Arial"/>
          <w:sz w:val="22"/>
          <w:szCs w:val="22"/>
          <w:color w:val="auto"/>
        </w:rPr>
        <w:t xml:space="preserve"> of the Separation Agreement, and all TFMC Employee Liabilities or any other Liabilities retained or assumed by or allocated to TFMC or the TFMC Group pursuant to this Employee Matters Agreement will be deemed to be Liabilities for which the TEN Indemnitees shall be indemnified by TFMC pursuant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3.2</w:t>
      </w:r>
      <w:r>
        <w:rPr>
          <w:rFonts w:ascii="Arial" w:cs="Arial" w:eastAsia="Arial" w:hAnsi="Arial"/>
          <w:sz w:val="22"/>
          <w:szCs w:val="22"/>
          <w:color w:val="auto"/>
        </w:rPr>
        <w:t xml:space="preserve"> of the Separation Agreement. This indemnification shall be governed by the applicable indemnification terms of the Separation Agreement.</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X.</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ADDITIONAL COVENANTS</w:t>
      </w:r>
    </w:p>
    <w:p>
      <w:pPr>
        <w:spacing w:after="0" w:line="215"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color w:val="auto"/>
        </w:rPr>
        <w:t xml:space="preserve">10.1 </w:t>
      </w:r>
      <w:r>
        <w:rPr>
          <w:rFonts w:ascii="Arial" w:cs="Arial" w:eastAsia="Arial" w:hAnsi="Arial"/>
          <w:sz w:val="19"/>
          <w:szCs w:val="19"/>
          <w:u w:val="single" w:color="auto"/>
          <w:color w:val="auto"/>
        </w:rPr>
        <w:t>Cooperation</w:t>
      </w:r>
      <w:r>
        <w:rPr>
          <w:rFonts w:ascii="Arial" w:cs="Arial" w:eastAsia="Arial" w:hAnsi="Arial"/>
          <w:sz w:val="19"/>
          <w:szCs w:val="19"/>
          <w:color w:val="auto"/>
        </w:rPr>
        <w:t xml:space="preserve">. Following the date of this Employee Matters Agreement, TFMC and TEN will, and will cause their respective Subsidiaries, agents and vendors to, use commercially reasonable efforts to cooperate with respect to any employee compensation, benefits or human resources systems matters that TFMC or TEN, as applicable, reasonably determines require the cooperation of both TFMC and TEN in order to accomplish the objectives of this Employee Matters Agreement. Without limiting the generality of the preceding sentence, (a) TFMC and TEN will cooperate in coordinating each of their respective payroll systems in connection with the transfers of TFMC Employees to the TFMC Group and the Distribution, (b) TFMC and TEN will, and will cause its Subsidiaries to, transfer records as reasonably necessary for the proper administration of the other’s respective Benefit Plans, to the extent such records are in TFMC’s or TEN’s possession, (c) TFMC and TEN will share, with each other and with their respective agents and vendors (without obtaining releases), all employee, participant and beneficiary information necessary for the efficient and accurate administration of the Benefit Plans, and (d) TFMC and TEN will share such information as is necessary to administer equity awards pursuant to </w:t>
      </w:r>
      <w:r>
        <w:rPr>
          <w:rFonts w:ascii="Arial" w:cs="Arial" w:eastAsia="Arial" w:hAnsi="Arial"/>
          <w:sz w:val="19"/>
          <w:szCs w:val="19"/>
          <w:u w:val="single" w:color="auto"/>
          <w:color w:val="auto"/>
        </w:rPr>
        <w:t>Article VII</w:t>
      </w:r>
      <w:r>
        <w:rPr>
          <w:rFonts w:ascii="Arial" w:cs="Arial" w:eastAsia="Arial" w:hAnsi="Arial"/>
          <w:sz w:val="19"/>
          <w:szCs w:val="19"/>
          <w:color w:val="auto"/>
        </w:rPr>
        <w:t>, to provide any required information to holders of such equity awards, and to make any governmental filings with respect thereto.</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2" w:name="page103"/>
    <w:bookmarkEnd w:id="102"/>
    <w:p>
      <w:pPr>
        <w:ind w:firstLine="648"/>
        <w:spacing w:after="0" w:line="274" w:lineRule="auto"/>
        <w:rPr>
          <w:sz w:val="20"/>
          <w:szCs w:val="20"/>
          <w:color w:val="auto"/>
        </w:rPr>
      </w:pPr>
      <w:r>
        <w:rPr>
          <w:rFonts w:ascii="Arial" w:cs="Arial" w:eastAsia="Arial" w:hAnsi="Arial"/>
          <w:sz w:val="19"/>
          <w:szCs w:val="19"/>
          <w:color w:val="auto"/>
        </w:rPr>
        <w:t xml:space="preserve">10.2 </w:t>
      </w:r>
      <w:r>
        <w:rPr>
          <w:rFonts w:ascii="Arial" w:cs="Arial" w:eastAsia="Arial" w:hAnsi="Arial"/>
          <w:sz w:val="19"/>
          <w:szCs w:val="19"/>
          <w:u w:val="single" w:color="auto"/>
          <w:color w:val="auto"/>
        </w:rPr>
        <w:t>Vendor Contracts</w:t>
      </w:r>
      <w:r>
        <w:rPr>
          <w:rFonts w:ascii="Arial" w:cs="Arial" w:eastAsia="Arial" w:hAnsi="Arial"/>
          <w:sz w:val="19"/>
          <w:szCs w:val="19"/>
          <w:color w:val="auto"/>
        </w:rPr>
        <w:t>. Prior to the Distribution, TFMC and TEN will use reasonable best efforts to (a) negotiate with the current Third Party providers to separate and assign the applicable rights and obligations under each group insurance policy, health maintenance organization, administrative services contract, Third Party administrator agreement, letter of understanding or arrangement that pertains to one or more TFMC Benefit Plans and one or more TEN Benefit Plans (each, a “</w:t>
      </w:r>
      <w:r>
        <w:rPr>
          <w:rFonts w:ascii="Arial" w:cs="Arial" w:eastAsia="Arial" w:hAnsi="Arial"/>
          <w:sz w:val="19"/>
          <w:szCs w:val="19"/>
          <w:u w:val="single" w:color="auto"/>
          <w:color w:val="auto"/>
        </w:rPr>
        <w:t>Vendor Contract</w:t>
      </w:r>
      <w:r>
        <w:rPr>
          <w:rFonts w:ascii="Arial" w:cs="Arial" w:eastAsia="Arial" w:hAnsi="Arial"/>
          <w:sz w:val="19"/>
          <w:szCs w:val="19"/>
          <w:color w:val="auto"/>
        </w:rPr>
        <w:t>”) to the extent that such rights or obligations pertain to Employees and their respective Plan Payees or, in the alternative, to negotiate with the current Third Party providers to provide substantially similar services to the TEN Benefit Plans or TFMC Benefit Plans on substantially similar terms under separate contracts with TEN, TFMC, the TEN Benefit Plans or the TFMC Benefit Plans, as applicable and (b) to the extent permitted by the applicable Third Party provider, obtain and maintain pricing discounts or other preferential terms under the Vendor Contracts.</w:t>
      </w:r>
    </w:p>
    <w:p>
      <w:pPr>
        <w:spacing w:after="0" w:line="186" w:lineRule="exact"/>
        <w:rPr>
          <w:sz w:val="20"/>
          <w:szCs w:val="20"/>
          <w:color w:val="auto"/>
        </w:rPr>
      </w:pPr>
    </w:p>
    <w:p>
      <w:pPr>
        <w:ind w:right="40" w:firstLine="648"/>
        <w:spacing w:after="0" w:line="235" w:lineRule="auto"/>
        <w:rPr>
          <w:sz w:val="20"/>
          <w:szCs w:val="20"/>
          <w:color w:val="auto"/>
        </w:rPr>
      </w:pPr>
      <w:r>
        <w:rPr>
          <w:rFonts w:ascii="Arial" w:cs="Arial" w:eastAsia="Arial" w:hAnsi="Arial"/>
          <w:sz w:val="22"/>
          <w:szCs w:val="22"/>
          <w:color w:val="auto"/>
        </w:rPr>
        <w:t xml:space="preserve">10.3 </w:t>
      </w:r>
      <w:r>
        <w:rPr>
          <w:rFonts w:ascii="Arial" w:cs="Arial" w:eastAsia="Arial" w:hAnsi="Arial"/>
          <w:sz w:val="22"/>
          <w:szCs w:val="22"/>
          <w:u w:val="single" w:color="auto"/>
          <w:color w:val="auto"/>
        </w:rPr>
        <w:t>Data Privacy</w:t>
      </w:r>
      <w:r>
        <w:rPr>
          <w:rFonts w:ascii="Arial" w:cs="Arial" w:eastAsia="Arial" w:hAnsi="Arial"/>
          <w:sz w:val="22"/>
          <w:szCs w:val="22"/>
          <w:color w:val="auto"/>
        </w:rPr>
        <w:t>. The parties agree that any applicable data privacy Laws and any other obligations of the TEN Group and the TFMC Group to maintain the confidentiality of any employee information or information held by any benefit plans in accordance with applicable Law will govern the disclosure of employee information among the parties under this Employee Matters Agreement. TEN and TFMC will ensure that they each have in place appropriate technical and organizational security measures to protect the personal data of the TEN Employees, Former TEN Employees, TFMC Employees and Former TFMC Employees.</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XI.</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DISPUTE RESOLUTION</w:t>
      </w:r>
    </w:p>
    <w:p>
      <w:pPr>
        <w:spacing w:after="0" w:line="215"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 xml:space="preserve">11.1 </w:t>
      </w:r>
      <w:r>
        <w:rPr>
          <w:rFonts w:ascii="Arial" w:cs="Arial" w:eastAsia="Arial" w:hAnsi="Arial"/>
          <w:sz w:val="22"/>
          <w:szCs w:val="22"/>
          <w:u w:val="single" w:color="auto"/>
          <w:color w:val="auto"/>
        </w:rPr>
        <w:t>Dispute Resolution</w:t>
      </w:r>
      <w:r>
        <w:rPr>
          <w:rFonts w:ascii="Arial" w:cs="Arial" w:eastAsia="Arial" w:hAnsi="Arial"/>
          <w:sz w:val="22"/>
          <w:szCs w:val="22"/>
          <w:color w:val="auto"/>
        </w:rPr>
        <w:t xml:space="preserve">. Any and all disputes, controversies and claims arising hereunder, including with respect to the validity, interpretation, performance, breach or termination of this Employee Matters Agreement shall be resolved through the procedures provided in </w:t>
      </w:r>
      <w:r>
        <w:rPr>
          <w:rFonts w:ascii="Arial" w:cs="Arial" w:eastAsia="Arial" w:hAnsi="Arial"/>
          <w:sz w:val="22"/>
          <w:szCs w:val="22"/>
          <w:u w:val="single" w:color="auto"/>
          <w:color w:val="auto"/>
        </w:rPr>
        <w:t>Article VI</w:t>
      </w:r>
      <w:r>
        <w:rPr>
          <w:rFonts w:ascii="Arial" w:cs="Arial" w:eastAsia="Arial" w:hAnsi="Arial"/>
          <w:sz w:val="22"/>
          <w:szCs w:val="22"/>
          <w:color w:val="auto"/>
        </w:rPr>
        <w:t xml:space="preserve"> of the Separation Agreement.</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XII.</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MISCELLANEOUS</w:t>
      </w:r>
    </w:p>
    <w:p>
      <w:pPr>
        <w:spacing w:after="0" w:line="215" w:lineRule="exact"/>
        <w:rPr>
          <w:sz w:val="20"/>
          <w:szCs w:val="20"/>
          <w:color w:val="auto"/>
        </w:rPr>
      </w:pPr>
    </w:p>
    <w:p>
      <w:pPr>
        <w:ind w:right="140" w:firstLine="648"/>
        <w:spacing w:after="0"/>
        <w:rPr>
          <w:sz w:val="20"/>
          <w:szCs w:val="20"/>
          <w:color w:val="auto"/>
        </w:rPr>
      </w:pPr>
      <w:r>
        <w:rPr>
          <w:rFonts w:ascii="Arial" w:cs="Arial" w:eastAsia="Arial" w:hAnsi="Arial"/>
          <w:sz w:val="22"/>
          <w:szCs w:val="22"/>
          <w:color w:val="auto"/>
        </w:rPr>
        <w:t xml:space="preserve">12.1 </w:t>
      </w:r>
      <w:r>
        <w:rPr>
          <w:rFonts w:ascii="Arial" w:cs="Arial" w:eastAsia="Arial" w:hAnsi="Arial"/>
          <w:sz w:val="22"/>
          <w:szCs w:val="22"/>
          <w:u w:val="single" w:color="auto"/>
          <w:color w:val="auto"/>
        </w:rPr>
        <w:t>General</w:t>
      </w:r>
      <w:r>
        <w:rPr>
          <w:rFonts w:ascii="Arial" w:cs="Arial" w:eastAsia="Arial" w:hAnsi="Arial"/>
          <w:sz w:val="22"/>
          <w:szCs w:val="22"/>
          <w:color w:val="auto"/>
        </w:rPr>
        <w:t xml:space="preserve">. The provisions of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of the Separation Agreement are hereby incorporated by reference into and deemed part of this Employee Matters Agreement and shall apply, </w:t>
      </w:r>
      <w:r>
        <w:rPr>
          <w:rFonts w:ascii="Arial" w:cs="Arial" w:eastAsia="Arial" w:hAnsi="Arial"/>
          <w:sz w:val="22"/>
          <w:szCs w:val="22"/>
          <w:i w:val="1"/>
          <w:iCs w:val="1"/>
          <w:color w:val="auto"/>
        </w:rPr>
        <w:t>mutatis mutandis</w:t>
      </w:r>
      <w:r>
        <w:rPr>
          <w:rFonts w:ascii="Arial" w:cs="Arial" w:eastAsia="Arial" w:hAnsi="Arial"/>
          <w:sz w:val="22"/>
          <w:szCs w:val="22"/>
          <w:color w:val="auto"/>
        </w:rPr>
        <w:t>, as if fully set forth in this Employee Matters Agreement.</w:t>
      </w:r>
    </w:p>
    <w:p>
      <w:pPr>
        <w:spacing w:after="0" w:line="213" w:lineRule="exact"/>
        <w:rPr>
          <w:sz w:val="20"/>
          <w:szCs w:val="20"/>
          <w:color w:val="auto"/>
        </w:rPr>
      </w:pPr>
    </w:p>
    <w:p>
      <w:pPr>
        <w:ind w:right="40" w:firstLine="648"/>
        <w:spacing w:after="0" w:line="238" w:lineRule="auto"/>
        <w:rPr>
          <w:sz w:val="20"/>
          <w:szCs w:val="20"/>
          <w:color w:val="auto"/>
        </w:rPr>
      </w:pPr>
      <w:r>
        <w:rPr>
          <w:rFonts w:ascii="Arial" w:cs="Arial" w:eastAsia="Arial" w:hAnsi="Arial"/>
          <w:sz w:val="22"/>
          <w:szCs w:val="22"/>
          <w:color w:val="auto"/>
        </w:rPr>
        <w:t xml:space="preserve">12.2 </w:t>
      </w:r>
      <w:r>
        <w:rPr>
          <w:rFonts w:ascii="Arial" w:cs="Arial" w:eastAsia="Arial" w:hAnsi="Arial"/>
          <w:sz w:val="22"/>
          <w:szCs w:val="22"/>
          <w:u w:val="single" w:color="auto"/>
          <w:color w:val="auto"/>
        </w:rPr>
        <w:t>Termination</w:t>
      </w:r>
      <w:r>
        <w:rPr>
          <w:rFonts w:ascii="Arial" w:cs="Arial" w:eastAsia="Arial" w:hAnsi="Arial"/>
          <w:sz w:val="22"/>
          <w:szCs w:val="22"/>
          <w:color w:val="auto"/>
        </w:rPr>
        <w:t>. In the event the Separation Agreement is terminated, this Employee Matters Agreement shall automatically become null and void and no Party, nor any Party’s directors, officers or employees, shall have any Liability of any kind to any Person by reason of this Employee Matters Agreement. After the Distribution, this Employee Matters Agreement may not be terminated except by an agreement in writing signed by TFMC and TEN.</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3" w:name="page104"/>
    <w:bookmarkEnd w:id="103"/>
    <w:p>
      <w:pPr>
        <w:ind w:right="140" w:firstLine="648"/>
        <w:spacing w:after="0" w:line="251" w:lineRule="auto"/>
        <w:rPr>
          <w:sz w:val="20"/>
          <w:szCs w:val="20"/>
          <w:color w:val="auto"/>
        </w:rPr>
      </w:pPr>
      <w:r>
        <w:rPr>
          <w:rFonts w:ascii="Arial" w:cs="Arial" w:eastAsia="Arial" w:hAnsi="Arial"/>
          <w:sz w:val="22"/>
          <w:szCs w:val="22"/>
          <w:color w:val="auto"/>
        </w:rPr>
        <w:t xml:space="preserve">12.3 </w:t>
      </w:r>
      <w:r>
        <w:rPr>
          <w:rFonts w:ascii="Arial" w:cs="Arial" w:eastAsia="Arial" w:hAnsi="Arial"/>
          <w:sz w:val="22"/>
          <w:szCs w:val="22"/>
          <w:u w:val="single" w:color="auto"/>
          <w:color w:val="auto"/>
        </w:rPr>
        <w:t>Defined Terms</w:t>
      </w:r>
      <w:r>
        <w:rPr>
          <w:rFonts w:ascii="Arial" w:cs="Arial" w:eastAsia="Arial" w:hAnsi="Arial"/>
          <w:sz w:val="22"/>
          <w:szCs w:val="22"/>
          <w:color w:val="auto"/>
        </w:rPr>
        <w:t xml:space="preserve">. Capitalized terms used and not otherwise defined herein shall have the meanings specified or referred to in </w:t>
      </w:r>
      <w:r>
        <w:rPr>
          <w:rFonts w:ascii="Arial" w:cs="Arial" w:eastAsia="Arial" w:hAnsi="Arial"/>
          <w:sz w:val="22"/>
          <w:szCs w:val="22"/>
          <w:u w:val="single" w:color="auto"/>
          <w:color w:val="auto"/>
        </w:rPr>
        <w:t>Annex I</w:t>
      </w:r>
      <w:r>
        <w:rPr>
          <w:rFonts w:ascii="Arial" w:cs="Arial" w:eastAsia="Arial" w:hAnsi="Arial"/>
          <w:sz w:val="22"/>
          <w:szCs w:val="22"/>
          <w:color w:val="auto"/>
        </w:rPr>
        <w:t>.</w:t>
      </w:r>
    </w:p>
    <w:p>
      <w:pPr>
        <w:spacing w:after="0" w:line="200"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 xml:space="preserve">12.4 </w:t>
      </w:r>
      <w:r>
        <w:rPr>
          <w:rFonts w:ascii="Arial" w:cs="Arial" w:eastAsia="Arial" w:hAnsi="Arial"/>
          <w:sz w:val="22"/>
          <w:szCs w:val="22"/>
          <w:u w:val="single" w:color="auto"/>
          <w:color w:val="auto"/>
        </w:rPr>
        <w:t>Other Agreements</w:t>
      </w:r>
      <w:r>
        <w:rPr>
          <w:rFonts w:ascii="Arial" w:cs="Arial" w:eastAsia="Arial" w:hAnsi="Arial"/>
          <w:sz w:val="22"/>
          <w:szCs w:val="22"/>
          <w:color w:val="auto"/>
        </w:rPr>
        <w:t>. Except as expressly set forth herein, this Employee Matters Agreement is not intended to address, and should not be interpreted to address, the matters specifically and expressly covered by the Separation Agreement or the other Ancillary Agreements.</w:t>
      </w:r>
    </w:p>
    <w:p>
      <w:pPr>
        <w:spacing w:after="0" w:line="391"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18" w:right="479" w:bottom="1440" w:gutter="0" w:footer="0" w:header="0"/>
        </w:sectPr>
      </w:pPr>
    </w:p>
    <w:bookmarkStart w:id="104" w:name="page105"/>
    <w:bookmarkEnd w:id="104"/>
    <w:p>
      <w:pPr>
        <w:ind w:firstLine="648"/>
        <w:spacing w:after="0" w:line="251" w:lineRule="auto"/>
        <w:rPr>
          <w:sz w:val="20"/>
          <w:szCs w:val="20"/>
          <w:color w:val="auto"/>
        </w:rPr>
      </w:pPr>
      <w:r>
        <w:rPr>
          <w:rFonts w:ascii="Arial" w:cs="Arial" w:eastAsia="Arial" w:hAnsi="Arial"/>
          <w:sz w:val="22"/>
          <w:szCs w:val="22"/>
          <w:color w:val="auto"/>
        </w:rPr>
        <w:t>IN WITNESS WHEREOF, the parties have caused this Employee Matters Agreement to be executed by their duly authorized representatives.</w:t>
      </w:r>
    </w:p>
    <w:p>
      <w:pPr>
        <w:spacing w:after="0" w:line="20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TECHNIPFMC PLC</w:t>
      </w:r>
    </w:p>
    <w:p>
      <w:pPr>
        <w:spacing w:after="0" w:line="225" w:lineRule="exact"/>
        <w:rPr>
          <w:sz w:val="20"/>
          <w:szCs w:val="20"/>
          <w:color w:val="auto"/>
        </w:rPr>
      </w:pPr>
    </w:p>
    <w:p>
      <w:pPr>
        <w:ind w:left="5600"/>
        <w:spacing w:after="0"/>
        <w:tabs>
          <w:tab w:leader="none" w:pos="6060" w:val="left"/>
        </w:tabs>
        <w:rPr>
          <w:sz w:val="20"/>
          <w:szCs w:val="20"/>
          <w:color w:val="auto"/>
        </w:rPr>
      </w:pPr>
      <w:r>
        <w:rPr>
          <w:rFonts w:ascii="Arial" w:cs="Arial" w:eastAsia="Arial" w:hAnsi="Arial"/>
          <w:sz w:val="18"/>
          <w:szCs w:val="18"/>
          <w:color w:val="auto"/>
        </w:rPr>
        <w:t>By:</w:t>
        <w:tab/>
        <w:t>/s/ Alf Melin</w:t>
      </w:r>
    </w:p>
    <w:p>
      <w:pPr>
        <w:spacing w:after="0" w:line="3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Name:Alf Melin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18516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Title: Executive Vice President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18516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5715</wp:posOffset>
            </wp:positionV>
            <wp:extent cx="18516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24"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[Signature Page to Employee Matters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320" w:top="118" w:right="1039" w:bottom="1440" w:gutter="0" w:footer="0" w:header="0"/>
        </w:sectPr>
      </w:pPr>
    </w:p>
    <w:bookmarkStart w:id="105" w:name="page106"/>
    <w:bookmarkEnd w:id="105"/>
    <w:p>
      <w:pPr>
        <w:ind w:firstLine="648"/>
        <w:spacing w:after="0" w:line="251" w:lineRule="auto"/>
        <w:rPr>
          <w:sz w:val="20"/>
          <w:szCs w:val="20"/>
          <w:color w:val="auto"/>
        </w:rPr>
      </w:pPr>
      <w:r>
        <w:rPr>
          <w:rFonts w:ascii="Arial" w:cs="Arial" w:eastAsia="Arial" w:hAnsi="Arial"/>
          <w:sz w:val="22"/>
          <w:szCs w:val="22"/>
          <w:color w:val="auto"/>
        </w:rPr>
        <w:t>IN WITNESS WHEREOF, the parties have caused this Employee Matters Agreement to be executed by their duly authorized representatives.</w:t>
      </w:r>
    </w:p>
    <w:p>
      <w:pPr>
        <w:spacing w:after="0" w:line="20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TECHNIP ENERGIES N.V.</w:t>
      </w:r>
    </w:p>
    <w:p>
      <w:pPr>
        <w:spacing w:after="0" w:line="225" w:lineRule="exact"/>
        <w:rPr>
          <w:sz w:val="20"/>
          <w:szCs w:val="20"/>
          <w:color w:val="auto"/>
        </w:rPr>
      </w:pPr>
    </w:p>
    <w:p>
      <w:pPr>
        <w:ind w:left="5600"/>
        <w:spacing w:after="0"/>
        <w:tabs>
          <w:tab w:leader="none" w:pos="6060" w:val="left"/>
        </w:tabs>
        <w:rPr>
          <w:sz w:val="20"/>
          <w:szCs w:val="20"/>
          <w:color w:val="auto"/>
        </w:rPr>
      </w:pPr>
      <w:r>
        <w:rPr>
          <w:rFonts w:ascii="Arial" w:cs="Arial" w:eastAsia="Arial" w:hAnsi="Arial"/>
          <w:sz w:val="18"/>
          <w:szCs w:val="18"/>
          <w:color w:val="auto"/>
        </w:rPr>
        <w:t>By:</w:t>
        <w:tab/>
        <w:t>/s/ Bruno Vibert</w:t>
      </w:r>
    </w:p>
    <w:p>
      <w:pPr>
        <w:spacing w:after="0" w:line="3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Name:Bruno Vibert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170561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170561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05610"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23495</wp:posOffset>
            </wp:positionV>
            <wp:extent cx="170561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252"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[Signature Page to Employee Matters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320" w:top="118" w:right="1039" w:bottom="1440" w:gutter="0" w:footer="0" w:header="0"/>
        </w:sectPr>
      </w:pPr>
    </w:p>
    <w:bookmarkStart w:id="106" w:name="page107"/>
    <w:bookmarkEnd w:id="106"/>
    <w:p>
      <w:pPr>
        <w:jc w:val="center"/>
        <w:ind w:right="-39"/>
        <w:spacing w:after="0"/>
        <w:rPr>
          <w:sz w:val="20"/>
          <w:szCs w:val="20"/>
          <w:color w:val="auto"/>
        </w:rPr>
      </w:pPr>
      <w:r>
        <w:rPr>
          <w:rFonts w:ascii="Arial" w:cs="Arial" w:eastAsia="Arial" w:hAnsi="Arial"/>
          <w:sz w:val="22"/>
          <w:szCs w:val="22"/>
          <w:color w:val="auto"/>
        </w:rPr>
        <w:t>ANNEX I</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DEFINED TERMS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Action</w:t>
      </w:r>
      <w:r>
        <w:rPr>
          <w:rFonts w:ascii="Arial" w:cs="Arial" w:eastAsia="Arial" w:hAnsi="Arial"/>
          <w:sz w:val="22"/>
          <w:szCs w:val="22"/>
          <w:color w:val="auto"/>
        </w:rPr>
        <w:t>” has the meaning set forth in the Separation Agreement.</w:t>
      </w:r>
    </w:p>
    <w:p>
      <w:pPr>
        <w:spacing w:after="0" w:line="233" w:lineRule="exact"/>
        <w:rPr>
          <w:sz w:val="20"/>
          <w:szCs w:val="20"/>
          <w:color w:val="auto"/>
        </w:rPr>
      </w:pPr>
    </w:p>
    <w:p>
      <w:pPr>
        <w:ind w:right="10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Adjusted TFMC Options</w:t>
      </w:r>
      <w:r>
        <w:rPr>
          <w:rFonts w:ascii="Arial" w:cs="Arial" w:eastAsia="Arial" w:hAnsi="Arial"/>
          <w:sz w:val="22"/>
          <w:szCs w:val="22"/>
          <w:color w:val="auto"/>
        </w:rPr>
        <w:t xml:space="preserve">” means an option to purchase TFMC Shares granted under the TFMC LTIP resulting from the adjustment of TFMC Options as described in </w:t>
      </w:r>
      <w:r>
        <w:rPr>
          <w:rFonts w:ascii="Arial" w:cs="Arial" w:eastAsia="Arial" w:hAnsi="Arial"/>
          <w:sz w:val="22"/>
          <w:szCs w:val="22"/>
          <w:u w:val="single" w:color="auto"/>
          <w:color w:val="auto"/>
        </w:rPr>
        <w:t>Section 7.1(a)(iii)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7.1(b)(iii)</w:t>
      </w:r>
      <w:r>
        <w:rPr>
          <w:rFonts w:ascii="Arial" w:cs="Arial" w:eastAsia="Arial" w:hAnsi="Arial"/>
          <w:sz w:val="22"/>
          <w:szCs w:val="22"/>
          <w:color w:val="auto"/>
        </w:rPr>
        <w:t>.</w:t>
      </w:r>
    </w:p>
    <w:p>
      <w:pPr>
        <w:spacing w:after="0" w:line="202" w:lineRule="exact"/>
        <w:rPr>
          <w:sz w:val="20"/>
          <w:szCs w:val="20"/>
          <w:color w:val="auto"/>
        </w:rPr>
      </w:pPr>
    </w:p>
    <w:p>
      <w:pPr>
        <w:jc w:val="both"/>
        <w:ind w:right="32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Adjusted TFMC Performance-Based RSU</w:t>
      </w:r>
      <w:r>
        <w:rPr>
          <w:rFonts w:ascii="Arial" w:cs="Arial" w:eastAsia="Arial" w:hAnsi="Arial"/>
          <w:sz w:val="22"/>
          <w:szCs w:val="22"/>
          <w:color w:val="auto"/>
        </w:rPr>
        <w:t xml:space="preserve">” means a performance-based restricted stock unit award granted under the TFMC LTIP with respect to TFMC Shares resulting from the adjustment of TFMC Performance-Based RSUs as described in </w:t>
      </w:r>
      <w:r>
        <w:rPr>
          <w:rFonts w:ascii="Arial" w:cs="Arial" w:eastAsia="Arial" w:hAnsi="Arial"/>
          <w:sz w:val="22"/>
          <w:szCs w:val="22"/>
          <w:u w:val="single" w:color="auto"/>
          <w:color w:val="auto"/>
        </w:rPr>
        <w:t>Section 7.1(a)(ii)</w:t>
      </w:r>
      <w:r>
        <w:rPr>
          <w:rFonts w:ascii="Arial" w:cs="Arial" w:eastAsia="Arial" w:hAnsi="Arial"/>
          <w:sz w:val="22"/>
          <w:szCs w:val="22"/>
          <w:color w:val="auto"/>
        </w:rPr>
        <w:t>.</w:t>
      </w:r>
    </w:p>
    <w:p>
      <w:pPr>
        <w:spacing w:after="0" w:line="213" w:lineRule="exact"/>
        <w:rPr>
          <w:sz w:val="20"/>
          <w:szCs w:val="20"/>
          <w:color w:val="auto"/>
        </w:rPr>
      </w:pPr>
    </w:p>
    <w:p>
      <w:pPr>
        <w:ind w:right="120" w:firstLine="648"/>
        <w:spacing w:after="0" w:line="259"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Adjusted TFMC Time-Based RSU</w:t>
      </w:r>
      <w:r>
        <w:rPr>
          <w:rFonts w:ascii="Arial" w:cs="Arial" w:eastAsia="Arial" w:hAnsi="Arial"/>
          <w:sz w:val="19"/>
          <w:szCs w:val="19"/>
          <w:color w:val="auto"/>
        </w:rPr>
        <w:t>” means a time-based restricted stock unit award granted under the TFMC LTIP with respect to TFMC Shares resulting from the adjustment of TFMC Time</w:t>
      </w:r>
      <w:r>
        <w:rPr>
          <w:rFonts w:ascii="MS PGothic" w:cs="MS PGothic" w:eastAsia="MS PGothic" w:hAnsi="MS PGothic"/>
          <w:sz w:val="19"/>
          <w:szCs w:val="19"/>
          <w:color w:val="auto"/>
        </w:rPr>
        <w:t>‑</w:t>
      </w:r>
      <w:r>
        <w:rPr>
          <w:rFonts w:ascii="Arial" w:cs="Arial" w:eastAsia="Arial" w:hAnsi="Arial"/>
          <w:sz w:val="19"/>
          <w:szCs w:val="19"/>
          <w:color w:val="auto"/>
        </w:rPr>
        <w:t xml:space="preserve">Based RSUs as described in </w:t>
      </w:r>
      <w:r>
        <w:rPr>
          <w:rFonts w:ascii="Arial" w:cs="Arial" w:eastAsia="Arial" w:hAnsi="Arial"/>
          <w:sz w:val="19"/>
          <w:szCs w:val="19"/>
          <w:u w:val="single" w:color="auto"/>
          <w:color w:val="auto"/>
        </w:rPr>
        <w:t>Section 7.1(a)(i)</w:t>
      </w:r>
      <w:r>
        <w:rPr>
          <w:rFonts w:ascii="Arial" w:cs="Arial" w:eastAsia="Arial" w:hAnsi="Arial"/>
          <w:sz w:val="19"/>
          <w:szCs w:val="19"/>
          <w:color w:val="auto"/>
        </w:rPr>
        <w: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has the meaning set forth in the Separation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Ancillary Agreements</w:t>
      </w:r>
      <w:r>
        <w:rPr>
          <w:rFonts w:ascii="Arial" w:cs="Arial" w:eastAsia="Arial" w:hAnsi="Arial"/>
          <w:sz w:val="22"/>
          <w:szCs w:val="22"/>
          <w:color w:val="auto"/>
        </w:rPr>
        <w:t>” has the meaning set forth in the Separation Agreement.</w:t>
      </w:r>
    </w:p>
    <w:p>
      <w:pPr>
        <w:spacing w:after="0" w:line="233"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Benefit Plan</w:t>
      </w:r>
      <w:r>
        <w:rPr>
          <w:rFonts w:ascii="Arial" w:cs="Arial" w:eastAsia="Arial" w:hAnsi="Arial"/>
          <w:sz w:val="19"/>
          <w:szCs w:val="19"/>
          <w:color w:val="auto"/>
        </w:rPr>
        <w:t xml:space="preserve">” means, with respect to an entity, each plan, program, policy, agreement, arrangement or understanding that is maintained primarily for the benefit of employees and is a compensation, deferred compensation, incentive bonus or other bonus, pension, profit sharing, savings, retirement, severance pay, end of service gratuity, jubilee, salary continuation, life, death benefit, health, hospitalization, sick leave, vacation or other paid time off, disability or accident insurance or other employee benefit plan, program, policy, agreement or arrangement, including any “employee benefit plan” (as defined in </w:t>
      </w: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of ERISA, whether or not subject to ERISA), that is sponsored, maintained or contributed to by such entity or to which such entity is a party or under which such entity has any Liability or obligation;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no event shall any TFMC Equity Compensation Award or TEN Equity Compensation Award, nor any plan under which any such award is granted (including the TFMC LTIP or the TEN LTIP), constitute a “</w:t>
      </w:r>
      <w:r>
        <w:rPr>
          <w:rFonts w:ascii="Arial" w:cs="Arial" w:eastAsia="Arial" w:hAnsi="Arial"/>
          <w:sz w:val="19"/>
          <w:szCs w:val="19"/>
          <w:u w:val="single" w:color="auto"/>
          <w:color w:val="auto"/>
        </w:rPr>
        <w:t>Benefit Plan</w:t>
      </w:r>
      <w:r>
        <w:rPr>
          <w:rFonts w:ascii="Arial" w:cs="Arial" w:eastAsia="Arial" w:hAnsi="Arial"/>
          <w:sz w:val="19"/>
          <w:szCs w:val="19"/>
          <w:color w:val="auto"/>
        </w:rPr>
        <w:t>” under this Employee Matters Agreement. In addition, no Employment Agreement will constitute a Benefit Plan for purposes hereof.</w:t>
      </w:r>
    </w:p>
    <w:p>
      <w:pPr>
        <w:spacing w:after="0" w:line="188" w:lineRule="exact"/>
        <w:rPr>
          <w:sz w:val="20"/>
          <w:szCs w:val="20"/>
          <w:color w:val="auto"/>
        </w:rPr>
      </w:pPr>
    </w:p>
    <w:p>
      <w:pPr>
        <w:ind w:right="140"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Bonus Plan</w:t>
      </w:r>
      <w:r>
        <w:rPr>
          <w:rFonts w:ascii="Arial" w:cs="Arial" w:eastAsia="Arial" w:hAnsi="Arial"/>
          <w:sz w:val="19"/>
          <w:szCs w:val="19"/>
          <w:color w:val="auto"/>
        </w:rPr>
        <w:t>” means the TFMC Annual Incentive Compensation Plan and each other plan or arrangement (other than an Employment Agreement) under which a TEN Employee or a TFMC Employee may earn an annual cash incentive.</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U.S. Internal Revenue Code of 1986, as amended.</w:t>
      </w:r>
    </w:p>
    <w:p>
      <w:pPr>
        <w:spacing w:after="0" w:line="233" w:lineRule="exact"/>
        <w:rPr>
          <w:sz w:val="20"/>
          <w:szCs w:val="20"/>
          <w:color w:val="auto"/>
        </w:rPr>
      </w:pPr>
    </w:p>
    <w:p>
      <w:pPr>
        <w:ind w:right="4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Collective Bargaining Agreement</w:t>
      </w:r>
      <w:r>
        <w:rPr>
          <w:rFonts w:ascii="Arial" w:cs="Arial" w:eastAsia="Arial" w:hAnsi="Arial"/>
          <w:sz w:val="22"/>
          <w:szCs w:val="22"/>
          <w:color w:val="auto"/>
        </w:rPr>
        <w:t>” means any collective bargaining or similar agreement with any labor or trade union, works council or trade representative that governs the terms and conditions of employment of Employees, including those that arise by virtue of TFMC, TEN or their respective Affiliate’s membership in a union or participation in a particular trade, industry or economic sector.</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07" w:name="page108"/>
    <w:bookmarkEnd w:id="107"/>
    <w:p>
      <w:pPr>
        <w:ind w:right="34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Country Schedule</w:t>
      </w:r>
      <w:r>
        <w:rPr>
          <w:rFonts w:ascii="Arial" w:cs="Arial" w:eastAsia="Arial" w:hAnsi="Arial"/>
          <w:sz w:val="22"/>
          <w:szCs w:val="22"/>
          <w:color w:val="auto"/>
        </w:rPr>
        <w:t>” means a schedule to this Employee Matters Agreement, applicable to the Employees employed in that country.</w:t>
      </w:r>
    </w:p>
    <w:p>
      <w:pPr>
        <w:spacing w:after="0" w:line="200" w:lineRule="exact"/>
        <w:rPr>
          <w:sz w:val="20"/>
          <w:szCs w:val="20"/>
          <w:color w:val="auto"/>
        </w:rPr>
      </w:pPr>
    </w:p>
    <w:p>
      <w:pPr>
        <w:ind w:right="40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Delayed Transfer Date</w:t>
      </w:r>
      <w:r>
        <w:rPr>
          <w:rFonts w:ascii="Arial" w:cs="Arial" w:eastAsia="Arial" w:hAnsi="Arial"/>
          <w:sz w:val="22"/>
          <w:szCs w:val="22"/>
          <w:color w:val="auto"/>
        </w:rPr>
        <w:t>” means the date on which a Delayed Transfer Employee actually transfers employment to the TEN Group or the TFMC Group, as applicable.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Delayed Transfer Employee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2.3</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Distribution</w:t>
      </w:r>
      <w:r>
        <w:rPr>
          <w:rFonts w:ascii="Arial" w:cs="Arial" w:eastAsia="Arial" w:hAnsi="Arial"/>
          <w:sz w:val="22"/>
          <w:szCs w:val="22"/>
          <w:color w:val="auto"/>
        </w:rPr>
        <w:t>” has the meaning set forth in the Recitals.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Distribution Date</w:t>
      </w:r>
      <w:r>
        <w:rPr>
          <w:rFonts w:ascii="Arial" w:cs="Arial" w:eastAsia="Arial" w:hAnsi="Arial"/>
          <w:sz w:val="22"/>
          <w:szCs w:val="22"/>
          <w:color w:val="auto"/>
        </w:rPr>
        <w:t>” has the meaning set forth in the Separation Agreement.</w:t>
      </w:r>
    </w:p>
    <w:p>
      <w:pPr>
        <w:spacing w:after="0" w:line="233" w:lineRule="exact"/>
        <w:rPr>
          <w:sz w:val="20"/>
          <w:szCs w:val="20"/>
          <w:color w:val="auto"/>
        </w:rPr>
      </w:pPr>
    </w:p>
    <w:p>
      <w:pPr>
        <w:ind w:right="66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Employee</w:t>
      </w:r>
      <w:r>
        <w:rPr>
          <w:rFonts w:ascii="Arial" w:cs="Arial" w:eastAsia="Arial" w:hAnsi="Arial"/>
          <w:sz w:val="22"/>
          <w:szCs w:val="22"/>
          <w:color w:val="auto"/>
        </w:rPr>
        <w:t>” means a TEN Employee, Former TEN Employee, TFMC Employee and Former TFMC Employee, as applicable.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Employee Matters Agreement</w:t>
      </w:r>
      <w:r>
        <w:rPr>
          <w:rFonts w:ascii="Arial" w:cs="Arial" w:eastAsia="Arial" w:hAnsi="Arial"/>
          <w:sz w:val="22"/>
          <w:szCs w:val="22"/>
          <w:color w:val="auto"/>
        </w:rPr>
        <w:t>” has the meaning set forth in the preamble.</w:t>
      </w:r>
    </w:p>
    <w:p>
      <w:pPr>
        <w:spacing w:after="0" w:line="233" w:lineRule="exact"/>
        <w:rPr>
          <w:sz w:val="20"/>
          <w:szCs w:val="20"/>
          <w:color w:val="auto"/>
        </w:rPr>
      </w:pPr>
    </w:p>
    <w:p>
      <w:pPr>
        <w:jc w:val="both"/>
        <w:ind w:right="8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Employment Agreement</w:t>
      </w:r>
      <w:r>
        <w:rPr>
          <w:rFonts w:ascii="Arial" w:cs="Arial" w:eastAsia="Arial" w:hAnsi="Arial"/>
          <w:sz w:val="22"/>
          <w:szCs w:val="22"/>
          <w:color w:val="auto"/>
        </w:rPr>
        <w:t>” means any individual employment, offer, retention, consulting, change in control, sale bonus, retention bonus, incentive bonus, severance or other individual compensatory agreement entered into between any TEN Entity or TFMC Entity, as applicable, and any Employee.</w:t>
      </w:r>
    </w:p>
    <w:p>
      <w:pPr>
        <w:spacing w:after="0" w:line="213" w:lineRule="exact"/>
        <w:rPr>
          <w:sz w:val="20"/>
          <w:szCs w:val="20"/>
          <w:color w:val="auto"/>
        </w:rPr>
      </w:pPr>
    </w:p>
    <w:p>
      <w:pPr>
        <w:jc w:val="both"/>
        <w:ind w:right="12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Employment Transfer Date</w:t>
      </w:r>
      <w:r>
        <w:rPr>
          <w:rFonts w:ascii="Arial" w:cs="Arial" w:eastAsia="Arial" w:hAnsi="Arial"/>
          <w:sz w:val="19"/>
          <w:szCs w:val="19"/>
          <w:color w:val="auto"/>
        </w:rPr>
        <w:t>” means (i) the date the employment of any TEN Employee is transferred from any member of the TFMC Group to the TEN Group, (ii) the date the employment of any TFMC Employee is transferred from any member of the TEN Group to the TFMC Group, and (iii) for each Delayed Transfer Employee the Delayed Transfer Date.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Employee Retirement Income Security Act of 1974, as amended.</w:t>
      </w:r>
    </w:p>
    <w:p>
      <w:pPr>
        <w:spacing w:after="0" w:line="233" w:lineRule="exact"/>
        <w:rPr>
          <w:sz w:val="20"/>
          <w:szCs w:val="20"/>
          <w:color w:val="auto"/>
        </w:rPr>
      </w:pPr>
    </w:p>
    <w:p>
      <w:pPr>
        <w:ind w:right="180"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Exchange Rate</w:t>
      </w:r>
      <w:r>
        <w:rPr>
          <w:rFonts w:ascii="Arial" w:cs="Arial" w:eastAsia="Arial" w:hAnsi="Arial"/>
          <w:sz w:val="19"/>
          <w:szCs w:val="19"/>
          <w:color w:val="auto"/>
        </w:rPr>
        <w:t xml:space="preserve">” means the exchange rate between U.S. Dollars and Euros published on Bloomberg at 5:00 pm, Eastern time, on the day before the relevant date, or in </w:t>
      </w:r>
      <w:r>
        <w:rPr>
          <w:rFonts w:ascii="Arial" w:cs="Arial" w:eastAsia="Arial" w:hAnsi="Arial"/>
          <w:sz w:val="19"/>
          <w:szCs w:val="19"/>
          <w:i w:val="1"/>
          <w:iCs w:val="1"/>
          <w:color w:val="auto"/>
        </w:rPr>
        <w:t>The Wall Street Journal</w:t>
      </w:r>
      <w:r>
        <w:rPr>
          <w:rFonts w:ascii="Arial" w:cs="Arial" w:eastAsia="Arial" w:hAnsi="Arial"/>
          <w:sz w:val="19"/>
          <w:szCs w:val="19"/>
          <w:color w:val="auto"/>
        </w:rPr>
        <w:t xml:space="preserve"> on such date if not so published on Bloomberg.</w:t>
      </w:r>
    </w:p>
    <w:p>
      <w:pPr>
        <w:spacing w:after="0" w:line="132" w:lineRule="exact"/>
        <w:rPr>
          <w:sz w:val="20"/>
          <w:szCs w:val="20"/>
          <w:color w:val="auto"/>
        </w:rPr>
      </w:pPr>
    </w:p>
    <w:p>
      <w:pPr>
        <w:ind w:firstLine="702"/>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Former TEN Employee</w:t>
      </w:r>
      <w:r>
        <w:rPr>
          <w:rFonts w:ascii="Arial" w:cs="Arial" w:eastAsia="Arial" w:hAnsi="Arial"/>
          <w:sz w:val="21"/>
          <w:szCs w:val="21"/>
          <w:color w:val="auto"/>
        </w:rPr>
        <w:t xml:space="preserve">” means any individual (A) (i) who on or before the close of business on the Distribution Date retired or otherwise separated from service from TFMC and its Affiliates, and (ii) whose last day of employment with TFMC and its Affiliates prior to the close of business on the Distribution Date was with the TEN Business (including each of the employees that is a claimant under the TEN Actions included on </w:t>
      </w:r>
      <w:r>
        <w:rPr>
          <w:rFonts w:ascii="Arial" w:cs="Arial" w:eastAsia="Arial" w:hAnsi="Arial"/>
          <w:sz w:val="21"/>
          <w:szCs w:val="21"/>
          <w:u w:val="single" w:color="auto"/>
          <w:color w:val="auto"/>
        </w:rPr>
        <w:t>Schedule I.B</w:t>
      </w:r>
      <w:r>
        <w:rPr>
          <w:rFonts w:ascii="Arial" w:cs="Arial" w:eastAsia="Arial" w:hAnsi="Arial"/>
          <w:sz w:val="21"/>
          <w:szCs w:val="21"/>
          <w:color w:val="auto"/>
        </w:rPr>
        <w:t xml:space="preserve"> to the Separation Agreement) or (B) who is determined to be a Former TEN Employee pursuant to </w:t>
      </w:r>
      <w:r>
        <w:rPr>
          <w:rFonts w:ascii="Arial" w:cs="Arial" w:eastAsia="Arial" w:hAnsi="Arial"/>
          <w:sz w:val="21"/>
          <w:szCs w:val="21"/>
          <w:u w:val="single" w:color="auto"/>
          <w:color w:val="auto"/>
        </w:rPr>
        <w:t>Section 2.1(d)</w:t>
      </w:r>
      <w:r>
        <w:rPr>
          <w:rFonts w:ascii="Arial" w:cs="Arial" w:eastAsia="Arial" w:hAnsi="Arial"/>
          <w:sz w:val="21"/>
          <w:szCs w:val="21"/>
          <w:color w:val="auto"/>
        </w:rPr>
        <w:t xml:space="preserve"> hereof.</w:t>
      </w:r>
    </w:p>
    <w:p>
      <w:pPr>
        <w:spacing w:after="0" w:line="205" w:lineRule="exact"/>
        <w:rPr>
          <w:sz w:val="20"/>
          <w:szCs w:val="20"/>
          <w:color w:val="auto"/>
        </w:rPr>
      </w:pPr>
    </w:p>
    <w:p>
      <w:pPr>
        <w:jc w:val="both"/>
        <w:ind w:right="16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Former TFMC Employee</w:t>
      </w:r>
      <w:r>
        <w:rPr>
          <w:rFonts w:ascii="Arial" w:cs="Arial" w:eastAsia="Arial" w:hAnsi="Arial"/>
          <w:sz w:val="22"/>
          <w:szCs w:val="22"/>
          <w:color w:val="auto"/>
        </w:rPr>
        <w:t xml:space="preserve">” means any individual (A) who (i) on or before the close of business on the Distribution Date retired or otherwise separated from service from TFMC and its Affiliates, and (ii) is not a Former TEN Employee or (B) who is determined to be a Former TFMC Employee pursuant to </w:t>
      </w:r>
      <w:r>
        <w:rPr>
          <w:rFonts w:ascii="Arial" w:cs="Arial" w:eastAsia="Arial" w:hAnsi="Arial"/>
          <w:sz w:val="22"/>
          <w:szCs w:val="22"/>
          <w:u w:val="single" w:color="auto"/>
          <w:color w:val="auto"/>
        </w:rPr>
        <w:t>Section 2.1(d)</w:t>
      </w:r>
      <w:r>
        <w:rPr>
          <w:rFonts w:ascii="Arial" w:cs="Arial" w:eastAsia="Arial" w:hAnsi="Arial"/>
          <w:sz w:val="22"/>
          <w:szCs w:val="22"/>
          <w:color w:val="auto"/>
        </w:rPr>
        <w:t xml:space="preserve"> hereof.</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Group</w:t>
      </w:r>
      <w:r>
        <w:rPr>
          <w:rFonts w:ascii="Arial" w:cs="Arial" w:eastAsia="Arial" w:hAnsi="Arial"/>
          <w:sz w:val="22"/>
          <w:szCs w:val="22"/>
          <w:color w:val="auto"/>
        </w:rPr>
        <w:t>” means the TFMC Group or the TEN Group, as the context requires.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8" w:name="page109"/>
    <w:bookmarkEnd w:id="108"/>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Entity</w:t>
      </w:r>
      <w:r>
        <w:rPr>
          <w:rFonts w:ascii="Arial" w:cs="Arial" w:eastAsia="Arial" w:hAnsi="Arial"/>
          <w:sz w:val="22"/>
          <w:szCs w:val="22"/>
          <w:color w:val="auto"/>
        </w:rPr>
        <w:t>” has the meaning set forth in the Separation Agreement.</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Law</w:t>
      </w:r>
      <w:r>
        <w:rPr>
          <w:rFonts w:ascii="Arial" w:cs="Arial" w:eastAsia="Arial" w:hAnsi="Arial"/>
          <w:sz w:val="22"/>
          <w:szCs w:val="22"/>
          <w:color w:val="auto"/>
        </w:rPr>
        <w:t>” has the meaning set forth in the Separation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Liabilities</w:t>
      </w:r>
      <w:r>
        <w:rPr>
          <w:rFonts w:ascii="Arial" w:cs="Arial" w:eastAsia="Arial" w:hAnsi="Arial"/>
          <w:sz w:val="22"/>
          <w:szCs w:val="22"/>
          <w:color w:val="auto"/>
        </w:rPr>
        <w:t>” has the meaning set forth in the Separation Agreement.</w:t>
      </w:r>
    </w:p>
    <w:p>
      <w:pPr>
        <w:spacing w:after="0" w:line="233" w:lineRule="exact"/>
        <w:rPr>
          <w:sz w:val="20"/>
          <w:szCs w:val="20"/>
          <w:color w:val="auto"/>
        </w:rPr>
      </w:pPr>
    </w:p>
    <w:p>
      <w:pPr>
        <w:ind w:right="48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Listing Date</w:t>
      </w:r>
      <w:r>
        <w:rPr>
          <w:rFonts w:ascii="Arial" w:cs="Arial" w:eastAsia="Arial" w:hAnsi="Arial"/>
          <w:sz w:val="22"/>
          <w:szCs w:val="22"/>
          <w:color w:val="auto"/>
        </w:rPr>
        <w:t>” means the first date on which a share of TEN Shares begins trading separately from TFMC Shares on Euronext Paris.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Losses</w:t>
      </w:r>
      <w:r>
        <w:rPr>
          <w:rFonts w:ascii="Arial" w:cs="Arial" w:eastAsia="Arial" w:hAnsi="Arial"/>
          <w:sz w:val="22"/>
          <w:szCs w:val="22"/>
          <w:color w:val="auto"/>
        </w:rPr>
        <w:t>” has the meaning set forth in the Separation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has the meaning set forth in the Separation Agreement.</w:t>
      </w:r>
    </w:p>
    <w:p>
      <w:pPr>
        <w:spacing w:after="0" w:line="233" w:lineRule="exact"/>
        <w:rPr>
          <w:sz w:val="20"/>
          <w:szCs w:val="20"/>
          <w:color w:val="auto"/>
        </w:rPr>
      </w:pPr>
    </w:p>
    <w:p>
      <w:pPr>
        <w:ind w:right="28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 Payee</w:t>
      </w:r>
      <w:r>
        <w:rPr>
          <w:rFonts w:ascii="Arial" w:cs="Arial" w:eastAsia="Arial" w:hAnsi="Arial"/>
          <w:sz w:val="22"/>
          <w:szCs w:val="22"/>
          <w:color w:val="auto"/>
        </w:rPr>
        <w:t>” means, as to an individual who participates in a Benefit Plan, such individual’s dependents, beneficiaries, alternate payees and alternate recipients, as applicable under such Benefit Plan.</w:t>
      </w:r>
    </w:p>
    <w:p>
      <w:pPr>
        <w:spacing w:after="0" w:line="202" w:lineRule="exact"/>
        <w:rPr>
          <w:sz w:val="20"/>
          <w:szCs w:val="20"/>
          <w:color w:val="auto"/>
        </w:rPr>
      </w:pPr>
    </w:p>
    <w:p>
      <w:pPr>
        <w:jc w:val="both"/>
        <w:ind w:right="100"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Plan Split Date</w:t>
      </w:r>
      <w:r>
        <w:rPr>
          <w:rFonts w:ascii="Arial" w:cs="Arial" w:eastAsia="Arial" w:hAnsi="Arial"/>
          <w:sz w:val="19"/>
          <w:szCs w:val="19"/>
          <w:color w:val="auto"/>
        </w:rPr>
        <w:t xml:space="preserve">” means the date each Benefit Plan is split in accordance with </w:t>
      </w:r>
      <w:r>
        <w:rPr>
          <w:rFonts w:ascii="Arial" w:cs="Arial" w:eastAsia="Arial" w:hAnsi="Arial"/>
          <w:sz w:val="19"/>
          <w:szCs w:val="19"/>
          <w:u w:val="single" w:color="auto"/>
          <w:color w:val="auto"/>
        </w:rPr>
        <w:t>Articles V or VI</w:t>
      </w:r>
      <w:r>
        <w:rPr>
          <w:rFonts w:ascii="Arial" w:cs="Arial" w:eastAsia="Arial" w:hAnsi="Arial"/>
          <w:sz w:val="19"/>
          <w:szCs w:val="19"/>
          <w:color w:val="auto"/>
        </w:rPr>
        <w:t xml:space="preserve"> as applicable, which shall occur on or before the Distribution Date (unless otherwise provided in </w:t>
      </w:r>
      <w:r>
        <w:rPr>
          <w:rFonts w:ascii="Arial" w:cs="Arial" w:eastAsia="Arial" w:hAnsi="Arial"/>
          <w:sz w:val="19"/>
          <w:szCs w:val="19"/>
          <w:u w:val="single" w:color="auto"/>
          <w:color w:val="auto"/>
        </w:rPr>
        <w:t>Articles V or VI</w:t>
      </w:r>
      <w:r>
        <w:rPr>
          <w:rFonts w:ascii="Arial" w:cs="Arial" w:eastAsia="Arial" w:hAnsi="Arial"/>
          <w:sz w:val="19"/>
          <w:szCs w:val="19"/>
          <w:color w:val="auto"/>
        </w:rPr>
        <w:t xml:space="preserve"> or mutually agreed between the parties).</w:t>
      </w:r>
    </w:p>
    <w:p>
      <w:pPr>
        <w:spacing w:after="0" w:line="132"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Pre-Distribution Action</w:t>
      </w:r>
      <w:r>
        <w:rPr>
          <w:rFonts w:ascii="Arial" w:cs="Arial" w:eastAsia="Arial" w:hAnsi="Arial"/>
          <w:sz w:val="22"/>
          <w:szCs w:val="22"/>
          <w:color w:val="auto"/>
        </w:rPr>
        <w:t>” means an Action by any Third Party with respect to a Split Plan, TFMC Employee, Former TFMC Employee, TEN Employee, or Former TEN Employee that arises from an act, omission, or event that occurred prior to the Distribution.</w:t>
      </w:r>
    </w:p>
    <w:p>
      <w:pPr>
        <w:spacing w:after="0" w:line="213" w:lineRule="exact"/>
        <w:rPr>
          <w:sz w:val="20"/>
          <w:szCs w:val="20"/>
          <w:color w:val="auto"/>
        </w:rPr>
      </w:pPr>
    </w:p>
    <w:p>
      <w:pPr>
        <w:ind w:right="118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Section 409A Award</w:t>
      </w:r>
      <w:r>
        <w:rPr>
          <w:rFonts w:ascii="Arial" w:cs="Arial" w:eastAsia="Arial" w:hAnsi="Arial"/>
          <w:sz w:val="22"/>
          <w:szCs w:val="22"/>
          <w:color w:val="auto"/>
        </w:rPr>
        <w:t xml:space="preserve">” means a TFMC Equity Compensation Award that is treated as non-qualified deferred compensation subject to </w:t>
      </w:r>
      <w:r>
        <w:rPr>
          <w:rFonts w:ascii="Arial" w:cs="Arial" w:eastAsia="Arial" w:hAnsi="Arial"/>
          <w:sz w:val="22"/>
          <w:szCs w:val="22"/>
          <w:u w:val="single" w:color="auto"/>
          <w:color w:val="auto"/>
        </w:rPr>
        <w:t>Section 409A</w:t>
      </w:r>
      <w:r>
        <w:rPr>
          <w:rFonts w:ascii="Arial" w:cs="Arial" w:eastAsia="Arial" w:hAnsi="Arial"/>
          <w:sz w:val="22"/>
          <w:szCs w:val="22"/>
          <w:color w:val="auto"/>
        </w:rPr>
        <w:t xml:space="preserve"> of the Code.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Separation Agreement</w:t>
      </w:r>
      <w:r>
        <w:rPr>
          <w:rFonts w:ascii="Arial" w:cs="Arial" w:eastAsia="Arial" w:hAnsi="Arial"/>
          <w:sz w:val="22"/>
          <w:szCs w:val="22"/>
          <w:color w:val="auto"/>
        </w:rPr>
        <w:t>” has the meaning set forth in the Recitals.</w:t>
      </w:r>
    </w:p>
    <w:p>
      <w:pPr>
        <w:spacing w:after="0" w:line="233" w:lineRule="exact"/>
        <w:rPr>
          <w:sz w:val="20"/>
          <w:szCs w:val="20"/>
          <w:color w:val="auto"/>
        </w:rPr>
      </w:pPr>
    </w:p>
    <w:p>
      <w:pPr>
        <w:ind w:right="6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Split Plan</w:t>
      </w:r>
      <w:r>
        <w:rPr>
          <w:rFonts w:ascii="Arial" w:cs="Arial" w:eastAsia="Arial" w:hAnsi="Arial"/>
          <w:sz w:val="22"/>
          <w:szCs w:val="22"/>
          <w:color w:val="auto"/>
        </w:rPr>
        <w:t>” means any Split TEN Retirement Plan, Split TEN Welfare Plan, Split TFMC Retirement Plan or Split TFMC Welfare Plan, as applicable.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Split TEN Retirement Plans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5.2(a)(ii)</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Split TEN Welfare Plans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6.1(b)</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Split TFMC Retirement Plans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5.2(a)(i)</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Split TFMC Welfare Plans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61(a)</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has the meaning set forth in the Tax Matters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w:t>
      </w:r>
      <w:r>
        <w:rPr>
          <w:rFonts w:ascii="Arial" w:cs="Arial" w:eastAsia="Arial" w:hAnsi="Arial"/>
          <w:sz w:val="22"/>
          <w:szCs w:val="22"/>
          <w:color w:val="auto"/>
        </w:rPr>
        <w:t>” has the meaning set forth in the Separation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Matters Agreement</w:t>
      </w:r>
      <w:r>
        <w:rPr>
          <w:rFonts w:ascii="Arial" w:cs="Arial" w:eastAsia="Arial" w:hAnsi="Arial"/>
          <w:sz w:val="22"/>
          <w:szCs w:val="22"/>
          <w:color w:val="auto"/>
        </w:rPr>
        <w:t>” has the meaning set forth in the Separation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TEN</w:t>
      </w:r>
      <w:r>
        <w:rPr>
          <w:rFonts w:ascii="Arial" w:cs="Arial" w:eastAsia="Arial" w:hAnsi="Arial"/>
          <w:sz w:val="22"/>
          <w:szCs w:val="22"/>
          <w:color w:val="auto"/>
        </w:rPr>
        <w:t>” has the meaning set forth in the preamble.</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9" w:name="page110"/>
    <w:bookmarkEnd w:id="109"/>
    <w:p>
      <w:pPr>
        <w:ind w:right="20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TEN Adjustment Ratio</w:t>
      </w:r>
      <w:r>
        <w:rPr>
          <w:rFonts w:ascii="Arial" w:cs="Arial" w:eastAsia="Arial" w:hAnsi="Arial"/>
          <w:sz w:val="19"/>
          <w:szCs w:val="19"/>
          <w:color w:val="auto"/>
        </w:rPr>
        <w:t>” means the ratio obtained by dividing (a) the closing sale price of TFMC Shares on the New York Stock Exchange on the last date on which the TFMC Shares are traded “regular way” prior to the Distribution Date, as reported by Bloomberg L.P. or any successor thereto and converted to Euros based on the Exchange Rate by (b) the closing sale price of TEN Shares on Euronext Paris on the Listing Date, as reported by Bloomberg L.P. or any successor thereto,</w:t>
      </w:r>
    </w:p>
    <w:p>
      <w:pPr>
        <w:spacing w:after="0" w:line="170" w:lineRule="exact"/>
        <w:rPr>
          <w:sz w:val="20"/>
          <w:szCs w:val="20"/>
          <w:color w:val="auto"/>
        </w:rPr>
      </w:pPr>
    </w:p>
    <w:p>
      <w:pPr>
        <w:ind w:right="14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TEN Benefit Plan</w:t>
      </w:r>
      <w:r>
        <w:rPr>
          <w:rFonts w:ascii="Arial" w:cs="Arial" w:eastAsia="Arial" w:hAnsi="Arial"/>
          <w:sz w:val="22"/>
          <w:szCs w:val="22"/>
          <w:color w:val="auto"/>
        </w:rPr>
        <w:t>” means any Benefit Plan sponsored, maintained or contributed to by any member of the TEN Group. For the avoidance of doubt, no member of the TEN Group will be deemed to sponsor, maintain or contribute to any Benefit Plan if its relationship to such Benefit Plan is solely to administer such Benefit Plan or provide to the TFMC Group any reimbursement in respect of such Benefit Plan.</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TEN Business</w:t>
      </w:r>
      <w:r>
        <w:rPr>
          <w:rFonts w:ascii="Arial" w:cs="Arial" w:eastAsia="Arial" w:hAnsi="Arial"/>
          <w:sz w:val="22"/>
          <w:szCs w:val="22"/>
          <w:color w:val="auto"/>
        </w:rPr>
        <w:t>” has the meaning set forth in the Separation Agreement.</w:t>
      </w:r>
    </w:p>
    <w:p>
      <w:pPr>
        <w:spacing w:after="0" w:line="233" w:lineRule="exact"/>
        <w:rPr>
          <w:sz w:val="20"/>
          <w:szCs w:val="20"/>
          <w:color w:val="auto"/>
        </w:rPr>
      </w:pPr>
    </w:p>
    <w:p>
      <w:pPr>
        <w:ind w:right="6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TEN Compensation Committee</w:t>
      </w:r>
      <w:r>
        <w:rPr>
          <w:rFonts w:ascii="Arial" w:cs="Arial" w:eastAsia="Arial" w:hAnsi="Arial"/>
          <w:sz w:val="22"/>
          <w:szCs w:val="22"/>
          <w:color w:val="auto"/>
        </w:rPr>
        <w:t>” means the committee of the Board of Directors of TEN with the authority to administer and make grants under the TEN LTIP.</w:t>
      </w:r>
    </w:p>
    <w:p>
      <w:pPr>
        <w:spacing w:after="0" w:line="202" w:lineRule="exact"/>
        <w:rPr>
          <w:sz w:val="20"/>
          <w:szCs w:val="20"/>
          <w:color w:val="auto"/>
        </w:rPr>
      </w:pPr>
    </w:p>
    <w:p>
      <w:pPr>
        <w:ind w:right="10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TEN Director</w:t>
      </w:r>
      <w:r>
        <w:rPr>
          <w:rFonts w:ascii="Arial" w:cs="Arial" w:eastAsia="Arial" w:hAnsi="Arial"/>
          <w:sz w:val="22"/>
          <w:szCs w:val="22"/>
          <w:color w:val="auto"/>
        </w:rPr>
        <w:t>” means each member of the Board of Directors of TEN who was also a member of the Board of Directors of TFMC.</w:t>
      </w:r>
    </w:p>
    <w:p>
      <w:pPr>
        <w:spacing w:after="0" w:line="202" w:lineRule="exact"/>
        <w:rPr>
          <w:sz w:val="20"/>
          <w:szCs w:val="20"/>
          <w:color w:val="auto"/>
        </w:rPr>
      </w:pPr>
    </w:p>
    <w:p>
      <w:pPr>
        <w:ind w:right="80" w:firstLine="648"/>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TEN Employee</w:t>
      </w:r>
      <w:r>
        <w:rPr>
          <w:rFonts w:ascii="Arial" w:cs="Arial" w:eastAsia="Arial" w:hAnsi="Arial"/>
          <w:sz w:val="21"/>
          <w:szCs w:val="21"/>
          <w:color w:val="auto"/>
        </w:rPr>
        <w:t>” means each individual who, as of the close of business on the Distribution Date, is employed by a TEN Entity (including, for the avoidance of doubt, any such individual who is on a leave of absence, whether paid or unpaid). TEN Employees also include TEN Transferees, effective as of the applicable Delayed Transfer Date.</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TEN Employee Liabilities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1.2</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TEN Employment Agreement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2.5</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TEN Entity</w:t>
      </w:r>
      <w:r>
        <w:rPr>
          <w:rFonts w:ascii="Arial" w:cs="Arial" w:eastAsia="Arial" w:hAnsi="Arial"/>
          <w:sz w:val="22"/>
          <w:szCs w:val="22"/>
          <w:color w:val="auto"/>
        </w:rPr>
        <w:t>” means a member of the TEN Group.</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TEN Equity Compensation Award</w:t>
      </w:r>
      <w:r>
        <w:rPr>
          <w:rFonts w:ascii="Arial" w:cs="Arial" w:eastAsia="Arial" w:hAnsi="Arial"/>
          <w:sz w:val="22"/>
          <w:szCs w:val="22"/>
          <w:color w:val="auto"/>
        </w:rPr>
        <w:t>” means each TEN RSU or TEN Option.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TEN Group</w:t>
      </w:r>
      <w:r>
        <w:rPr>
          <w:rFonts w:ascii="Arial" w:cs="Arial" w:eastAsia="Arial" w:hAnsi="Arial"/>
          <w:sz w:val="22"/>
          <w:szCs w:val="22"/>
          <w:color w:val="auto"/>
        </w:rPr>
        <w:t>” has the meaning set forth in the Separation Agreement.</w:t>
      </w:r>
    </w:p>
    <w:p>
      <w:pPr>
        <w:spacing w:after="0" w:line="233" w:lineRule="exact"/>
        <w:rPr>
          <w:sz w:val="20"/>
          <w:szCs w:val="20"/>
          <w:color w:val="auto"/>
        </w:rPr>
      </w:pPr>
    </w:p>
    <w:p>
      <w:pPr>
        <w:ind w:right="28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TEN LTIP</w:t>
      </w:r>
      <w:r>
        <w:rPr>
          <w:rFonts w:ascii="Arial" w:cs="Arial" w:eastAsia="Arial" w:hAnsi="Arial"/>
          <w:sz w:val="22"/>
          <w:szCs w:val="22"/>
          <w:color w:val="auto"/>
        </w:rPr>
        <w:t>” means the TEN Incentive Award Plan and any stock-based or other incentive plan adopted by TEN before the Distribution Date.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TEN Option</w:t>
      </w:r>
      <w:r>
        <w:rPr>
          <w:rFonts w:ascii="Arial" w:cs="Arial" w:eastAsia="Arial" w:hAnsi="Arial"/>
          <w:sz w:val="19"/>
          <w:szCs w:val="19"/>
          <w:color w:val="auto"/>
        </w:rPr>
        <w:t xml:space="preserve">” means each outstanding option to purchase TEN Shares under the TEN LTIP as described in </w:t>
      </w:r>
      <w:r>
        <w:rPr>
          <w:rFonts w:ascii="Arial" w:cs="Arial" w:eastAsia="Arial" w:hAnsi="Arial"/>
          <w:sz w:val="19"/>
          <w:szCs w:val="19"/>
          <w:u w:val="single" w:color="auto"/>
          <w:color w:val="auto"/>
        </w:rPr>
        <w:t>Section 7.1(b)</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(iv)</w:t>
      </w:r>
      <w:r>
        <w:rPr>
          <w:rFonts w:ascii="Arial" w:cs="Arial" w:eastAsia="Arial" w:hAnsi="Arial"/>
          <w:sz w:val="22"/>
          <w:szCs w:val="22"/>
          <w:color w:val="auto"/>
        </w:rPr>
        <w:t>.</w:t>
      </w:r>
    </w:p>
    <w:p>
      <w:pPr>
        <w:spacing w:after="0" w:line="215" w:lineRule="exact"/>
        <w:rPr>
          <w:sz w:val="20"/>
          <w:szCs w:val="20"/>
          <w:color w:val="auto"/>
        </w:rPr>
      </w:pPr>
    </w:p>
    <w:p>
      <w:pPr>
        <w:ind w:right="26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TEN Participants</w:t>
      </w:r>
      <w:r>
        <w:rPr>
          <w:rFonts w:ascii="Arial" w:cs="Arial" w:eastAsia="Arial" w:hAnsi="Arial"/>
          <w:sz w:val="22"/>
          <w:szCs w:val="22"/>
          <w:color w:val="auto"/>
        </w:rPr>
        <w:t>” means each TEN Employee who, immediately prior to the Distribution Date, holds a TFMC Equity Compensation Awards, or a beneficiary, dependent or alternate payee of such person.</w:t>
      </w:r>
    </w:p>
    <w:p>
      <w:pPr>
        <w:spacing w:after="0" w:line="202" w:lineRule="exact"/>
        <w:rPr>
          <w:sz w:val="20"/>
          <w:szCs w:val="20"/>
          <w:color w:val="auto"/>
        </w:rPr>
      </w:pPr>
    </w:p>
    <w:p>
      <w:pPr>
        <w:ind w:right="86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TEN RSU</w:t>
      </w:r>
      <w:r>
        <w:rPr>
          <w:rFonts w:ascii="Arial" w:cs="Arial" w:eastAsia="Arial" w:hAnsi="Arial"/>
          <w:sz w:val="22"/>
          <w:szCs w:val="22"/>
          <w:color w:val="auto"/>
        </w:rPr>
        <w:t xml:space="preserve">” means a restricted stock unit award with respect to TEN Shares outstanding under the TEN LTIP as described in </w:t>
      </w:r>
      <w:r>
        <w:rPr>
          <w:rFonts w:ascii="Arial" w:cs="Arial" w:eastAsia="Arial" w:hAnsi="Arial"/>
          <w:sz w:val="22"/>
          <w:szCs w:val="22"/>
          <w:u w:val="single" w:color="auto"/>
          <w:color w:val="auto"/>
        </w:rPr>
        <w:t>Section 7.1(b)</w:t>
      </w:r>
      <w:r>
        <w:rPr>
          <w:rFonts w:ascii="Arial" w:cs="Arial" w:eastAsia="Arial" w:hAnsi="Arial"/>
          <w:sz w:val="22"/>
          <w:szCs w:val="22"/>
          <w:color w:val="auto"/>
        </w:rPr>
        <w:t>.</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0" w:name="page111"/>
    <w:bookmarkEnd w:id="110"/>
    <w:p>
      <w:pPr>
        <w:ind w:right="10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TEN Performance-Based RSU</w:t>
      </w:r>
      <w:r>
        <w:rPr>
          <w:rFonts w:ascii="Arial" w:cs="Arial" w:eastAsia="Arial" w:hAnsi="Arial"/>
          <w:sz w:val="22"/>
          <w:szCs w:val="22"/>
          <w:color w:val="auto"/>
        </w:rPr>
        <w:t>” means a TEN RSU that vests in part based on the satisfaction of one or more performance criteria.</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TEN Severance Benefits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2.6(b)</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TEN Spinoff Retirement Plans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5.1(a)</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TEN Spinoff Welfare Plan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6.1(a)</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TEN Shares</w:t>
      </w:r>
      <w:r>
        <w:rPr>
          <w:rFonts w:ascii="Arial" w:cs="Arial" w:eastAsia="Arial" w:hAnsi="Arial"/>
          <w:sz w:val="22"/>
          <w:szCs w:val="22"/>
          <w:color w:val="auto"/>
        </w:rPr>
        <w:t>” means the ordinary shares, a nominal value of €0.01 per share, of TEN.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TEN Time-Based RSU</w:t>
      </w:r>
      <w:r>
        <w:rPr>
          <w:rFonts w:ascii="Arial" w:cs="Arial" w:eastAsia="Arial" w:hAnsi="Arial"/>
          <w:sz w:val="19"/>
          <w:szCs w:val="19"/>
          <w:color w:val="auto"/>
        </w:rPr>
        <w:t>” means a TEN RSU that vests solely based on continued employment or the passage of time.</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TEN Transferee</w:t>
      </w:r>
      <w:r>
        <w:rPr>
          <w:rFonts w:ascii="Arial" w:cs="Arial" w:eastAsia="Arial" w:hAnsi="Arial"/>
          <w:sz w:val="21"/>
          <w:szCs w:val="21"/>
          <w:color w:val="auto"/>
        </w:rPr>
        <w:t>” means a Delayed Transfer Employee who transfers from the TFMC Group to the TEN Group.</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TEN Vested Director RSU</w:t>
      </w:r>
      <w:r>
        <w:rPr>
          <w:rFonts w:ascii="Arial" w:cs="Arial" w:eastAsia="Arial" w:hAnsi="Arial"/>
          <w:sz w:val="19"/>
          <w:szCs w:val="19"/>
          <w:color w:val="auto"/>
        </w:rPr>
        <w:t xml:space="preserve">” means a restricted stock unit that is granted to a TEN Director under </w:t>
      </w:r>
      <w:r>
        <w:rPr>
          <w:rFonts w:ascii="Arial" w:cs="Arial" w:eastAsia="Arial" w:hAnsi="Arial"/>
          <w:sz w:val="19"/>
          <w:szCs w:val="19"/>
          <w:u w:val="single" w:color="auto"/>
          <w:color w:val="auto"/>
        </w:rPr>
        <w:t>Section 7.1(b)(v)</w:t>
      </w:r>
      <w:r>
        <w:rPr>
          <w:rFonts w:ascii="Arial" w:cs="Arial" w:eastAsia="Arial" w:hAnsi="Arial"/>
          <w:sz w:val="19"/>
          <w:szCs w:val="19"/>
          <w:color w:val="auto"/>
        </w:rPr>
        <w:t>.</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TEN Welfare Claims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6.2(b)</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TEN Welfare Plan</w:t>
      </w:r>
      <w:r>
        <w:rPr>
          <w:rFonts w:ascii="Arial" w:cs="Arial" w:eastAsia="Arial" w:hAnsi="Arial"/>
          <w:sz w:val="22"/>
          <w:szCs w:val="22"/>
          <w:color w:val="auto"/>
        </w:rPr>
        <w:t>” means each TEN Benefit Plan that is a Welfare Plan.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TEN Workers’ Compensation Claim</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6.5</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TFMC</w:t>
      </w:r>
      <w:r>
        <w:rPr>
          <w:rFonts w:ascii="Arial" w:cs="Arial" w:eastAsia="Arial" w:hAnsi="Arial"/>
          <w:sz w:val="22"/>
          <w:szCs w:val="22"/>
          <w:color w:val="auto"/>
        </w:rPr>
        <w:t>” has the meaning set forth in the preamble.</w:t>
      </w:r>
    </w:p>
    <w:p>
      <w:pPr>
        <w:spacing w:after="0" w:line="233"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TFMC Adjustment Ratio</w:t>
      </w:r>
      <w:r>
        <w:rPr>
          <w:rFonts w:ascii="Arial" w:cs="Arial" w:eastAsia="Arial" w:hAnsi="Arial"/>
          <w:sz w:val="19"/>
          <w:szCs w:val="19"/>
          <w:color w:val="auto"/>
        </w:rPr>
        <w:t>” means the ratio obtained by dividing (a) the closing sale price of TFMC Shares solely on the New York Stock Exchange on the last date on which the TFMC Shares are traded “regular way” prior to the Distribution Date, as reported by Bloomberg L.P. or any successor thereto by (b) the closing sale price of TFMC Shares solely on the New York Stock Exchange on the Listing Date (as traded on the “regular way” market) as reported by Bloomberg L.P. or any successor thereto.</w:t>
      </w:r>
    </w:p>
    <w:p>
      <w:pPr>
        <w:spacing w:after="0" w:line="170" w:lineRule="exact"/>
        <w:rPr>
          <w:sz w:val="20"/>
          <w:szCs w:val="20"/>
          <w:color w:val="auto"/>
        </w:rPr>
      </w:pPr>
    </w:p>
    <w:p>
      <w:pPr>
        <w:ind w:right="6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TFMC Benefit Plans</w:t>
      </w:r>
      <w:r>
        <w:rPr>
          <w:rFonts w:ascii="Arial" w:cs="Arial" w:eastAsia="Arial" w:hAnsi="Arial"/>
          <w:sz w:val="22"/>
          <w:szCs w:val="22"/>
          <w:color w:val="auto"/>
        </w:rPr>
        <w:t>” means any Benefit Plan that is sponsored, maintained or contributed to by any member of the TFMC Group. For the avoidance of doubt, no member of the TFMC Group will be deemed to sponsor, maintain or contribute to any Benefit Plan if its relationship to such Benefit Plan is solely to administer such Benefit Plan or provide to TEN any reimbursement in respect of such Benefit Plan.</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TFMC Compensation Committee</w:t>
      </w:r>
      <w:r>
        <w:rPr>
          <w:rFonts w:ascii="Arial" w:cs="Arial" w:eastAsia="Arial" w:hAnsi="Arial"/>
          <w:sz w:val="22"/>
          <w:szCs w:val="22"/>
          <w:color w:val="auto"/>
        </w:rPr>
        <w:t>” means the Compensation Committee of the Board of Directors of TFMC.</w:t>
      </w:r>
    </w:p>
    <w:p>
      <w:pPr>
        <w:spacing w:after="0" w:line="233" w:lineRule="exact"/>
        <w:rPr>
          <w:sz w:val="20"/>
          <w:szCs w:val="20"/>
          <w:color w:val="auto"/>
        </w:rPr>
      </w:pPr>
    </w:p>
    <w:p>
      <w:pPr>
        <w:ind w:right="14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TFMC Employee</w:t>
      </w:r>
      <w:r>
        <w:rPr>
          <w:rFonts w:ascii="Arial" w:cs="Arial" w:eastAsia="Arial" w:hAnsi="Arial"/>
          <w:sz w:val="19"/>
          <w:szCs w:val="19"/>
          <w:color w:val="auto"/>
        </w:rPr>
        <w:t>” means each individual who, as of the close of business on the Distribution Date, is employed by a TFMC Entity (including, for the avoidance of doubt, any such individual who is on a leave of absence, whether paid or unpaid). TFMC Employees also include TFMC Transferees, effective as of the applicable Delayed Transfer Date.</w:t>
      </w: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11" w:name="page112"/>
    <w:bookmarkEnd w:id="111"/>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TFMC Employee Liabilities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w:t>
      </w:r>
      <w:r>
        <w:rPr>
          <w:rFonts w:ascii="Arial" w:cs="Arial" w:eastAsia="Arial" w:hAnsi="Arial"/>
          <w:sz w:val="22"/>
          <w:szCs w:val="22"/>
          <w:color w:val="auto"/>
        </w:rPr>
        <w:t>.</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TFMC Employment Agreement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2.5</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TFMC Entity</w:t>
      </w:r>
      <w:r>
        <w:rPr>
          <w:rFonts w:ascii="Arial" w:cs="Arial" w:eastAsia="Arial" w:hAnsi="Arial"/>
          <w:sz w:val="22"/>
          <w:szCs w:val="22"/>
          <w:color w:val="auto"/>
        </w:rPr>
        <w:t>” means a member of the TFMC Group.</w:t>
      </w:r>
    </w:p>
    <w:p>
      <w:pPr>
        <w:spacing w:after="0" w:line="233" w:lineRule="exact"/>
        <w:rPr>
          <w:sz w:val="20"/>
          <w:szCs w:val="20"/>
          <w:color w:val="auto"/>
        </w:rPr>
      </w:pPr>
    </w:p>
    <w:p>
      <w:pPr>
        <w:ind w:right="320" w:firstLine="648"/>
        <w:spacing w:after="0" w:line="259" w:lineRule="exact"/>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TFMC Equity Compensation Award</w:t>
      </w:r>
      <w:r>
        <w:rPr>
          <w:rFonts w:ascii="Arial" w:cs="Arial" w:eastAsia="Arial" w:hAnsi="Arial"/>
          <w:sz w:val="22"/>
          <w:szCs w:val="22"/>
          <w:color w:val="auto"/>
        </w:rPr>
        <w:t>” means each TFMC Option, TFMC Performance</w:t>
      </w:r>
      <w:r>
        <w:rPr>
          <w:rFonts w:ascii="MS PGothic" w:cs="MS PGothic" w:eastAsia="MS PGothic" w:hAnsi="MS PGothic"/>
          <w:sz w:val="22"/>
          <w:szCs w:val="22"/>
          <w:color w:val="auto"/>
        </w:rPr>
        <w:t>‑</w:t>
      </w:r>
      <w:r>
        <w:rPr>
          <w:rFonts w:ascii="Arial" w:cs="Arial" w:eastAsia="Arial" w:hAnsi="Arial"/>
          <w:sz w:val="22"/>
          <w:szCs w:val="22"/>
          <w:color w:val="auto"/>
        </w:rPr>
        <w:t>Based RSU and TFMC Time-Based RSU.</w:t>
      </w:r>
    </w:p>
    <w:p>
      <w:pPr>
        <w:spacing w:after="0" w:line="213" w:lineRule="exact"/>
        <w:rPr>
          <w:sz w:val="20"/>
          <w:szCs w:val="20"/>
          <w:color w:val="auto"/>
        </w:rPr>
      </w:pPr>
    </w:p>
    <w:p>
      <w:pPr>
        <w:ind w:right="54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TFMC Executive Leadership Team</w:t>
      </w:r>
      <w:r>
        <w:rPr>
          <w:rFonts w:ascii="Arial" w:cs="Arial" w:eastAsia="Arial" w:hAnsi="Arial"/>
          <w:sz w:val="22"/>
          <w:szCs w:val="22"/>
          <w:color w:val="auto"/>
        </w:rPr>
        <w:t>” means each of Doug Pferdehirt, Maryann Mannen, Justin Rounce, Agnieszka Kmieciak, Arnaud Pieton, Barry Glickman, Jon Landes and such other individuals as the TFMC board of directors may designate.</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TFMC Group</w:t>
      </w:r>
      <w:r>
        <w:rPr>
          <w:rFonts w:ascii="Arial" w:cs="Arial" w:eastAsia="Arial" w:hAnsi="Arial"/>
          <w:sz w:val="22"/>
          <w:szCs w:val="22"/>
          <w:color w:val="auto"/>
        </w:rPr>
        <w:t>” has the meaning set forth in the Separation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TFMC LTIP</w:t>
      </w:r>
      <w:r>
        <w:rPr>
          <w:rFonts w:ascii="Arial" w:cs="Arial" w:eastAsia="Arial" w:hAnsi="Arial"/>
          <w:sz w:val="22"/>
          <w:szCs w:val="22"/>
          <w:color w:val="auto"/>
        </w:rPr>
        <w:t>” means Amended and Restated TFMC plc Incentive Award Plan.</w:t>
      </w:r>
    </w:p>
    <w:p>
      <w:pPr>
        <w:spacing w:after="0" w:line="233" w:lineRule="exact"/>
        <w:rPr>
          <w:sz w:val="20"/>
          <w:szCs w:val="20"/>
          <w:color w:val="auto"/>
        </w:rPr>
      </w:pPr>
    </w:p>
    <w:p>
      <w:pPr>
        <w:ind w:right="44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TFMC Option</w:t>
      </w:r>
      <w:r>
        <w:rPr>
          <w:rFonts w:ascii="Arial" w:cs="Arial" w:eastAsia="Arial" w:hAnsi="Arial"/>
          <w:sz w:val="22"/>
          <w:szCs w:val="22"/>
          <w:color w:val="auto"/>
        </w:rPr>
        <w:t>” means each outstanding option to purchase TFMC Shares granted by TFMC under the TFMC LTIP before the Distribution Date.</w:t>
      </w:r>
    </w:p>
    <w:p>
      <w:pPr>
        <w:spacing w:after="0" w:line="202" w:lineRule="exact"/>
        <w:rPr>
          <w:sz w:val="20"/>
          <w:szCs w:val="20"/>
          <w:color w:val="auto"/>
        </w:rPr>
      </w:pPr>
    </w:p>
    <w:p>
      <w:pPr>
        <w:ind w:right="18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TFMC Participants</w:t>
      </w:r>
      <w:r>
        <w:rPr>
          <w:rFonts w:ascii="Arial" w:cs="Arial" w:eastAsia="Arial" w:hAnsi="Arial"/>
          <w:sz w:val="22"/>
          <w:szCs w:val="22"/>
          <w:color w:val="auto"/>
        </w:rPr>
        <w:t>” means any TFMC Employee, Former TFMC Employee, Former TEN Employee or current or former member of the TFMC Board of Directors or other current or former consultant or service provider of TFMC who, immediately prior to the Distribution Date, holds TFMC Equity Compensation Awards, or a beneficiary, dependent or alternate payee of such person.</w:t>
      </w:r>
    </w:p>
    <w:p>
      <w:pPr>
        <w:spacing w:after="0" w:line="212" w:lineRule="exact"/>
        <w:rPr>
          <w:sz w:val="20"/>
          <w:szCs w:val="20"/>
          <w:color w:val="auto"/>
        </w:rPr>
      </w:pPr>
    </w:p>
    <w:p>
      <w:pPr>
        <w:ind w:right="1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TFMC Performance-Based RSU</w:t>
      </w:r>
      <w:r>
        <w:rPr>
          <w:rFonts w:ascii="Arial" w:cs="Arial" w:eastAsia="Arial" w:hAnsi="Arial"/>
          <w:sz w:val="22"/>
          <w:szCs w:val="22"/>
          <w:color w:val="auto"/>
        </w:rPr>
        <w:t>” means a performance-based restricted stock unit award with respect to TFMC Shares granted by TFMC under the TFMC LTIP before the Distribution Date.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TFMC Severance Benefits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2.6(a)</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TFMC Spinoff Retirement Plan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5.2(a)(ii)</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TFMC Spinoff Welfare Plan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6.1(b)</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TFMC Shares</w:t>
      </w:r>
      <w:r>
        <w:rPr>
          <w:rFonts w:ascii="Arial" w:cs="Arial" w:eastAsia="Arial" w:hAnsi="Arial"/>
          <w:sz w:val="22"/>
          <w:szCs w:val="22"/>
          <w:color w:val="auto"/>
        </w:rPr>
        <w:t>” has the meaning set forth in the Separation Agreement.</w:t>
      </w:r>
    </w:p>
    <w:p>
      <w:pPr>
        <w:spacing w:after="0" w:line="233" w:lineRule="exact"/>
        <w:rPr>
          <w:sz w:val="20"/>
          <w:szCs w:val="20"/>
          <w:color w:val="auto"/>
        </w:rPr>
      </w:pPr>
    </w:p>
    <w:p>
      <w:pPr>
        <w:ind w:right="500"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TFMC Time-Based RSU</w:t>
      </w:r>
      <w:r>
        <w:rPr>
          <w:rFonts w:ascii="Arial" w:cs="Arial" w:eastAsia="Arial" w:hAnsi="Arial"/>
          <w:sz w:val="19"/>
          <w:szCs w:val="19"/>
          <w:color w:val="auto"/>
        </w:rPr>
        <w:t>” means a time-based restricted stock unit award with respect to TFMC Shares granted by TFMC under the TFMC LTIP before the Distribution Date, but not including a TFMC Vested Director RSU.</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TFMC Transferee</w:t>
      </w:r>
      <w:r>
        <w:rPr>
          <w:rFonts w:ascii="Arial" w:cs="Arial" w:eastAsia="Arial" w:hAnsi="Arial"/>
          <w:sz w:val="21"/>
          <w:szCs w:val="21"/>
          <w:color w:val="auto"/>
        </w:rPr>
        <w:t>” means a Delayed Transfer Employee who transfers from the TEN Group to the TFMC Group.</w:t>
      </w:r>
    </w:p>
    <w:p>
      <w:pPr>
        <w:spacing w:after="0" w:line="245"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TFMC Vested Director RSU</w:t>
      </w:r>
      <w:r>
        <w:rPr>
          <w:rFonts w:ascii="Arial" w:cs="Arial" w:eastAsia="Arial" w:hAnsi="Arial"/>
          <w:sz w:val="22"/>
          <w:szCs w:val="22"/>
          <w:color w:val="auto"/>
        </w:rPr>
        <w:t>” means each restricted stock unit with respect to TFMC Shares granted by TFMC to a TEN Director under the TFMC LTIP that was fully vested immediately prior to the Distribution.</w:t>
      </w: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12" w:name="page113"/>
    <w:bookmarkEnd w:id="112"/>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TFMC Welfare Claims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6.2(a)</w:t>
      </w:r>
      <w:r>
        <w:rPr>
          <w:rFonts w:ascii="Arial" w:cs="Arial" w:eastAsia="Arial" w:hAnsi="Arial"/>
          <w:sz w:val="22"/>
          <w:szCs w:val="22"/>
          <w:color w:val="auto"/>
        </w:rPr>
        <w:t>.</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TFMC Welfare Plan</w:t>
      </w:r>
      <w:r>
        <w:rPr>
          <w:rFonts w:ascii="Arial" w:cs="Arial" w:eastAsia="Arial" w:hAnsi="Arial"/>
          <w:sz w:val="22"/>
          <w:szCs w:val="22"/>
          <w:color w:val="auto"/>
        </w:rPr>
        <w:t>” means each TFMC Benefit Plan that is a Welfare Plan.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 Party</w:t>
      </w:r>
      <w:r>
        <w:rPr>
          <w:rFonts w:ascii="Arial" w:cs="Arial" w:eastAsia="Arial" w:hAnsi="Arial"/>
          <w:sz w:val="22"/>
          <w:szCs w:val="22"/>
          <w:color w:val="auto"/>
        </w:rPr>
        <w:t>” has the meaning set forth in the Separation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Third-Party Claim</w:t>
      </w:r>
      <w:r>
        <w:rPr>
          <w:rFonts w:ascii="Arial" w:cs="Arial" w:eastAsia="Arial" w:hAnsi="Arial"/>
          <w:sz w:val="22"/>
          <w:szCs w:val="22"/>
          <w:color w:val="auto"/>
        </w:rPr>
        <w:t>” has the meaning set forth in the Separation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Transition Services Agreement</w:t>
      </w:r>
      <w:r>
        <w:rPr>
          <w:rFonts w:ascii="Arial" w:cs="Arial" w:eastAsia="Arial" w:hAnsi="Arial"/>
          <w:sz w:val="22"/>
          <w:szCs w:val="22"/>
          <w:color w:val="auto"/>
        </w:rPr>
        <w:t>” has the meaning set forth in the Separation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Vendor Contract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11.1</w:t>
      </w:r>
      <w:r>
        <w:rPr>
          <w:rFonts w:ascii="Arial" w:cs="Arial" w:eastAsia="Arial" w:hAnsi="Arial"/>
          <w:sz w:val="22"/>
          <w:szCs w:val="22"/>
          <w:color w:val="auto"/>
        </w:rPr>
        <w:t>.</w:t>
      </w:r>
    </w:p>
    <w:p>
      <w:pPr>
        <w:spacing w:after="0" w:line="233"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Welfare Plan</w:t>
      </w:r>
      <w:r>
        <w:rPr>
          <w:rFonts w:ascii="Arial" w:cs="Arial" w:eastAsia="Arial" w:hAnsi="Arial"/>
          <w:sz w:val="19"/>
          <w:szCs w:val="19"/>
          <w:color w:val="auto"/>
        </w:rPr>
        <w:t xml:space="preserve">” means each Benefit Plan that provides life insurance, health care, dental care, vision care, employee assistance programs (EAP), health and dependent care flexible spending accounts, accidental death and dismemberment insurance, disability, severance, end of service gratuity, jubilee payment or other group welfare or fringe benefits or is otherwise an “employee welfare benefit plan” as described in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of ERISA, whether or not subject to ERISA.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Workers’ Compensation Event</w:t>
      </w:r>
      <w:r>
        <w:rPr>
          <w:rFonts w:ascii="Arial" w:cs="Arial" w:eastAsia="Arial" w:hAnsi="Arial"/>
          <w:sz w:val="19"/>
          <w:szCs w:val="19"/>
          <w:color w:val="auto"/>
        </w:rPr>
        <w:t>” means the event, injury, illness or condition giving rise to a workers’ compensation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claim.</w:t>
      </w:r>
    </w:p>
    <w:p>
      <w:pPr>
        <w:spacing w:after="0" w:line="393"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18" w:right="499" w:bottom="1440" w:gutter="0" w:footer="0" w:header="0"/>
        </w:sectPr>
      </w:pPr>
    </w:p>
    <w:bookmarkStart w:id="113" w:name="page114"/>
    <w:bookmarkEnd w:id="113"/>
    <w:p>
      <w:pPr>
        <w:jc w:val="center"/>
        <w:ind w:right="-139"/>
        <w:spacing w:after="0"/>
        <w:rPr>
          <w:sz w:val="20"/>
          <w:szCs w:val="20"/>
          <w:color w:val="auto"/>
        </w:rPr>
      </w:pPr>
      <w:r>
        <w:rPr>
          <w:rFonts w:ascii="Arial" w:cs="Arial" w:eastAsia="Arial" w:hAnsi="Arial"/>
          <w:sz w:val="22"/>
          <w:szCs w:val="22"/>
          <w:u w:val="single" w:color="auto"/>
          <w:color w:val="auto"/>
        </w:rPr>
        <w:t>COUNTRY SCHEDULE - AUSTRALIA</w:t>
      </w:r>
    </w:p>
    <w:p>
      <w:pPr>
        <w:spacing w:after="0" w:line="234" w:lineRule="exact"/>
        <w:rPr>
          <w:sz w:val="20"/>
          <w:szCs w:val="20"/>
          <w:color w:val="auto"/>
        </w:rPr>
      </w:pPr>
    </w:p>
    <w:p>
      <w:pPr>
        <w:ind w:right="380" w:firstLine="648"/>
        <w:spacing w:after="0" w:line="250" w:lineRule="auto"/>
        <w:rPr>
          <w:sz w:val="20"/>
          <w:szCs w:val="20"/>
          <w:color w:val="auto"/>
        </w:rPr>
      </w:pPr>
      <w:r>
        <w:rPr>
          <w:rFonts w:ascii="Arial" w:cs="Arial" w:eastAsia="Arial" w:hAnsi="Arial"/>
          <w:sz w:val="22"/>
          <w:szCs w:val="22"/>
          <w:color w:val="auto"/>
        </w:rPr>
        <w:t>This Country Schedule-Australia sets forth terms applicable to Employees employed in Australia that differ from the provisions set forth in the Employee Matters Agreement.</w:t>
      </w:r>
    </w:p>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22"/>
          <w:szCs w:val="22"/>
          <w:u w:val="single" w:color="auto"/>
          <w:color w:val="auto"/>
        </w:rPr>
        <w:t>ARTICLE VI</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22"/>
          <w:szCs w:val="22"/>
          <w:u w:val="single" w:color="auto"/>
          <w:color w:val="auto"/>
        </w:rPr>
        <w:t>WELFARE PLANS</w:t>
      </w:r>
    </w:p>
    <w:p>
      <w:pPr>
        <w:spacing w:after="0" w:line="215"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u w:val="single" w:color="auto"/>
          <w:color w:val="auto"/>
        </w:rPr>
        <w:t>Spinoff</w:t>
      </w:r>
      <w:r>
        <w:rPr>
          <w:rFonts w:ascii="Arial" w:cs="Arial" w:eastAsia="Arial" w:hAnsi="Arial"/>
          <w:sz w:val="22"/>
          <w:szCs w:val="22"/>
          <w:color w:val="auto"/>
        </w:rPr>
        <w:t xml:space="preserve">. Notwithstanding the provisions of </w:t>
      </w:r>
      <w:r>
        <w:rPr>
          <w:rFonts w:ascii="Arial" w:cs="Arial" w:eastAsia="Arial" w:hAnsi="Arial"/>
          <w:sz w:val="22"/>
          <w:szCs w:val="22"/>
          <w:u w:val="single" w:color="auto"/>
          <w:color w:val="auto"/>
        </w:rPr>
        <w:t>Articles V or VI</w:t>
      </w:r>
      <w:r>
        <w:rPr>
          <w:rFonts w:ascii="Arial" w:cs="Arial" w:eastAsia="Arial" w:hAnsi="Arial"/>
          <w:sz w:val="22"/>
          <w:szCs w:val="22"/>
          <w:color w:val="auto"/>
        </w:rPr>
        <w:t xml:space="preserve"> of the Employee Matters Agreement, the employing member of the TEN Group need not continue to provide company contributions for health insurance premiums to the Health Insurance Fund of Australia (HIF) for any TEN Employee transferred from the TFMC Group. The employing TEN Group member may instead provide such TEN Employees with a discretionary HIF payment for such period as the TEN Employee may accept.</w:t>
      </w:r>
    </w:p>
    <w:p>
      <w:pPr>
        <w:spacing w:after="0" w:line="392"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sectPr>
      </w:pPr>
    </w:p>
    <w:bookmarkStart w:id="114" w:name="page115"/>
    <w:bookmarkEnd w:id="114"/>
    <w:p>
      <w:pPr>
        <w:jc w:val="center"/>
        <w:ind w:right="-99"/>
        <w:spacing w:after="0"/>
        <w:rPr>
          <w:sz w:val="20"/>
          <w:szCs w:val="20"/>
          <w:color w:val="auto"/>
        </w:rPr>
      </w:pPr>
      <w:r>
        <w:rPr>
          <w:rFonts w:ascii="Arial" w:cs="Arial" w:eastAsia="Arial" w:hAnsi="Arial"/>
          <w:sz w:val="22"/>
          <w:szCs w:val="22"/>
          <w:u w:val="single" w:color="auto"/>
          <w:color w:val="auto"/>
        </w:rPr>
        <w:t>COUNTRY SCHEDULE - FRANCE</w:t>
      </w:r>
    </w:p>
    <w:p>
      <w:pPr>
        <w:spacing w:after="0" w:line="234" w:lineRule="exact"/>
        <w:rPr>
          <w:sz w:val="20"/>
          <w:szCs w:val="20"/>
          <w:color w:val="auto"/>
        </w:rPr>
      </w:pPr>
    </w:p>
    <w:p>
      <w:pPr>
        <w:ind w:right="800" w:firstLine="648"/>
        <w:spacing w:after="0" w:line="250" w:lineRule="auto"/>
        <w:rPr>
          <w:sz w:val="20"/>
          <w:szCs w:val="20"/>
          <w:color w:val="auto"/>
        </w:rPr>
      </w:pPr>
      <w:r>
        <w:rPr>
          <w:rFonts w:ascii="Arial" w:cs="Arial" w:eastAsia="Arial" w:hAnsi="Arial"/>
          <w:sz w:val="22"/>
          <w:szCs w:val="22"/>
          <w:color w:val="auto"/>
        </w:rPr>
        <w:t>This Country Schedule-France sets forth terms applicable to Employees employed in France that differ from the provisions set forth in the Employee Matters Agreement.</w:t>
      </w: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22"/>
          <w:szCs w:val="22"/>
          <w:u w:val="single" w:color="auto"/>
          <w:color w:val="auto"/>
        </w:rPr>
        <w:t>ARTICLE I</w:t>
      </w:r>
    </w:p>
    <w:p>
      <w:pPr>
        <w:spacing w:after="0" w:line="233" w:lineRule="exact"/>
        <w:rPr>
          <w:sz w:val="20"/>
          <w:szCs w:val="20"/>
          <w:color w:val="auto"/>
        </w:rPr>
      </w:pPr>
    </w:p>
    <w:p>
      <w:pPr>
        <w:ind w:right="200" w:firstLine="648"/>
        <w:spacing w:after="0" w:line="297"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Legal Requirements</w:t>
      </w:r>
      <w:r>
        <w:rPr>
          <w:rFonts w:ascii="Arial" w:cs="Arial" w:eastAsia="Arial" w:hAnsi="Arial"/>
          <w:sz w:val="19"/>
          <w:szCs w:val="19"/>
          <w:color w:val="auto"/>
        </w:rPr>
        <w:t xml:space="preserve">. Notwithstanding the provisions of </w:t>
      </w:r>
      <w:r>
        <w:rPr>
          <w:rFonts w:ascii="Arial" w:cs="Arial" w:eastAsia="Arial" w:hAnsi="Arial"/>
          <w:sz w:val="19"/>
          <w:szCs w:val="19"/>
          <w:u w:val="single" w:color="auto"/>
          <w:color w:val="auto"/>
        </w:rPr>
        <w:t>Section 7.3</w:t>
      </w:r>
      <w:r>
        <w:rPr>
          <w:rFonts w:ascii="Arial" w:cs="Arial" w:eastAsia="Arial" w:hAnsi="Arial"/>
          <w:sz w:val="19"/>
          <w:szCs w:val="19"/>
          <w:color w:val="auto"/>
        </w:rPr>
        <w:t xml:space="preserve"> of the Employee Matters Agreement, the TEN Group member, which is the relevant employer of TEN Employees at the time the award plan obligations arise, will be responsible for the payment of all payroll taxes, withholding and reporting with respect to TEN Equity Compensation Awards.</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22"/>
          <w:szCs w:val="22"/>
          <w:u w:val="single" w:color="auto"/>
          <w:color w:val="auto"/>
        </w:rPr>
        <w:t>ARTICLE V</w:t>
      </w:r>
    </w:p>
    <w:p>
      <w:pPr>
        <w:spacing w:after="0" w:line="233" w:lineRule="exact"/>
        <w:rPr>
          <w:sz w:val="20"/>
          <w:szCs w:val="20"/>
          <w:color w:val="auto"/>
        </w:rPr>
      </w:pPr>
    </w:p>
    <w:p>
      <w:pPr>
        <w:ind w:right="20" w:firstLine="648"/>
        <w:spacing w:after="0" w:line="252" w:lineRule="auto"/>
        <w:rPr>
          <w:sz w:val="20"/>
          <w:szCs w:val="20"/>
          <w:color w:val="auto"/>
        </w:rPr>
      </w:pPr>
      <w:r>
        <w:rPr>
          <w:rFonts w:ascii="Arial" w:cs="Arial" w:eastAsia="Arial" w:hAnsi="Arial"/>
          <w:sz w:val="21"/>
          <w:szCs w:val="21"/>
          <w:color w:val="auto"/>
        </w:rPr>
        <w:t xml:space="preserve">5.1 </w:t>
      </w:r>
      <w:r>
        <w:rPr>
          <w:rFonts w:ascii="Arial" w:cs="Arial" w:eastAsia="Arial" w:hAnsi="Arial"/>
          <w:sz w:val="21"/>
          <w:szCs w:val="21"/>
          <w:u w:val="single" w:color="auto"/>
          <w:color w:val="auto"/>
        </w:rPr>
        <w:t>“</w:t>
      </w:r>
      <w:r>
        <w:rPr>
          <w:rFonts w:ascii="Arial" w:cs="Arial" w:eastAsia="Arial" w:hAnsi="Arial"/>
          <w:sz w:val="21"/>
          <w:szCs w:val="21"/>
          <w:i w:val="1"/>
          <w:iCs w:val="1"/>
          <w:u w:val="single" w:color="auto"/>
          <w:color w:val="auto"/>
        </w:rPr>
        <w:t>Epargne salariale</w:t>
      </w:r>
      <w:r>
        <w:rPr>
          <w:rFonts w:ascii="Arial" w:cs="Arial" w:eastAsia="Arial" w:hAnsi="Arial"/>
          <w:sz w:val="21"/>
          <w:szCs w:val="21"/>
          <w:u w:val="single" w:color="auto"/>
          <w:color w:val="auto"/>
        </w:rPr>
        <w:t>”</w:t>
      </w:r>
      <w:r>
        <w:rPr>
          <w:rFonts w:ascii="Arial" w:cs="Arial" w:eastAsia="Arial" w:hAnsi="Arial"/>
          <w:sz w:val="21"/>
          <w:szCs w:val="21"/>
          <w:color w:val="auto"/>
        </w:rPr>
        <w:t xml:space="preserve">. Notwithstanding the provisions of </w:t>
      </w:r>
      <w:r>
        <w:rPr>
          <w:rFonts w:ascii="Arial" w:cs="Arial" w:eastAsia="Arial" w:hAnsi="Arial"/>
          <w:sz w:val="21"/>
          <w:szCs w:val="21"/>
          <w:u w:val="single" w:color="auto"/>
          <w:color w:val="auto"/>
        </w:rPr>
        <w:t>Article V</w:t>
      </w:r>
      <w:r>
        <w:rPr>
          <w:rFonts w:ascii="Arial" w:cs="Arial" w:eastAsia="Arial" w:hAnsi="Arial"/>
          <w:sz w:val="21"/>
          <w:szCs w:val="21"/>
          <w:color w:val="auto"/>
        </w:rPr>
        <w:t xml:space="preserve"> of the Employee Matters Agreement, all and any obligations of administration, declaration, pay-out, withholding, set-up of benefit plans and similar in relation to the benefits mentioned in </w:t>
      </w:r>
      <w:r>
        <w:rPr>
          <w:rFonts w:ascii="Arial" w:cs="Arial" w:eastAsia="Arial" w:hAnsi="Arial"/>
          <w:sz w:val="21"/>
          <w:szCs w:val="21"/>
          <w:i w:val="1"/>
          <w:iCs w:val="1"/>
          <w:color w:val="auto"/>
        </w:rPr>
        <w:t>Troisième Partie</w:t>
      </w:r>
      <w:r>
        <w:rPr>
          <w:rFonts w:ascii="Arial" w:cs="Arial" w:eastAsia="Arial" w:hAnsi="Arial"/>
          <w:sz w:val="21"/>
          <w:szCs w:val="21"/>
          <w:color w:val="auto"/>
        </w:rPr>
        <w:t xml:space="preserve">, </w:t>
      </w:r>
      <w:r>
        <w:rPr>
          <w:rFonts w:ascii="Arial" w:cs="Arial" w:eastAsia="Arial" w:hAnsi="Arial"/>
          <w:sz w:val="21"/>
          <w:szCs w:val="21"/>
          <w:i w:val="1"/>
          <w:iCs w:val="1"/>
          <w:color w:val="auto"/>
        </w:rPr>
        <w:t>Livre III</w:t>
      </w:r>
      <w:r>
        <w:rPr>
          <w:rFonts w:ascii="Arial" w:cs="Arial" w:eastAsia="Arial" w:hAnsi="Arial"/>
          <w:sz w:val="21"/>
          <w:szCs w:val="21"/>
          <w:color w:val="auto"/>
        </w:rPr>
        <w:t xml:space="preserve"> of the French Labor Code (</w:t>
      </w:r>
      <w:r>
        <w:rPr>
          <w:rFonts w:ascii="Arial" w:cs="Arial" w:eastAsia="Arial" w:hAnsi="Arial"/>
          <w:sz w:val="21"/>
          <w:szCs w:val="21"/>
          <w:u w:val="single" w:color="auto"/>
          <w:color w:val="auto"/>
        </w:rPr>
        <w:t>Articles L. 3311-1</w:t>
      </w:r>
      <w:r>
        <w:rPr>
          <w:rFonts w:ascii="Arial" w:cs="Arial" w:eastAsia="Arial" w:hAnsi="Arial"/>
          <w:sz w:val="21"/>
          <w:szCs w:val="21"/>
          <w:color w:val="auto"/>
        </w:rPr>
        <w:t xml:space="preserve"> </w:t>
      </w:r>
      <w:r>
        <w:rPr>
          <w:rFonts w:ascii="Arial" w:cs="Arial" w:eastAsia="Arial" w:hAnsi="Arial"/>
          <w:sz w:val="21"/>
          <w:szCs w:val="21"/>
          <w:i w:val="1"/>
          <w:iCs w:val="1"/>
          <w:color w:val="auto"/>
        </w:rPr>
        <w:t>et seq.</w:t>
      </w:r>
      <w:r>
        <w:rPr>
          <w:rFonts w:ascii="Arial" w:cs="Arial" w:eastAsia="Arial" w:hAnsi="Arial"/>
          <w:sz w:val="21"/>
          <w:szCs w:val="21"/>
          <w:color w:val="auto"/>
        </w:rPr>
        <w:t>, including relevant regulatory provisions and circulars) shall be performed by the company that is obligated to do so by Law.</w:t>
      </w:r>
    </w:p>
    <w:p>
      <w:pPr>
        <w:spacing w:after="0" w:line="147" w:lineRule="exact"/>
        <w:rPr>
          <w:sz w:val="20"/>
          <w:szCs w:val="20"/>
          <w:color w:val="auto"/>
        </w:rPr>
      </w:pPr>
    </w:p>
    <w:p>
      <w:pPr>
        <w:ind w:left="5000"/>
        <w:spacing w:after="0"/>
        <w:rPr>
          <w:sz w:val="20"/>
          <w:szCs w:val="20"/>
          <w:color w:val="auto"/>
        </w:rPr>
      </w:pPr>
      <w:r>
        <w:rPr>
          <w:rFonts w:ascii="Arial" w:cs="Arial" w:eastAsia="Arial" w:hAnsi="Arial"/>
          <w:sz w:val="22"/>
          <w:szCs w:val="22"/>
          <w:u w:val="single" w:color="auto"/>
          <w:color w:val="auto"/>
        </w:rPr>
        <w:t>ARTICLE VII</w:t>
      </w:r>
    </w:p>
    <w:p>
      <w:pPr>
        <w:spacing w:after="0" w:line="233"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19"/>
          <w:szCs w:val="19"/>
          <w:u w:val="single" w:color="auto"/>
          <w:color w:val="auto"/>
        </w:rPr>
        <w:t>TechnipFMC Equity Compensation Awards</w:t>
      </w:r>
      <w:r>
        <w:rPr>
          <w:rFonts w:ascii="Arial" w:cs="Arial" w:eastAsia="Arial" w:hAnsi="Arial"/>
          <w:sz w:val="19"/>
          <w:szCs w:val="19"/>
          <w:color w:val="auto"/>
        </w:rPr>
        <w:t>.</w:t>
      </w:r>
    </w:p>
    <w:p>
      <w:pPr>
        <w:spacing w:after="0" w:line="233" w:lineRule="exact"/>
        <w:rPr>
          <w:sz w:val="20"/>
          <w:szCs w:val="20"/>
          <w:color w:val="auto"/>
        </w:rPr>
      </w:pPr>
    </w:p>
    <w:p>
      <w:pPr>
        <w:ind w:firstLine="656"/>
        <w:spacing w:after="0" w:line="238" w:lineRule="auto"/>
        <w:tabs>
          <w:tab w:leader="none" w:pos="1428" w:val="left"/>
        </w:tabs>
        <w:numPr>
          <w:ilvl w:val="0"/>
          <w:numId w:val="63"/>
        </w:numPr>
        <w:rPr>
          <w:rFonts w:ascii="Arial" w:cs="Arial" w:eastAsia="Arial" w:hAnsi="Arial"/>
          <w:sz w:val="22"/>
          <w:szCs w:val="22"/>
          <w:color w:val="auto"/>
        </w:rPr>
      </w:pPr>
      <w:r>
        <w:rPr>
          <w:rFonts w:ascii="Arial" w:cs="Arial" w:eastAsia="Arial" w:hAnsi="Arial"/>
          <w:sz w:val="22"/>
          <w:szCs w:val="22"/>
          <w:color w:val="auto"/>
        </w:rPr>
        <w:t xml:space="preserve">Notwithstanding the provisions of </w:t>
      </w:r>
      <w:r>
        <w:rPr>
          <w:rFonts w:ascii="Arial" w:cs="Arial" w:eastAsia="Arial" w:hAnsi="Arial"/>
          <w:sz w:val="22"/>
          <w:szCs w:val="22"/>
          <w:u w:val="single" w:color="auto"/>
          <w:color w:val="auto"/>
        </w:rPr>
        <w:t>Section 7.3</w:t>
      </w:r>
      <w:r>
        <w:rPr>
          <w:rFonts w:ascii="Arial" w:cs="Arial" w:eastAsia="Arial" w:hAnsi="Arial"/>
          <w:sz w:val="22"/>
          <w:szCs w:val="22"/>
          <w:color w:val="auto"/>
        </w:rPr>
        <w:t xml:space="preserve"> of the Employee Matters Agreement, the TechnipFMC Group member or the TEN Group member, which is the relevant employer, or former employer as the case may be, of an Employee at the time the award plan obligations arise, will be responsible for the payment of all payroll taxes, withholding and reporting with respect to TechnipFMC Equity Compensation Awards.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22"/>
          <w:szCs w:val="22"/>
          <w:u w:val="single" w:color="auto"/>
          <w:color w:val="auto"/>
        </w:rPr>
        <w:t>COUNTRY SCHEDULE - UNITED STATES</w:t>
      </w:r>
    </w:p>
    <w:p>
      <w:pPr>
        <w:spacing w:after="0" w:line="234" w:lineRule="exact"/>
        <w:rPr>
          <w:sz w:val="20"/>
          <w:szCs w:val="20"/>
          <w:color w:val="auto"/>
        </w:rPr>
      </w:pPr>
    </w:p>
    <w:p>
      <w:pPr>
        <w:ind w:right="220" w:firstLine="648"/>
        <w:spacing w:after="0" w:line="250" w:lineRule="auto"/>
        <w:rPr>
          <w:sz w:val="20"/>
          <w:szCs w:val="20"/>
          <w:color w:val="auto"/>
        </w:rPr>
      </w:pPr>
      <w:r>
        <w:rPr>
          <w:rFonts w:ascii="Arial" w:cs="Arial" w:eastAsia="Arial" w:hAnsi="Arial"/>
          <w:sz w:val="22"/>
          <w:szCs w:val="22"/>
          <w:color w:val="auto"/>
        </w:rPr>
        <w:t>This Country Schedule-United States sets forth terms applicable to Employees employed in the U.S. that differ from the provisions set forth in the Employee Matters Agreement.</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ARTICLE V</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U.S. TAX-QUALIFIED AND NON-QUALIFIED DEFINED CONTRIBUTION PLANS</w:t>
      </w:r>
    </w:p>
    <w:p>
      <w:pPr>
        <w:spacing w:after="0" w:line="215" w:lineRule="exact"/>
        <w:rPr>
          <w:sz w:val="20"/>
          <w:szCs w:val="20"/>
          <w:color w:val="auto"/>
        </w:rPr>
      </w:pPr>
    </w:p>
    <w:p>
      <w:pPr>
        <w:ind w:right="40" w:firstLine="648"/>
        <w:spacing w:after="0" w:line="249" w:lineRule="auto"/>
        <w:rPr>
          <w:sz w:val="20"/>
          <w:szCs w:val="20"/>
          <w:color w:val="auto"/>
        </w:rPr>
      </w:pPr>
      <w:r>
        <w:rPr>
          <w:rFonts w:ascii="Arial" w:cs="Arial" w:eastAsia="Arial" w:hAnsi="Arial"/>
          <w:sz w:val="21"/>
          <w:szCs w:val="21"/>
          <w:color w:val="auto"/>
        </w:rPr>
        <w:t xml:space="preserve">5.1 </w:t>
      </w:r>
      <w:r>
        <w:rPr>
          <w:rFonts w:ascii="Arial" w:cs="Arial" w:eastAsia="Arial" w:hAnsi="Arial"/>
          <w:sz w:val="21"/>
          <w:szCs w:val="21"/>
          <w:u w:val="single" w:color="auto"/>
          <w:color w:val="auto"/>
        </w:rPr>
        <w:t>US Benefit Plans and US Plan Split Date</w:t>
      </w:r>
      <w:r>
        <w:rPr>
          <w:rFonts w:ascii="Arial" w:cs="Arial" w:eastAsia="Arial" w:hAnsi="Arial"/>
          <w:sz w:val="21"/>
          <w:szCs w:val="21"/>
          <w:color w:val="auto"/>
        </w:rPr>
        <w:t>. Following the Distribution Date through July 1, 2021 (the “</w:t>
      </w:r>
      <w:r>
        <w:rPr>
          <w:rFonts w:ascii="Arial" w:cs="Arial" w:eastAsia="Arial" w:hAnsi="Arial"/>
          <w:sz w:val="21"/>
          <w:szCs w:val="21"/>
          <w:u w:val="single" w:color="auto"/>
          <w:color w:val="auto"/>
        </w:rPr>
        <w:t>US Plan</w:t>
      </w:r>
      <w:r>
        <w:rPr>
          <w:rFonts w:ascii="Arial" w:cs="Arial" w:eastAsia="Arial" w:hAnsi="Arial"/>
          <w:sz w:val="21"/>
          <w:szCs w:val="21"/>
          <w:color w:val="auto"/>
        </w:rPr>
        <w:t xml:space="preserve"> </w:t>
      </w:r>
      <w:r>
        <w:rPr>
          <w:rFonts w:ascii="Arial" w:cs="Arial" w:eastAsia="Arial" w:hAnsi="Arial"/>
          <w:sz w:val="21"/>
          <w:szCs w:val="21"/>
          <w:u w:val="single" w:color="auto"/>
          <w:color w:val="auto"/>
        </w:rPr>
        <w:t>Split Date</w:t>
      </w:r>
      <w:r>
        <w:rPr>
          <w:rFonts w:ascii="Arial" w:cs="Arial" w:eastAsia="Arial" w:hAnsi="Arial"/>
          <w:sz w:val="21"/>
          <w:szCs w:val="21"/>
          <w:color w:val="auto"/>
        </w:rPr>
        <w:t>”) TEN Employees shall continue to participate in the TFMC Savings and Investment Plan (“</w:t>
      </w:r>
      <w:r>
        <w:rPr>
          <w:rFonts w:ascii="Arial" w:cs="Arial" w:eastAsia="Arial" w:hAnsi="Arial"/>
          <w:sz w:val="21"/>
          <w:szCs w:val="21"/>
          <w:u w:val="single" w:color="auto"/>
          <w:color w:val="auto"/>
        </w:rPr>
        <w:t>TFMC 401(k) Plan</w:t>
      </w:r>
      <w:r>
        <w:rPr>
          <w:rFonts w:ascii="Arial" w:cs="Arial" w:eastAsia="Arial" w:hAnsi="Arial"/>
          <w:sz w:val="21"/>
          <w:szCs w:val="21"/>
          <w:color w:val="auto"/>
        </w:rPr>
        <w:t>”) and all TFMC Welfare Plans that provide life insurance, health care, dental care, vision care, employee assistance programs (EAP), health and dependent care flexible spending accounts, accidental death and dismemberment insurance, and disability, pursuant to and subject to the terms of the Transition Services Agreement.</w:t>
      </w:r>
    </w:p>
    <w:p>
      <w:pPr>
        <w:spacing w:after="0" w:line="205"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u w:val="single" w:color="auto"/>
          <w:color w:val="auto"/>
        </w:rPr>
        <w:t>TEN Spinoff 401(k) Plans</w:t>
      </w:r>
      <w:r>
        <w:rPr>
          <w:rFonts w:ascii="Arial" w:cs="Arial" w:eastAsia="Arial" w:hAnsi="Arial"/>
          <w:sz w:val="19"/>
          <w:szCs w:val="19"/>
          <w:color w:val="auto"/>
        </w:rPr>
        <w:t>.</w:t>
      </w:r>
    </w:p>
    <w:p>
      <w:pPr>
        <w:spacing w:after="0" w:line="233" w:lineRule="exact"/>
        <w:rPr>
          <w:sz w:val="20"/>
          <w:szCs w:val="20"/>
          <w:color w:val="auto"/>
        </w:rPr>
      </w:pPr>
    </w:p>
    <w:p>
      <w:pPr>
        <w:ind w:right="140" w:firstLine="656"/>
        <w:spacing w:after="0" w:line="244" w:lineRule="auto"/>
        <w:tabs>
          <w:tab w:leader="none" w:pos="1428" w:val="left"/>
        </w:tabs>
        <w:numPr>
          <w:ilvl w:val="0"/>
          <w:numId w:val="64"/>
        </w:numPr>
        <w:rPr>
          <w:rFonts w:ascii="Arial" w:cs="Arial" w:eastAsia="Arial" w:hAnsi="Arial"/>
          <w:sz w:val="21"/>
          <w:szCs w:val="21"/>
          <w:color w:val="auto"/>
        </w:rPr>
      </w:pPr>
      <w:r>
        <w:rPr>
          <w:rFonts w:ascii="Arial" w:cs="Arial" w:eastAsia="Arial" w:hAnsi="Arial"/>
          <w:sz w:val="21"/>
          <w:szCs w:val="21"/>
          <w:color w:val="auto"/>
        </w:rPr>
        <w:t>Effective July 1, 2021 (the “</w:t>
      </w:r>
      <w:r>
        <w:rPr>
          <w:rFonts w:ascii="Arial" w:cs="Arial" w:eastAsia="Arial" w:hAnsi="Arial"/>
          <w:sz w:val="21"/>
          <w:szCs w:val="21"/>
          <w:u w:val="single" w:color="auto"/>
          <w:color w:val="auto"/>
        </w:rPr>
        <w:t>DC Plan Split Date</w:t>
      </w:r>
      <w:r>
        <w:rPr>
          <w:rFonts w:ascii="Arial" w:cs="Arial" w:eastAsia="Arial" w:hAnsi="Arial"/>
          <w:sz w:val="21"/>
          <w:szCs w:val="21"/>
          <w:color w:val="auto"/>
        </w:rPr>
        <w:t xml:space="preserve">”), TEN or another member of the TEN Group will adopt a defined contribution plan that is intended to qualify under Code </w:t>
      </w:r>
      <w:r>
        <w:rPr>
          <w:rFonts w:ascii="Arial" w:cs="Arial" w:eastAsia="Arial" w:hAnsi="Arial"/>
          <w:sz w:val="21"/>
          <w:szCs w:val="21"/>
          <w:u w:val="single" w:color="auto"/>
          <w:color w:val="auto"/>
        </w:rPr>
        <w:t>Section 401(a)</w:t>
      </w:r>
      <w:r>
        <w:rPr>
          <w:rFonts w:ascii="Arial" w:cs="Arial" w:eastAsia="Arial" w:hAnsi="Arial"/>
          <w:sz w:val="21"/>
          <w:szCs w:val="21"/>
          <w:color w:val="auto"/>
        </w:rPr>
        <w:t xml:space="preserve">, and a related trust exempt under Code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501(a)</w:t>
      </w:r>
      <w:r>
        <w:rPr>
          <w:rFonts w:ascii="Arial" w:cs="Arial" w:eastAsia="Arial" w:hAnsi="Arial"/>
          <w:sz w:val="21"/>
          <w:szCs w:val="21"/>
          <w:color w:val="auto"/>
        </w:rPr>
        <w:t xml:space="preserve"> (such plan and trust, the “</w:t>
      </w:r>
      <w:r>
        <w:rPr>
          <w:rFonts w:ascii="Arial" w:cs="Arial" w:eastAsia="Arial" w:hAnsi="Arial"/>
          <w:sz w:val="21"/>
          <w:szCs w:val="21"/>
          <w:u w:val="single" w:color="auto"/>
          <w:color w:val="auto"/>
        </w:rPr>
        <w:t>TEN 401(k) Plan</w:t>
      </w:r>
      <w:r>
        <w:rPr>
          <w:rFonts w:ascii="Arial" w:cs="Arial" w:eastAsia="Arial" w:hAnsi="Arial"/>
          <w:sz w:val="21"/>
          <w:szCs w:val="21"/>
          <w:color w:val="auto"/>
        </w:rPr>
        <w:t xml:space="preserve">”). The TEN 401(k) Plan will have terms and features (including employer contribution provisions) that are substantially similar to the TFMC 401(k) Plan such that (for the avoidance of doubt) the TFMC 401(k) Plan is substantially replicated by a corresponding TEN 401(k) Plan. A TEN Entity will be solely responsible for taking all necessary, reasonable, and appropriate actions (including the submission of the TEN 401(k) Plan to the Internal Revenue Service for a determination of tax-qualified status) to establish, maintain and administer the TEN 401(k) Plan so that it is qualified under </w:t>
      </w:r>
      <w:r>
        <w:rPr>
          <w:rFonts w:ascii="Arial" w:cs="Arial" w:eastAsia="Arial" w:hAnsi="Arial"/>
          <w:sz w:val="21"/>
          <w:szCs w:val="21"/>
          <w:u w:val="single" w:color="auto"/>
          <w:color w:val="auto"/>
        </w:rPr>
        <w:t>Section 401(a)</w:t>
      </w:r>
      <w:r>
        <w:rPr>
          <w:rFonts w:ascii="Arial" w:cs="Arial" w:eastAsia="Arial" w:hAnsi="Arial"/>
          <w:sz w:val="21"/>
          <w:szCs w:val="21"/>
          <w:color w:val="auto"/>
        </w:rPr>
        <w:t xml:space="preserve"> of the Code and that the related trusts thereunder are exempt under </w:t>
      </w:r>
      <w:r>
        <w:rPr>
          <w:rFonts w:ascii="Arial" w:cs="Arial" w:eastAsia="Arial" w:hAnsi="Arial"/>
          <w:sz w:val="21"/>
          <w:szCs w:val="21"/>
          <w:u w:val="single" w:color="auto"/>
          <w:color w:val="auto"/>
        </w:rPr>
        <w:t>Section 501(a)</w:t>
      </w:r>
      <w:r>
        <w:rPr>
          <w:rFonts w:ascii="Arial" w:cs="Arial" w:eastAsia="Arial" w:hAnsi="Arial"/>
          <w:sz w:val="21"/>
          <w:szCs w:val="21"/>
          <w:color w:val="auto"/>
        </w:rPr>
        <w:t xml:space="preserve"> of the Code. Effective as of the DC Plan Split Date, each TEN Employee that was eligible to participate in the TFMC 401(k) Plan will be eligible to participate in the TEN 401(k) Plan. The TEN 401(k) Plan will assume Liability for all benefits accrued or earned (whether or not vested) by TEN Employees and Former TEN Employees, as applicable, under the TFMC 401(k) Plan as of the DC Plan Split Date.</w:t>
      </w:r>
    </w:p>
    <w:p>
      <w:pPr>
        <w:spacing w:after="0" w:line="212" w:lineRule="exact"/>
        <w:rPr>
          <w:rFonts w:ascii="Arial" w:cs="Arial" w:eastAsia="Arial" w:hAnsi="Arial"/>
          <w:sz w:val="21"/>
          <w:szCs w:val="21"/>
          <w:color w:val="auto"/>
        </w:rPr>
      </w:pPr>
    </w:p>
    <w:p>
      <w:pPr>
        <w:ind w:firstLine="656"/>
        <w:spacing w:after="0" w:line="279" w:lineRule="auto"/>
        <w:tabs>
          <w:tab w:leader="none" w:pos="1440" w:val="left"/>
        </w:tabs>
        <w:numPr>
          <w:ilvl w:val="0"/>
          <w:numId w:val="64"/>
        </w:numPr>
        <w:rPr>
          <w:rFonts w:ascii="Arial" w:cs="Arial" w:eastAsia="Arial" w:hAnsi="Arial"/>
          <w:sz w:val="19"/>
          <w:szCs w:val="19"/>
          <w:color w:val="auto"/>
        </w:rPr>
      </w:pPr>
      <w:r>
        <w:rPr>
          <w:rFonts w:ascii="Arial" w:cs="Arial" w:eastAsia="Arial" w:hAnsi="Arial"/>
          <w:sz w:val="19"/>
          <w:szCs w:val="19"/>
          <w:color w:val="auto"/>
        </w:rPr>
        <w:t xml:space="preserve">On or as soon as reasonably practicable following the DC Plan Split Date (but not later than 30 days thereafter), TFMC or another member of the TFMC Group will cause the TFMC 401(k) Plan to transfer to the TEN 401(k) Plan, and TEN or another member of the TEN Group will cause such TEN 401(k) Plan to accept the transfer of, the accounts, Liabilities and related assets in the TFMC 401(k) Plan attributable to TEN Employees and Former TEN Employees, if applicable, and their respective Plan Payees. The transfer of assets will be in cash or in kind (as determined by TFMC) and include outstanding loan balances in accordance with Code </w:t>
      </w:r>
      <w:r>
        <w:rPr>
          <w:rFonts w:ascii="Arial" w:cs="Arial" w:eastAsia="Arial" w:hAnsi="Arial"/>
          <w:sz w:val="19"/>
          <w:szCs w:val="19"/>
          <w:u w:val="single" w:color="auto"/>
          <w:color w:val="auto"/>
        </w:rPr>
        <w:t>Section 414(l)</w:t>
      </w:r>
      <w:r>
        <w:rPr>
          <w:rFonts w:ascii="Arial" w:cs="Arial" w:eastAsia="Arial" w:hAnsi="Arial"/>
          <w:sz w:val="19"/>
          <w:szCs w:val="19"/>
          <w:color w:val="auto"/>
        </w:rPr>
        <w:t xml:space="preserve"> and Treasury Regulation </w:t>
      </w:r>
      <w:r>
        <w:rPr>
          <w:rFonts w:ascii="Arial" w:cs="Arial" w:eastAsia="Arial" w:hAnsi="Arial"/>
          <w:sz w:val="19"/>
          <w:szCs w:val="19"/>
          <w:u w:val="single" w:color="auto"/>
          <w:color w:val="auto"/>
        </w:rPr>
        <w:t>Section 1.414(l)-1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208</w:t>
      </w:r>
      <w:r>
        <w:rPr>
          <w:rFonts w:ascii="Arial" w:cs="Arial" w:eastAsia="Arial" w:hAnsi="Arial"/>
          <w:sz w:val="19"/>
          <w:szCs w:val="19"/>
          <w:color w:val="auto"/>
        </w:rPr>
        <w:t xml:space="preserve"> of ERISA.</w:t>
      </w:r>
    </w:p>
    <w:p>
      <w:pPr>
        <w:spacing w:after="0" w:line="177" w:lineRule="exact"/>
        <w:rPr>
          <w:rFonts w:ascii="Arial" w:cs="Arial" w:eastAsia="Arial" w:hAnsi="Arial"/>
          <w:sz w:val="19"/>
          <w:szCs w:val="19"/>
          <w:color w:val="auto"/>
        </w:rPr>
      </w:pPr>
    </w:p>
    <w:p>
      <w:pPr>
        <w:ind w:right="200" w:firstLine="656"/>
        <w:spacing w:after="0" w:line="248" w:lineRule="auto"/>
        <w:tabs>
          <w:tab w:leader="none" w:pos="1428" w:val="left"/>
        </w:tabs>
        <w:numPr>
          <w:ilvl w:val="0"/>
          <w:numId w:val="64"/>
        </w:numPr>
        <w:rPr>
          <w:rFonts w:ascii="Arial" w:cs="Arial" w:eastAsia="Arial" w:hAnsi="Arial"/>
          <w:sz w:val="21"/>
          <w:szCs w:val="21"/>
          <w:color w:val="auto"/>
        </w:rPr>
      </w:pPr>
      <w:r>
        <w:rPr>
          <w:rFonts w:ascii="Arial" w:cs="Arial" w:eastAsia="Arial" w:hAnsi="Arial"/>
          <w:sz w:val="21"/>
          <w:szCs w:val="21"/>
          <w:color w:val="auto"/>
        </w:rPr>
        <w:t xml:space="preserve">On or as soon as reasonably practicable following the Delayed Transfer Date (if later than the DC Plan Split Date) (but not later than 30 days thereafter), a TEN Entity will cause the accounts, related Liabilities, and related Assets in the TEN 401(k) Plan attributable to any TFMC Transferees and their respective Plan Payees (including any outstanding loan balances) to be transferred in cash in accordance with Code </w:t>
      </w:r>
      <w:r>
        <w:rPr>
          <w:rFonts w:ascii="Arial" w:cs="Arial" w:eastAsia="Arial" w:hAnsi="Arial"/>
          <w:sz w:val="21"/>
          <w:szCs w:val="21"/>
          <w:u w:val="single" w:color="auto"/>
          <w:color w:val="auto"/>
        </w:rPr>
        <w:t>Section 414(l)</w:t>
      </w:r>
      <w:r>
        <w:rPr>
          <w:rFonts w:ascii="Arial" w:cs="Arial" w:eastAsia="Arial" w:hAnsi="Arial"/>
          <w:sz w:val="21"/>
          <w:szCs w:val="21"/>
          <w:color w:val="auto"/>
        </w:rPr>
        <w:t xml:space="preserve"> and Treasury Regulation </w:t>
      </w:r>
      <w:r>
        <w:rPr>
          <w:rFonts w:ascii="Arial" w:cs="Arial" w:eastAsia="Arial" w:hAnsi="Arial"/>
          <w:sz w:val="21"/>
          <w:szCs w:val="21"/>
          <w:u w:val="single" w:color="auto"/>
          <w:color w:val="auto"/>
        </w:rPr>
        <w:t>Section 1.414(l)-1</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208</w:t>
      </w:r>
      <w:r>
        <w:rPr>
          <w:rFonts w:ascii="Arial" w:cs="Arial" w:eastAsia="Arial" w:hAnsi="Arial"/>
          <w:sz w:val="21"/>
          <w:szCs w:val="21"/>
          <w:color w:val="auto"/>
        </w:rPr>
        <w:t xml:space="preserve"> of ERISA to the applicable TEN Plan. TFMC or another member of the TFMC Group will cause the TFMC 401(k) Plan to accept such transfer of accounts, liabilities and assets.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6" w:name="page117"/>
    <w:bookmarkEnd w:id="116"/>
    <w:p>
      <w:pPr>
        <w:ind w:right="60" w:firstLine="656"/>
        <w:spacing w:after="0" w:line="249" w:lineRule="auto"/>
        <w:tabs>
          <w:tab w:leader="none" w:pos="1440" w:val="left"/>
        </w:tabs>
        <w:numPr>
          <w:ilvl w:val="0"/>
          <w:numId w:val="65"/>
        </w:numPr>
        <w:rPr>
          <w:rFonts w:ascii="Arial" w:cs="Arial" w:eastAsia="Arial" w:hAnsi="Arial"/>
          <w:sz w:val="21"/>
          <w:szCs w:val="21"/>
          <w:color w:val="auto"/>
        </w:rPr>
      </w:pPr>
      <w:r>
        <w:rPr>
          <w:rFonts w:ascii="Arial" w:cs="Arial" w:eastAsia="Arial" w:hAnsi="Arial"/>
          <w:sz w:val="21"/>
          <w:szCs w:val="21"/>
          <w:color w:val="auto"/>
        </w:rPr>
        <w:t>From and after the DC Plan Split Date, except as specifically provided in paragraph (c) above, (i) TEN and the TEN Group will be solely and exclusively responsible for all obligations and liabilities with respect to, or related to, benefits under the TEN 401(k) Plan, whether accrued before, on or after the DC Plan Split Date and (ii) TFMC and the TFMC Group will be solely and exclusively responsible for all obligations and liabilities with respect to, or related to, benefits under the TFMC 401(k) Plan, whether accrued before, on or after the DC Plan Split Date.</w:t>
      </w:r>
    </w:p>
    <w:p>
      <w:pPr>
        <w:spacing w:after="0" w:line="205" w:lineRule="exact"/>
        <w:rPr>
          <w:rFonts w:ascii="Arial" w:cs="Arial" w:eastAsia="Arial" w:hAnsi="Arial"/>
          <w:sz w:val="21"/>
          <w:szCs w:val="21"/>
          <w:color w:val="auto"/>
        </w:rPr>
      </w:pPr>
    </w:p>
    <w:p>
      <w:pPr>
        <w:ind w:right="600" w:firstLine="656"/>
        <w:spacing w:after="0" w:line="250" w:lineRule="auto"/>
        <w:tabs>
          <w:tab w:leader="none" w:pos="1428" w:val="left"/>
        </w:tabs>
        <w:numPr>
          <w:ilvl w:val="0"/>
          <w:numId w:val="65"/>
        </w:numPr>
        <w:rPr>
          <w:rFonts w:ascii="Arial" w:cs="Arial" w:eastAsia="Arial" w:hAnsi="Arial"/>
          <w:sz w:val="22"/>
          <w:szCs w:val="22"/>
          <w:color w:val="auto"/>
        </w:rPr>
      </w:pPr>
      <w:r>
        <w:rPr>
          <w:rFonts w:ascii="Arial" w:cs="Arial" w:eastAsia="Arial" w:hAnsi="Arial"/>
          <w:sz w:val="22"/>
          <w:szCs w:val="22"/>
          <w:color w:val="auto"/>
        </w:rPr>
        <w:t>Between the Distribution Date and the DC Plan Split Date, TEN will adopt the TFMC 401(k) Plan and the TFMC 401(k) Plan will become a multiple employer plan.</w:t>
      </w:r>
    </w:p>
    <w:p>
      <w:pPr>
        <w:spacing w:after="0" w:line="20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u w:val="single" w:color="auto"/>
          <w:color w:val="auto"/>
        </w:rPr>
        <w:t>Non-Qualified Defined Contribution Plan</w:t>
      </w:r>
      <w:r>
        <w:rPr>
          <w:rFonts w:ascii="Arial" w:cs="Arial" w:eastAsia="Arial" w:hAnsi="Arial"/>
          <w:sz w:val="19"/>
          <w:szCs w:val="19"/>
          <w:color w:val="auto"/>
        </w:rPr>
        <w:t>.</w:t>
      </w:r>
    </w:p>
    <w:p>
      <w:pPr>
        <w:spacing w:after="0" w:line="233" w:lineRule="exact"/>
        <w:rPr>
          <w:sz w:val="20"/>
          <w:szCs w:val="20"/>
          <w:color w:val="auto"/>
        </w:rPr>
      </w:pPr>
    </w:p>
    <w:p>
      <w:pPr>
        <w:ind w:firstLine="656"/>
        <w:spacing w:after="0" w:line="246" w:lineRule="auto"/>
        <w:tabs>
          <w:tab w:leader="none" w:pos="1428" w:val="left"/>
        </w:tabs>
        <w:numPr>
          <w:ilvl w:val="0"/>
          <w:numId w:val="66"/>
        </w:numPr>
        <w:rPr>
          <w:rFonts w:ascii="Arial" w:cs="Arial" w:eastAsia="Arial" w:hAnsi="Arial"/>
          <w:sz w:val="21"/>
          <w:szCs w:val="21"/>
          <w:color w:val="auto"/>
        </w:rPr>
      </w:pPr>
      <w:r>
        <w:rPr>
          <w:rFonts w:ascii="Arial" w:cs="Arial" w:eastAsia="Arial" w:hAnsi="Arial"/>
          <w:sz w:val="21"/>
          <w:szCs w:val="21"/>
          <w:color w:val="auto"/>
        </w:rPr>
        <w:t>On or as soon as reasonably practicable following the DC Plan Split Date (but not later than 30 days thereafter), TEN or another member of the TEN Group will cause the Technip USA Executive Retirement Plan (the “</w:t>
      </w:r>
      <w:r>
        <w:rPr>
          <w:rFonts w:ascii="Arial" w:cs="Arial" w:eastAsia="Arial" w:hAnsi="Arial"/>
          <w:sz w:val="21"/>
          <w:szCs w:val="21"/>
          <w:u w:val="single" w:color="auto"/>
          <w:color w:val="auto"/>
        </w:rPr>
        <w:t>TEN Executive</w:t>
      </w:r>
      <w:r>
        <w:rPr>
          <w:rFonts w:ascii="Arial" w:cs="Arial" w:eastAsia="Arial" w:hAnsi="Arial"/>
          <w:sz w:val="21"/>
          <w:szCs w:val="21"/>
          <w:color w:val="auto"/>
        </w:rPr>
        <w:t xml:space="preserve"> </w:t>
      </w:r>
      <w:r>
        <w:rPr>
          <w:rFonts w:ascii="Arial" w:cs="Arial" w:eastAsia="Arial" w:hAnsi="Arial"/>
          <w:sz w:val="21"/>
          <w:szCs w:val="21"/>
          <w:u w:val="single" w:color="auto"/>
          <w:color w:val="auto"/>
        </w:rPr>
        <w:t>Retirement Plan</w:t>
      </w:r>
      <w:r>
        <w:rPr>
          <w:rFonts w:ascii="Arial" w:cs="Arial" w:eastAsia="Arial" w:hAnsi="Arial"/>
          <w:sz w:val="21"/>
          <w:szCs w:val="21"/>
          <w:color w:val="auto"/>
        </w:rPr>
        <w:t>”) to transfer to the TechnipFMC Non-Qualified Savings and Investment Plan (the “</w:t>
      </w:r>
      <w:r>
        <w:rPr>
          <w:rFonts w:ascii="Arial" w:cs="Arial" w:eastAsia="Arial" w:hAnsi="Arial"/>
          <w:sz w:val="21"/>
          <w:szCs w:val="21"/>
          <w:u w:val="single" w:color="auto"/>
          <w:color w:val="auto"/>
        </w:rPr>
        <w:t>TFMC Excess Benefit</w:t>
      </w:r>
      <w:r>
        <w:rPr>
          <w:rFonts w:ascii="Arial" w:cs="Arial" w:eastAsia="Arial" w:hAnsi="Arial"/>
          <w:sz w:val="21"/>
          <w:szCs w:val="21"/>
          <w:color w:val="auto"/>
        </w:rPr>
        <w:t xml:space="preserve"> </w:t>
      </w:r>
      <w:r>
        <w:rPr>
          <w:rFonts w:ascii="Arial" w:cs="Arial" w:eastAsia="Arial" w:hAnsi="Arial"/>
          <w:sz w:val="21"/>
          <w:szCs w:val="21"/>
          <w:u w:val="single" w:color="auto"/>
          <w:color w:val="auto"/>
        </w:rPr>
        <w:t>Plan</w:t>
      </w:r>
      <w:r>
        <w:rPr>
          <w:rFonts w:ascii="Arial" w:cs="Arial" w:eastAsia="Arial" w:hAnsi="Arial"/>
          <w:sz w:val="21"/>
          <w:szCs w:val="21"/>
          <w:color w:val="auto"/>
        </w:rPr>
        <w:t>”), and TFMC or another member of the TFMC Group will cause such TFMC Excess Benefit Plan to accept the transfer of, the accounts, Liabilities and related assets in the TEN Executive Retirement Plan attributable to TFMC Employees and Former TFMC Employees, if applicable, and their respective Plan Payees. The transfer of any assets will be in cash and, once transferred, such accounts, Liabilities and related assets will vest in accordance with the terms of the TFMC Excess Benefit Plan as non-elective contributions thereunder.</w:t>
      </w:r>
    </w:p>
    <w:p>
      <w:pPr>
        <w:spacing w:after="0" w:line="206" w:lineRule="exact"/>
        <w:rPr>
          <w:rFonts w:ascii="Arial" w:cs="Arial" w:eastAsia="Arial" w:hAnsi="Arial"/>
          <w:sz w:val="21"/>
          <w:szCs w:val="21"/>
          <w:color w:val="auto"/>
        </w:rPr>
      </w:pPr>
    </w:p>
    <w:p>
      <w:pPr>
        <w:ind w:right="220" w:firstLine="656"/>
        <w:spacing w:after="0" w:line="282" w:lineRule="auto"/>
        <w:tabs>
          <w:tab w:leader="none" w:pos="1440" w:val="left"/>
        </w:tabs>
        <w:numPr>
          <w:ilvl w:val="0"/>
          <w:numId w:val="66"/>
        </w:numPr>
        <w:rPr>
          <w:rFonts w:ascii="Arial" w:cs="Arial" w:eastAsia="Arial" w:hAnsi="Arial"/>
          <w:sz w:val="19"/>
          <w:szCs w:val="19"/>
          <w:color w:val="auto"/>
        </w:rPr>
      </w:pPr>
      <w:r>
        <w:rPr>
          <w:rFonts w:ascii="Arial" w:cs="Arial" w:eastAsia="Arial" w:hAnsi="Arial"/>
          <w:sz w:val="19"/>
          <w:szCs w:val="19"/>
          <w:color w:val="auto"/>
        </w:rPr>
        <w:t>From and after the DC Plan Split Date, except as specifically provided in paragraph (a) above, (i) TEN and the TEN Group will be solely and exclusively responsible for all obligations and liabilities with respect to, or related to, benefits under the TEN Executive Retirement Plan, whether accrued before, on or after the DC Plan Split Date and (ii) TFMC and the TFMC Group will be solely and exclusively responsible for all obligations and liabilities with respect to, or related to, benefits under the TFMC Excess Benefit Plan, whether accrued before, on or after the DC Plan Split Date.</w:t>
      </w:r>
    </w:p>
    <w:p>
      <w:pPr>
        <w:spacing w:after="0" w:line="174" w:lineRule="exact"/>
        <w:rPr>
          <w:sz w:val="20"/>
          <w:szCs w:val="20"/>
          <w:color w:val="auto"/>
        </w:rPr>
      </w:pPr>
    </w:p>
    <w:p>
      <w:pPr>
        <w:ind w:right="240" w:firstLine="648"/>
        <w:spacing w:after="0" w:line="238" w:lineRule="auto"/>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u w:val="single" w:color="auto"/>
          <w:color w:val="auto"/>
        </w:rPr>
        <w:t>Compliance with Section 409A</w:t>
      </w:r>
      <w:r>
        <w:rPr>
          <w:rFonts w:ascii="Arial" w:cs="Arial" w:eastAsia="Arial" w:hAnsi="Arial"/>
          <w:sz w:val="22"/>
          <w:szCs w:val="22"/>
          <w:color w:val="auto"/>
        </w:rPr>
        <w:t xml:space="preserve">. TFMC and TEN will cooperate in good faith so that the Distribution will not result in adverse Tax consequences under Code </w:t>
      </w:r>
      <w:r>
        <w:rPr>
          <w:rFonts w:ascii="Arial" w:cs="Arial" w:eastAsia="Arial" w:hAnsi="Arial"/>
          <w:sz w:val="22"/>
          <w:szCs w:val="22"/>
          <w:u w:val="single" w:color="auto"/>
          <w:color w:val="auto"/>
        </w:rPr>
        <w:t>Section 409A</w:t>
      </w:r>
      <w:r>
        <w:rPr>
          <w:rFonts w:ascii="Arial" w:cs="Arial" w:eastAsia="Arial" w:hAnsi="Arial"/>
          <w:sz w:val="22"/>
          <w:szCs w:val="22"/>
          <w:color w:val="auto"/>
        </w:rPr>
        <w:t xml:space="preserve"> to any TFMC Employee, TEN Employee, Former TFMC Employee or Former TEN Employee, or their respective Plan Payees, in respect of his or her benefits under any TFMC Benefit Plan or TEN Benefit Plan.</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7" w:name="page118"/>
    <w:bookmarkEnd w:id="117"/>
    <w:p>
      <w:pPr>
        <w:jc w:val="center"/>
        <w:ind w:right="-19"/>
        <w:spacing w:after="0"/>
        <w:rPr>
          <w:sz w:val="20"/>
          <w:szCs w:val="20"/>
          <w:color w:val="auto"/>
        </w:rPr>
      </w:pPr>
      <w:r>
        <w:rPr>
          <w:rFonts w:ascii="Arial" w:cs="Arial" w:eastAsia="Arial" w:hAnsi="Arial"/>
          <w:sz w:val="22"/>
          <w:szCs w:val="22"/>
          <w:u w:val="single" w:color="auto"/>
          <w:color w:val="auto"/>
        </w:rPr>
        <w:t>ARTICLE VI</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U.S. WELFARE BENEFITS</w:t>
      </w:r>
    </w:p>
    <w:p>
      <w:pPr>
        <w:spacing w:after="0" w:line="215"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u w:val="single" w:color="auto"/>
          <w:color w:val="auto"/>
        </w:rPr>
        <w:t>Flexible Spending Account Treatment</w:t>
      </w:r>
    </w:p>
    <w:p>
      <w:pPr>
        <w:spacing w:after="0" w:line="233" w:lineRule="exact"/>
        <w:rPr>
          <w:sz w:val="20"/>
          <w:szCs w:val="20"/>
          <w:color w:val="auto"/>
        </w:rPr>
      </w:pPr>
    </w:p>
    <w:p>
      <w:pPr>
        <w:ind w:firstLine="656"/>
        <w:spacing w:after="0" w:line="273" w:lineRule="auto"/>
        <w:tabs>
          <w:tab w:leader="none" w:pos="1428" w:val="left"/>
        </w:tabs>
        <w:numPr>
          <w:ilvl w:val="0"/>
          <w:numId w:val="67"/>
        </w:numPr>
        <w:rPr>
          <w:rFonts w:ascii="Arial" w:cs="Arial" w:eastAsia="Arial" w:hAnsi="Arial"/>
          <w:sz w:val="19"/>
          <w:szCs w:val="19"/>
          <w:color w:val="auto"/>
        </w:rPr>
      </w:pPr>
      <w:r>
        <w:rPr>
          <w:rFonts w:ascii="Arial" w:cs="Arial" w:eastAsia="Arial" w:hAnsi="Arial"/>
          <w:sz w:val="19"/>
          <w:szCs w:val="19"/>
          <w:color w:val="auto"/>
        </w:rPr>
        <w:t xml:space="preserve">Notwithstanding anything in </w:t>
      </w:r>
      <w:r>
        <w:rPr>
          <w:rFonts w:ascii="Arial" w:cs="Arial" w:eastAsia="Arial" w:hAnsi="Arial"/>
          <w:sz w:val="19"/>
          <w:szCs w:val="19"/>
          <w:u w:val="single" w:color="auto"/>
          <w:color w:val="auto"/>
        </w:rPr>
        <w:t>Sections 6.1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6.2</w:t>
      </w:r>
      <w:r>
        <w:rPr>
          <w:rFonts w:ascii="Arial" w:cs="Arial" w:eastAsia="Arial" w:hAnsi="Arial"/>
          <w:sz w:val="19"/>
          <w:szCs w:val="19"/>
          <w:color w:val="auto"/>
        </w:rPr>
        <w:t xml:space="preserve"> of the Employee Matters Agreement to the contrary, with respect to the portion of a TFMC Split Welfare Plan that consists of medical and dependent care flexible spending accounts under </w:t>
      </w:r>
      <w:r>
        <w:rPr>
          <w:rFonts w:ascii="Arial" w:cs="Arial" w:eastAsia="Arial" w:hAnsi="Arial"/>
          <w:sz w:val="19"/>
          <w:szCs w:val="19"/>
          <w:u w:val="single" w:color="auto"/>
          <w:color w:val="auto"/>
        </w:rPr>
        <w:t>Sections 125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129</w:t>
      </w:r>
      <w:r>
        <w:rPr>
          <w:rFonts w:ascii="Arial" w:cs="Arial" w:eastAsia="Arial" w:hAnsi="Arial"/>
          <w:sz w:val="19"/>
          <w:szCs w:val="19"/>
          <w:color w:val="auto"/>
        </w:rPr>
        <w:t xml:space="preserve"> of the Code (the “</w:t>
      </w:r>
      <w:r>
        <w:rPr>
          <w:rFonts w:ascii="Arial" w:cs="Arial" w:eastAsia="Arial" w:hAnsi="Arial"/>
          <w:sz w:val="19"/>
          <w:szCs w:val="19"/>
          <w:u w:val="single" w:color="auto"/>
          <w:color w:val="auto"/>
        </w:rPr>
        <w:t>TFMC Flexible Account Plan</w:t>
      </w:r>
      <w:r>
        <w:rPr>
          <w:rFonts w:ascii="Arial" w:cs="Arial" w:eastAsia="Arial" w:hAnsi="Arial"/>
          <w:sz w:val="19"/>
          <w:szCs w:val="19"/>
          <w:color w:val="auto"/>
        </w:rPr>
        <w:t>”), the corresponding TEN Welfare Plan (the “</w:t>
      </w:r>
      <w:r>
        <w:rPr>
          <w:rFonts w:ascii="Arial" w:cs="Arial" w:eastAsia="Arial" w:hAnsi="Arial"/>
          <w:sz w:val="19"/>
          <w:szCs w:val="19"/>
          <w:u w:val="single" w:color="auto"/>
          <w:color w:val="auto"/>
        </w:rPr>
        <w:t>TEN Flexible</w:t>
      </w:r>
      <w:r>
        <w:rPr>
          <w:rFonts w:ascii="Arial" w:cs="Arial" w:eastAsia="Arial" w:hAnsi="Arial"/>
          <w:sz w:val="19"/>
          <w:szCs w:val="19"/>
          <w:color w:val="auto"/>
        </w:rPr>
        <w:t xml:space="preserve"> </w:t>
      </w:r>
      <w:r>
        <w:rPr>
          <w:rFonts w:ascii="Arial" w:cs="Arial" w:eastAsia="Arial" w:hAnsi="Arial"/>
          <w:sz w:val="19"/>
          <w:szCs w:val="19"/>
          <w:u w:val="single" w:color="auto"/>
          <w:color w:val="auto"/>
        </w:rPr>
        <w:t>Account Plan</w:t>
      </w:r>
      <w:r>
        <w:rPr>
          <w:rFonts w:ascii="Arial" w:cs="Arial" w:eastAsia="Arial" w:hAnsi="Arial"/>
          <w:sz w:val="19"/>
          <w:szCs w:val="19"/>
          <w:color w:val="auto"/>
        </w:rPr>
        <w:t>”) will be responsible for reimbursement of all previously reimbursable medical expense and dependent care claims incurred by TEN Employees (and Former TEN Employees, if applicable) following the U.S. Plan Split Date for the year in which the Distribution Date or the applicable Delayed Transfer Date occurs. The parties will cooperate in good faith to cause the TEN Flexible Account Plan to give effect to the elections of TEN Employees (and Former TEN Employees, if applicable) that were in effect under the corresponding TFMC Flexible Account Plan as of the US Plan Split Date or, if later, the Delayed Transfer Date, subject to the terms of the TEN Flexible Account Plan. Notwithstanding the foregoing, if a Delayed Transfer Employee returning from disability leave has no election in place under the TFMC Flexible Account Plan, such employee may make a new election under the TEN Flexible Account Plan as of the Delayed Transfer Date, subject to the terms of the TEN Flexible Account Plan.</w:t>
      </w:r>
    </w:p>
    <w:p>
      <w:pPr>
        <w:spacing w:after="0" w:line="182" w:lineRule="exact"/>
        <w:rPr>
          <w:rFonts w:ascii="Arial" w:cs="Arial" w:eastAsia="Arial" w:hAnsi="Arial"/>
          <w:sz w:val="19"/>
          <w:szCs w:val="19"/>
          <w:color w:val="auto"/>
        </w:rPr>
      </w:pPr>
    </w:p>
    <w:p>
      <w:pPr>
        <w:ind w:right="60" w:firstLine="656"/>
        <w:spacing w:after="0" w:line="277" w:lineRule="auto"/>
        <w:tabs>
          <w:tab w:leader="none" w:pos="1440" w:val="left"/>
        </w:tabs>
        <w:numPr>
          <w:ilvl w:val="0"/>
          <w:numId w:val="67"/>
        </w:numPr>
        <w:rPr>
          <w:rFonts w:ascii="Arial" w:cs="Arial" w:eastAsia="Arial" w:hAnsi="Arial"/>
          <w:sz w:val="19"/>
          <w:szCs w:val="19"/>
          <w:color w:val="auto"/>
        </w:rPr>
      </w:pPr>
      <w:r>
        <w:rPr>
          <w:rFonts w:ascii="Arial" w:cs="Arial" w:eastAsia="Arial" w:hAnsi="Arial"/>
          <w:sz w:val="19"/>
          <w:szCs w:val="19"/>
          <w:color w:val="auto"/>
        </w:rPr>
        <w:t>The parties shall take all actions reasonably necessary or appropriate so that the account balances (positive or negative) under the TFMC Flexible Account Plan of each TEN Employee (or Former TEN Employee, if applicable) who has elected to participate therein in the year in which the Distribution Date or the applicable Delayed Transfer Date occurs shall be transferred, effective as of the US Plan Split date or, if later, the Delayed Transfer Date, as applicable, from the TFMC Flexible Account Plan to the corresponding TEN Flexible Account Plan. As soon as practicable after the end of the TFMC Flexible Account Plan’s plan year TFMC shall pay TEN the net aggregate amount of such transferred account balances, if such amount is positive, and TEN shall pay TFMC the net aggregate amount of such transferred account balances, if such amount is negative.</w:t>
      </w:r>
    </w:p>
    <w:p>
      <w:pPr>
        <w:spacing w:after="0" w:line="179" w:lineRule="exact"/>
        <w:rPr>
          <w:sz w:val="20"/>
          <w:szCs w:val="20"/>
          <w:color w:val="auto"/>
        </w:rPr>
      </w:pPr>
    </w:p>
    <w:p>
      <w:pPr>
        <w:ind w:right="20" w:firstLine="648"/>
        <w:spacing w:after="0" w:line="271" w:lineRule="auto"/>
        <w:rPr>
          <w:sz w:val="20"/>
          <w:szCs w:val="20"/>
          <w:color w:val="auto"/>
        </w:rPr>
      </w:pPr>
      <w:r>
        <w:rPr>
          <w:rFonts w:ascii="Arial" w:cs="Arial" w:eastAsia="Arial" w:hAnsi="Arial"/>
          <w:sz w:val="19"/>
          <w:szCs w:val="19"/>
          <w:color w:val="auto"/>
        </w:rPr>
        <w:t xml:space="preserve">6.6 COBRA. Effective as of the US Plan Split Date or, if later, the Delayed Transfer Date, a TEN Entity will assume or will cause the TEN Spinoff Welfare Plans to assume sole responsibility for compliance with the continuation coverage requirements under Code </w:t>
      </w:r>
      <w:r>
        <w:rPr>
          <w:rFonts w:ascii="Arial" w:cs="Arial" w:eastAsia="Arial" w:hAnsi="Arial"/>
          <w:sz w:val="19"/>
          <w:szCs w:val="19"/>
          <w:u w:val="single" w:color="auto"/>
          <w:color w:val="auto"/>
        </w:rPr>
        <w:t>Section 4980B</w:t>
      </w:r>
      <w:r>
        <w:rPr>
          <w:rFonts w:ascii="Arial" w:cs="Arial" w:eastAsia="Arial" w:hAnsi="Arial"/>
          <w:sz w:val="19"/>
          <w:szCs w:val="19"/>
          <w:color w:val="auto"/>
        </w:rPr>
        <w:t xml:space="preserve"> and ERISA </w:t>
      </w:r>
      <w:r>
        <w:rPr>
          <w:rFonts w:ascii="Arial" w:cs="Arial" w:eastAsia="Arial" w:hAnsi="Arial"/>
          <w:sz w:val="19"/>
          <w:szCs w:val="19"/>
          <w:u w:val="single" w:color="auto"/>
          <w:color w:val="auto"/>
        </w:rPr>
        <w:t>Sections 601-608</w:t>
      </w:r>
      <w:r>
        <w:rPr>
          <w:rFonts w:ascii="Arial" w:cs="Arial" w:eastAsia="Arial" w:hAnsi="Arial"/>
          <w:sz w:val="19"/>
          <w:szCs w:val="19"/>
          <w:color w:val="auto"/>
        </w:rPr>
        <w:t xml:space="preserve"> (“COBRA”) after the US Plan Split Date or, if later, the Delayed Transfer Date for all TEN Employees and their “qualified beneficiaries” for whom a “qualifying event” occurs on or after the Distribution Date or the Delayed Transfer Date; provided, however, that a TFMC Entity will be responsible for furnishing any election notice required under COBRA to any TEN Transferee. TFMC, the TFMC Group, or a Split Welfare Plan will remain solely responsible for compliance with COBRA before, on and after the US Plan Split Date or, if later, the Delayed Transfer Date for TFMC Employees, Former TFMC Employees, Former TEN Employees and their “qualified beneficiaries”; provided, however, that a TEN Entity will be responsible for furnishing any election notice required under COBRA to any TFMC Transferee. The terms “qualified beneficiaries” and “qualifying event” will have the meanings given to them under Code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4980B</w:t>
      </w:r>
      <w:r>
        <w:rPr>
          <w:rFonts w:ascii="Arial" w:cs="Arial" w:eastAsia="Arial" w:hAnsi="Arial"/>
          <w:sz w:val="19"/>
          <w:szCs w:val="19"/>
          <w:color w:val="auto"/>
        </w:rPr>
        <w:t xml:space="preserve"> and ERISA </w:t>
      </w:r>
      <w:r>
        <w:rPr>
          <w:rFonts w:ascii="Arial" w:cs="Arial" w:eastAsia="Arial" w:hAnsi="Arial"/>
          <w:sz w:val="19"/>
          <w:szCs w:val="19"/>
          <w:u w:val="single" w:color="auto"/>
          <w:color w:val="auto"/>
        </w:rPr>
        <w:t>Sections 601-608</w:t>
      </w:r>
      <w:r>
        <w:rPr>
          <w:rFonts w:ascii="Arial" w:cs="Arial" w:eastAsia="Arial" w:hAnsi="Arial"/>
          <w:sz w:val="19"/>
          <w:szCs w:val="19"/>
          <w:color w:val="auto"/>
        </w:rPr>
        <w:t xml:space="preserve">. For the avoidance of doubt, </w:t>
      </w:r>
      <w:r>
        <w:rPr>
          <w:rFonts w:ascii="Arial" w:cs="Arial" w:eastAsia="Arial" w:hAnsi="Arial"/>
          <w:sz w:val="19"/>
          <w:szCs w:val="19"/>
          <w:u w:val="single" w:color="auto"/>
          <w:color w:val="auto"/>
        </w:rPr>
        <w:t>Section 5.1(a)</w:t>
      </w:r>
      <w:r>
        <w:rPr>
          <w:rFonts w:ascii="Arial" w:cs="Arial" w:eastAsia="Arial" w:hAnsi="Arial"/>
          <w:sz w:val="19"/>
          <w:szCs w:val="19"/>
          <w:color w:val="auto"/>
        </w:rPr>
        <w:t xml:space="preserve"> of the Employee Matters Agreement will govern whether the TEN Spinoff Welfare Plans or Split Welfare Plans are responsible for claims incurred by TEN Employees or their qualified beneficiaries while receiving continuation coverage under COBRA. The parties agree that neither the Separation, the Distribution nor any assignment or transfer of the employment or services of any Employee as contemplated under this Employee Matters Agreement shall constitute a “qualifying event” for any purpose of COBRA.</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208280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8"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TRANSITION SERVICES AGREEMENT</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TECHNIPFMC PLC</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TECHNIP ENERGIES N.V.</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Dated as of February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74" w:right="3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7580" w:type="dxa"/>
            <w:vAlign w:val="bottom"/>
            <w:gridSpan w:val="3"/>
          </w:tcPr>
          <w:p>
            <w:pPr>
              <w:ind w:left="3520"/>
              <w:spacing w:after="0"/>
              <w:rPr>
                <w:sz w:val="20"/>
                <w:szCs w:val="20"/>
                <w:color w:val="auto"/>
              </w:rPr>
            </w:pPr>
            <w:r>
              <w:rPr>
                <w:rFonts w:ascii="Arial" w:cs="Arial" w:eastAsia="Arial" w:hAnsi="Arial"/>
                <w:sz w:val="18"/>
                <w:szCs w:val="18"/>
                <w:b w:val="1"/>
                <w:bCs w:val="1"/>
                <w:color w:val="auto"/>
              </w:rPr>
              <w:t>TABLE OF CONTENTS</w:t>
            </w:r>
          </w:p>
        </w:tc>
        <w:tc>
          <w:tcPr>
            <w:tcW w:w="2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1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2140" w:type="dxa"/>
            <w:vAlign w:val="bottom"/>
          </w:tcPr>
          <w:p>
            <w:pPr>
              <w:spacing w:after="0"/>
              <w:rPr>
                <w:sz w:val="24"/>
                <w:szCs w:val="24"/>
                <w:color w:val="auto"/>
              </w:rPr>
            </w:pPr>
          </w:p>
        </w:tc>
        <w:tc>
          <w:tcPr>
            <w:tcW w:w="2540" w:type="dxa"/>
            <w:vAlign w:val="bottom"/>
            <w:gridSpan w:val="2"/>
          </w:tcPr>
          <w:p>
            <w:pPr>
              <w:ind w:left="216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6"/>
        </w:trPr>
        <w:tc>
          <w:tcPr>
            <w:tcW w:w="8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Article I. SERVICES</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1.1</w:t>
            </w:r>
          </w:p>
        </w:tc>
        <w:tc>
          <w:tcPr>
            <w:tcW w:w="75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Provision of Services</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jc w:val="right"/>
              <w:ind w:right="250"/>
              <w:spacing w:after="0"/>
              <w:rPr>
                <w:sz w:val="20"/>
                <w:szCs w:val="20"/>
                <w:color w:val="auto"/>
              </w:rPr>
            </w:pPr>
            <w:r>
              <w:rPr>
                <w:rFonts w:ascii="Arial" w:cs="Arial" w:eastAsia="Arial" w:hAnsi="Arial"/>
                <w:sz w:val="18"/>
                <w:szCs w:val="18"/>
                <w:color w:val="auto"/>
              </w:rPr>
              <w:t>1.2</w:t>
            </w:r>
          </w:p>
        </w:tc>
        <w:tc>
          <w:tcPr>
            <w:tcW w:w="7580" w:type="dxa"/>
            <w:vAlign w:val="bottom"/>
            <w:gridSpan w:val="3"/>
          </w:tcPr>
          <w:p>
            <w:pPr>
              <w:ind w:left="340"/>
              <w:spacing w:after="0"/>
              <w:rPr>
                <w:sz w:val="20"/>
                <w:szCs w:val="20"/>
                <w:color w:val="auto"/>
              </w:rPr>
            </w:pPr>
            <w:r>
              <w:rPr>
                <w:rFonts w:ascii="Arial" w:cs="Arial" w:eastAsia="Arial" w:hAnsi="Arial"/>
                <w:sz w:val="18"/>
                <w:szCs w:val="18"/>
                <w:color w:val="auto"/>
              </w:rPr>
              <w:t>Service Modifications and Additional Services</w:t>
            </w:r>
          </w:p>
        </w:tc>
        <w:tc>
          <w:tcPr>
            <w:tcW w:w="252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1.3</w:t>
            </w:r>
          </w:p>
        </w:tc>
        <w:tc>
          <w:tcPr>
            <w:tcW w:w="75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Service Standards</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18"/>
                <w:szCs w:val="18"/>
                <w:color w:val="auto"/>
              </w:rPr>
            </w:pPr>
          </w:p>
        </w:tc>
        <w:tc>
          <w:tcPr>
            <w:tcW w:w="19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Article II. FEES AND PAYMENT</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2.1</w:t>
            </w:r>
          </w:p>
        </w:tc>
        <w:tc>
          <w:tcPr>
            <w:tcW w:w="75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Fees</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jc w:val="right"/>
              <w:ind w:right="250"/>
              <w:spacing w:after="0"/>
              <w:rPr>
                <w:sz w:val="20"/>
                <w:szCs w:val="20"/>
                <w:color w:val="auto"/>
              </w:rPr>
            </w:pPr>
            <w:r>
              <w:rPr>
                <w:rFonts w:ascii="Arial" w:cs="Arial" w:eastAsia="Arial" w:hAnsi="Arial"/>
                <w:sz w:val="18"/>
                <w:szCs w:val="18"/>
                <w:color w:val="auto"/>
              </w:rPr>
              <w:t>2.2</w:t>
            </w:r>
          </w:p>
        </w:tc>
        <w:tc>
          <w:tcPr>
            <w:tcW w:w="7580" w:type="dxa"/>
            <w:vAlign w:val="bottom"/>
            <w:gridSpan w:val="3"/>
          </w:tcPr>
          <w:p>
            <w:pPr>
              <w:ind w:left="340"/>
              <w:spacing w:after="0"/>
              <w:rPr>
                <w:sz w:val="20"/>
                <w:szCs w:val="20"/>
                <w:color w:val="auto"/>
              </w:rPr>
            </w:pPr>
            <w:r>
              <w:rPr>
                <w:rFonts w:ascii="Arial" w:cs="Arial" w:eastAsia="Arial" w:hAnsi="Arial"/>
                <w:sz w:val="18"/>
                <w:szCs w:val="18"/>
                <w:color w:val="auto"/>
              </w:rPr>
              <w:t>Payment Terms</w:t>
            </w:r>
          </w:p>
        </w:tc>
        <w:tc>
          <w:tcPr>
            <w:tcW w:w="252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2.3</w:t>
            </w:r>
          </w:p>
        </w:tc>
        <w:tc>
          <w:tcPr>
            <w:tcW w:w="75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Taxes</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18"/>
                <w:szCs w:val="18"/>
                <w:color w:val="auto"/>
              </w:rPr>
            </w:pPr>
          </w:p>
        </w:tc>
        <w:tc>
          <w:tcPr>
            <w:tcW w:w="19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Article III. TERM AND TERMINATION</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3.1</w:t>
            </w:r>
          </w:p>
        </w:tc>
        <w:tc>
          <w:tcPr>
            <w:tcW w:w="75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Term</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jc w:val="right"/>
              <w:ind w:right="250"/>
              <w:spacing w:after="0"/>
              <w:rPr>
                <w:sz w:val="20"/>
                <w:szCs w:val="20"/>
                <w:color w:val="auto"/>
              </w:rPr>
            </w:pPr>
            <w:r>
              <w:rPr>
                <w:rFonts w:ascii="Arial" w:cs="Arial" w:eastAsia="Arial" w:hAnsi="Arial"/>
                <w:sz w:val="18"/>
                <w:szCs w:val="18"/>
                <w:color w:val="auto"/>
              </w:rPr>
              <w:t>3.2</w:t>
            </w:r>
          </w:p>
        </w:tc>
        <w:tc>
          <w:tcPr>
            <w:tcW w:w="7580" w:type="dxa"/>
            <w:vAlign w:val="bottom"/>
            <w:gridSpan w:val="3"/>
          </w:tcPr>
          <w:p>
            <w:pPr>
              <w:ind w:left="340"/>
              <w:spacing w:after="0"/>
              <w:rPr>
                <w:sz w:val="20"/>
                <w:szCs w:val="20"/>
                <w:color w:val="auto"/>
              </w:rPr>
            </w:pPr>
            <w:r>
              <w:rPr>
                <w:rFonts w:ascii="Arial" w:cs="Arial" w:eastAsia="Arial" w:hAnsi="Arial"/>
                <w:sz w:val="18"/>
                <w:szCs w:val="18"/>
                <w:color w:val="auto"/>
              </w:rPr>
              <w:t>Service Terms; Extensions</w:t>
            </w:r>
          </w:p>
        </w:tc>
        <w:tc>
          <w:tcPr>
            <w:tcW w:w="252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3.3</w:t>
            </w:r>
          </w:p>
        </w:tc>
        <w:tc>
          <w:tcPr>
            <w:tcW w:w="75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Early Termination</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jc w:val="right"/>
              <w:ind w:right="250"/>
              <w:spacing w:after="0"/>
              <w:rPr>
                <w:sz w:val="20"/>
                <w:szCs w:val="20"/>
                <w:color w:val="auto"/>
              </w:rPr>
            </w:pPr>
            <w:r>
              <w:rPr>
                <w:rFonts w:ascii="Arial" w:cs="Arial" w:eastAsia="Arial" w:hAnsi="Arial"/>
                <w:sz w:val="18"/>
                <w:szCs w:val="18"/>
                <w:color w:val="auto"/>
              </w:rPr>
              <w:t>3.4</w:t>
            </w:r>
          </w:p>
        </w:tc>
        <w:tc>
          <w:tcPr>
            <w:tcW w:w="7580" w:type="dxa"/>
            <w:vAlign w:val="bottom"/>
            <w:gridSpan w:val="3"/>
          </w:tcPr>
          <w:p>
            <w:pPr>
              <w:ind w:left="340"/>
              <w:spacing w:after="0"/>
              <w:rPr>
                <w:sz w:val="20"/>
                <w:szCs w:val="20"/>
                <w:color w:val="auto"/>
              </w:rPr>
            </w:pPr>
            <w:r>
              <w:rPr>
                <w:rFonts w:ascii="Arial" w:cs="Arial" w:eastAsia="Arial" w:hAnsi="Arial"/>
                <w:sz w:val="18"/>
                <w:szCs w:val="18"/>
                <w:color w:val="auto"/>
              </w:rPr>
              <w:t>Termination for Default</w:t>
            </w:r>
          </w:p>
        </w:tc>
        <w:tc>
          <w:tcPr>
            <w:tcW w:w="252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3.5</w:t>
            </w:r>
          </w:p>
        </w:tc>
        <w:tc>
          <w:tcPr>
            <w:tcW w:w="75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Effect of Termination</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18"/>
                <w:szCs w:val="18"/>
                <w:color w:val="auto"/>
              </w:rPr>
            </w:pPr>
          </w:p>
        </w:tc>
        <w:tc>
          <w:tcPr>
            <w:tcW w:w="19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Article IV. COOPERATION AND ACCESS</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4.1</w:t>
            </w:r>
          </w:p>
        </w:tc>
        <w:tc>
          <w:tcPr>
            <w:tcW w:w="75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Cooperation by Recipient</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jc w:val="right"/>
              <w:ind w:right="250"/>
              <w:spacing w:after="0"/>
              <w:rPr>
                <w:sz w:val="20"/>
                <w:szCs w:val="20"/>
                <w:color w:val="auto"/>
              </w:rPr>
            </w:pPr>
            <w:r>
              <w:rPr>
                <w:rFonts w:ascii="Arial" w:cs="Arial" w:eastAsia="Arial" w:hAnsi="Arial"/>
                <w:sz w:val="18"/>
                <w:szCs w:val="18"/>
                <w:color w:val="auto"/>
              </w:rPr>
              <w:t>4.2</w:t>
            </w:r>
          </w:p>
        </w:tc>
        <w:tc>
          <w:tcPr>
            <w:tcW w:w="7580" w:type="dxa"/>
            <w:vAlign w:val="bottom"/>
            <w:gridSpan w:val="3"/>
          </w:tcPr>
          <w:p>
            <w:pPr>
              <w:ind w:left="340"/>
              <w:spacing w:after="0"/>
              <w:rPr>
                <w:sz w:val="20"/>
                <w:szCs w:val="20"/>
                <w:color w:val="auto"/>
              </w:rPr>
            </w:pPr>
            <w:r>
              <w:rPr>
                <w:rFonts w:ascii="Arial" w:cs="Arial" w:eastAsia="Arial" w:hAnsi="Arial"/>
                <w:sz w:val="18"/>
                <w:szCs w:val="18"/>
                <w:color w:val="auto"/>
              </w:rPr>
              <w:t>Access to Premises and Systems</w:t>
            </w:r>
          </w:p>
        </w:tc>
        <w:tc>
          <w:tcPr>
            <w:tcW w:w="252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4.3</w:t>
            </w:r>
          </w:p>
        </w:tc>
        <w:tc>
          <w:tcPr>
            <w:tcW w:w="75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Compliance with Third Party Vendor Agreements</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18"/>
                <w:szCs w:val="18"/>
                <w:color w:val="auto"/>
              </w:rPr>
            </w:pPr>
          </w:p>
        </w:tc>
        <w:tc>
          <w:tcPr>
            <w:tcW w:w="19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Article V. INTELLECTUAL PROPERTY</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5.1</w:t>
            </w:r>
          </w:p>
        </w:tc>
        <w:tc>
          <w:tcPr>
            <w:tcW w:w="75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Ownership of Intellectual Property</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jc w:val="right"/>
              <w:ind w:right="250"/>
              <w:spacing w:after="0"/>
              <w:rPr>
                <w:sz w:val="20"/>
                <w:szCs w:val="20"/>
                <w:color w:val="auto"/>
              </w:rPr>
            </w:pPr>
            <w:r>
              <w:rPr>
                <w:rFonts w:ascii="Arial" w:cs="Arial" w:eastAsia="Arial" w:hAnsi="Arial"/>
                <w:sz w:val="18"/>
                <w:szCs w:val="18"/>
                <w:color w:val="auto"/>
              </w:rPr>
              <w:t>5.2</w:t>
            </w:r>
          </w:p>
        </w:tc>
        <w:tc>
          <w:tcPr>
            <w:tcW w:w="7580" w:type="dxa"/>
            <w:vAlign w:val="bottom"/>
            <w:gridSpan w:val="3"/>
          </w:tcPr>
          <w:p>
            <w:pPr>
              <w:ind w:left="340"/>
              <w:spacing w:after="0"/>
              <w:rPr>
                <w:sz w:val="20"/>
                <w:szCs w:val="20"/>
                <w:color w:val="auto"/>
              </w:rPr>
            </w:pPr>
            <w:r>
              <w:rPr>
                <w:rFonts w:ascii="Arial" w:cs="Arial" w:eastAsia="Arial" w:hAnsi="Arial"/>
                <w:sz w:val="18"/>
                <w:szCs w:val="18"/>
                <w:color w:val="auto"/>
              </w:rPr>
              <w:t>No Implied License</w:t>
            </w:r>
          </w:p>
        </w:tc>
        <w:tc>
          <w:tcPr>
            <w:tcW w:w="252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gridSpan w:val="4"/>
          </w:tcPr>
          <w:p>
            <w:pPr>
              <w:spacing w:after="0"/>
              <w:rPr>
                <w:sz w:val="20"/>
                <w:szCs w:val="20"/>
                <w:color w:val="auto"/>
              </w:rPr>
            </w:pPr>
            <w:r>
              <w:rPr>
                <w:rFonts w:ascii="Arial" w:cs="Arial" w:eastAsia="Arial" w:hAnsi="Arial"/>
                <w:sz w:val="18"/>
                <w:szCs w:val="18"/>
                <w:color w:val="auto"/>
              </w:rPr>
              <w:t>Article VI. NO WARRANTIES; LIMITATION OF LIABILITY</w:t>
            </w:r>
          </w:p>
        </w:tc>
        <w:tc>
          <w:tcPr>
            <w:tcW w:w="252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jc w:val="right"/>
              <w:ind w:right="250"/>
              <w:spacing w:after="0"/>
              <w:rPr>
                <w:sz w:val="20"/>
                <w:szCs w:val="20"/>
                <w:color w:val="auto"/>
              </w:rPr>
            </w:pPr>
            <w:r>
              <w:rPr>
                <w:rFonts w:ascii="Arial" w:cs="Arial" w:eastAsia="Arial" w:hAnsi="Arial"/>
                <w:sz w:val="18"/>
                <w:szCs w:val="18"/>
                <w:color w:val="auto"/>
              </w:rPr>
              <w:t>6.1</w:t>
            </w:r>
          </w:p>
        </w:tc>
        <w:tc>
          <w:tcPr>
            <w:tcW w:w="7580" w:type="dxa"/>
            <w:vAlign w:val="bottom"/>
            <w:gridSpan w:val="3"/>
          </w:tcPr>
          <w:p>
            <w:pPr>
              <w:ind w:left="340"/>
              <w:spacing w:after="0"/>
              <w:rPr>
                <w:sz w:val="20"/>
                <w:szCs w:val="20"/>
                <w:color w:val="auto"/>
              </w:rPr>
            </w:pPr>
            <w:r>
              <w:rPr>
                <w:rFonts w:ascii="Arial" w:cs="Arial" w:eastAsia="Arial" w:hAnsi="Arial"/>
                <w:sz w:val="18"/>
                <w:szCs w:val="18"/>
                <w:color w:val="auto"/>
              </w:rPr>
              <w:t>No Warranties</w:t>
            </w:r>
          </w:p>
        </w:tc>
        <w:tc>
          <w:tcPr>
            <w:tcW w:w="252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6.2</w:t>
            </w:r>
          </w:p>
        </w:tc>
        <w:tc>
          <w:tcPr>
            <w:tcW w:w="75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Limitation of Liability</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18"/>
                <w:szCs w:val="18"/>
                <w:color w:val="auto"/>
              </w:rPr>
            </w:pPr>
          </w:p>
        </w:tc>
        <w:tc>
          <w:tcPr>
            <w:tcW w:w="19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Article VII. FORCE MAJEURE</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7.1</w:t>
            </w:r>
          </w:p>
        </w:tc>
        <w:tc>
          <w:tcPr>
            <w:tcW w:w="75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Force Majeure.</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18"/>
                <w:szCs w:val="18"/>
                <w:color w:val="auto"/>
              </w:rPr>
            </w:pPr>
          </w:p>
        </w:tc>
        <w:tc>
          <w:tcPr>
            <w:tcW w:w="19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Article VIII. CONFIDENTIALITY</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8.1</w:t>
            </w:r>
          </w:p>
        </w:tc>
        <w:tc>
          <w:tcPr>
            <w:tcW w:w="75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Confidentiality</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jc w:val="right"/>
              <w:ind w:right="250"/>
              <w:spacing w:after="0"/>
              <w:rPr>
                <w:sz w:val="20"/>
                <w:szCs w:val="20"/>
                <w:color w:val="auto"/>
              </w:rPr>
            </w:pPr>
            <w:r>
              <w:rPr>
                <w:rFonts w:ascii="Arial" w:cs="Arial" w:eastAsia="Arial" w:hAnsi="Arial"/>
                <w:sz w:val="18"/>
                <w:szCs w:val="18"/>
                <w:color w:val="auto"/>
              </w:rPr>
              <w:t>8.2</w:t>
            </w:r>
          </w:p>
        </w:tc>
        <w:tc>
          <w:tcPr>
            <w:tcW w:w="7580" w:type="dxa"/>
            <w:vAlign w:val="bottom"/>
            <w:gridSpan w:val="3"/>
          </w:tcPr>
          <w:p>
            <w:pPr>
              <w:ind w:left="340"/>
              <w:spacing w:after="0"/>
              <w:rPr>
                <w:sz w:val="20"/>
                <w:szCs w:val="20"/>
                <w:color w:val="auto"/>
              </w:rPr>
            </w:pPr>
            <w:r>
              <w:rPr>
                <w:rFonts w:ascii="Arial" w:cs="Arial" w:eastAsia="Arial" w:hAnsi="Arial"/>
                <w:sz w:val="18"/>
                <w:szCs w:val="18"/>
                <w:color w:val="auto"/>
              </w:rPr>
              <w:t>Government Order</w:t>
            </w:r>
          </w:p>
        </w:tc>
        <w:tc>
          <w:tcPr>
            <w:tcW w:w="252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IX. DISPUTE RESOLUTION</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9.1</w:t>
            </w:r>
          </w:p>
        </w:tc>
        <w:tc>
          <w:tcPr>
            <w:tcW w:w="7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Dispute Resolution.</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18"/>
                <w:szCs w:val="18"/>
                <w:color w:val="auto"/>
              </w:rPr>
            </w:pPr>
          </w:p>
        </w:tc>
        <w:tc>
          <w:tcPr>
            <w:tcW w:w="25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X. MISCELLANEOUS PROVISIONS</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10.1</w:t>
            </w:r>
          </w:p>
        </w:tc>
        <w:tc>
          <w:tcPr>
            <w:tcW w:w="7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Corporate Power</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580"/>
              <w:spacing w:after="0"/>
              <w:rPr>
                <w:sz w:val="20"/>
                <w:szCs w:val="20"/>
                <w:color w:val="auto"/>
              </w:rPr>
            </w:pPr>
            <w:r>
              <w:rPr>
                <w:rFonts w:ascii="Arial" w:cs="Arial" w:eastAsia="Arial" w:hAnsi="Arial"/>
                <w:sz w:val="18"/>
                <w:szCs w:val="18"/>
                <w:color w:val="auto"/>
              </w:rPr>
              <w:t>10.2</w:t>
            </w:r>
          </w:p>
        </w:tc>
        <w:tc>
          <w:tcPr>
            <w:tcW w:w="7480" w:type="dxa"/>
            <w:vAlign w:val="bottom"/>
          </w:tcPr>
          <w:p>
            <w:pPr>
              <w:ind w:left="260"/>
              <w:spacing w:after="0"/>
              <w:rPr>
                <w:sz w:val="20"/>
                <w:szCs w:val="20"/>
                <w:color w:val="auto"/>
              </w:rPr>
            </w:pPr>
            <w:r>
              <w:rPr>
                <w:rFonts w:ascii="Arial" w:cs="Arial" w:eastAsia="Arial" w:hAnsi="Arial"/>
                <w:sz w:val="18"/>
                <w:szCs w:val="18"/>
                <w:color w:val="auto"/>
              </w:rPr>
              <w:t>Modification or Amendments</w:t>
            </w:r>
          </w:p>
        </w:tc>
        <w:tc>
          <w:tcPr>
            <w:tcW w:w="254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10.3</w:t>
            </w:r>
          </w:p>
        </w:tc>
        <w:tc>
          <w:tcPr>
            <w:tcW w:w="7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Waivers of Default</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580"/>
              <w:spacing w:after="0"/>
              <w:rPr>
                <w:sz w:val="20"/>
                <w:szCs w:val="20"/>
                <w:color w:val="auto"/>
              </w:rPr>
            </w:pPr>
            <w:r>
              <w:rPr>
                <w:rFonts w:ascii="Arial" w:cs="Arial" w:eastAsia="Arial" w:hAnsi="Arial"/>
                <w:sz w:val="18"/>
                <w:szCs w:val="18"/>
                <w:color w:val="auto"/>
              </w:rPr>
              <w:t>10.4</w:t>
            </w:r>
          </w:p>
        </w:tc>
        <w:tc>
          <w:tcPr>
            <w:tcW w:w="7480" w:type="dxa"/>
            <w:vAlign w:val="bottom"/>
          </w:tcPr>
          <w:p>
            <w:pPr>
              <w:ind w:left="260"/>
              <w:spacing w:after="0"/>
              <w:rPr>
                <w:sz w:val="20"/>
                <w:szCs w:val="20"/>
                <w:color w:val="auto"/>
              </w:rPr>
            </w:pPr>
            <w:r>
              <w:rPr>
                <w:rFonts w:ascii="Arial" w:cs="Arial" w:eastAsia="Arial" w:hAnsi="Arial"/>
                <w:sz w:val="18"/>
                <w:szCs w:val="18"/>
                <w:color w:val="auto"/>
              </w:rPr>
              <w:t>Counterparts</w:t>
            </w:r>
          </w:p>
        </w:tc>
        <w:tc>
          <w:tcPr>
            <w:tcW w:w="254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10.5</w:t>
            </w:r>
          </w:p>
        </w:tc>
        <w:tc>
          <w:tcPr>
            <w:tcW w:w="7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Governing Law</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580"/>
              <w:spacing w:after="0"/>
              <w:rPr>
                <w:sz w:val="20"/>
                <w:szCs w:val="20"/>
                <w:color w:val="auto"/>
              </w:rPr>
            </w:pPr>
            <w:r>
              <w:rPr>
                <w:rFonts w:ascii="Arial" w:cs="Arial" w:eastAsia="Arial" w:hAnsi="Arial"/>
                <w:sz w:val="18"/>
                <w:szCs w:val="18"/>
                <w:color w:val="auto"/>
              </w:rPr>
              <w:t>10.6</w:t>
            </w:r>
          </w:p>
        </w:tc>
        <w:tc>
          <w:tcPr>
            <w:tcW w:w="7480" w:type="dxa"/>
            <w:vAlign w:val="bottom"/>
          </w:tcPr>
          <w:p>
            <w:pPr>
              <w:ind w:left="260"/>
              <w:spacing w:after="0"/>
              <w:rPr>
                <w:sz w:val="20"/>
                <w:szCs w:val="20"/>
                <w:color w:val="auto"/>
              </w:rPr>
            </w:pPr>
            <w:r>
              <w:rPr>
                <w:rFonts w:ascii="Arial" w:cs="Arial" w:eastAsia="Arial" w:hAnsi="Arial"/>
                <w:sz w:val="18"/>
                <w:szCs w:val="18"/>
                <w:color w:val="auto"/>
              </w:rPr>
              <w:t>Notices</w:t>
            </w:r>
          </w:p>
        </w:tc>
        <w:tc>
          <w:tcPr>
            <w:tcW w:w="254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10.7</w:t>
            </w:r>
          </w:p>
        </w:tc>
        <w:tc>
          <w:tcPr>
            <w:tcW w:w="7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Entire Agreement</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580"/>
              <w:spacing w:after="0"/>
              <w:rPr>
                <w:sz w:val="20"/>
                <w:szCs w:val="20"/>
                <w:color w:val="auto"/>
              </w:rPr>
            </w:pPr>
            <w:r>
              <w:rPr>
                <w:rFonts w:ascii="Arial" w:cs="Arial" w:eastAsia="Arial" w:hAnsi="Arial"/>
                <w:sz w:val="18"/>
                <w:szCs w:val="18"/>
                <w:color w:val="auto"/>
              </w:rPr>
              <w:t>10.8</w:t>
            </w:r>
          </w:p>
        </w:tc>
        <w:tc>
          <w:tcPr>
            <w:tcW w:w="7480" w:type="dxa"/>
            <w:vAlign w:val="bottom"/>
          </w:tcPr>
          <w:p>
            <w:pPr>
              <w:ind w:left="260"/>
              <w:spacing w:after="0"/>
              <w:rPr>
                <w:sz w:val="20"/>
                <w:szCs w:val="20"/>
                <w:color w:val="auto"/>
              </w:rPr>
            </w:pPr>
            <w:r>
              <w:rPr>
                <w:rFonts w:ascii="Arial" w:cs="Arial" w:eastAsia="Arial" w:hAnsi="Arial"/>
                <w:sz w:val="18"/>
                <w:szCs w:val="18"/>
                <w:color w:val="auto"/>
              </w:rPr>
              <w:t>No Third-Party Beneficiaries</w:t>
            </w:r>
          </w:p>
        </w:tc>
        <w:tc>
          <w:tcPr>
            <w:tcW w:w="254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10.9</w:t>
            </w:r>
          </w:p>
        </w:tc>
        <w:tc>
          <w:tcPr>
            <w:tcW w:w="7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Severability.</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580"/>
              <w:spacing w:after="0"/>
              <w:rPr>
                <w:sz w:val="20"/>
                <w:szCs w:val="20"/>
                <w:color w:val="auto"/>
              </w:rPr>
            </w:pPr>
            <w:r>
              <w:rPr>
                <w:rFonts w:ascii="Arial" w:cs="Arial" w:eastAsia="Arial" w:hAnsi="Arial"/>
                <w:sz w:val="18"/>
                <w:szCs w:val="18"/>
                <w:color w:val="auto"/>
              </w:rPr>
              <w:t>10.10</w:t>
            </w:r>
          </w:p>
        </w:tc>
        <w:tc>
          <w:tcPr>
            <w:tcW w:w="7480" w:type="dxa"/>
            <w:vAlign w:val="bottom"/>
          </w:tcPr>
          <w:p>
            <w:pPr>
              <w:ind w:left="260"/>
              <w:spacing w:after="0"/>
              <w:rPr>
                <w:sz w:val="20"/>
                <w:szCs w:val="20"/>
                <w:color w:val="auto"/>
              </w:rPr>
            </w:pPr>
            <w:r>
              <w:rPr>
                <w:rFonts w:ascii="Arial" w:cs="Arial" w:eastAsia="Arial" w:hAnsi="Arial"/>
                <w:sz w:val="18"/>
                <w:szCs w:val="18"/>
                <w:color w:val="auto"/>
              </w:rPr>
              <w:t>Interpretation..</w:t>
            </w:r>
          </w:p>
        </w:tc>
        <w:tc>
          <w:tcPr>
            <w:tcW w:w="254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10.11</w:t>
            </w:r>
          </w:p>
        </w:tc>
        <w:tc>
          <w:tcPr>
            <w:tcW w:w="7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Defined Terms</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580"/>
              <w:spacing w:after="0"/>
              <w:rPr>
                <w:sz w:val="20"/>
                <w:szCs w:val="20"/>
                <w:color w:val="auto"/>
              </w:rPr>
            </w:pPr>
            <w:r>
              <w:rPr>
                <w:rFonts w:ascii="Arial" w:cs="Arial" w:eastAsia="Arial" w:hAnsi="Arial"/>
                <w:sz w:val="18"/>
                <w:szCs w:val="18"/>
                <w:color w:val="auto"/>
              </w:rPr>
              <w:t>10.12</w:t>
            </w:r>
          </w:p>
        </w:tc>
        <w:tc>
          <w:tcPr>
            <w:tcW w:w="7480" w:type="dxa"/>
            <w:vAlign w:val="bottom"/>
          </w:tcPr>
          <w:p>
            <w:pPr>
              <w:ind w:left="260"/>
              <w:spacing w:after="0"/>
              <w:rPr>
                <w:sz w:val="20"/>
                <w:szCs w:val="20"/>
                <w:color w:val="auto"/>
              </w:rPr>
            </w:pPr>
            <w:r>
              <w:rPr>
                <w:rFonts w:ascii="Arial" w:cs="Arial" w:eastAsia="Arial" w:hAnsi="Arial"/>
                <w:sz w:val="18"/>
                <w:szCs w:val="18"/>
                <w:color w:val="auto"/>
              </w:rPr>
              <w:t>Expenses</w:t>
            </w:r>
          </w:p>
        </w:tc>
        <w:tc>
          <w:tcPr>
            <w:tcW w:w="254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10.13</w:t>
            </w:r>
          </w:p>
        </w:tc>
        <w:tc>
          <w:tcPr>
            <w:tcW w:w="7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 Set-Off</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580"/>
              <w:spacing w:after="0"/>
              <w:rPr>
                <w:sz w:val="20"/>
                <w:szCs w:val="20"/>
                <w:color w:val="auto"/>
              </w:rPr>
            </w:pPr>
            <w:r>
              <w:rPr>
                <w:rFonts w:ascii="Arial" w:cs="Arial" w:eastAsia="Arial" w:hAnsi="Arial"/>
                <w:sz w:val="18"/>
                <w:szCs w:val="18"/>
                <w:color w:val="auto"/>
              </w:rPr>
              <w:t>10.14</w:t>
            </w:r>
          </w:p>
        </w:tc>
        <w:tc>
          <w:tcPr>
            <w:tcW w:w="7480" w:type="dxa"/>
            <w:vAlign w:val="bottom"/>
          </w:tcPr>
          <w:p>
            <w:pPr>
              <w:ind w:left="260"/>
              <w:spacing w:after="0"/>
              <w:rPr>
                <w:sz w:val="20"/>
                <w:szCs w:val="20"/>
                <w:color w:val="auto"/>
              </w:rPr>
            </w:pPr>
            <w:r>
              <w:rPr>
                <w:rFonts w:ascii="Arial" w:cs="Arial" w:eastAsia="Arial" w:hAnsi="Arial"/>
                <w:sz w:val="18"/>
                <w:szCs w:val="18"/>
                <w:color w:val="auto"/>
              </w:rPr>
              <w:t>Specific Performance; Other Equitable Relief</w:t>
            </w:r>
          </w:p>
        </w:tc>
        <w:tc>
          <w:tcPr>
            <w:tcW w:w="254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10.15</w:t>
            </w:r>
          </w:p>
        </w:tc>
        <w:tc>
          <w:tcPr>
            <w:tcW w:w="7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Construction</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580"/>
              <w:spacing w:after="0"/>
              <w:rPr>
                <w:sz w:val="20"/>
                <w:szCs w:val="20"/>
                <w:color w:val="auto"/>
              </w:rPr>
            </w:pPr>
            <w:r>
              <w:rPr>
                <w:rFonts w:ascii="Arial" w:cs="Arial" w:eastAsia="Arial" w:hAnsi="Arial"/>
                <w:sz w:val="18"/>
                <w:szCs w:val="18"/>
                <w:color w:val="auto"/>
              </w:rPr>
              <w:t>10.16</w:t>
            </w:r>
          </w:p>
        </w:tc>
        <w:tc>
          <w:tcPr>
            <w:tcW w:w="7480" w:type="dxa"/>
            <w:vAlign w:val="bottom"/>
          </w:tcPr>
          <w:p>
            <w:pPr>
              <w:ind w:left="260"/>
              <w:spacing w:after="0"/>
              <w:rPr>
                <w:sz w:val="20"/>
                <w:szCs w:val="20"/>
                <w:color w:val="auto"/>
              </w:rPr>
            </w:pPr>
            <w:r>
              <w:rPr>
                <w:rFonts w:ascii="Arial" w:cs="Arial" w:eastAsia="Arial" w:hAnsi="Arial"/>
                <w:sz w:val="18"/>
                <w:szCs w:val="18"/>
                <w:color w:val="auto"/>
              </w:rPr>
              <w:t>Assignment; Successors and Assigns; No Third Party Beneficiaries</w:t>
            </w:r>
          </w:p>
        </w:tc>
        <w:tc>
          <w:tcPr>
            <w:tcW w:w="254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10.17</w:t>
            </w:r>
          </w:p>
        </w:tc>
        <w:tc>
          <w:tcPr>
            <w:tcW w:w="7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Conflict</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580"/>
              <w:spacing w:after="0"/>
              <w:rPr>
                <w:sz w:val="20"/>
                <w:szCs w:val="20"/>
                <w:color w:val="auto"/>
              </w:rPr>
            </w:pPr>
            <w:r>
              <w:rPr>
                <w:rFonts w:ascii="Arial" w:cs="Arial" w:eastAsia="Arial" w:hAnsi="Arial"/>
                <w:sz w:val="18"/>
                <w:szCs w:val="18"/>
                <w:color w:val="auto"/>
              </w:rPr>
              <w:t>10.18</w:t>
            </w:r>
          </w:p>
        </w:tc>
        <w:tc>
          <w:tcPr>
            <w:tcW w:w="7480" w:type="dxa"/>
            <w:vAlign w:val="bottom"/>
          </w:tcPr>
          <w:p>
            <w:pPr>
              <w:ind w:left="260"/>
              <w:spacing w:after="0"/>
              <w:rPr>
                <w:sz w:val="20"/>
                <w:szCs w:val="20"/>
                <w:color w:val="auto"/>
              </w:rPr>
            </w:pPr>
            <w:r>
              <w:rPr>
                <w:rFonts w:ascii="Arial" w:cs="Arial" w:eastAsia="Arial" w:hAnsi="Arial"/>
                <w:sz w:val="18"/>
                <w:szCs w:val="18"/>
                <w:color w:val="auto"/>
              </w:rPr>
              <w:t>Relationship of the Parties</w:t>
            </w:r>
          </w:p>
        </w:tc>
        <w:tc>
          <w:tcPr>
            <w:tcW w:w="254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10.19</w:t>
            </w:r>
          </w:p>
        </w:tc>
        <w:tc>
          <w:tcPr>
            <w:tcW w:w="7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Performance</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580"/>
              <w:spacing w:after="0"/>
              <w:rPr>
                <w:sz w:val="20"/>
                <w:szCs w:val="20"/>
                <w:color w:val="auto"/>
              </w:rPr>
            </w:pPr>
            <w:r>
              <w:rPr>
                <w:rFonts w:ascii="Arial" w:cs="Arial" w:eastAsia="Arial" w:hAnsi="Arial"/>
                <w:sz w:val="18"/>
                <w:szCs w:val="18"/>
                <w:color w:val="auto"/>
              </w:rPr>
              <w:t>10.20</w:t>
            </w:r>
          </w:p>
        </w:tc>
        <w:tc>
          <w:tcPr>
            <w:tcW w:w="7480" w:type="dxa"/>
            <w:vAlign w:val="bottom"/>
          </w:tcPr>
          <w:p>
            <w:pPr>
              <w:ind w:left="260"/>
              <w:spacing w:after="0"/>
              <w:rPr>
                <w:sz w:val="20"/>
                <w:szCs w:val="20"/>
                <w:color w:val="auto"/>
              </w:rPr>
            </w:pPr>
            <w:r>
              <w:rPr>
                <w:rFonts w:ascii="Arial" w:cs="Arial" w:eastAsia="Arial" w:hAnsi="Arial"/>
                <w:sz w:val="18"/>
                <w:szCs w:val="18"/>
                <w:color w:val="auto"/>
              </w:rPr>
              <w:t>Compliance with Laws</w:t>
            </w:r>
          </w:p>
        </w:tc>
        <w:tc>
          <w:tcPr>
            <w:tcW w:w="254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10.21</w:t>
            </w:r>
          </w:p>
        </w:tc>
        <w:tc>
          <w:tcPr>
            <w:tcW w:w="7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Agreements</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1" w:name="page122"/>
    <w:bookmarkEnd w:id="121"/>
    <w:p>
      <w:pPr>
        <w:jc w:val="center"/>
        <w:ind w:right="-79"/>
        <w:spacing w:after="0"/>
        <w:rPr>
          <w:sz w:val="20"/>
          <w:szCs w:val="20"/>
          <w:color w:val="auto"/>
        </w:rPr>
      </w:pPr>
      <w:r>
        <w:rPr>
          <w:rFonts w:ascii="Arial" w:cs="Arial" w:eastAsia="Arial" w:hAnsi="Arial"/>
          <w:sz w:val="18"/>
          <w:szCs w:val="18"/>
          <w:b w:val="1"/>
          <w:bCs w:val="1"/>
          <w:color w:val="auto"/>
        </w:rPr>
        <w:t>TRANSITION SERVICES AGREEMENT</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This TRANSITION SERVICES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effective as of February 15, 2021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 TechnipFMC plc, a public limited company formed under the Laws of England and Wales (“</w:t>
      </w:r>
      <w:r>
        <w:rPr>
          <w:rFonts w:ascii="Arial" w:cs="Arial" w:eastAsia="Arial" w:hAnsi="Arial"/>
          <w:sz w:val="18"/>
          <w:szCs w:val="18"/>
          <w:u w:val="single" w:color="auto"/>
          <w:color w:val="auto"/>
        </w:rPr>
        <w:t>TFMC</w:t>
      </w:r>
      <w:r>
        <w:rPr>
          <w:rFonts w:ascii="Arial" w:cs="Arial" w:eastAsia="Arial" w:hAnsi="Arial"/>
          <w:sz w:val="18"/>
          <w:szCs w:val="18"/>
          <w:color w:val="auto"/>
        </w:rPr>
        <w:t>”) and Technip Energies N.V., a public limited liability company formed under the laws of the Netherlands and wholly owned subsidiary of TFMC (“</w:t>
      </w:r>
      <w:r>
        <w:rPr>
          <w:rFonts w:ascii="Arial" w:cs="Arial" w:eastAsia="Arial" w:hAnsi="Arial"/>
          <w:sz w:val="18"/>
          <w:szCs w:val="18"/>
          <w:u w:val="single" w:color="auto"/>
          <w:color w:val="auto"/>
        </w:rPr>
        <w:t>TEN</w:t>
      </w:r>
      <w:r>
        <w:rPr>
          <w:rFonts w:ascii="Arial" w:cs="Arial" w:eastAsia="Arial" w:hAnsi="Arial"/>
          <w:sz w:val="18"/>
          <w:szCs w:val="18"/>
          <w:color w:val="auto"/>
        </w:rPr>
        <w:t>”). TFMC and TEN are each a “</w:t>
      </w:r>
      <w:r>
        <w:rPr>
          <w:rFonts w:ascii="Arial" w:cs="Arial" w:eastAsia="Arial" w:hAnsi="Arial"/>
          <w:sz w:val="18"/>
          <w:szCs w:val="18"/>
          <w:u w:val="single" w:color="auto"/>
          <w:color w:val="auto"/>
        </w:rPr>
        <w:t>Party</w:t>
      </w:r>
      <w:r>
        <w:rPr>
          <w:rFonts w:ascii="Arial" w:cs="Arial" w:eastAsia="Arial" w:hAnsi="Arial"/>
          <w:sz w:val="18"/>
          <w:szCs w:val="18"/>
          <w:color w:val="auto"/>
        </w:rPr>
        <w:t>” and are sometimes referred to herein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TFMC, acting together with its subsidiaries, currently conducts the TFMC Business and the TEN Business;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WHEREAS, TFMC and TEN have entered into that certain Separation and Distribution Agreement, dated as of January 7, 2021 (the “</w:t>
      </w:r>
      <w:r>
        <w:rPr>
          <w:rFonts w:ascii="Arial" w:cs="Arial" w:eastAsia="Arial" w:hAnsi="Arial"/>
          <w:sz w:val="18"/>
          <w:szCs w:val="18"/>
          <w:u w:val="single" w:color="auto"/>
          <w:color w:val="auto"/>
        </w:rPr>
        <w:t>Separation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pursuant to which the Separation will be consummated; and</w:t>
      </w:r>
    </w:p>
    <w:p>
      <w:pPr>
        <w:spacing w:after="0" w:line="170"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WHEREAS, following the Separation, the Parties have agreed that each Party, either itself or through its Subsidiaries, will provide to the other Party and its Subsidiaries certain services on a transitional basis to allow the other Party the time to develop the capability to perform such services for itself or to outsource such services to a third-party service provider;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in consideration of the foregoing and the mutual agreements, provisions and covenants contained in this Agreement,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Parties hereby agree as follows:</w:t>
      </w:r>
    </w:p>
    <w:p>
      <w:pPr>
        <w:spacing w:after="0" w:line="21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SERVICES</w:t>
      </w:r>
    </w:p>
    <w:p>
      <w:pPr>
        <w:spacing w:after="0" w:line="211"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Provision of Services</w:t>
      </w:r>
      <w:r>
        <w:rPr>
          <w:rFonts w:ascii="Arial" w:cs="Arial" w:eastAsia="Arial" w:hAnsi="Arial"/>
          <w:sz w:val="16"/>
          <w:szCs w:val="16"/>
          <w:color w:val="auto"/>
        </w:rPr>
        <w:t>.</w:t>
      </w:r>
    </w:p>
    <w:p>
      <w:pPr>
        <w:spacing w:after="0" w:line="225" w:lineRule="exact"/>
        <w:rPr>
          <w:sz w:val="20"/>
          <w:szCs w:val="20"/>
          <w:color w:val="auto"/>
        </w:rPr>
      </w:pPr>
    </w:p>
    <w:p>
      <w:pPr>
        <w:ind w:firstLine="1304"/>
        <w:spacing w:after="0" w:line="311" w:lineRule="auto"/>
        <w:tabs>
          <w:tab w:leader="none" w:pos="2144"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Services Provided by TFMC.</w:t>
      </w:r>
      <w:r>
        <w:rPr>
          <w:rFonts w:ascii="Arial" w:cs="Arial" w:eastAsia="Arial" w:hAnsi="Arial"/>
          <w:sz w:val="16"/>
          <w:szCs w:val="16"/>
          <w:color w:val="auto"/>
        </w:rPr>
        <w:t xml:space="preserve"> Subject to the terms and conditions of this Agreement, TFMC agrees to provide, or cause to be provided, to TEN and its Subsidiaries the Services described on </w:t>
      </w:r>
      <w:r>
        <w:rPr>
          <w:rFonts w:ascii="Arial" w:cs="Arial" w:eastAsia="Arial" w:hAnsi="Arial"/>
          <w:sz w:val="16"/>
          <w:szCs w:val="16"/>
          <w:u w:val="single" w:color="auto"/>
          <w:color w:val="auto"/>
        </w:rPr>
        <w:t>Annex I</w:t>
      </w:r>
      <w:r>
        <w:rPr>
          <w:rFonts w:ascii="Arial" w:cs="Arial" w:eastAsia="Arial" w:hAnsi="Arial"/>
          <w:sz w:val="16"/>
          <w:szCs w:val="16"/>
          <w:color w:val="auto"/>
        </w:rPr>
        <w:t>, solely for purposes of the continued operation of the TEN Business by TEN and its Subsidiaries in the ordinary course consistent with how the TEN Business was operated during the one-year period prior to the Effective Date.</w:t>
      </w:r>
    </w:p>
    <w:p>
      <w:pPr>
        <w:spacing w:after="0" w:line="148" w:lineRule="exact"/>
        <w:rPr>
          <w:rFonts w:ascii="Arial" w:cs="Arial" w:eastAsia="Arial" w:hAnsi="Arial"/>
          <w:sz w:val="16"/>
          <w:szCs w:val="16"/>
          <w:color w:val="auto"/>
        </w:rPr>
      </w:pPr>
    </w:p>
    <w:p>
      <w:pPr>
        <w:ind w:right="160" w:firstLine="1304"/>
        <w:spacing w:after="0" w:line="259" w:lineRule="auto"/>
        <w:tabs>
          <w:tab w:leader="none" w:pos="2154"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Services Provided by TEN.</w:t>
      </w:r>
      <w:r>
        <w:rPr>
          <w:rFonts w:ascii="Arial" w:cs="Arial" w:eastAsia="Arial" w:hAnsi="Arial"/>
          <w:sz w:val="18"/>
          <w:szCs w:val="18"/>
          <w:color w:val="auto"/>
        </w:rPr>
        <w:t xml:space="preserve"> Subject to the terms and conditions of this Agreement, TEN agrees to provide, or cause to be provided, to TFMC and its Subsidiaries the Services described on </w:t>
      </w:r>
      <w:r>
        <w:rPr>
          <w:rFonts w:ascii="Arial" w:cs="Arial" w:eastAsia="Arial" w:hAnsi="Arial"/>
          <w:sz w:val="18"/>
          <w:szCs w:val="18"/>
          <w:u w:val="single" w:color="auto"/>
          <w:color w:val="auto"/>
        </w:rPr>
        <w:t>Annex II</w:t>
      </w:r>
      <w:r>
        <w:rPr>
          <w:rFonts w:ascii="Arial" w:cs="Arial" w:eastAsia="Arial" w:hAnsi="Arial"/>
          <w:sz w:val="18"/>
          <w:szCs w:val="18"/>
          <w:color w:val="auto"/>
        </w:rPr>
        <w:t>, solely for purposes of the continued operation of the TFMC Business by TFMC and its Subsidiaries in the ordinary course consistent with how the TFMC Business was operated during the one-year period prior to the Effective Date.</w:t>
      </w:r>
    </w:p>
    <w:p>
      <w:pPr>
        <w:spacing w:after="0" w:line="186" w:lineRule="exact"/>
        <w:rPr>
          <w:rFonts w:ascii="Arial" w:cs="Arial" w:eastAsia="Arial" w:hAnsi="Arial"/>
          <w:sz w:val="18"/>
          <w:szCs w:val="18"/>
          <w:color w:val="auto"/>
        </w:rPr>
      </w:pPr>
    </w:p>
    <w:p>
      <w:pPr>
        <w:ind w:right="300" w:firstLine="1304"/>
        <w:spacing w:after="0" w:line="286" w:lineRule="auto"/>
        <w:tabs>
          <w:tab w:leader="none" w:pos="2144"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Scope of Services</w:t>
      </w:r>
      <w:r>
        <w:rPr>
          <w:rFonts w:ascii="Arial" w:cs="Arial" w:eastAsia="Arial" w:hAnsi="Arial"/>
          <w:sz w:val="17"/>
          <w:szCs w:val="17"/>
          <w:color w:val="auto"/>
        </w:rPr>
        <w:t xml:space="preserve">. For the avoidance of doubt, any tasks necessary to accomplish the Services, even if such tasks are not expressly set forth in </w:t>
      </w:r>
      <w:r>
        <w:rPr>
          <w:rFonts w:ascii="Arial" w:cs="Arial" w:eastAsia="Arial" w:hAnsi="Arial"/>
          <w:sz w:val="17"/>
          <w:szCs w:val="17"/>
          <w:u w:val="single" w:color="auto"/>
          <w:color w:val="auto"/>
        </w:rPr>
        <w:t>Annex 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Annex II</w:t>
      </w:r>
      <w:r>
        <w:rPr>
          <w:rFonts w:ascii="Arial" w:cs="Arial" w:eastAsia="Arial" w:hAnsi="Arial"/>
          <w:sz w:val="17"/>
          <w:szCs w:val="17"/>
          <w:color w:val="auto"/>
        </w:rPr>
        <w:t xml:space="preserve">, shall be deemed to be part of the “Services” to be performed by the applicable Provider pursuant to this Agreement, provided that such tasks are an inherent part of the Services described on </w:t>
      </w:r>
      <w:r>
        <w:rPr>
          <w:rFonts w:ascii="Arial" w:cs="Arial" w:eastAsia="Arial" w:hAnsi="Arial"/>
          <w:sz w:val="17"/>
          <w:szCs w:val="17"/>
          <w:u w:val="single" w:color="auto"/>
          <w:color w:val="auto"/>
        </w:rPr>
        <w:t>Annex 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Annex II</w:t>
      </w:r>
      <w:r>
        <w:rPr>
          <w:rFonts w:ascii="Arial" w:cs="Arial" w:eastAsia="Arial" w:hAnsi="Arial"/>
          <w:sz w:val="17"/>
          <w:szCs w:val="17"/>
          <w:color w:val="auto"/>
        </w:rPr>
        <w:t>, as applicable.</w:t>
      </w:r>
    </w:p>
    <w:p>
      <w:pPr>
        <w:spacing w:after="0" w:line="33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22" w:name="page123"/>
    <w:bookmarkEnd w:id="122"/>
    <w:p>
      <w:pPr>
        <w:ind w:left="-20" w:firstLine="1304"/>
        <w:spacing w:after="0" w:line="288" w:lineRule="auto"/>
        <w:tabs>
          <w:tab w:leader="none" w:pos="2134"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Required Consents</w:t>
      </w:r>
      <w:r>
        <w:rPr>
          <w:rFonts w:ascii="Arial" w:cs="Arial" w:eastAsia="Arial" w:hAnsi="Arial"/>
          <w:sz w:val="16"/>
          <w:szCs w:val="16"/>
          <w:color w:val="auto"/>
        </w:rPr>
        <w:t>. Provider shall use commercially reasonable efforts to obtain any third-party consents, approvals or amendments to Provider’s existing third-party agreements that are necessary to allow Provider to provide the Services to Recipient (the “</w:t>
      </w:r>
      <w:r>
        <w:rPr>
          <w:rFonts w:ascii="Arial" w:cs="Arial" w:eastAsia="Arial" w:hAnsi="Arial"/>
          <w:sz w:val="16"/>
          <w:szCs w:val="16"/>
          <w:u w:val="single" w:color="auto"/>
          <w:color w:val="auto"/>
        </w:rPr>
        <w:t>Consents</w:t>
      </w:r>
      <w:r>
        <w:rPr>
          <w:rFonts w:ascii="Arial" w:cs="Arial" w:eastAsia="Arial" w:hAnsi="Arial"/>
          <w:sz w:val="16"/>
          <w:szCs w:val="16"/>
          <w:color w:val="auto"/>
        </w:rPr>
        <w:t>”). Recipient shall pay, or, at Provider’s request, reimburse Provider for, the cost of obtaining the Consents and any fees or charges associated with the Consents, including, but not limited to, any additional license, sublicense, access or transfer fees. Recipient acknowledges that there can be no assurance that Provider will be able to obtain the Consents. In the event that any Consents are not obtained, upon Recipient’s request, Provider will reasonably cooperate with Recipient to identify, and if commercially feasible, to implement, a work-around or other alternative arrangement for any affected Service(s), provided that (i) Recipient shall be responsible for all fees and costs associated with any such work-around or alternative arrangement, and (ii) Recipient acknowledges that any such work-around or alternative arrangement may adversely impact the Service Standards, and Provider shall not be liable for any breach of the Service Standards that results from the adoption of any such work-around or alternative arrangement. If no commercially feasible alternative for a Service is available or capable of being reasonably implemented, Provider shall be relieved of its obligations to provide such Service.</w:t>
      </w:r>
    </w:p>
    <w:p>
      <w:pPr>
        <w:spacing w:after="0" w:line="168" w:lineRule="exact"/>
        <w:rPr>
          <w:rFonts w:ascii="Arial" w:cs="Arial" w:eastAsia="Arial" w:hAnsi="Arial"/>
          <w:sz w:val="16"/>
          <w:szCs w:val="16"/>
          <w:color w:val="auto"/>
        </w:rPr>
      </w:pPr>
    </w:p>
    <w:p>
      <w:pPr>
        <w:ind w:left="-20" w:right="80" w:firstLine="1304"/>
        <w:spacing w:after="0" w:line="254" w:lineRule="auto"/>
        <w:tabs>
          <w:tab w:leader="none" w:pos="2124"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Cutover</w:t>
      </w:r>
      <w:r>
        <w:rPr>
          <w:rFonts w:ascii="Arial" w:cs="Arial" w:eastAsia="Arial" w:hAnsi="Arial"/>
          <w:sz w:val="18"/>
          <w:szCs w:val="18"/>
          <w:color w:val="auto"/>
        </w:rPr>
        <w:t>. Recipient shall be responsible for planning and preparing the transition to its own internal organization or other third-party service providers of the provision of each of the Services provided to it hereunder (the “</w:t>
      </w:r>
      <w:r>
        <w:rPr>
          <w:rFonts w:ascii="Arial" w:cs="Arial" w:eastAsia="Arial" w:hAnsi="Arial"/>
          <w:sz w:val="18"/>
          <w:szCs w:val="18"/>
          <w:u w:val="single" w:color="auto"/>
          <w:color w:val="auto"/>
        </w:rPr>
        <w:t>Cutover</w:t>
      </w:r>
      <w:r>
        <w:rPr>
          <w:rFonts w:ascii="Arial" w:cs="Arial" w:eastAsia="Arial" w:hAnsi="Arial"/>
          <w:sz w:val="18"/>
          <w:szCs w:val="18"/>
          <w:color w:val="auto"/>
        </w:rPr>
        <w:t>”). At Recipient’s request, Provider shall meet with Recipient within ten (10) calendar days following such request to assist Recipient with the initial development of a plan for Cutover (the “</w:t>
      </w:r>
      <w:r>
        <w:rPr>
          <w:rFonts w:ascii="Arial" w:cs="Arial" w:eastAsia="Arial" w:hAnsi="Arial"/>
          <w:sz w:val="18"/>
          <w:szCs w:val="18"/>
          <w:u w:val="single" w:color="auto"/>
          <w:color w:val="auto"/>
        </w:rPr>
        <w:t>Cutover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Plan</w:t>
      </w:r>
      <w:r>
        <w:rPr>
          <w:rFonts w:ascii="Arial" w:cs="Arial" w:eastAsia="Arial" w:hAnsi="Arial"/>
          <w:sz w:val="18"/>
          <w:szCs w:val="18"/>
          <w:color w:val="auto"/>
        </w:rPr>
        <w:t>”) and shall provide Recipient with all information reasonably requested by it in connection with the development and implementation of the Cutover Plan. Recipient shall, with Provider’s reasonable assistance, prepare a Cutover Plan with sufficient lead time in order to achieve a timely Cutover. Once the Cutover Plan is prepared, Recipient shall promptly provide Provider a copy of the Cutover Plan, and Provider shall reasonably cooperate and shall use commercially reasonable efforts to cause its third-party vendors to reasonably cooperate, at Recipient’s expense, in a timely implementation of the Cutover Plan.</w:t>
      </w:r>
    </w:p>
    <w:p>
      <w:pPr>
        <w:spacing w:after="0" w:line="191" w:lineRule="exact"/>
        <w:rPr>
          <w:rFonts w:ascii="Arial" w:cs="Arial" w:eastAsia="Arial" w:hAnsi="Arial"/>
          <w:sz w:val="18"/>
          <w:szCs w:val="18"/>
          <w:color w:val="auto"/>
        </w:rPr>
      </w:pPr>
    </w:p>
    <w:p>
      <w:pPr>
        <w:ind w:left="-20" w:right="120" w:firstLine="1304"/>
        <w:spacing w:after="0" w:line="289" w:lineRule="auto"/>
        <w:tabs>
          <w:tab w:leader="none" w:pos="2104"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Service and Project Managers.</w:t>
      </w:r>
      <w:r>
        <w:rPr>
          <w:rFonts w:ascii="Arial" w:cs="Arial" w:eastAsia="Arial" w:hAnsi="Arial"/>
          <w:sz w:val="16"/>
          <w:szCs w:val="16"/>
          <w:color w:val="auto"/>
        </w:rPr>
        <w:t xml:space="preserve"> Each Party will appoint a manager for each Service (each a “</w:t>
      </w:r>
      <w:r>
        <w:rPr>
          <w:rFonts w:ascii="Arial" w:cs="Arial" w:eastAsia="Arial" w:hAnsi="Arial"/>
          <w:sz w:val="16"/>
          <w:szCs w:val="16"/>
          <w:u w:val="single" w:color="auto"/>
          <w:color w:val="auto"/>
        </w:rPr>
        <w:t>Service Manager</w:t>
      </w:r>
      <w:r>
        <w:rPr>
          <w:rFonts w:ascii="Arial" w:cs="Arial" w:eastAsia="Arial" w:hAnsi="Arial"/>
          <w:sz w:val="16"/>
          <w:szCs w:val="16"/>
          <w:color w:val="auto"/>
        </w:rPr>
        <w:t xml:space="preserve">”), who shall be responsible for managing the provision of such Service and who shall be the primary contact for any issues relating to that Service. The Parties’ initial Service Managers for each Service are set forth in </w:t>
      </w:r>
      <w:r>
        <w:rPr>
          <w:rFonts w:ascii="Arial" w:cs="Arial" w:eastAsia="Arial" w:hAnsi="Arial"/>
          <w:sz w:val="16"/>
          <w:szCs w:val="16"/>
          <w:u w:val="single" w:color="auto"/>
          <w:color w:val="auto"/>
        </w:rPr>
        <w:t>Annex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Annex II</w:t>
      </w:r>
      <w:r>
        <w:rPr>
          <w:rFonts w:ascii="Arial" w:cs="Arial" w:eastAsia="Arial" w:hAnsi="Arial"/>
          <w:sz w:val="16"/>
          <w:szCs w:val="16"/>
          <w:color w:val="auto"/>
        </w:rPr>
        <w:t>. In addition, each Party will appoint a project manager, who shall oversee the Service Managers and ultimately be responsible for all day-to-day matters arising hereunder, and who shall be the primary contact for the other Party for any issues arising hereunder that are not covered or resolved by the Service Managers (each a “</w:t>
      </w:r>
      <w:r>
        <w:rPr>
          <w:rFonts w:ascii="Arial" w:cs="Arial" w:eastAsia="Arial" w:hAnsi="Arial"/>
          <w:sz w:val="16"/>
          <w:szCs w:val="16"/>
          <w:u w:val="single" w:color="auto"/>
          <w:color w:val="auto"/>
        </w:rPr>
        <w:t>Project Manager</w:t>
      </w:r>
      <w:r>
        <w:rPr>
          <w:rFonts w:ascii="Arial" w:cs="Arial" w:eastAsia="Arial" w:hAnsi="Arial"/>
          <w:sz w:val="16"/>
          <w:szCs w:val="16"/>
          <w:color w:val="auto"/>
        </w:rPr>
        <w:t>”). The Project Managers shall meet (in person or by telephone) at the request of either Project Manager, in order to ensure the provision of the Services in accordance with the terms hereof, as well as the orderly transition of those Services at the end of the applicable Service Term. TFMC’s initial Project Manager shall be Stevan Verkin and TEN’s initial Project Manager shall be Charles Cessot. Each Party may change its designated Project Manager upon notice to the other Party’s Project Manager. Each Party may change any of its Service Managers upon notice to the other Party’s Project Manager and applicable Service Manager.</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25" w:right="339" w:bottom="1440" w:gutter="0" w:footer="0" w:header="0"/>
        </w:sectPr>
      </w:pPr>
    </w:p>
    <w:bookmarkStart w:id="123" w:name="page124"/>
    <w:bookmarkEnd w:id="123"/>
    <w:p>
      <w:pPr>
        <w:ind w:left="652"/>
        <w:spacing w:after="0"/>
        <w:tabs>
          <w:tab w:leader="none" w:pos="1172"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Service Modifications and Additional Services</w:t>
      </w:r>
      <w:r>
        <w:rPr>
          <w:rFonts w:ascii="Arial" w:cs="Arial" w:eastAsia="Arial" w:hAnsi="Arial"/>
          <w:sz w:val="16"/>
          <w:szCs w:val="16"/>
          <w:color w:val="auto"/>
        </w:rPr>
        <w:t>.</w:t>
      </w:r>
    </w:p>
    <w:p>
      <w:pPr>
        <w:spacing w:after="0" w:line="225" w:lineRule="exact"/>
        <w:rPr>
          <w:sz w:val="20"/>
          <w:szCs w:val="20"/>
          <w:color w:val="auto"/>
        </w:rPr>
      </w:pPr>
    </w:p>
    <w:p>
      <w:pPr>
        <w:ind w:left="-8" w:right="40" w:firstLine="1304"/>
        <w:spacing w:after="0" w:line="257" w:lineRule="auto"/>
        <w:tabs>
          <w:tab w:leader="none" w:pos="2136"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Changes.</w:t>
      </w:r>
      <w:r>
        <w:rPr>
          <w:rFonts w:ascii="Arial" w:cs="Arial" w:eastAsia="Arial" w:hAnsi="Arial"/>
          <w:sz w:val="18"/>
          <w:szCs w:val="18"/>
          <w:color w:val="auto"/>
        </w:rPr>
        <w:t xml:space="preserve"> During the Term, the Parties may, in accordance with the procedures specified in this </w:t>
      </w:r>
      <w:r>
        <w:rPr>
          <w:rFonts w:ascii="Arial" w:cs="Arial" w:eastAsia="Arial" w:hAnsi="Arial"/>
          <w:sz w:val="18"/>
          <w:szCs w:val="18"/>
          <w:u w:val="single" w:color="auto"/>
          <w:color w:val="auto"/>
        </w:rPr>
        <w:t>Section 1.2</w:t>
      </w:r>
      <w:r>
        <w:rPr>
          <w:rFonts w:ascii="Arial" w:cs="Arial" w:eastAsia="Arial" w:hAnsi="Arial"/>
          <w:sz w:val="18"/>
          <w:szCs w:val="18"/>
          <w:color w:val="auto"/>
        </w:rPr>
        <w:t>: (i) agree to modify the terms and conditions relating to the performance of a previously agreed-upon Service in order to reflect, among other things, new procedures or processes for providing such Service (a “</w:t>
      </w:r>
      <w:r>
        <w:rPr>
          <w:rFonts w:ascii="Arial" w:cs="Arial" w:eastAsia="Arial" w:hAnsi="Arial"/>
          <w:sz w:val="18"/>
          <w:szCs w:val="18"/>
          <w:u w:val="single" w:color="auto"/>
          <w:color w:val="auto"/>
        </w:rPr>
        <w:t>Service Modification</w:t>
      </w:r>
      <w:r>
        <w:rPr>
          <w:rFonts w:ascii="Arial" w:cs="Arial" w:eastAsia="Arial" w:hAnsi="Arial"/>
          <w:sz w:val="18"/>
          <w:szCs w:val="18"/>
          <w:color w:val="auto"/>
        </w:rPr>
        <w:t>”), or (ii) agree upon terms and conditions related to the provision of services that are in addition to any of the previously agreed-upon Services and that were utilized in the conduct of the TEN Business or the TFMC Business (as appropriate), prior to Closing (an “</w:t>
      </w:r>
      <w:r>
        <w:rPr>
          <w:rFonts w:ascii="Arial" w:cs="Arial" w:eastAsia="Arial" w:hAnsi="Arial"/>
          <w:sz w:val="18"/>
          <w:szCs w:val="18"/>
          <w:u w:val="single" w:color="auto"/>
          <w:color w:val="auto"/>
        </w:rPr>
        <w:t>Additional Service</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jc w:val="both"/>
        <w:ind w:left="-8" w:right="160" w:firstLine="1304"/>
        <w:spacing w:after="0" w:line="291" w:lineRule="auto"/>
        <w:tabs>
          <w:tab w:leader="none" w:pos="2146" w:val="left"/>
        </w:tabs>
        <w:numPr>
          <w:ilvl w:val="1"/>
          <w:numId w:val="70"/>
        </w:numPr>
        <w:rPr>
          <w:rFonts w:ascii="Arial" w:cs="Arial" w:eastAsia="Arial" w:hAnsi="Arial"/>
          <w:sz w:val="16"/>
          <w:szCs w:val="16"/>
          <w:color w:val="auto"/>
        </w:rPr>
      </w:pPr>
      <w:r>
        <w:rPr>
          <w:rFonts w:ascii="Arial" w:cs="Arial" w:eastAsia="Arial" w:hAnsi="Arial"/>
          <w:sz w:val="16"/>
          <w:szCs w:val="16"/>
          <w:u w:val="single" w:color="auto"/>
          <w:color w:val="auto"/>
        </w:rPr>
        <w:t>Change Requests.</w:t>
      </w:r>
      <w:r>
        <w:rPr>
          <w:rFonts w:ascii="Arial" w:cs="Arial" w:eastAsia="Arial" w:hAnsi="Arial"/>
          <w:sz w:val="16"/>
          <w:szCs w:val="16"/>
          <w:color w:val="auto"/>
        </w:rPr>
        <w:t xml:space="preserve"> In the event either of the Parties desires a Service Modification or an Additional Service (in each case, a “</w:t>
      </w:r>
      <w:r>
        <w:rPr>
          <w:rFonts w:ascii="Arial" w:cs="Arial" w:eastAsia="Arial" w:hAnsi="Arial"/>
          <w:sz w:val="16"/>
          <w:szCs w:val="16"/>
          <w:u w:val="single" w:color="auto"/>
          <w:color w:val="auto"/>
        </w:rPr>
        <w:t>Change</w:t>
      </w:r>
      <w:r>
        <w:rPr>
          <w:rFonts w:ascii="Arial" w:cs="Arial" w:eastAsia="Arial" w:hAnsi="Arial"/>
          <w:sz w:val="16"/>
          <w:szCs w:val="16"/>
          <w:color w:val="auto"/>
        </w:rPr>
        <w:t>”), the Party requesting the Change will deliver a written description of the proposed Change (a “</w:t>
      </w:r>
      <w:r>
        <w:rPr>
          <w:rFonts w:ascii="Arial" w:cs="Arial" w:eastAsia="Arial" w:hAnsi="Arial"/>
          <w:sz w:val="16"/>
          <w:szCs w:val="16"/>
          <w:u w:val="single" w:color="auto"/>
          <w:color w:val="auto"/>
        </w:rPr>
        <w:t>Change Request</w:t>
      </w:r>
      <w:r>
        <w:rPr>
          <w:rFonts w:ascii="Arial" w:cs="Arial" w:eastAsia="Arial" w:hAnsi="Arial"/>
          <w:sz w:val="16"/>
          <w:szCs w:val="16"/>
          <w:color w:val="auto"/>
        </w:rPr>
        <w:t>”) to the other Party as follows:</w:t>
      </w:r>
    </w:p>
    <w:p>
      <w:pPr>
        <w:ind w:left="-8" w:firstLine="8"/>
        <w:spacing w:after="0" w:line="260" w:lineRule="auto"/>
        <w:tabs>
          <w:tab w:leader="none" w:pos="207"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the case of a Change Request by Provider, to Recipient’s Project Manager; and (ii) in the case of a Change Request by Recipient, to Provider’s Project Manager.</w:t>
      </w:r>
    </w:p>
    <w:p>
      <w:pPr>
        <w:spacing w:after="0" w:line="185" w:lineRule="exact"/>
        <w:rPr>
          <w:rFonts w:ascii="Arial" w:cs="Arial" w:eastAsia="Arial" w:hAnsi="Arial"/>
          <w:sz w:val="18"/>
          <w:szCs w:val="18"/>
          <w:color w:val="auto"/>
        </w:rPr>
      </w:pPr>
    </w:p>
    <w:p>
      <w:pPr>
        <w:ind w:left="-8" w:right="20" w:firstLine="1304"/>
        <w:spacing w:after="0" w:line="263" w:lineRule="auto"/>
        <w:tabs>
          <w:tab w:leader="none" w:pos="2136"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Meeting of the Parties.</w:t>
      </w:r>
      <w:r>
        <w:rPr>
          <w:rFonts w:ascii="Arial" w:cs="Arial" w:eastAsia="Arial" w:hAnsi="Arial"/>
          <w:sz w:val="18"/>
          <w:szCs w:val="18"/>
          <w:color w:val="auto"/>
        </w:rPr>
        <w:t xml:space="preserve"> Unless the Party receiving the Change Request agrees to implement the Change Request as proposed, the Project Managers will meet in person or by telephone to discuss the Change Request no later than ten (10) Business Days after delivery of the Change Request to the other Party.</w:t>
      </w:r>
    </w:p>
    <w:p>
      <w:pPr>
        <w:spacing w:after="0" w:line="183" w:lineRule="exact"/>
        <w:rPr>
          <w:rFonts w:ascii="Arial" w:cs="Arial" w:eastAsia="Arial" w:hAnsi="Arial"/>
          <w:sz w:val="18"/>
          <w:szCs w:val="18"/>
          <w:color w:val="auto"/>
        </w:rPr>
      </w:pPr>
    </w:p>
    <w:p>
      <w:pPr>
        <w:ind w:left="-8" w:firstLine="1304"/>
        <w:spacing w:after="0" w:line="290" w:lineRule="auto"/>
        <w:tabs>
          <w:tab w:leader="none" w:pos="2146" w:val="left"/>
        </w:tabs>
        <w:numPr>
          <w:ilvl w:val="1"/>
          <w:numId w:val="71"/>
        </w:numPr>
        <w:rPr>
          <w:rFonts w:ascii="Arial" w:cs="Arial" w:eastAsia="Arial" w:hAnsi="Arial"/>
          <w:sz w:val="16"/>
          <w:szCs w:val="16"/>
          <w:color w:val="auto"/>
        </w:rPr>
      </w:pPr>
      <w:r>
        <w:rPr>
          <w:rFonts w:ascii="Arial" w:cs="Arial" w:eastAsia="Arial" w:hAnsi="Arial"/>
          <w:sz w:val="16"/>
          <w:szCs w:val="16"/>
          <w:u w:val="single" w:color="auto"/>
          <w:color w:val="auto"/>
        </w:rPr>
        <w:t>Approval of Recipient Change Requests.</w:t>
      </w:r>
      <w:r>
        <w:rPr>
          <w:rFonts w:ascii="Arial" w:cs="Arial" w:eastAsia="Arial" w:hAnsi="Arial"/>
          <w:sz w:val="16"/>
          <w:szCs w:val="16"/>
          <w:color w:val="auto"/>
        </w:rPr>
        <w:t xml:space="preserve"> All Recipient Change Requests must be approved by Provider’s Project Manager in writing before the Change may be implemented in accordance with </w:t>
      </w:r>
      <w:r>
        <w:rPr>
          <w:rFonts w:ascii="Arial" w:cs="Arial" w:eastAsia="Arial" w:hAnsi="Arial"/>
          <w:sz w:val="16"/>
          <w:szCs w:val="16"/>
          <w:u w:val="single" w:color="auto"/>
          <w:color w:val="auto"/>
        </w:rPr>
        <w:t>Section 1.2(f)</w:t>
      </w:r>
      <w:r>
        <w:rPr>
          <w:rFonts w:ascii="Arial" w:cs="Arial" w:eastAsia="Arial" w:hAnsi="Arial"/>
          <w:sz w:val="16"/>
          <w:szCs w:val="16"/>
          <w:color w:val="auto"/>
        </w:rPr>
        <w:t xml:space="preserve"> below, such approval not to be unreasonably withheld, conditioned, or delayed. For the purposes of the preceding sentence, the Parties agree that it is not unreasonable to: (i) withhold such consent to the extent that such proposed Change would increase the resources required for Provider to provide the Services after giving effect to the Change Request, (ii) withhold such consent if Provider determines that it would have to hire any new resources in order to provide the Services following implementation of the Change, whether due to lack of available personnel, lack of expertise of existing available personnel, or otherwise, (iii) condition such consent on Recipient agreeing to bear any increases in Provider’s cost of performance (including, if applicable, Fully Burdened Costs of personnel) resulting from such Change, or (iv) condition such consent on the Parties, acting in good faith, reaching an agreement on the pricing of the applicable Service following the Change.</w:t>
      </w:r>
    </w:p>
    <w:p>
      <w:pPr>
        <w:spacing w:after="0" w:line="165" w:lineRule="exact"/>
        <w:rPr>
          <w:rFonts w:ascii="Arial" w:cs="Arial" w:eastAsia="Arial" w:hAnsi="Arial"/>
          <w:sz w:val="16"/>
          <w:szCs w:val="16"/>
          <w:color w:val="auto"/>
        </w:rPr>
      </w:pPr>
    </w:p>
    <w:p>
      <w:pPr>
        <w:ind w:left="-8" w:firstLine="1304"/>
        <w:spacing w:after="0" w:line="254" w:lineRule="auto"/>
        <w:tabs>
          <w:tab w:leader="none" w:pos="2136"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Approval of Provider Change Requests.</w:t>
      </w:r>
      <w:r>
        <w:rPr>
          <w:rFonts w:ascii="Arial" w:cs="Arial" w:eastAsia="Arial" w:hAnsi="Arial"/>
          <w:sz w:val="18"/>
          <w:szCs w:val="18"/>
          <w:color w:val="auto"/>
        </w:rPr>
        <w:t xml:space="preserve"> All Provider Change Requests must be approved by Recipient’s Project Manager in writing before the Change may be implemented in accordance with </w:t>
      </w:r>
      <w:r>
        <w:rPr>
          <w:rFonts w:ascii="Arial" w:cs="Arial" w:eastAsia="Arial" w:hAnsi="Arial"/>
          <w:sz w:val="18"/>
          <w:szCs w:val="18"/>
          <w:u w:val="single" w:color="auto"/>
          <w:color w:val="auto"/>
        </w:rPr>
        <w:t>Section 1.2(f)</w:t>
      </w:r>
      <w:r>
        <w:rPr>
          <w:rFonts w:ascii="Arial" w:cs="Arial" w:eastAsia="Arial" w:hAnsi="Arial"/>
          <w:sz w:val="18"/>
          <w:szCs w:val="18"/>
          <w:color w:val="auto"/>
        </w:rPr>
        <w:t xml:space="preserve"> below. Such consent will not be unreasonably withheld, conditioned or delayed. For the purposes of the preceding sentence, the Parties agree that it is not unreasonable to: (i) withhold such consent to the extent that such proposed Change would materially adversely affect Provider’s performance of the Services after giving effect to the Change Request, (ii) condition such consent on Provider agreeing not to pass to Recipient any increases in Provider’s cost of performance resulting from such Change, or (iii) condition such consent on Provider agreeing to reimburse Recipient for any costs incurred by Recipient to implement or accommodate such Change in order to continue to receive the Services.</w:t>
      </w:r>
    </w:p>
    <w:p>
      <w:pPr>
        <w:spacing w:after="0" w:line="366"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125" w:right="359" w:bottom="1440" w:gutter="0" w:footer="0" w:header="0"/>
        </w:sectPr>
      </w:pPr>
    </w:p>
    <w:bookmarkStart w:id="124" w:name="page125"/>
    <w:bookmarkEnd w:id="124"/>
    <w:p>
      <w:pPr>
        <w:jc w:val="both"/>
        <w:ind w:right="80" w:firstLine="1304"/>
        <w:spacing w:after="0" w:line="263" w:lineRule="auto"/>
        <w:tabs>
          <w:tab w:leader="none" w:pos="2124"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Implementation of Approved Change</w:t>
      </w:r>
      <w:r>
        <w:rPr>
          <w:rFonts w:ascii="Arial" w:cs="Arial" w:eastAsia="Arial" w:hAnsi="Arial"/>
          <w:sz w:val="18"/>
          <w:szCs w:val="18"/>
          <w:color w:val="auto"/>
        </w:rPr>
        <w:t xml:space="preserve">. If a Change Request is approved in accordance with this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then Annex I or Annex II, as applicable, will be amended in accordance with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to reflect the implementation of the Change Request and any other agreed-upon terms or conditions relating to the Change.</w:t>
      </w:r>
    </w:p>
    <w:p>
      <w:pPr>
        <w:spacing w:after="0" w:line="184"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5"/>
          <w:szCs w:val="15"/>
          <w:u w:val="single" w:color="auto"/>
          <w:color w:val="auto"/>
        </w:rPr>
        <w:t>Service Standards</w:t>
      </w:r>
      <w:r>
        <w:rPr>
          <w:rFonts w:ascii="Arial" w:cs="Arial" w:eastAsia="Arial" w:hAnsi="Arial"/>
          <w:sz w:val="15"/>
          <w:szCs w:val="15"/>
          <w:color w:val="auto"/>
        </w:rPr>
        <w:t>.</w:t>
      </w:r>
    </w:p>
    <w:p>
      <w:pPr>
        <w:spacing w:after="0" w:line="225" w:lineRule="exact"/>
        <w:rPr>
          <w:sz w:val="20"/>
          <w:szCs w:val="20"/>
          <w:color w:val="auto"/>
        </w:rPr>
      </w:pPr>
    </w:p>
    <w:p>
      <w:pPr>
        <w:ind w:right="100" w:firstLine="1304"/>
        <w:spacing w:after="0" w:line="275" w:lineRule="auto"/>
        <w:tabs>
          <w:tab w:leader="none" w:pos="2144"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Service Quality</w:t>
      </w:r>
      <w:r>
        <w:rPr>
          <w:rFonts w:ascii="Arial" w:cs="Arial" w:eastAsia="Arial" w:hAnsi="Arial"/>
          <w:sz w:val="17"/>
          <w:szCs w:val="17"/>
          <w:color w:val="auto"/>
        </w:rPr>
        <w:t>. Except to the extent otherwise expressly provided in Annex I or Annex II, as applicable, Provider shall provide, or cause to be provided, the Services with at least the same degree of care, quality, priority, timeliness, and skill as its past practice in performing the Services for itself and/or the Recipient’s Business during the one-year period prior to the Effective Date (the “</w:t>
      </w:r>
      <w:r>
        <w:rPr>
          <w:rFonts w:ascii="Arial" w:cs="Arial" w:eastAsia="Arial" w:hAnsi="Arial"/>
          <w:sz w:val="17"/>
          <w:szCs w:val="17"/>
          <w:u w:val="single" w:color="auto"/>
          <w:color w:val="auto"/>
        </w:rPr>
        <w:t>Service Standards</w:t>
      </w:r>
      <w:r>
        <w:rPr>
          <w:rFonts w:ascii="Arial" w:cs="Arial" w:eastAsia="Arial" w:hAnsi="Arial"/>
          <w:sz w:val="17"/>
          <w:szCs w:val="17"/>
          <w:color w:val="auto"/>
        </w:rPr>
        <w:t>”). For the avoidance of doubt, nothing herein shall be construed to require Provider to maintain the employment of any particular individual(s), or any number of individual(s), and Provider shall be free to hire and terminate its personnel and its contractors in its sole and absolute discretion.</w:t>
      </w:r>
    </w:p>
    <w:p>
      <w:pPr>
        <w:spacing w:after="0" w:line="176" w:lineRule="exact"/>
        <w:rPr>
          <w:rFonts w:ascii="Arial" w:cs="Arial" w:eastAsia="Arial" w:hAnsi="Arial"/>
          <w:sz w:val="17"/>
          <w:szCs w:val="17"/>
          <w:color w:val="auto"/>
        </w:rPr>
      </w:pPr>
    </w:p>
    <w:p>
      <w:pPr>
        <w:ind w:firstLine="1304"/>
        <w:spacing w:after="0" w:line="268" w:lineRule="auto"/>
        <w:tabs>
          <w:tab w:leader="none" w:pos="2154"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Maintenance.</w:t>
      </w:r>
      <w:r>
        <w:rPr>
          <w:rFonts w:ascii="Arial" w:cs="Arial" w:eastAsia="Arial" w:hAnsi="Arial"/>
          <w:sz w:val="17"/>
          <w:szCs w:val="17"/>
          <w:color w:val="auto"/>
        </w:rPr>
        <w:t xml:space="preserve"> Notwithstanding anything to the contrary in </w:t>
      </w:r>
      <w:r>
        <w:rPr>
          <w:rFonts w:ascii="Arial" w:cs="Arial" w:eastAsia="Arial" w:hAnsi="Arial"/>
          <w:sz w:val="17"/>
          <w:szCs w:val="17"/>
          <w:u w:val="single" w:color="auto"/>
          <w:color w:val="auto"/>
        </w:rPr>
        <w:t>Section 1.3(a)</w:t>
      </w:r>
      <w:r>
        <w:rPr>
          <w:rFonts w:ascii="Arial" w:cs="Arial" w:eastAsia="Arial" w:hAnsi="Arial"/>
          <w:sz w:val="17"/>
          <w:szCs w:val="17"/>
          <w:color w:val="auto"/>
        </w:rPr>
        <w:t>, Provider shall have the right to shut down its facilities and/or systems used in providing the Services in accordance with scheduled maintenance windows that have been set by Provider and communicated in advance to Recipient’s Project Manager; provided, however, that Provider shall not shut down any such facilities and/or systems during critical operating periods. The scheduled maintenance windows shall always be planned to be performed outside customary business hours, or if not possible, be planned so that such shut down shall not materially and adversely affect Recipient’s operations. In the event maintenance is nonscheduled, Provider shall, whenever possible notify Recipient twenty-four (24) hours in advance. Unless not feasible under the circumstances, this notice shall be given in writing or by email to the Recipient’s Project Manager. Where written notice is not feasible, Provider shall give prompt oral notice, which notice shall be promptly confirmed in writing by Provider. Provider shall be relieved of its obligations to provide Services only for the period of time that its facilities are so shut down but shall use commercially reasonable efforts to minimize each period of shutdown for such purpose and to schedule such shutdown so as not to inconvenience or disrupt the conduct of the business of the Recipient. Provider shall consult with Recipient prior to temporary shutdowns to the extent reasonably practicable or, if not reasonably practicable, immediately thereafter in order to establish alternative sources for such Services. To the extent commercially reasonable, Provider will afford Recipient the benefit of any arrangements for substitute services that Provider makes on its own behalf.</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FEES AND PAYMENT</w:t>
      </w:r>
    </w:p>
    <w:p>
      <w:pPr>
        <w:spacing w:after="0" w:line="211" w:lineRule="exact"/>
        <w:rPr>
          <w:sz w:val="20"/>
          <w:szCs w:val="20"/>
          <w:color w:val="auto"/>
        </w:rPr>
      </w:pPr>
    </w:p>
    <w:p>
      <w:pPr>
        <w:jc w:val="both"/>
        <w:ind w:right="60" w:firstLine="648"/>
        <w:spacing w:after="0" w:line="296"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Fees</w:t>
      </w:r>
      <w:r>
        <w:rPr>
          <w:rFonts w:ascii="Arial" w:cs="Arial" w:eastAsia="Arial" w:hAnsi="Arial"/>
          <w:sz w:val="16"/>
          <w:szCs w:val="16"/>
          <w:color w:val="auto"/>
        </w:rPr>
        <w:t xml:space="preserve">. In consideration of the Services, Recipient shall pay to Provider the Fees associated with the Services provided to Recipient and its Subsidiaries hereunder. The Fees for each Service will be determined as specified for such Service in </w:t>
      </w:r>
      <w:r>
        <w:rPr>
          <w:rFonts w:ascii="Arial" w:cs="Arial" w:eastAsia="Arial" w:hAnsi="Arial"/>
          <w:sz w:val="16"/>
          <w:szCs w:val="16"/>
          <w:u w:val="single" w:color="auto"/>
          <w:color w:val="auto"/>
        </w:rPr>
        <w:t>Annex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Annex II</w:t>
      </w:r>
      <w:r>
        <w:rPr>
          <w:rFonts w:ascii="Arial" w:cs="Arial" w:eastAsia="Arial" w:hAnsi="Arial"/>
          <w:sz w:val="16"/>
          <w:szCs w:val="16"/>
          <w:color w:val="auto"/>
        </w:rPr>
        <w:t>; provided that, if no Fees are specified for a Service in the applicable Annex, then the Fees for such Service shall be equal to Provider’s Fully Burdened Cost for providing such Service (the “</w:t>
      </w:r>
      <w:r>
        <w:rPr>
          <w:rFonts w:ascii="Arial" w:cs="Arial" w:eastAsia="Arial" w:hAnsi="Arial"/>
          <w:sz w:val="16"/>
          <w:szCs w:val="16"/>
          <w:u w:val="single" w:color="auto"/>
          <w:color w:val="auto"/>
        </w:rPr>
        <w:t>Fees</w:t>
      </w:r>
      <w:r>
        <w:rPr>
          <w:rFonts w:ascii="Arial" w:cs="Arial" w:eastAsia="Arial" w:hAnsi="Arial"/>
          <w:sz w:val="16"/>
          <w:szCs w:val="16"/>
          <w:color w:val="auto"/>
        </w:rPr>
        <w:t xml:space="preserve">”). In addition, without duplication of any expenses included in the Fees and unless specified otherwise in </w:t>
      </w:r>
      <w:r>
        <w:rPr>
          <w:rFonts w:ascii="Arial" w:cs="Arial" w:eastAsia="Arial" w:hAnsi="Arial"/>
          <w:sz w:val="16"/>
          <w:szCs w:val="16"/>
          <w:u w:val="single" w:color="auto"/>
          <w:color w:val="auto"/>
        </w:rPr>
        <w:t>Annex 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Annex II</w:t>
      </w:r>
      <w:r>
        <w:rPr>
          <w:rFonts w:ascii="Arial" w:cs="Arial" w:eastAsia="Arial" w:hAnsi="Arial"/>
          <w:sz w:val="16"/>
          <w:szCs w:val="16"/>
          <w:color w:val="auto"/>
        </w:rPr>
        <w:t>, Recipient shall reimburse Provider for all reasonable out-of-pocket fees, costs and expenses incurred by Provider in the provision of the Services (“</w:t>
      </w:r>
      <w:r>
        <w:rPr>
          <w:rFonts w:ascii="Arial" w:cs="Arial" w:eastAsia="Arial" w:hAnsi="Arial"/>
          <w:sz w:val="16"/>
          <w:szCs w:val="16"/>
          <w:u w:val="single" w:color="auto"/>
          <w:color w:val="auto"/>
        </w:rPr>
        <w:t>Expenses</w:t>
      </w:r>
      <w:r>
        <w:rPr>
          <w:rFonts w:ascii="Arial" w:cs="Arial" w:eastAsia="Arial" w:hAnsi="Arial"/>
          <w:sz w:val="16"/>
          <w:szCs w:val="16"/>
          <w:color w:val="auto"/>
        </w:rPr>
        <w:t>”).</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25" w:name="page126"/>
    <w:bookmarkEnd w:id="125"/>
    <w:p>
      <w:pPr>
        <w:ind w:left="620"/>
        <w:spacing w:after="0"/>
        <w:tabs>
          <w:tab w:leader="none" w:pos="11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u w:val="single" w:color="auto"/>
          <w:color w:val="auto"/>
        </w:rPr>
        <w:t>Payment Terms.</w:t>
      </w:r>
    </w:p>
    <w:p>
      <w:pPr>
        <w:spacing w:after="0" w:line="225" w:lineRule="exact"/>
        <w:rPr>
          <w:sz w:val="20"/>
          <w:szCs w:val="20"/>
          <w:color w:val="auto"/>
        </w:rPr>
      </w:pPr>
    </w:p>
    <w:p>
      <w:pPr>
        <w:ind w:left="-40" w:right="120" w:firstLine="1304"/>
        <w:spacing w:after="0" w:line="279" w:lineRule="auto"/>
        <w:tabs>
          <w:tab w:leader="none" w:pos="2104"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Invoices</w:t>
      </w:r>
      <w:r>
        <w:rPr>
          <w:rFonts w:ascii="Arial" w:cs="Arial" w:eastAsia="Arial" w:hAnsi="Arial"/>
          <w:sz w:val="17"/>
          <w:szCs w:val="17"/>
          <w:color w:val="auto"/>
        </w:rPr>
        <w:t>. Except as otherwise provided in Annex I or Annex II with respect to any Service, promptly following the end of each calendar month during the Term, Provider shall deliver to Recipient or its nominated designee an invoice setting forth the Fees and Expenses for the Services provided by Provider during the prior month. All invoices or other demands for payment delivered pursuant to this Agreement shall set forth, or be accompanied by, reasonable documentation or other reasonable explanation supporting the amounts invoiced.</w:t>
      </w:r>
    </w:p>
    <w:p>
      <w:pPr>
        <w:spacing w:after="0" w:line="171" w:lineRule="exact"/>
        <w:rPr>
          <w:rFonts w:ascii="Arial" w:cs="Arial" w:eastAsia="Arial" w:hAnsi="Arial"/>
          <w:sz w:val="17"/>
          <w:szCs w:val="17"/>
          <w:color w:val="auto"/>
        </w:rPr>
      </w:pPr>
    </w:p>
    <w:p>
      <w:pPr>
        <w:ind w:left="-40" w:firstLine="1304"/>
        <w:spacing w:after="0" w:line="257" w:lineRule="auto"/>
        <w:tabs>
          <w:tab w:leader="none" w:pos="2114"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Payment.</w:t>
      </w:r>
      <w:r>
        <w:rPr>
          <w:rFonts w:ascii="Arial" w:cs="Arial" w:eastAsia="Arial" w:hAnsi="Arial"/>
          <w:sz w:val="18"/>
          <w:szCs w:val="18"/>
          <w:color w:val="auto"/>
        </w:rPr>
        <w:t xml:space="preserve"> Except as otherwise expressly provided to the contrary in this Agreement, any amount to be paid or reimbursed by a Party (where applicable, or a member of such Party’s Group) to the other Party (where applicable, or a member of such other Party’s Group) under this Agreement shall be paid or reimbursed hereunder within thirty (30) days after presentation of an invoice or a written demand therefor in accordance with </w:t>
      </w:r>
      <w:r>
        <w:rPr>
          <w:rFonts w:ascii="Arial" w:cs="Arial" w:eastAsia="Arial" w:hAnsi="Arial"/>
          <w:sz w:val="18"/>
          <w:szCs w:val="18"/>
          <w:u w:val="single" w:color="auto"/>
          <w:color w:val="auto"/>
        </w:rPr>
        <w:t>Section 2.2(a)</w:t>
      </w:r>
      <w:r>
        <w:rPr>
          <w:rFonts w:ascii="Arial" w:cs="Arial" w:eastAsia="Arial" w:hAnsi="Arial"/>
          <w:sz w:val="18"/>
          <w:szCs w:val="18"/>
          <w:color w:val="auto"/>
        </w:rPr>
        <w:t>. All payments under this Agreement shall be made by electronic funds transfer of immediately available funds to the bank account specified by the Party receiving the payment.</w:t>
      </w:r>
    </w:p>
    <w:p>
      <w:pPr>
        <w:spacing w:after="0" w:line="187" w:lineRule="exact"/>
        <w:rPr>
          <w:rFonts w:ascii="Arial" w:cs="Arial" w:eastAsia="Arial" w:hAnsi="Arial"/>
          <w:sz w:val="18"/>
          <w:szCs w:val="18"/>
          <w:color w:val="auto"/>
        </w:rPr>
      </w:pPr>
    </w:p>
    <w:p>
      <w:pPr>
        <w:ind w:left="-40" w:firstLine="1304"/>
        <w:spacing w:after="0" w:line="291" w:lineRule="auto"/>
        <w:tabs>
          <w:tab w:leader="none" w:pos="2104"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Disputed Amounts</w:t>
      </w:r>
      <w:r>
        <w:rPr>
          <w:rFonts w:ascii="Arial" w:cs="Arial" w:eastAsia="Arial" w:hAnsi="Arial"/>
          <w:sz w:val="16"/>
          <w:szCs w:val="16"/>
          <w:color w:val="auto"/>
        </w:rPr>
        <w:t xml:space="preserve">. In the event that Recipient disputes in good faith the accuracy of any portion of an invoice, Recipient shall deliver to the Provider Project Manager notice of the dispute (which shall constitute an “Initial Notice” for purposes of the dispute resolution provisions incorporated by reference herein pursuant to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along with a reasonably detailed explanation of the basis of the dispute, on or prior to the applicable due date, and shall pay all undisputed portions of the applicable invoice in a timely manner in accordance with </w:t>
      </w:r>
      <w:r>
        <w:rPr>
          <w:rFonts w:ascii="Arial" w:cs="Arial" w:eastAsia="Arial" w:hAnsi="Arial"/>
          <w:sz w:val="16"/>
          <w:szCs w:val="16"/>
          <w:u w:val="single" w:color="auto"/>
          <w:color w:val="auto"/>
        </w:rPr>
        <w:t>Section 2.2(b).</w:t>
      </w:r>
      <w:r>
        <w:rPr>
          <w:rFonts w:ascii="Arial" w:cs="Arial" w:eastAsia="Arial" w:hAnsi="Arial"/>
          <w:sz w:val="16"/>
          <w:szCs w:val="16"/>
          <w:color w:val="auto"/>
        </w:rPr>
        <w:t xml:space="preserve"> The Project Managers shall attempt to resolve the dispute in a prompt manner. If the Project Managers are unable to resolve the dispute within ten (10) days from the date of the Initial Notice, either Party may, upon notice to the other Party, escalate the dispute to the “Dispute Committee” specified in </w:t>
      </w:r>
      <w:r>
        <w:rPr>
          <w:rFonts w:ascii="Arial" w:cs="Arial" w:eastAsia="Arial" w:hAnsi="Arial"/>
          <w:sz w:val="16"/>
          <w:szCs w:val="16"/>
          <w:u w:val="single" w:color="auto"/>
          <w:color w:val="auto"/>
        </w:rPr>
        <w:t>Section 6.2(b)</w:t>
      </w:r>
      <w:r>
        <w:rPr>
          <w:rFonts w:ascii="Arial" w:cs="Arial" w:eastAsia="Arial" w:hAnsi="Arial"/>
          <w:sz w:val="16"/>
          <w:szCs w:val="16"/>
          <w:color w:val="auto"/>
        </w:rPr>
        <w:t xml:space="preserve"> of the Separation Agreement, and thereafter, the dispute shall be resolved in accordance with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hereof (and Article VI of the Separation Agreement).</w:t>
      </w:r>
    </w:p>
    <w:p>
      <w:pPr>
        <w:spacing w:after="0" w:line="166" w:lineRule="exact"/>
        <w:rPr>
          <w:rFonts w:ascii="Arial" w:cs="Arial" w:eastAsia="Arial" w:hAnsi="Arial"/>
          <w:sz w:val="16"/>
          <w:szCs w:val="16"/>
          <w:color w:val="auto"/>
        </w:rPr>
      </w:pPr>
    </w:p>
    <w:p>
      <w:pPr>
        <w:ind w:left="-40" w:right="40" w:firstLine="1304"/>
        <w:spacing w:after="0" w:line="301" w:lineRule="auto"/>
        <w:tabs>
          <w:tab w:leader="none" w:pos="2114"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Late Payment Charge</w:t>
      </w:r>
      <w:r>
        <w:rPr>
          <w:rFonts w:ascii="Arial" w:cs="Arial" w:eastAsia="Arial" w:hAnsi="Arial"/>
          <w:sz w:val="16"/>
          <w:szCs w:val="16"/>
          <w:color w:val="auto"/>
        </w:rPr>
        <w:t>. Except as expressly provided to the contrary in this Agreement, any amount not paid when due pursuant to this Agreement (and any amount billed or otherwise invoiced or demanded and properly payable that is not paid within thirty (30) days of such bill, invoice or other demand) shall bear interest at a rate per annum equal to the Prime Rate, from time to time in effect, plus two percent (2%), calculated for the actual number of days elapsed, accrued from the date on which such payment was due up to the date of the actual receipt of payment.</w:t>
      </w:r>
    </w:p>
    <w:p>
      <w:pPr>
        <w:spacing w:after="0" w:line="157" w:lineRule="exact"/>
        <w:rPr>
          <w:rFonts w:ascii="Arial" w:cs="Arial" w:eastAsia="Arial" w:hAnsi="Arial"/>
          <w:sz w:val="16"/>
          <w:szCs w:val="16"/>
          <w:color w:val="auto"/>
        </w:rPr>
      </w:pPr>
    </w:p>
    <w:p>
      <w:pPr>
        <w:jc w:val="both"/>
        <w:ind w:left="-40" w:firstLine="1304"/>
        <w:spacing w:after="0" w:line="279" w:lineRule="auto"/>
        <w:tabs>
          <w:tab w:leader="none" w:pos="2104"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Currency Conversion</w:t>
      </w:r>
      <w:r>
        <w:rPr>
          <w:rFonts w:ascii="Arial" w:cs="Arial" w:eastAsia="Arial" w:hAnsi="Arial"/>
          <w:sz w:val="17"/>
          <w:szCs w:val="17"/>
          <w:color w:val="auto"/>
        </w:rPr>
        <w:t xml:space="preserve">. Without the consent of the Party receiving any payment under this Agreement specifying otherwise, all payments to be made by either Provider or Recipient under this Agreement shall be made in U.S. dollars. Except as expressly provided herein, any amount which is not expressed in U.S. dollars shall be converted into U.S. dollars by using the exchange rate published on Bloomberg at 5:00 pm, Eastern time, on the day before the relevant date, or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on such date if not so published on Bloomberg.</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38100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125" w:right="379" w:bottom="1440" w:gutter="0" w:footer="0" w:header="0"/>
        </w:sectPr>
      </w:pPr>
    </w:p>
    <w:bookmarkStart w:id="126" w:name="page127"/>
    <w:bookmarkEnd w:id="126"/>
    <w:p>
      <w:pPr>
        <w:ind w:firstLine="648"/>
        <w:spacing w:after="0" w:line="266"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Taxes.</w:t>
      </w:r>
      <w:r>
        <w:rPr>
          <w:rFonts w:ascii="Arial" w:cs="Arial" w:eastAsia="Arial" w:hAnsi="Arial"/>
          <w:sz w:val="17"/>
          <w:szCs w:val="17"/>
          <w:color w:val="auto"/>
        </w:rPr>
        <w:t xml:space="preserve"> All sums payable under this Agreement are exclusive of value added tax, sales tax, service tax and turnover tax that may be levied in any jurisdiction (collectively, “</w:t>
      </w:r>
      <w:r>
        <w:rPr>
          <w:rFonts w:ascii="Arial" w:cs="Arial" w:eastAsia="Arial" w:hAnsi="Arial"/>
          <w:sz w:val="17"/>
          <w:szCs w:val="17"/>
          <w:u w:val="single" w:color="auto"/>
          <w:color w:val="auto"/>
        </w:rPr>
        <w:t>Service Taxes</w:t>
      </w:r>
      <w:r>
        <w:rPr>
          <w:rFonts w:ascii="Arial" w:cs="Arial" w:eastAsia="Arial" w:hAnsi="Arial"/>
          <w:sz w:val="17"/>
          <w:szCs w:val="17"/>
          <w:color w:val="auto"/>
        </w:rPr>
        <w:t>”) which shall (if and to the extent applicable with respect to a Service) be payable by the Recipient of such Service to the extent that the Recipient bears primary liability for such Service Taxes under applicable Law. Except to the extent provided in the Tax Matters Agreement, each Party shall be liable for its own Taxes that are imposed on (or measured by) net income or net profits, however denominated, and any interest, penalties, additions to Tax or additional amounts in respect of the foregoing. If any Taxes are required to be deducted or withheld from any payments made by one Party (the “</w:t>
      </w:r>
      <w:r>
        <w:rPr>
          <w:rFonts w:ascii="Arial" w:cs="Arial" w:eastAsia="Arial" w:hAnsi="Arial"/>
          <w:sz w:val="17"/>
          <w:szCs w:val="17"/>
          <w:u w:val="single" w:color="auto"/>
          <w:color w:val="auto"/>
        </w:rPr>
        <w:t>Payor</w:t>
      </w:r>
      <w:r>
        <w:rPr>
          <w:rFonts w:ascii="Arial" w:cs="Arial" w:eastAsia="Arial" w:hAnsi="Arial"/>
          <w:sz w:val="17"/>
          <w:szCs w:val="17"/>
          <w:color w:val="auto"/>
        </w:rPr>
        <w:t>”) to another Party (the “</w:t>
      </w:r>
      <w:r>
        <w:rPr>
          <w:rFonts w:ascii="Arial" w:cs="Arial" w:eastAsia="Arial" w:hAnsi="Arial"/>
          <w:sz w:val="17"/>
          <w:szCs w:val="17"/>
          <w:u w:val="single" w:color="auto"/>
          <w:color w:val="auto"/>
        </w:rPr>
        <w:t>Payee</w:t>
      </w:r>
      <w:r>
        <w:rPr>
          <w:rFonts w:ascii="Arial" w:cs="Arial" w:eastAsia="Arial" w:hAnsi="Arial"/>
          <w:sz w:val="17"/>
          <w:szCs w:val="17"/>
          <w:color w:val="auto"/>
        </w:rPr>
        <w:t xml:space="preserve">”) hereunder, then such Payor shall (i) withhold or deduct the required amount and promptly pay such Taxes to the applicable Tax authority, and (ii) pay additional amounts to such Payee so that the net amount actually received by such Payee after such withholding or deduction of Tax is equal to the amount that such Payee would have received had no such withholding or deduction been required. If the Payor makes a payment pursuant to this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in respect of which a Payee obtains and is entitled to retain an actual cash refund of Tax or an actual reduction in a Tax liability (including by virtue of the Payee obtaining a deduction for Tax purposes in respect of the cost, liability or expense for which the Payee was subsequently reimbursed by the Payor) then the relevant Payee shall reimburse the Payor for an amount equal to the lower of the amount of: (i) such refund or such actual reduction, after deducting any Tax thereon and after deducting the reasonable costs and expenses incurred in obtaining such refund or reduction; and (ii) the relevant payment in respect of which such refund or actual reduction arises. Payor and Payee shall make commercially reasonable efforts to cooperate to the extent necessary to obtain any exemption relating to, or reduced rate of, deduction or withholding for or on account of Tax.</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TERM AND TERMINATION</w:t>
      </w:r>
    </w:p>
    <w:p>
      <w:pPr>
        <w:spacing w:after="0" w:line="211"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Term</w:t>
      </w:r>
      <w:r>
        <w:rPr>
          <w:rFonts w:ascii="Arial" w:cs="Arial" w:eastAsia="Arial" w:hAnsi="Arial"/>
          <w:sz w:val="16"/>
          <w:szCs w:val="16"/>
          <w:color w:val="auto"/>
        </w:rPr>
        <w:t>. This Agreement is effective as of the Effective Date and shall continue until the termination or expiration of all Services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in the event the Separation Agreement is terminated, this Agreement shall automatically become null and void and no Party,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nor any Party’s directors, officers or employees, shall have any Liability of any kind to any Person by reason of this Agreement. After the Distribution,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Agreement may not be terminated except as otherwise provided in this </w:t>
      </w:r>
      <w:r>
        <w:rPr>
          <w:rFonts w:ascii="Arial" w:cs="Arial" w:eastAsia="Arial" w:hAnsi="Arial"/>
          <w:sz w:val="18"/>
          <w:szCs w:val="18"/>
          <w:u w:val="single" w:color="auto"/>
          <w:color w:val="auto"/>
        </w:rPr>
        <w:t>Article III</w:t>
      </w:r>
      <w:r>
        <w:rPr>
          <w:rFonts w:ascii="Arial" w:cs="Arial" w:eastAsia="Arial" w:hAnsi="Arial"/>
          <w:sz w:val="18"/>
          <w:szCs w:val="18"/>
          <w:color w:val="auto"/>
        </w:rPr>
        <w:t>, or by an agreement in writing signed by the Parties.</w:t>
      </w:r>
    </w:p>
    <w:p>
      <w:pPr>
        <w:spacing w:after="0" w:line="211"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Service Terms; Extensions</w:t>
      </w:r>
      <w:r>
        <w:rPr>
          <w:rFonts w:ascii="Arial" w:cs="Arial" w:eastAsia="Arial" w:hAnsi="Arial"/>
          <w:sz w:val="16"/>
          <w:szCs w:val="16"/>
          <w:color w:val="auto"/>
        </w:rPr>
        <w:t xml:space="preserve">. The term for each Service is specified for that Service on </w:t>
      </w:r>
      <w:r>
        <w:rPr>
          <w:rFonts w:ascii="Arial" w:cs="Arial" w:eastAsia="Arial" w:hAnsi="Arial"/>
          <w:sz w:val="16"/>
          <w:szCs w:val="16"/>
          <w:u w:val="single" w:color="auto"/>
          <w:color w:val="auto"/>
        </w:rPr>
        <w:t>Annex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Annex II</w:t>
      </w:r>
      <w:r>
        <w:rPr>
          <w:rFonts w:ascii="Arial" w:cs="Arial" w:eastAsia="Arial" w:hAnsi="Arial"/>
          <w:sz w:val="16"/>
          <w:szCs w:val="16"/>
          <w:color w:val="auto"/>
        </w:rPr>
        <w:t xml:space="preserve"> (each a “</w:t>
      </w:r>
      <w:r>
        <w:rPr>
          <w:rFonts w:ascii="Arial" w:cs="Arial" w:eastAsia="Arial" w:hAnsi="Arial"/>
          <w:sz w:val="16"/>
          <w:szCs w:val="16"/>
          <w:u w:val="single" w:color="auto"/>
          <w:color w:val="auto"/>
        </w:rPr>
        <w:t>Service Term</w:t>
      </w:r>
      <w:r>
        <w:rPr>
          <w:rFonts w:ascii="Arial" w:cs="Arial" w:eastAsia="Arial" w:hAnsi="Arial"/>
          <w:sz w:val="16"/>
          <w:szCs w:val="16"/>
          <w:color w:val="auto"/>
        </w:rPr>
        <w:t xml:space="preserve">”). Except as otherwise provided in </w:t>
      </w:r>
      <w:r>
        <w:rPr>
          <w:rFonts w:ascii="Arial" w:cs="Arial" w:eastAsia="Arial" w:hAnsi="Arial"/>
          <w:sz w:val="16"/>
          <w:szCs w:val="16"/>
          <w:u w:val="single" w:color="auto"/>
          <w:color w:val="auto"/>
        </w:rPr>
        <w:t>Annex 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Annex II</w:t>
      </w:r>
      <w:r>
        <w:rPr>
          <w:rFonts w:ascii="Arial" w:cs="Arial" w:eastAsia="Arial" w:hAnsi="Arial"/>
          <w:sz w:val="16"/>
          <w:szCs w:val="16"/>
          <w:color w:val="auto"/>
        </w:rPr>
        <w:t xml:space="preserve"> with respect to any Service, upon notice from Recipient to Provider at least forty-five (45) days prior to the expiration of a Service Term, Recipient shall have the right to extend the Service Term for the applicable Service for up to six (6) additional months; provided that (i) in the event the Service to be extended is contingent upon the provision of another Service, both Services must be extended; (ii) Recipient shall be required to pay any additional fees or costs (including retention costs, if applicable) incurred by Provider in order to extend the Service Term for the applicable Service(s); (iii) during the extended Service Term, the Fees for the applicable Service shall be increased by twenty-five (25) percent; and (iv) the total aggregate Service Term (including any extension) for the applicable Service does not exceed twenty-four (24) months. For the avoidance of doubt, to the extent that any extension to a Service Term would result in the aggregate Service Term for the applicable Service exceeding twenty-four (24) months, such extension must be mutually agreed in writing between the Parties in accordance with </w:t>
      </w:r>
      <w:r>
        <w:rPr>
          <w:rFonts w:ascii="Arial" w:cs="Arial" w:eastAsia="Arial" w:hAnsi="Arial"/>
          <w:sz w:val="16"/>
          <w:szCs w:val="16"/>
          <w:u w:val="single" w:color="auto"/>
          <w:color w:val="auto"/>
        </w:rPr>
        <w:t>Section 10.2</w:t>
      </w:r>
      <w:r>
        <w:rPr>
          <w:rFonts w:ascii="Arial" w:cs="Arial" w:eastAsia="Arial" w:hAnsi="Arial"/>
          <w:sz w:val="16"/>
          <w:szCs w:val="16"/>
          <w:color w:val="auto"/>
        </w:rPr>
        <w:t>.</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7" w:name="page128"/>
    <w:bookmarkEnd w:id="127"/>
    <w:p>
      <w:pPr>
        <w:ind w:right="20" w:firstLine="648"/>
        <w:spacing w:after="0" w:line="25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Early Termination</w:t>
      </w:r>
      <w:r>
        <w:rPr>
          <w:rFonts w:ascii="Arial" w:cs="Arial" w:eastAsia="Arial" w:hAnsi="Arial"/>
          <w:sz w:val="18"/>
          <w:szCs w:val="18"/>
          <w:color w:val="auto"/>
        </w:rPr>
        <w:t xml:space="preserve">. Except as otherwise provided in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Annex II</w:t>
      </w:r>
      <w:r>
        <w:rPr>
          <w:rFonts w:ascii="Arial" w:cs="Arial" w:eastAsia="Arial" w:hAnsi="Arial"/>
          <w:sz w:val="18"/>
          <w:szCs w:val="18"/>
          <w:color w:val="auto"/>
        </w:rPr>
        <w:t>, Recipient may terminate this Agreement in respect of any or all of the Services, effective on the first day of any calendar month, by providing a minimum of thirty (30) days prior written notice Provider (an “</w:t>
      </w:r>
      <w:r>
        <w:rPr>
          <w:rFonts w:ascii="Arial" w:cs="Arial" w:eastAsia="Arial" w:hAnsi="Arial"/>
          <w:sz w:val="18"/>
          <w:szCs w:val="18"/>
          <w:u w:val="single" w:color="auto"/>
          <w:color w:val="auto"/>
        </w:rPr>
        <w:t>Early</w:t>
      </w:r>
      <w:r>
        <w:rPr>
          <w:rFonts w:ascii="Arial" w:cs="Arial" w:eastAsia="Arial" w:hAnsi="Arial"/>
          <w:sz w:val="18"/>
          <w:szCs w:val="18"/>
          <w:color w:val="auto"/>
        </w:rPr>
        <w:t xml:space="preserve"> </w:t>
      </w:r>
      <w:r>
        <w:rPr>
          <w:rFonts w:ascii="Arial" w:cs="Arial" w:eastAsia="Arial" w:hAnsi="Arial"/>
          <w:sz w:val="18"/>
          <w:szCs w:val="18"/>
          <w:u w:val="single" w:color="auto"/>
          <w:color w:val="auto"/>
        </w:rPr>
        <w:t>Termination Notice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Recipient may not terminate a particular Service if such Service is interdependent with other Services, unless all such interdependent Services are simultaneously terminated. Recipient shall reimburse Provider for Stranded Costs, if any, resulting from any such early termination as set forth in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Annex II</w:t>
      </w:r>
      <w:r>
        <w:rPr>
          <w:rFonts w:ascii="Arial" w:cs="Arial" w:eastAsia="Arial" w:hAnsi="Arial"/>
          <w:sz w:val="18"/>
          <w:szCs w:val="18"/>
          <w:color w:val="auto"/>
        </w:rPr>
        <w:t>, as applicable.</w:t>
      </w:r>
    </w:p>
    <w:p>
      <w:pPr>
        <w:spacing w:after="0" w:line="188"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u w:val="single" w:color="auto"/>
          <w:color w:val="auto"/>
        </w:rPr>
        <w:t>Termination for Default</w:t>
      </w:r>
      <w:r>
        <w:rPr>
          <w:rFonts w:ascii="Arial" w:cs="Arial" w:eastAsia="Arial" w:hAnsi="Arial"/>
          <w:sz w:val="16"/>
          <w:szCs w:val="16"/>
          <w:color w:val="auto"/>
        </w:rPr>
        <w:t>.</w:t>
      </w:r>
    </w:p>
    <w:p>
      <w:pPr>
        <w:spacing w:after="0" w:line="225" w:lineRule="exact"/>
        <w:rPr>
          <w:sz w:val="20"/>
          <w:szCs w:val="20"/>
          <w:color w:val="auto"/>
        </w:rPr>
      </w:pPr>
    </w:p>
    <w:p>
      <w:pPr>
        <w:ind w:right="20" w:firstLine="1304"/>
        <w:spacing w:after="0" w:line="263" w:lineRule="auto"/>
        <w:tabs>
          <w:tab w:leader="none" w:pos="2144"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Termination for Non-Payment</w:t>
      </w:r>
      <w:r>
        <w:rPr>
          <w:rFonts w:ascii="Arial" w:cs="Arial" w:eastAsia="Arial" w:hAnsi="Arial"/>
          <w:sz w:val="18"/>
          <w:szCs w:val="18"/>
          <w:color w:val="auto"/>
        </w:rPr>
        <w:t xml:space="preserve">. A Provider may terminate this Agreement, with respect to all or any applicable Services it provides hereunder, if the Recipient fails to pay undisputed amounts due in accordance with </w:t>
      </w:r>
      <w:r>
        <w:rPr>
          <w:rFonts w:ascii="Arial" w:cs="Arial" w:eastAsia="Arial" w:hAnsi="Arial"/>
          <w:sz w:val="18"/>
          <w:szCs w:val="18"/>
          <w:u w:val="single" w:color="auto"/>
          <w:color w:val="auto"/>
        </w:rPr>
        <w:t>Article II</w:t>
      </w:r>
      <w:r>
        <w:rPr>
          <w:rFonts w:ascii="Arial" w:cs="Arial" w:eastAsia="Arial" w:hAnsi="Arial"/>
          <w:sz w:val="18"/>
          <w:szCs w:val="18"/>
          <w:color w:val="auto"/>
        </w:rPr>
        <w:t>, and the Recipient fails to cure such payment default within thirty (30) days of receipt of notice of the payment default from the Provider.</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2154"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Termination for Material Breach</w:t>
      </w:r>
      <w:r>
        <w:rPr>
          <w:rFonts w:ascii="Arial" w:cs="Arial" w:eastAsia="Arial" w:hAnsi="Arial"/>
          <w:sz w:val="18"/>
          <w:szCs w:val="18"/>
          <w:color w:val="auto"/>
        </w:rPr>
        <w:t>. A Recipient may terminate this Agreement, with respect to all or any applicable Services it receives hereunder, if the Provider is in material breach of this Agreement with respect to its provision of Services hereunder, and the Provider fails to cure such material breach within thirty (30) days of receipt of notice of such material breach from the Recipient.</w:t>
      </w:r>
    </w:p>
    <w:p>
      <w:pPr>
        <w:spacing w:after="0" w:line="184"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u w:val="single" w:color="auto"/>
          <w:color w:val="auto"/>
        </w:rPr>
        <w:t>Effect of Termination</w:t>
      </w:r>
      <w:r>
        <w:rPr>
          <w:rFonts w:ascii="Arial" w:cs="Arial" w:eastAsia="Arial" w:hAnsi="Arial"/>
          <w:sz w:val="16"/>
          <w:szCs w:val="16"/>
          <w:color w:val="auto"/>
        </w:rPr>
        <w:t>.</w:t>
      </w:r>
    </w:p>
    <w:p>
      <w:pPr>
        <w:spacing w:after="0" w:line="225" w:lineRule="exact"/>
        <w:rPr>
          <w:sz w:val="20"/>
          <w:szCs w:val="20"/>
          <w:color w:val="auto"/>
        </w:rPr>
      </w:pPr>
    </w:p>
    <w:p>
      <w:pPr>
        <w:ind w:right="80" w:firstLine="1304"/>
        <w:spacing w:after="0" w:line="272" w:lineRule="auto"/>
        <w:tabs>
          <w:tab w:leader="none" w:pos="2144" w:val="left"/>
        </w:tabs>
        <w:numPr>
          <w:ilvl w:val="0"/>
          <w:numId w:val="76"/>
        </w:numPr>
        <w:rPr>
          <w:rFonts w:ascii="Arial" w:cs="Arial" w:eastAsia="Arial" w:hAnsi="Arial"/>
          <w:sz w:val="17"/>
          <w:szCs w:val="17"/>
          <w:color w:val="auto"/>
        </w:rPr>
      </w:pPr>
      <w:r>
        <w:rPr>
          <w:rFonts w:ascii="Arial" w:cs="Arial" w:eastAsia="Arial" w:hAnsi="Arial"/>
          <w:sz w:val="17"/>
          <w:szCs w:val="17"/>
          <w:color w:val="auto"/>
        </w:rPr>
        <w:t xml:space="preserve">Upon the expiration or termination of this Agreement or the termination of the provision of any Services hereunder, the Parties shall pay all costs and other sums owed to the other for the terminated Services provided or reimbursement of excess payments through the date of such expiration or termination on the payment terms set forth in </w:t>
      </w:r>
      <w:r>
        <w:rPr>
          <w:rFonts w:ascii="Arial" w:cs="Arial" w:eastAsia="Arial" w:hAnsi="Arial"/>
          <w:sz w:val="17"/>
          <w:szCs w:val="17"/>
          <w:u w:val="single" w:color="auto"/>
          <w:color w:val="auto"/>
        </w:rPr>
        <w:t>Article II</w:t>
      </w:r>
      <w:r>
        <w:rPr>
          <w:rFonts w:ascii="Arial" w:cs="Arial" w:eastAsia="Arial" w:hAnsi="Arial"/>
          <w:sz w:val="17"/>
          <w:szCs w:val="17"/>
          <w:color w:val="auto"/>
        </w:rPr>
        <w:t>. Unless Recipient is in default of its payment obligations hereunder, Provider will, at Recipient’s reasonable expense, provide such cooperation as may reasonably be requested by Recipient, in order to transition the terminated Services to Recipient or a third party service provider (the “</w:t>
      </w:r>
      <w:r>
        <w:rPr>
          <w:rFonts w:ascii="Arial" w:cs="Arial" w:eastAsia="Arial" w:hAnsi="Arial"/>
          <w:sz w:val="17"/>
          <w:szCs w:val="17"/>
          <w:u w:val="single" w:color="auto"/>
          <w:color w:val="auto"/>
        </w:rPr>
        <w:t>Termination Services</w:t>
      </w:r>
      <w:r>
        <w:rPr>
          <w:rFonts w:ascii="Arial" w:cs="Arial" w:eastAsia="Arial" w:hAnsi="Arial"/>
          <w:sz w:val="17"/>
          <w:szCs w:val="17"/>
          <w:color w:val="auto"/>
        </w:rPr>
        <w:t xml:space="preserve">”). Notwithstanding anything to the contrary, the Recipient will pay Provider its Fully Burdened Cost for providing the Termination Services (including, without duplication, reimbursement of all Expenses), which will be invoiced and payable in the same manner as set forth for Expenses in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above.</w:t>
      </w:r>
    </w:p>
    <w:p>
      <w:pPr>
        <w:spacing w:after="0" w:line="177" w:lineRule="exact"/>
        <w:rPr>
          <w:rFonts w:ascii="Arial" w:cs="Arial" w:eastAsia="Arial" w:hAnsi="Arial"/>
          <w:sz w:val="17"/>
          <w:szCs w:val="17"/>
          <w:color w:val="auto"/>
        </w:rPr>
      </w:pPr>
    </w:p>
    <w:p>
      <w:pPr>
        <w:ind w:right="60" w:firstLine="1304"/>
        <w:spacing w:after="0" w:line="286" w:lineRule="auto"/>
        <w:tabs>
          <w:tab w:leader="none" w:pos="2154" w:val="left"/>
        </w:tabs>
        <w:numPr>
          <w:ilvl w:val="0"/>
          <w:numId w:val="76"/>
        </w:numPr>
        <w:rPr>
          <w:rFonts w:ascii="Arial" w:cs="Arial" w:eastAsia="Arial" w:hAnsi="Arial"/>
          <w:sz w:val="17"/>
          <w:szCs w:val="17"/>
          <w:color w:val="auto"/>
        </w:rPr>
      </w:pPr>
      <w:r>
        <w:rPr>
          <w:rFonts w:ascii="Arial" w:cs="Arial" w:eastAsia="Arial" w:hAnsi="Arial"/>
          <w:sz w:val="17"/>
          <w:szCs w:val="17"/>
          <w:color w:val="auto"/>
        </w:rPr>
        <w:t xml:space="preserve">The provisions of </w:t>
      </w:r>
      <w:r>
        <w:rPr>
          <w:rFonts w:ascii="Arial" w:cs="Arial" w:eastAsia="Arial" w:hAnsi="Arial"/>
          <w:sz w:val="17"/>
          <w:szCs w:val="17"/>
          <w:u w:val="single" w:color="auto"/>
          <w:color w:val="auto"/>
        </w:rPr>
        <w:t>Article I Section 1.1(f)</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3.5</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shall survive the expiration or the termination of this Agreement. The remaining provisions shall survive to the extent such provisions are applicable to any amounts due for Services provided prior to termination or expiration, or are applicable to any Termination Services (including payment therefor).</w:t>
      </w: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28" w:name="page129"/>
    <w:bookmarkEnd w:id="128"/>
    <w:p>
      <w:pPr>
        <w:jc w:val="center"/>
        <w:ind w:right="-19"/>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COOPERATION AND ACCESS</w:t>
      </w:r>
    </w:p>
    <w:p>
      <w:pPr>
        <w:spacing w:after="0" w:line="211"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Cooperation by Recipient</w:t>
      </w:r>
      <w:r>
        <w:rPr>
          <w:rFonts w:ascii="Arial" w:cs="Arial" w:eastAsia="Arial" w:hAnsi="Arial"/>
          <w:sz w:val="18"/>
          <w:szCs w:val="18"/>
          <w:color w:val="auto"/>
        </w:rPr>
        <w:t>. Subject to the terms and conditions set forth in this Agreement, Recipient shall use commercially reasonable efforts to make available, as reasonably requested by Provider, sufficient resources and timely decisions, approvals and acceptances in order that Provider may accomplish its obligations under this Agreement in a timely and efficient manner.</w:t>
      </w:r>
    </w:p>
    <w:p>
      <w:pPr>
        <w:spacing w:after="0" w:line="18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Access to Premises and Systems</w:t>
      </w:r>
      <w:r>
        <w:rPr>
          <w:rFonts w:ascii="Arial" w:cs="Arial" w:eastAsia="Arial" w:hAnsi="Arial"/>
          <w:sz w:val="16"/>
          <w:szCs w:val="16"/>
          <w:color w:val="auto"/>
        </w:rPr>
        <w:t xml:space="preserve">. Each Party agrees that it shall, without charge, provide such reasonable access to its premises, personnel and/or computer systems or information stores, and such reasonable assistance, as may be required to the other Party for the other Party to perform their obligations or receive the Services under this Agreement. Unless otherwise agreed to in writing by the Parties, each Party will: (i) use the premises, computer systems and information stores of the other Party solely for the purpose of providing or receiving the Services; (ii) limit such access to those of its representatives with a bona fide need to have such access in connection with the Services and who, if required by the provisions of this Agreement, have been duly approved to have such access, and (iii) comply, and cause its employees, subcontractors and third-party providers to comply, with all policies and procedures governing access to and use of such premises, computer systems and/or information stores made known to such Party in advance. All user identification numbers and passwords disclosed by a Party to the other Party and any information obtained by either Party as a result of such Party’s access to and use of the other Party’s computer systems shall be deemed to be, and treated as, Confidential Information of the disclosing Party hereunder in accordance with the provisions set forth in </w:t>
      </w:r>
      <w:r>
        <w:rPr>
          <w:rFonts w:ascii="Arial" w:cs="Arial" w:eastAsia="Arial" w:hAnsi="Arial"/>
          <w:sz w:val="16"/>
          <w:szCs w:val="16"/>
          <w:u w:val="single" w:color="auto"/>
          <w:color w:val="auto"/>
        </w:rPr>
        <w:t>Article VIII</w:t>
      </w:r>
      <w:r>
        <w:rPr>
          <w:rFonts w:ascii="Arial" w:cs="Arial" w:eastAsia="Arial" w:hAnsi="Arial"/>
          <w:sz w:val="16"/>
          <w:szCs w:val="16"/>
          <w:color w:val="auto"/>
        </w:rPr>
        <w:t>, with the same degree of care as such receiving Party uses for its own information of a similar nature, but in no event a lower standard than a reasonable standard of care. The Parties shall cooperate in the investigation of any apparent unauthorized access to any premises, computer system and/or information stores of any Party. These provisions concerning access to premises, personnel and/or computer systems or information stores shall apply equally to any access and use by a Party of the other Party’s electronic mail system, electronic switched network, either directly or via a direct inward service access or calling card feature, data network or any other property, equipment or service of the other Party, and any software that may be accessible by either Party in connection with this Agreement.</w:t>
      </w:r>
    </w:p>
    <w:p>
      <w:pPr>
        <w:spacing w:after="0" w:line="16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Compliance with Third Party Vendor Agreements</w:t>
      </w:r>
      <w:r>
        <w:rPr>
          <w:rFonts w:ascii="Arial" w:cs="Arial" w:eastAsia="Arial" w:hAnsi="Arial"/>
          <w:sz w:val="18"/>
          <w:szCs w:val="18"/>
          <w:color w:val="auto"/>
        </w:rPr>
        <w:t>. Recipient shall comply with the terms of all third-party vendor agreements, copies of which Recipient has been provided, which are used by Provider in providing the Services.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INTELLECTUAL PROPERTY</w:t>
      </w:r>
    </w:p>
    <w:p>
      <w:pPr>
        <w:spacing w:after="0" w:line="21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Ownership of Intellectual Property</w:t>
      </w:r>
      <w:r>
        <w:rPr>
          <w:rFonts w:ascii="Arial" w:cs="Arial" w:eastAsia="Arial" w:hAnsi="Arial"/>
          <w:sz w:val="16"/>
          <w:szCs w:val="16"/>
          <w:color w:val="auto"/>
        </w:rPr>
        <w:t>. Except as otherwise expressly set forth herein, as between the Parties, each Party shall remain the exclusive owner of all right, title and interest throughout the world in and to its Intellectual Property, whether provided to one another in the performance or receipt of the Services, or in any other context given the relationships of the Parties under this Agreement. Without limiting the foregoing and for the avoidance of doubt, ownership of any Intellectual Property that is developed or generated after the Effective Date in connection with any Service will vest, as between the Parties, in the Provider of such Service, except for any Intellectual Property generated by Recipient’s use of a Service in the ordinary course of operating the relevant business (e.g., copyrights in reports, documents or data generated through Recipient’s use of a Service).</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9" w:name="page130"/>
    <w:bookmarkEnd w:id="129"/>
    <w:p>
      <w:pPr>
        <w:ind w:right="140" w:firstLine="648"/>
        <w:spacing w:after="0" w:line="301"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No Implied License</w:t>
      </w:r>
      <w:r>
        <w:rPr>
          <w:rFonts w:ascii="Arial" w:cs="Arial" w:eastAsia="Arial" w:hAnsi="Arial"/>
          <w:sz w:val="16"/>
          <w:szCs w:val="16"/>
          <w:color w:val="auto"/>
        </w:rPr>
        <w:t>. Each Party acknowledges that no license or conveyance of any rights to any Intellectual Property is granted to the receiving Party by the disclosure of Confidential Information pursuant to this Agreement. Except as otherwise provided in the Separation Agreement or this Agreement, Recipient further acknowledges that it will acquire no right, title or interest (including any license rights or rights of use) in any firmware or software, and the licenses therefor which are owned by Provider by reason of Provider’s provision of the Services provided hereunder.</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 WARRANTIES; LIMITATION OF LIABILITY</w:t>
      </w:r>
    </w:p>
    <w:p>
      <w:pPr>
        <w:spacing w:after="0" w:line="21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No Warranties</w:t>
      </w:r>
      <w:r>
        <w:rPr>
          <w:rFonts w:ascii="Arial" w:cs="Arial" w:eastAsia="Arial" w:hAnsi="Arial"/>
          <w:sz w:val="17"/>
          <w:szCs w:val="17"/>
          <w:color w:val="auto"/>
        </w:rPr>
        <w:t>. EXCEPT AS EXPRESSLY SET FORTH IN THIS AGREEMENT, BUT WITHOUT LIMITING ANY REPRESENTATIONS OR WARRANTIES IN THE SEPARATION AGREEMENT, (A) ALL SERVICES ARE PROVIDED “AS IS,” AND (B) PROVIDER PROVIDES NO WARRANTY IN CONNECTION WITH THE SUBJECT MATTER OF THIS AGREEMENT AND HEREBY DISCLAIMS ANY AND ALL IMPLIED OR STATUTORY WARRANTIES, INCLUDING ALL IMPLIED WARRANTIES OF TITLE, MERCHANTABILITY, NON-INFRINGEMENT AND FITNESS FOR A PARTICULAR PURPOSE REGARDING SUCH SUBJECT MATTER. To the extent that Provider may not as a matter of applicable law disclaim any implied warranty, the scope and duration of such warranty will be the minimum permitted under such law.</w:t>
      </w:r>
    </w:p>
    <w:p>
      <w:pPr>
        <w:spacing w:after="0" w:line="178"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 WITH THE EXCEPTION OF CLAIMS ARISING FROM A PROVIDER’S GROSS NEGLIGENCE OR WILLFUL MISCONDUCT, THE PROVIDER SHALL NOT BE LIABLE TO THE RECIPIENT FOR ANY CLAIM OR CAUSE OF ACTION ARISING OUT OF ITS ACTS OR OMISSIONS AS A PROVIDER HEREUNDER. NOTWITHSTANDING ANYTHING TO THE CONTRARY CONTAINED IN THIS AGREEMENT, TO THE FULLEST EXTENT PERMITTED UNDER APPLICABLE LAW, NEITHER PARTY, NOR ITS AFFILIATES, CONTRACTORS, SUPPLIERS OR AGENTS, SHALL HAVE ANY LIABILITY HEREUNDER FOR, AND DAMAGES SHALL NOT INCLUDE, ANY PUNITIVE, INCIDENTAL, CONSEQUENTIAL, SPECIAL OR INDIRECT DAMAGES, OR DAMAGES CALCULATED BASED UPON LOST PROFITS, LOSS IN VALUE OR MULTIPLE OF EARNINGS. ANY CLAIM OR CAUSE OF ACTION REQUESTING OR CLAIMING SUCH DAMAGES IS SPECIFICALLY WAIVED AND BARRED, WHETHER OR NOT SUCH DAMAGES WERE FORESEEABLE OR A PARTY WAS NOTIFIED IN ADVANCE OF THE POSSIBILITY OF SUCH DAMAGES.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0" w:name="page131"/>
    <w:bookmarkEnd w:id="130"/>
    <w:p>
      <w:pPr>
        <w:jc w:val="center"/>
        <w:ind w:right="-19"/>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FORCE MAJEURE</w:t>
      </w:r>
    </w:p>
    <w:p>
      <w:pPr>
        <w:spacing w:after="0" w:line="21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Force Majeure</w:t>
      </w:r>
      <w:r>
        <w:rPr>
          <w:rFonts w:ascii="Arial" w:cs="Arial" w:eastAsia="Arial" w:hAnsi="Arial"/>
          <w:sz w:val="17"/>
          <w:szCs w:val="17"/>
          <w:color w:val="auto"/>
        </w:rPr>
        <w:t>. In case a Party shall be hindered, delayed or prevented from performing its obligations under this Agreement (other than its payment obligation), or if such performance is rendered impossible by reason of fire, explosion, earthquake, storm, flood, drought, embargo, pandemic, wars or other hostilities, strike, lockout or other labor disturbance, mechanical breakdown, governmental action, or any other cause that is beyond the reasonable control of a Party (a “</w:t>
      </w:r>
      <w:r>
        <w:rPr>
          <w:rFonts w:ascii="Arial" w:cs="Arial" w:eastAsia="Arial" w:hAnsi="Arial"/>
          <w:sz w:val="17"/>
          <w:szCs w:val="17"/>
          <w:u w:val="single" w:color="auto"/>
          <w:color w:val="auto"/>
        </w:rPr>
        <w:t>Force Majeure Event</w:t>
      </w:r>
      <w:r>
        <w:rPr>
          <w:rFonts w:ascii="Arial" w:cs="Arial" w:eastAsia="Arial" w:hAnsi="Arial"/>
          <w:sz w:val="17"/>
          <w:szCs w:val="17"/>
          <w:color w:val="auto"/>
        </w:rPr>
        <w:t>”), then the Party so hindered, delayed or prevented shall not be liable to the other Party for the resulting delay or failure to carry out its obligations hereunder. In any such event, such Party’s affected obligations hereunder shall be postponed for such time as its performance is suspended or delayed on account thereof. The affected Party will promptly notify the other Party, either orally or in writing, upon learning of the occurrence of such Force Majeure Event. If the Force Majeure Event affects the provision of Services by Provider hereunder, Provider shall use commercially reasonable efforts to remove such Force Majeure Event as soon as and to the extent reasonably possible and, in any event, will treat the Recipient the same as any other internal or external service recipient of the affected Services, if any. Upon the cessation of the Force Majeure Event, the affected Party will use commercially reasonable efforts to resume its performance with the least possible delay. Notwithstanding the foregoing, and notwithstanding anything to the contrary in this Agreement, Recipient shall not be required to pay for the affected Services during the pendency of a Force Majeure Event. If any Services are interrupted or suspended for more than ten (10) consecutive days, Recipient may immediately terminate the affected Services upon written notice to Provider.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CONFIDENTIALITY</w:t>
      </w:r>
    </w:p>
    <w:p>
      <w:pPr>
        <w:spacing w:after="0" w:line="211"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Confidentiality</w:t>
      </w:r>
      <w:r>
        <w:rPr>
          <w:rFonts w:ascii="Arial" w:cs="Arial" w:eastAsia="Arial" w:hAnsi="Arial"/>
          <w:sz w:val="17"/>
          <w:szCs w:val="17"/>
          <w:color w:val="auto"/>
        </w:rPr>
        <w:t xml:space="preserve">. Each of the Parties agrees that any Confidential Information of the other Party received in the course of performance under this Agreement shall be kept strictly confidential by the Parties, except that Provider may disclose Recipient’s Confidential Information for the sole purpose of providing Services pursuant to this Agreement to any Affiliate of Provider or to third parties that provide such Services in accordance with the terms set forth in </w:t>
      </w:r>
      <w:r>
        <w:rPr>
          <w:rFonts w:ascii="Arial" w:cs="Arial" w:eastAsia="Arial" w:hAnsi="Arial"/>
          <w:sz w:val="17"/>
          <w:szCs w:val="17"/>
          <w:u w:val="single" w:color="auto"/>
          <w:color w:val="auto"/>
        </w:rPr>
        <w:t>Section 10.16</w:t>
      </w:r>
      <w:r>
        <w:rPr>
          <w:rFonts w:ascii="Arial" w:cs="Arial" w:eastAsia="Arial" w:hAnsi="Arial"/>
          <w:sz w:val="17"/>
          <w:szCs w:val="17"/>
          <w:color w:val="auto"/>
        </w:rPr>
        <w:t xml:space="preserve">; provided, that Provider shall ensure that any such Affiliate or third party is bound in writing by obligations of confidentiality at least as strict as those contained herein. Provider shall be responsible for any such Affiliate or third party keeping confidential such Confidential Information of Recipient. The Party receiving Confidential Information further agrees (i) not to use the disclosing Party’s Confidential Information except as necessary to perform its obligations under this Agreement, and (ii) to take the same care with the disclosing Party’s Confidential Information as it does with its own, but in no event less than a reasonable degree of care. Upon the termination of this Agreement, each Party shall return to the other Party or destroy all of such other Party’s Confidential Information. Each of the Parties shall treat the terms of this Agreement as if they were the Confidential Information of the other Party and shall not disclose the terms of this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without the other Party’s prior written consent, except as required by applicable Law, by the rules of any national stock exchange with respect to a Party’s publicly-traded securities or as otherwise permitted under this Agreement.</w:t>
      </w:r>
    </w:p>
    <w:p>
      <w:pPr>
        <w:spacing w:after="0" w:line="179"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Government Order</w:t>
      </w:r>
      <w:r>
        <w:rPr>
          <w:rFonts w:ascii="Arial" w:cs="Arial" w:eastAsia="Arial" w:hAnsi="Arial"/>
          <w:sz w:val="17"/>
          <w:szCs w:val="17"/>
          <w:color w:val="auto"/>
        </w:rPr>
        <w:t>. If the receiving Party is requested to disclose any of the disclosing Party’s Confidential Information pursuant to any judicial or governmental order, the receiving Party will promptly notify the disclosing Party of such order so that the disclosing Party, in its sole discretion, may seek an appropriate protective order and/or take any other action to prevent or minimize the breadth of such disclosure.</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DISPUTE RESOLUTION</w:t>
      </w:r>
    </w:p>
    <w:p>
      <w:pPr>
        <w:spacing w:after="0" w:line="9" w:lineRule="exact"/>
        <w:rPr>
          <w:sz w:val="20"/>
          <w:szCs w:val="20"/>
          <w:color w:val="auto"/>
        </w:rPr>
      </w:pPr>
    </w:p>
    <w:p>
      <w:pPr>
        <w:ind w:right="60" w:firstLine="648"/>
        <w:spacing w:after="0" w:line="323"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Dispute Resolution.</w:t>
      </w:r>
      <w:r>
        <w:rPr>
          <w:rFonts w:ascii="Arial" w:cs="Arial" w:eastAsia="Arial" w:hAnsi="Arial"/>
          <w:sz w:val="16"/>
          <w:szCs w:val="16"/>
          <w:color w:val="auto"/>
        </w:rPr>
        <w:t xml:space="preserve"> Any and all disputes, controversies and claims arising hereunder, including with respect to the validity, interpretation, performance, breach or termination of this Agreement shall be resolved through the procedures provided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of the Separation Agreement.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 PROVISIONS</w:t>
      </w:r>
    </w:p>
    <w:p>
      <w:pPr>
        <w:spacing w:after="0" w:line="211"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u w:val="single" w:color="auto"/>
          <w:color w:val="auto"/>
        </w:rPr>
        <w:t>Corporate Power</w:t>
      </w:r>
      <w:r>
        <w:rPr>
          <w:rFonts w:ascii="Arial" w:cs="Arial" w:eastAsia="Arial" w:hAnsi="Arial"/>
          <w:sz w:val="16"/>
          <w:szCs w:val="16"/>
          <w:color w:val="auto"/>
        </w:rPr>
        <w:t>.</w:t>
      </w:r>
    </w:p>
    <w:p>
      <w:pPr>
        <w:spacing w:after="0" w:line="225" w:lineRule="exact"/>
        <w:rPr>
          <w:sz w:val="20"/>
          <w:szCs w:val="20"/>
          <w:color w:val="auto"/>
        </w:rPr>
      </w:pPr>
    </w:p>
    <w:p>
      <w:pPr>
        <w:ind w:right="80" w:firstLine="1304"/>
        <w:spacing w:after="0" w:line="277" w:lineRule="auto"/>
        <w:tabs>
          <w:tab w:leader="none" w:pos="2144" w:val="left"/>
        </w:tabs>
        <w:numPr>
          <w:ilvl w:val="0"/>
          <w:numId w:val="77"/>
        </w:numPr>
        <w:rPr>
          <w:rFonts w:ascii="Arial" w:cs="Arial" w:eastAsia="Arial" w:hAnsi="Arial"/>
          <w:sz w:val="18"/>
          <w:szCs w:val="18"/>
          <w:color w:val="auto"/>
        </w:rPr>
      </w:pPr>
      <w:r>
        <w:rPr>
          <w:rFonts w:ascii="Arial" w:cs="Arial" w:eastAsia="Arial" w:hAnsi="Arial"/>
          <w:sz w:val="18"/>
          <w:szCs w:val="18"/>
          <w:color w:val="auto"/>
        </w:rPr>
        <w:t>TFMC represents on behalf of itself and each other member of the TFMC Companies, and TEN represents on behalf of itself and each other member of the TEN Companies, as follows:</w:t>
      </w:r>
    </w:p>
    <w:p>
      <w:pPr>
        <w:spacing w:after="0" w:line="170" w:lineRule="exact"/>
        <w:rPr>
          <w:rFonts w:ascii="Arial" w:cs="Arial" w:eastAsia="Arial" w:hAnsi="Arial"/>
          <w:sz w:val="18"/>
          <w:szCs w:val="18"/>
          <w:color w:val="auto"/>
        </w:rPr>
      </w:pPr>
    </w:p>
    <w:p>
      <w:pPr>
        <w:jc w:val="both"/>
        <w:ind w:left="660" w:right="180" w:firstLine="1454"/>
        <w:spacing w:after="0" w:line="263" w:lineRule="auto"/>
        <w:tabs>
          <w:tab w:leader="none" w:pos="2333" w:val="left"/>
        </w:tabs>
        <w:numPr>
          <w:ilvl w:val="1"/>
          <w:numId w:val="77"/>
        </w:numPr>
        <w:rPr>
          <w:rFonts w:ascii="Arial" w:cs="Arial" w:eastAsia="Arial" w:hAnsi="Arial"/>
          <w:sz w:val="18"/>
          <w:szCs w:val="18"/>
          <w:color w:val="auto"/>
        </w:rPr>
      </w:pPr>
      <w:r>
        <w:rPr>
          <w:rFonts w:ascii="Arial" w:cs="Arial" w:eastAsia="Arial" w:hAnsi="Arial"/>
          <w:sz w:val="18"/>
          <w:szCs w:val="18"/>
          <w:color w:val="auto"/>
        </w:rPr>
        <w:t>each such Person has the requisite public limited company, public limited liability company or other power and authority and has taken all public limited company, public limited liability company or other action necessary in order to execute, deliver and perform this Agreement and to consummate the transactions contemplated hereby; and</w:t>
      </w:r>
    </w:p>
    <w:p>
      <w:pPr>
        <w:spacing w:after="0" w:line="183" w:lineRule="exact"/>
        <w:rPr>
          <w:rFonts w:ascii="Arial" w:cs="Arial" w:eastAsia="Arial" w:hAnsi="Arial"/>
          <w:sz w:val="18"/>
          <w:szCs w:val="18"/>
          <w:color w:val="auto"/>
        </w:rPr>
      </w:pPr>
    </w:p>
    <w:p>
      <w:pPr>
        <w:ind w:left="660" w:right="80" w:firstLine="1454"/>
        <w:spacing w:after="0" w:line="277" w:lineRule="auto"/>
        <w:tabs>
          <w:tab w:leader="none" w:pos="2383"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this Agreement has been duly executed and delivered by it and constitutes a valid and binding agreement of it enforceable in accordance with the terms hereof.</w:t>
      </w:r>
    </w:p>
    <w:p>
      <w:pPr>
        <w:spacing w:after="0" w:line="170" w:lineRule="exact"/>
        <w:rPr>
          <w:rFonts w:ascii="Arial" w:cs="Arial" w:eastAsia="Arial" w:hAnsi="Arial"/>
          <w:sz w:val="18"/>
          <w:szCs w:val="18"/>
          <w:color w:val="auto"/>
        </w:rPr>
      </w:pPr>
    </w:p>
    <w:p>
      <w:pPr>
        <w:ind w:firstLine="1304"/>
        <w:spacing w:after="0" w:line="257" w:lineRule="auto"/>
        <w:tabs>
          <w:tab w:leader="none" w:pos="2045" w:val="left"/>
        </w:tabs>
        <w:numPr>
          <w:ilvl w:val="0"/>
          <w:numId w:val="77"/>
        </w:numPr>
        <w:rPr>
          <w:rFonts w:ascii="Arial" w:cs="Arial" w:eastAsia="Arial" w:hAnsi="Arial"/>
          <w:sz w:val="18"/>
          <w:szCs w:val="18"/>
          <w:color w:val="auto"/>
        </w:rPr>
      </w:pPr>
      <w:r>
        <w:rPr>
          <w:rFonts w:ascii="Arial" w:cs="Arial" w:eastAsia="Arial" w:hAnsi="Arial"/>
          <w:sz w:val="18"/>
          <w:szCs w:val="18"/>
          <w:color w:val="auto"/>
        </w:rPr>
        <w:t>Each Party acknowledges that it and each other Party may execute this Agreement by facsimile, stamp or mechanical signature. Each Party expressly adopts and confirms each such facsimile, stamp or mechanical signature made in its respective name as if it were a manual signature, agrees that it shall not assert that any such signature is not adequate to bind such Party to the same extent as if it were signed manually and agrees that at the reasonable request of any other Party at any time it shall as promptly as reasonably practicable cause this Agreement to be manually executed (any such execution to be as of the date of the initial date thereof).</w:t>
      </w:r>
    </w:p>
    <w:p>
      <w:pPr>
        <w:spacing w:after="0" w:line="18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Modification or Amendments</w:t>
      </w:r>
      <w:r>
        <w:rPr>
          <w:rFonts w:ascii="Arial" w:cs="Arial" w:eastAsia="Arial" w:hAnsi="Arial"/>
          <w:sz w:val="18"/>
          <w:szCs w:val="18"/>
          <w:color w:val="auto"/>
        </w:rPr>
        <w:t>. Subject to the provisions of applicable Law, and except as otherwise provided in this Agreement, this Agreement may be amended, modified or supplemented only by written instrument signed by the authorized representative of the Party against whom it sought to enforce such waiver, amendment, supplement or modification is sought to be enforced; provided, at any time prior to the Effective Date, the terms and conditions of this Agreement, including terms relating to the Transactions, may be amended, modified or abandoned by and in the sole and absolute discretion of the TFMC Board without the approval of any Person, including TFMC or TEN.</w:t>
      </w:r>
    </w:p>
    <w:p>
      <w:pPr>
        <w:spacing w:after="0" w:line="188"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Waivers of Default.</w:t>
      </w:r>
      <w:r>
        <w:rPr>
          <w:rFonts w:ascii="Arial" w:cs="Arial" w:eastAsia="Arial" w:hAnsi="Arial"/>
          <w:sz w:val="18"/>
          <w:szCs w:val="18"/>
          <w:color w:val="auto"/>
        </w:rPr>
        <w:t xml:space="preserve"> Waiver by a Party of any default by the other Party of any provision of this Agreement shall not be deemed a waiver by the waiving Party of any subsequent or other default, nor shall it prejudice the rights of the other Party. No failure or delay by a Party in exercising any right, power or privilege under this Agreement shall operate as a waiver thereof nor shall a single or partial exercise thereof prejudice any other or further exercise thereof or the exercise of any other right, power or privilege.</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2" w:name="page133"/>
    <w:bookmarkEnd w:id="132"/>
    <w:p>
      <w:pPr>
        <w:ind w:firstLine="648"/>
        <w:spacing w:after="0" w:line="259"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and by the different parties hereto in separate counterparts, each of which when executed shall be deemed to be an original but all of which taken together shall constitute one and the same agreement. The exchange of a fully executed Agreement (in counterparts or otherwise) by facsimile or by electronic delivery in .pdf format shall be sufficient to bind the parties to the terms and conditions of this Agreement.</w:t>
      </w:r>
    </w:p>
    <w:p>
      <w:pPr>
        <w:spacing w:after="0" w:line="187"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u w:val="single" w:color="auto"/>
          <w:color w:val="auto"/>
        </w:rPr>
        <w:t>Governing Law.</w:t>
      </w:r>
      <w:r>
        <w:rPr>
          <w:rFonts w:ascii="Arial" w:cs="Arial" w:eastAsia="Arial" w:hAnsi="Arial"/>
          <w:sz w:val="16"/>
          <w:szCs w:val="16"/>
          <w:color w:val="auto"/>
        </w:rPr>
        <w:t xml:space="preserve"> This Agreement (and any claims arising out of or related hereto or to the transactions contemplated hereby or to the inducement of any Party to enter herein, whether for breach of contract, tortious conduct or otherwise and whether predicated on common law, statute or otherwise) shall be governed by and construed and interpreted in accordance with the Laws of the State of New York, irrespective of the choice of laws principles of the State of New York, including all matters of validity, construction, effect, enforceability, performance and remedies.</w:t>
      </w:r>
    </w:p>
    <w:p>
      <w:pPr>
        <w:spacing w:after="0" w:line="157"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Notices</w:t>
      </w:r>
      <w:r>
        <w:rPr>
          <w:rFonts w:ascii="Arial" w:cs="Arial" w:eastAsia="Arial" w:hAnsi="Arial"/>
          <w:sz w:val="18"/>
          <w:szCs w:val="18"/>
          <w:color w:val="auto"/>
        </w:rPr>
        <w:t>. Any notice, request, instruction or other document to be given hereunder by any party to the others shall be in writing and delivered personally or sent by registered or certified mail, postage prepaid or by prepaid overnight courier (providing written proof of delivery), or by confirmed facsimile transmission or electronic mail (with confirmed receipt), addressed as follows: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TFMC,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TechnipFMC plc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One St. Paul’s Churchyard,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London EC4M 8AP, United Kingdom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Chief Legal Officer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330 North Wabash Avenue, Suite 2800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Chicago, IL 60611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United States of America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Ryan Maierson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ryan.maierson@lw.com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Christopher R. Drewry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christopher.drewry@lw.com</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133" w:name="page134"/>
    <w:bookmarkEnd w:id="133"/>
    <w:p>
      <w:pPr>
        <w:ind w:left="660"/>
        <w:spacing w:after="0"/>
        <w:rPr>
          <w:sz w:val="20"/>
          <w:szCs w:val="20"/>
          <w:color w:val="auto"/>
        </w:rPr>
      </w:pPr>
      <w:r>
        <w:rPr>
          <w:rFonts w:ascii="Arial" w:cs="Arial" w:eastAsia="Arial" w:hAnsi="Arial"/>
          <w:sz w:val="18"/>
          <w:szCs w:val="18"/>
          <w:color w:val="auto"/>
        </w:rPr>
        <w:t>If to TEN,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Technip Energies N.V.</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6-8 Allée de l’Arche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Faubourg de l’Arche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ZAC Danton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92400 Courbevoie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Chief Legal Officer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Davis &amp; Polk Wardwell LLP</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450 Lexington Avenue</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United States of America</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Attention: William Aaronson</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william.aaronson@davispolk.com</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Attention: Jacques Naquet-Radiguet</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jacques.naquet@davispolk.com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 to such other persons or addresses as may be designated in writing by the party to receive such notice as provided above.</w:t>
      </w:r>
    </w:p>
    <w:p>
      <w:pPr>
        <w:spacing w:after="0" w:line="225"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Entire Agreement.</w:t>
      </w:r>
      <w:r>
        <w:rPr>
          <w:rFonts w:ascii="Arial" w:cs="Arial" w:eastAsia="Arial" w:hAnsi="Arial"/>
          <w:sz w:val="18"/>
          <w:szCs w:val="18"/>
          <w:color w:val="auto"/>
        </w:rPr>
        <w:t xml:space="preserve"> This Agreement (including any annexes hereto), together with the Separation Agreement and the other Ancillary Agreements constitutes the entire agreement, and supersedes all other prior agreements, understandings, representations and warranties both written and oral, among the Parties, with respect to the subject matter hereof.</w:t>
      </w:r>
    </w:p>
    <w:p>
      <w:pPr>
        <w:spacing w:after="0" w:line="184" w:lineRule="exact"/>
        <w:rPr>
          <w:sz w:val="20"/>
          <w:szCs w:val="20"/>
          <w:color w:val="auto"/>
        </w:rPr>
      </w:pPr>
    </w:p>
    <w:p>
      <w:pPr>
        <w:ind w:right="300" w:firstLine="648"/>
        <w:spacing w:after="0" w:line="257"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No Third-Party Beneficiaries</w:t>
      </w:r>
      <w:r>
        <w:rPr>
          <w:rFonts w:ascii="Arial" w:cs="Arial" w:eastAsia="Arial" w:hAnsi="Arial"/>
          <w:sz w:val="18"/>
          <w:szCs w:val="18"/>
          <w:color w:val="auto"/>
        </w:rPr>
        <w:t>. The provisions of this Agreement are solely for the benefit of the Parties and are not intended to confer upon any Person (including, without limitation, any shareholders of TFMC or shareholders of TEN) except the Parties hereto any rights or remedies hereunder; and (b) there are no third-party beneficiaries of this Agreement, and this Agreement shall not provide any third Person (including, without limitation, any shareholders of TFMC or shareholders of TEN) with any remedy, claim, reimbursement, claim of action or other right in excess of those existing without reference to this Agreement.</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10.9 </w:t>
      </w:r>
      <w:r>
        <w:rPr>
          <w:rFonts w:ascii="Arial" w:cs="Arial" w:eastAsia="Arial" w:hAnsi="Arial"/>
          <w:sz w:val="17"/>
          <w:szCs w:val="17"/>
          <w:u w:val="single" w:color="auto"/>
          <w:color w:val="auto"/>
        </w:rPr>
        <w:t>Severability.</w:t>
      </w:r>
      <w:r>
        <w:rPr>
          <w:rFonts w:ascii="Arial" w:cs="Arial" w:eastAsia="Arial" w:hAnsi="Arial"/>
          <w:sz w:val="17"/>
          <w:szCs w:val="17"/>
          <w:color w:val="auto"/>
        </w:rPr>
        <w:t xml:space="preserve"> The provisions of this Agreement shall be deemed severable and the invalidity or unenforceability of any provision shall not affect the validity or enforceability or the other provisions hereof. If any provision of this Agreement, or the application thereof to any Person or any circumstance, is invalid or unenforceable, (a) a suitable and equitable provision shall be substituted therefor in order to carry out, so far as may be valid and enforceable, the intent and purpose of such invalid or unenforceable provision and (b)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thereof, in any other jurisdiction.</w:t>
      </w: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4" w:name="page135"/>
    <w:bookmarkEnd w:id="134"/>
    <w:p>
      <w:pPr>
        <w:ind w:right="60" w:firstLine="648"/>
        <w:spacing w:after="0" w:line="254"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Interpretation.</w:t>
      </w:r>
      <w:r>
        <w:rPr>
          <w:rFonts w:ascii="Arial" w:cs="Arial" w:eastAsia="Arial" w:hAnsi="Arial"/>
          <w:sz w:val="18"/>
          <w:szCs w:val="18"/>
          <w:color w:val="auto"/>
        </w:rPr>
        <w:t xml:space="preserve"> The table of contents and headings herein are for convenience of reference only, do not constitute part of this Agreement and shall not be deemed to limit or otherwise affect any of the provisions hereof. Where a reference in this Agreement is made to a Section, Schedule, Exhibit or Annex, such reference shall be to a Section of, Schedule to, Exhibit to or Annex to this Agreement unless otherwise indicated. Whenever the words “include,” “includes” or “including” are used in this Agreement, they shall be deemed to be followed by the words “without limitation.” For purposes of this Agreement, whenever the context requires the singular number shall include the plural, and vice versa. All references in this Agreement to “$” are intended to refer to United States dollars and all references to “EUR” are to the lawful currency of the European Union. Any reference to a particular Law means such Law as amended, modified or supplemented (including all rules and regulations promulgated thereunder) and, unless otherwise provided, as in effect from time to time.</w:t>
      </w:r>
    </w:p>
    <w:p>
      <w:pPr>
        <w:spacing w:after="0" w:line="19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Defined Terms</w:t>
      </w:r>
      <w:r>
        <w:rPr>
          <w:rFonts w:ascii="Arial" w:cs="Arial" w:eastAsia="Arial" w:hAnsi="Arial"/>
          <w:sz w:val="18"/>
          <w:szCs w:val="18"/>
          <w:color w:val="auto"/>
        </w:rPr>
        <w:t xml:space="preserve">. Capitalized terms used and not otherwise defined herein shall have the meanings specified or referred to in </w:t>
      </w:r>
      <w:r>
        <w:rPr>
          <w:rFonts w:ascii="Arial" w:cs="Arial" w:eastAsia="Arial" w:hAnsi="Arial"/>
          <w:sz w:val="18"/>
          <w:szCs w:val="18"/>
          <w:u w:val="single" w:color="auto"/>
          <w:color w:val="auto"/>
        </w:rPr>
        <w:t>Annex III</w:t>
      </w:r>
      <w:r>
        <w:rPr>
          <w:rFonts w:ascii="Arial" w:cs="Arial" w:eastAsia="Arial" w:hAnsi="Arial"/>
          <w:sz w:val="18"/>
          <w:szCs w:val="18"/>
          <w:color w:val="auto"/>
        </w:rPr>
        <w:t>, or if not defined therein, in the Separation Agreement.</w:t>
      </w:r>
    </w:p>
    <w:p>
      <w:pPr>
        <w:spacing w:after="0" w:line="170"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u w:val="single" w:color="auto"/>
          <w:color w:val="auto"/>
        </w:rPr>
        <w:t>Expenses</w:t>
      </w:r>
      <w:r>
        <w:rPr>
          <w:rFonts w:ascii="Arial" w:cs="Arial" w:eastAsia="Arial" w:hAnsi="Arial"/>
          <w:sz w:val="18"/>
          <w:szCs w:val="18"/>
          <w:color w:val="auto"/>
        </w:rPr>
        <w:t>. Except as otherwise expressly provided herein, each Party shall pay its own expenses incident to this Agreement and the transactions contemplated herein.</w:t>
      </w:r>
    </w:p>
    <w:p>
      <w:pPr>
        <w:spacing w:after="0" w:line="170"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 xml:space="preserve">10.13 </w:t>
      </w:r>
      <w:r>
        <w:rPr>
          <w:rFonts w:ascii="Arial" w:cs="Arial" w:eastAsia="Arial" w:hAnsi="Arial"/>
          <w:sz w:val="16"/>
          <w:szCs w:val="16"/>
          <w:u w:val="single" w:color="auto"/>
          <w:color w:val="auto"/>
        </w:rPr>
        <w:t>No Set-Off</w:t>
      </w:r>
      <w:r>
        <w:rPr>
          <w:rFonts w:ascii="Arial" w:cs="Arial" w:eastAsia="Arial" w:hAnsi="Arial"/>
          <w:sz w:val="16"/>
          <w:szCs w:val="16"/>
          <w:color w:val="auto"/>
        </w:rPr>
        <w:t>. The obligations under this Agreement shall not be subject to set-off for non-performance or any monetary or non-monetary claim by any Party or any of their respective Affiliates under any other agreement between the Parties or any of their respective Affiliates.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10.14  </w:t>
      </w:r>
      <w:r>
        <w:rPr>
          <w:rFonts w:ascii="Arial" w:cs="Arial" w:eastAsia="Arial" w:hAnsi="Arial"/>
          <w:sz w:val="18"/>
          <w:szCs w:val="18"/>
          <w:u w:val="single" w:color="auto"/>
          <w:color w:val="auto"/>
        </w:rPr>
        <w:t>Specific Performance; Other Equitable Relief</w:t>
      </w:r>
      <w:r>
        <w:rPr>
          <w:rFonts w:ascii="Arial" w:cs="Arial" w:eastAsia="Arial" w:hAnsi="Arial"/>
          <w:sz w:val="18"/>
          <w:szCs w:val="18"/>
          <w:color w:val="auto"/>
        </w:rPr>
        <w:t>.</w:t>
      </w:r>
    </w:p>
    <w:p>
      <w:pPr>
        <w:spacing w:after="0" w:line="225" w:lineRule="exact"/>
        <w:rPr>
          <w:sz w:val="20"/>
          <w:szCs w:val="20"/>
          <w:color w:val="auto"/>
        </w:rPr>
      </w:pPr>
    </w:p>
    <w:p>
      <w:pPr>
        <w:ind w:firstLine="656"/>
        <w:spacing w:after="0" w:line="257" w:lineRule="auto"/>
        <w:tabs>
          <w:tab w:leader="none" w:pos="1162"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the Parties agree that irreparable damage would occur if any provision of this Agreement were not performed in accordance with the specific terms hereof or were otherwise breached. It is accordingly agreed that prior to the termination of this Agreement in accordance with </w:t>
      </w:r>
      <w:r>
        <w:rPr>
          <w:rFonts w:ascii="Arial" w:cs="Arial" w:eastAsia="Arial" w:hAnsi="Arial"/>
          <w:sz w:val="18"/>
          <w:szCs w:val="18"/>
          <w:u w:val="single" w:color="auto"/>
          <w:color w:val="auto"/>
        </w:rPr>
        <w:t>Article III</w:t>
      </w:r>
      <w:r>
        <w:rPr>
          <w:rFonts w:ascii="Arial" w:cs="Arial" w:eastAsia="Arial" w:hAnsi="Arial"/>
          <w:sz w:val="18"/>
          <w:szCs w:val="18"/>
          <w:color w:val="auto"/>
        </w:rPr>
        <w:t>, the Parties shall be entitled to an injunction or injunctions to prevent breaches of this Agreement and to enforce specifically the terms and provisions of this Agreement (without necessity of posting bond or other security (any requirements therefor being expressly waived)), this being in addition to any other remedy to which they are entitled at Law or in equity.</w:t>
      </w:r>
    </w:p>
    <w:p>
      <w:pPr>
        <w:spacing w:after="0" w:line="187" w:lineRule="exact"/>
        <w:rPr>
          <w:rFonts w:ascii="Arial" w:cs="Arial" w:eastAsia="Arial" w:hAnsi="Arial"/>
          <w:sz w:val="18"/>
          <w:szCs w:val="18"/>
          <w:color w:val="auto"/>
        </w:rPr>
      </w:pPr>
    </w:p>
    <w:p>
      <w:pPr>
        <w:ind w:right="60" w:firstLine="656"/>
        <w:spacing w:after="0" w:line="279" w:lineRule="auto"/>
        <w:tabs>
          <w:tab w:leader="none" w:pos="1173" w:val="left"/>
        </w:tabs>
        <w:numPr>
          <w:ilvl w:val="0"/>
          <w:numId w:val="78"/>
        </w:numPr>
        <w:rPr>
          <w:rFonts w:ascii="Arial" w:cs="Arial" w:eastAsia="Arial" w:hAnsi="Arial"/>
          <w:sz w:val="17"/>
          <w:szCs w:val="17"/>
          <w:color w:val="auto"/>
        </w:rPr>
      </w:pPr>
      <w:r>
        <w:rPr>
          <w:rFonts w:ascii="Arial" w:cs="Arial" w:eastAsia="Arial" w:hAnsi="Arial"/>
          <w:sz w:val="17"/>
          <w:szCs w:val="17"/>
          <w:color w:val="auto"/>
        </w:rPr>
        <w:t>Each of the Parties agrees that it will not oppose the granting of an injunction, specific performance and other equitable relief as provided herein on the basis that (i) it has an adequate remedy at Law or (ii) an award of specific performance is not an appropriate remedy for any reason at Law or equity. Any Party seeking an injunction or injunctions to prevent breaches of this Agreement and to enforce specifically the terms and provisions of this Agreement shall not be required to provide any bond or other security in connection with any such order or injunction.</w:t>
      </w:r>
    </w:p>
    <w:p>
      <w:pPr>
        <w:spacing w:after="0" w:line="17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10.15 </w:t>
      </w:r>
      <w:r>
        <w:rPr>
          <w:rFonts w:ascii="Arial" w:cs="Arial" w:eastAsia="Arial" w:hAnsi="Arial"/>
          <w:sz w:val="17"/>
          <w:szCs w:val="17"/>
          <w:u w:val="single" w:color="auto"/>
          <w:color w:val="auto"/>
        </w:rPr>
        <w:t>Construction</w:t>
      </w:r>
      <w:r>
        <w:rPr>
          <w:rFonts w:ascii="Arial" w:cs="Arial" w:eastAsia="Arial" w:hAnsi="Arial"/>
          <w:sz w:val="17"/>
          <w:szCs w:val="17"/>
          <w:color w:val="auto"/>
        </w:rPr>
        <w:t>. This Agreement shall be construed as if jointly drafted by the Parties and no rule of construction or strict interpretation shall be applied against either Party. The Parties represent that this Agreement is entered into with full consideration of any and all rights which the Parties may have. The Parties have conducted such investigations they thought appropriate, and have consulted with such advisors as they deemed appropriate regarding this Agreement and their rights and asserted rights in connection therewith. The Parties are not relying upon any representations or statements made by the other Party, or such other Party’s employees, agents, representatives or attorneys, regarding this Agreement, except to the extent such representations are expressly set forth or incorporated in this Agreement. The Parties are not relying upon a legal duty, if one exists, on the part of the other Party (or such other Party’s employees, agents, representatives or attorneys) to disclose any information in connection with the execution of this Agreement or their preparation, it being expressly understood that neither Party shall ever assert any failure to disclose information on the part of the other Party as a ground for challenging this Agreement.</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5" w:name="page136"/>
    <w:bookmarkEnd w:id="135"/>
    <w:p>
      <w:pPr>
        <w:ind w:firstLine="648"/>
        <w:spacing w:after="0" w:line="286" w:lineRule="auto"/>
        <w:rPr>
          <w:sz w:val="20"/>
          <w:szCs w:val="20"/>
          <w:color w:val="auto"/>
        </w:rPr>
      </w:pPr>
      <w:r>
        <w:rPr>
          <w:rFonts w:ascii="Arial" w:cs="Arial" w:eastAsia="Arial" w:hAnsi="Arial"/>
          <w:sz w:val="16"/>
          <w:szCs w:val="16"/>
          <w:color w:val="auto"/>
        </w:rPr>
        <w:t xml:space="preserve">10.16 </w:t>
      </w:r>
      <w:r>
        <w:rPr>
          <w:rFonts w:ascii="Arial" w:cs="Arial" w:eastAsia="Arial" w:hAnsi="Arial"/>
          <w:sz w:val="16"/>
          <w:szCs w:val="16"/>
          <w:u w:val="single" w:color="auto"/>
          <w:color w:val="auto"/>
        </w:rPr>
        <w:t>Assignment; Successors and Assigns; No Third Party Beneficiaries.</w:t>
      </w:r>
      <w:r>
        <w:rPr>
          <w:rFonts w:ascii="Arial" w:cs="Arial" w:eastAsia="Arial" w:hAnsi="Arial"/>
          <w:sz w:val="16"/>
          <w:szCs w:val="16"/>
          <w:color w:val="auto"/>
        </w:rPr>
        <w:t xml:space="preserve"> Neither this Agreement nor the rights or obligations hereunder shall be assignable by either Party, by operation of law or otherwise, without the prior written consent of the other Party, and any purported assignment or delegation in violation of this paragraph shall be null and void;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 either Party may, without the consent of any other Party, assign any or all of its rights and interests, and delegate any or all of its obligations, to an Affiliate, provided that no such assignment or delegation shall relieve the assigning or delegating Party of its obligation to ensure performance by such Affiliate of its delegated obligations, (b) nothing in this </w:t>
      </w:r>
      <w:r>
        <w:rPr>
          <w:rFonts w:ascii="Arial" w:cs="Arial" w:eastAsia="Arial" w:hAnsi="Arial"/>
          <w:sz w:val="16"/>
          <w:szCs w:val="16"/>
          <w:u w:val="single" w:color="auto"/>
          <w:color w:val="auto"/>
        </w:rPr>
        <w:t>Section 10.16</w:t>
      </w:r>
      <w:r>
        <w:rPr>
          <w:rFonts w:ascii="Arial" w:cs="Arial" w:eastAsia="Arial" w:hAnsi="Arial"/>
          <w:sz w:val="16"/>
          <w:szCs w:val="16"/>
          <w:color w:val="auto"/>
        </w:rPr>
        <w:t xml:space="preserve"> will restrict Provider from subcontracting the provision of Services to an Affiliate or to any third parties to the extent such third parties are used to provide such Services or similar services to other businesses of Provider and its Affiliates, and (c) a Party may assign its applicable rights, obligations and interests to a third party hereunder in conjunction with (i) the change in control of such Party, (ii) the sale of all or substantially all of the assets of such Party, or (iii) the sale or divestiture of any of the product lines, operating units, subsidiaries or business divisions of such Party, provided that (x) such assigning Party shall remain responsible for all liability of such Party accrued hereunder as of the date of such assignment, (y) the assignee agrees in writing to assume all applicable obligations of the assigning Party accruing hereunder after such assignment (whereupon the assigning Party will be relieved of all liability and obligations hereunder to the extent accruing after such assignment), and (z) as of the date of such assignment, such assignee has commercially reasonably financial wherewithal to assume all applicable obligations. Subject to the foregoing, this Agreement shall inure to the benefit of and be binding upon the Parties hereto and their respective successors and assigns. No provision of this Agreement is intended to confer any rights, benefits, remedies or liabilities hereunder upon any person other than the Parties and their respective successors and permitted assigns.</w:t>
      </w:r>
    </w:p>
    <w:p>
      <w:pPr>
        <w:spacing w:after="0" w:line="16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10.17 </w:t>
      </w:r>
      <w:r>
        <w:rPr>
          <w:rFonts w:ascii="Arial" w:cs="Arial" w:eastAsia="Arial" w:hAnsi="Arial"/>
          <w:sz w:val="18"/>
          <w:szCs w:val="18"/>
          <w:u w:val="single" w:color="auto"/>
          <w:color w:val="auto"/>
        </w:rPr>
        <w:t>Conflict</w:t>
      </w:r>
      <w:r>
        <w:rPr>
          <w:rFonts w:ascii="Arial" w:cs="Arial" w:eastAsia="Arial" w:hAnsi="Arial"/>
          <w:sz w:val="18"/>
          <w:szCs w:val="18"/>
          <w:color w:val="auto"/>
        </w:rPr>
        <w:t>. In case of conflict between the terms and conditions of this Agreement and any schedule hereto, the terms and conditions of this Agreement shall control and govern.</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10.18 </w:t>
      </w:r>
      <w:r>
        <w:rPr>
          <w:rFonts w:ascii="Arial" w:cs="Arial" w:eastAsia="Arial" w:hAnsi="Arial"/>
          <w:sz w:val="18"/>
          <w:szCs w:val="18"/>
          <w:u w:val="single" w:color="auto"/>
          <w:color w:val="auto"/>
        </w:rPr>
        <w:t>Relationship of the Parties</w:t>
      </w:r>
      <w:r>
        <w:rPr>
          <w:rFonts w:ascii="Arial" w:cs="Arial" w:eastAsia="Arial" w:hAnsi="Arial"/>
          <w:sz w:val="18"/>
          <w:szCs w:val="18"/>
          <w:color w:val="auto"/>
        </w:rPr>
        <w:t>. The relationship of the Parties to each other is that of independent contractors and neither Party nor its agents or employees shall be considered employees or agents of the other Party. This Agreement does not constitute and shall not be construed as constituting a partnership or joint venture or grant of a franchise between the Parties. Neither Party shall have the right to bind the other Party to any obligations to third parties.</w:t>
      </w:r>
    </w:p>
    <w:p>
      <w:pPr>
        <w:spacing w:after="0" w:line="18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10.19 </w:t>
      </w:r>
      <w:r>
        <w:rPr>
          <w:rFonts w:ascii="Arial" w:cs="Arial" w:eastAsia="Arial" w:hAnsi="Arial"/>
          <w:sz w:val="18"/>
          <w:szCs w:val="18"/>
          <w:u w:val="single" w:color="auto"/>
          <w:color w:val="auto"/>
        </w:rPr>
        <w:t>Performance</w:t>
      </w:r>
      <w:r>
        <w:rPr>
          <w:rFonts w:ascii="Arial" w:cs="Arial" w:eastAsia="Arial" w:hAnsi="Arial"/>
          <w:sz w:val="18"/>
          <w:szCs w:val="18"/>
          <w:color w:val="auto"/>
        </w:rPr>
        <w:t>. Each Party shall cause to be performed, and hereby guarantees the performance of, all actions, agreements and obligations set forth herein to be performed by any Subsidiary or Affiliate of such Party.</w:t>
      </w: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36" w:name="page137"/>
    <w:bookmarkEnd w:id="136"/>
    <w:p>
      <w:pPr>
        <w:ind w:firstLine="648"/>
        <w:spacing w:after="0" w:line="277" w:lineRule="auto"/>
        <w:rPr>
          <w:sz w:val="20"/>
          <w:szCs w:val="20"/>
          <w:color w:val="auto"/>
        </w:rPr>
      </w:pPr>
      <w:r>
        <w:rPr>
          <w:rFonts w:ascii="Arial" w:cs="Arial" w:eastAsia="Arial" w:hAnsi="Arial"/>
          <w:sz w:val="18"/>
          <w:szCs w:val="18"/>
          <w:color w:val="auto"/>
        </w:rPr>
        <w:t xml:space="preserve">10.20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Each Party shall comply, at its own expense, with the provisions of all Laws applicable to the performance of its obligations under this Agreement.</w:t>
      </w:r>
    </w:p>
    <w:p>
      <w:pPr>
        <w:spacing w:after="0" w:line="170"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 xml:space="preserve">10.21 </w:t>
      </w:r>
      <w:r>
        <w:rPr>
          <w:rFonts w:ascii="Arial" w:cs="Arial" w:eastAsia="Arial" w:hAnsi="Arial"/>
          <w:sz w:val="17"/>
          <w:szCs w:val="17"/>
          <w:u w:val="single" w:color="auto"/>
          <w:color w:val="auto"/>
        </w:rPr>
        <w:t>Other Agreements.</w:t>
      </w:r>
      <w:r>
        <w:rPr>
          <w:rFonts w:ascii="Arial" w:cs="Arial" w:eastAsia="Arial" w:hAnsi="Arial"/>
          <w:sz w:val="17"/>
          <w:szCs w:val="17"/>
          <w:color w:val="auto"/>
        </w:rPr>
        <w:t xml:space="preserve"> Except as expressly set forth herein, this Agreement is not intended to address, and should not be interpreted to address, the matters specifically and expressly covered by the Separation Agreement or the other Ancillary Agreements.</w:t>
      </w:r>
    </w:p>
    <w:p>
      <w:pPr>
        <w:spacing w:after="0" w:line="14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[Signature Page To Follow.]</w:t>
      </w:r>
    </w:p>
    <w:p>
      <w:pPr>
        <w:spacing w:after="0" w:line="396"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bookmarkStart w:id="137" w:name="page138"/>
    <w:bookmarkEnd w:id="137"/>
    <w:p>
      <w:pPr>
        <w:spacing w:after="0"/>
        <w:rPr>
          <w:sz w:val="20"/>
          <w:szCs w:val="20"/>
          <w:color w:val="auto"/>
        </w:rPr>
      </w:pPr>
      <w:r>
        <w:rPr>
          <w:rFonts w:ascii="Arial" w:cs="Arial" w:eastAsia="Arial" w:hAnsi="Arial"/>
          <w:sz w:val="17"/>
          <w:szCs w:val="17"/>
          <w:color w:val="auto"/>
        </w:rPr>
        <w:t>IN WITNESS WHEREOF, the parties have caused this Agreement to be executed by their duly authorized representatives.</w:t>
      </w:r>
    </w:p>
    <w:p>
      <w:pPr>
        <w:spacing w:after="0" w:line="237"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TECHNIPFMC PLC</w:t>
      </w:r>
    </w:p>
    <w:p>
      <w:pPr>
        <w:spacing w:after="0" w:line="23" w:lineRule="exact"/>
        <w:rPr>
          <w:sz w:val="20"/>
          <w:szCs w:val="20"/>
          <w:color w:val="auto"/>
        </w:rPr>
      </w:pPr>
    </w:p>
    <w:tbl>
      <w:tblPr>
        <w:tblLayout w:type="fixed"/>
        <w:tblInd w:w="4980" w:type="dxa"/>
        <w:tblCellMar>
          <w:top w:w="0" w:type="dxa"/>
          <w:left w:w="0" w:type="dxa"/>
          <w:bottom w:w="0" w:type="dxa"/>
          <w:right w:w="0" w:type="dxa"/>
        </w:tblCellMar>
      </w:tblPr>
      <w:tr>
        <w:trPr>
          <w:trHeight w:val="229"/>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gridSpan w:val="2"/>
          </w:tcPr>
          <w:p>
            <w:pPr>
              <w:spacing w:after="0"/>
              <w:rPr>
                <w:sz w:val="20"/>
                <w:szCs w:val="20"/>
                <w:color w:val="auto"/>
              </w:rPr>
            </w:pPr>
            <w:r>
              <w:rPr>
                <w:rFonts w:ascii="Arial" w:cs="Arial" w:eastAsia="Arial" w:hAnsi="Arial"/>
                <w:sz w:val="18"/>
                <w:szCs w:val="18"/>
                <w:color w:val="auto"/>
              </w:rPr>
              <w:t>/s/ Alf Melin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Alf Melin</w:t>
            </w:r>
          </w:p>
        </w:tc>
        <w:tc>
          <w:tcPr>
            <w:tcW w:w="1140" w:type="dxa"/>
            <w:vAlign w:val="bottom"/>
          </w:tcPr>
          <w:p>
            <w:pPr>
              <w:spacing w:after="0"/>
              <w:rPr>
                <w:sz w:val="16"/>
                <w:szCs w:val="16"/>
                <w:color w:val="auto"/>
              </w:rPr>
            </w:pP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gridSpan w:val="2"/>
          </w:tcPr>
          <w:p>
            <w:pPr>
              <w:spacing w:after="0"/>
              <w:rPr>
                <w:sz w:val="20"/>
                <w:szCs w:val="20"/>
                <w:color w:val="auto"/>
              </w:rPr>
            </w:pPr>
            <w:r>
              <w:rPr>
                <w:rFonts w:ascii="Arial" w:cs="Arial" w:eastAsia="Arial" w:hAnsi="Arial"/>
                <w:sz w:val="18"/>
                <w:szCs w:val="18"/>
                <w:color w:val="auto"/>
                <w:w w:val="91"/>
              </w:rPr>
              <w:t>Executive Vice President and Chief Financial Officer</w:t>
            </w:r>
          </w:p>
        </w:tc>
      </w:tr>
    </w:tbl>
    <w:p>
      <w:pPr>
        <w:spacing w:after="0" w:line="373" w:lineRule="exact"/>
        <w:rPr>
          <w:sz w:val="20"/>
          <w:szCs w:val="20"/>
          <w:color w:val="auto"/>
        </w:rPr>
      </w:pPr>
    </w:p>
    <w:p>
      <w:pPr>
        <w:jc w:val="center"/>
        <w:ind w:right="-43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38100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80"/>
          </w:cols>
          <w:pgMar w:left="980" w:top="125" w:right="1439" w:bottom="1440" w:gutter="0" w:footer="0" w:header="0"/>
        </w:sectPr>
      </w:pPr>
    </w:p>
    <w:bookmarkStart w:id="138" w:name="page139"/>
    <w:bookmarkEnd w:id="138"/>
    <w:p>
      <w:pPr>
        <w:spacing w:after="0"/>
        <w:rPr>
          <w:sz w:val="20"/>
          <w:szCs w:val="20"/>
          <w:color w:val="auto"/>
        </w:rPr>
      </w:pPr>
      <w:r>
        <w:rPr>
          <w:rFonts w:ascii="Arial" w:cs="Arial" w:eastAsia="Arial" w:hAnsi="Arial"/>
          <w:sz w:val="16"/>
          <w:szCs w:val="16"/>
          <w:color w:val="auto"/>
        </w:rPr>
        <w:t>IN WITNESS WHEREOF, the parties have caused this Agreement to be executed by their duly authorized representatives.</w:t>
      </w:r>
    </w:p>
    <w:p>
      <w:pPr>
        <w:sectPr>
          <w:pgSz w:w="11900" w:h="16838" w:orient="portrait"/>
          <w:cols w:equalWidth="0" w:num="1">
            <w:col w:w="9479"/>
          </w:cols>
          <w:pgMar w:left="980" w:top="125" w:right="1440" w:bottom="1440" w:gutter="0" w:footer="0" w:header="0"/>
        </w:sectPr>
      </w:pPr>
    </w:p>
    <w:p>
      <w:pPr>
        <w:spacing w:after="0" w:line="248"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TECHNIP ENERGIES N.V.</w:t>
      </w:r>
    </w:p>
    <w:p>
      <w:pPr>
        <w:spacing w:after="0" w:line="23" w:lineRule="exact"/>
        <w:rPr>
          <w:sz w:val="20"/>
          <w:szCs w:val="20"/>
          <w:color w:val="auto"/>
        </w:rPr>
      </w:pPr>
    </w:p>
    <w:tbl>
      <w:tblPr>
        <w:tblLayout w:type="fixed"/>
        <w:tblInd w:w="4980" w:type="dxa"/>
        <w:tblCellMar>
          <w:top w:w="0" w:type="dxa"/>
          <w:left w:w="0" w:type="dxa"/>
          <w:bottom w:w="0" w:type="dxa"/>
          <w:right w:w="0" w:type="dxa"/>
        </w:tblCellMar>
      </w:tblPr>
      <w:tr>
        <w:trPr>
          <w:trHeight w:val="229"/>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2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Bruno Vibert</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680" w:type="dxa"/>
            <w:vAlign w:val="bottom"/>
          </w:tcPr>
          <w:p>
            <w:pPr>
              <w:spacing w:after="0" w:line="195" w:lineRule="exact"/>
              <w:rPr>
                <w:sz w:val="20"/>
                <w:szCs w:val="20"/>
                <w:color w:val="auto"/>
              </w:rPr>
            </w:pPr>
            <w:r>
              <w:rPr>
                <w:rFonts w:ascii="Arial" w:cs="Arial" w:eastAsia="Arial" w:hAnsi="Arial"/>
                <w:sz w:val="18"/>
                <w:szCs w:val="18"/>
                <w:color w:val="auto"/>
              </w:rPr>
              <w:t>Bruno Vibert</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26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373" w:lineRule="exact"/>
        <w:rPr>
          <w:sz w:val="20"/>
          <w:szCs w:val="20"/>
          <w:color w:val="auto"/>
        </w:rPr>
      </w:pPr>
    </w:p>
    <w:p>
      <w:pPr>
        <w:jc w:val="center"/>
        <w:ind w:right="-460"/>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52705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125" w:right="1440" w:bottom="1440" w:gutter="0" w:footer="0" w:header="0"/>
          <w:type w:val="continuous"/>
        </w:sectPr>
      </w:pPr>
    </w:p>
    <w:bookmarkStart w:id="139" w:name="page140"/>
    <w:bookmarkEnd w:id="139"/>
    <w:p>
      <w:pPr>
        <w:jc w:val="center"/>
        <w:spacing w:after="0"/>
        <w:rPr>
          <w:sz w:val="20"/>
          <w:szCs w:val="20"/>
          <w:color w:val="auto"/>
        </w:rPr>
      </w:pPr>
      <w:r>
        <w:rPr>
          <w:rFonts w:ascii="Arial" w:cs="Arial" w:eastAsia="Arial" w:hAnsi="Arial"/>
          <w:sz w:val="18"/>
          <w:szCs w:val="18"/>
          <w:b w:val="1"/>
          <w:bCs w:val="1"/>
          <w:color w:val="auto"/>
        </w:rPr>
        <w:t>ANNEX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Services provided by TFMC to 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554990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b w:val="1"/>
          <w:bCs w:val="1"/>
          <w:color w:val="auto"/>
        </w:rPr>
        <w:t>ANNEX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Services provided by TEN to TFMC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554990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1" w:name="page142"/>
    <w:bookmarkEnd w:id="141"/>
    <w:p>
      <w:pPr>
        <w:jc w:val="center"/>
        <w:ind w:right="-19"/>
        <w:spacing w:after="0"/>
        <w:rPr>
          <w:sz w:val="20"/>
          <w:szCs w:val="20"/>
          <w:color w:val="auto"/>
        </w:rPr>
      </w:pPr>
      <w:r>
        <w:rPr>
          <w:rFonts w:ascii="Arial" w:cs="Arial" w:eastAsia="Arial" w:hAnsi="Arial"/>
          <w:sz w:val="18"/>
          <w:szCs w:val="18"/>
          <w:b w:val="1"/>
          <w:bCs w:val="1"/>
          <w:color w:val="auto"/>
        </w:rPr>
        <w:t>ANNEX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Defined Terms</w:t>
      </w:r>
    </w:p>
    <w:p>
      <w:pPr>
        <w:spacing w:after="0" w:line="211" w:lineRule="exact"/>
        <w:rPr>
          <w:sz w:val="20"/>
          <w:szCs w:val="20"/>
          <w:color w:val="auto"/>
        </w:rPr>
      </w:pPr>
    </w:p>
    <w:p>
      <w:pPr>
        <w:ind w:right="40" w:firstLine="129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xml:space="preserve">” means all (i) non-public information and material of a Party or its Affiliates (and of companies with which such Party has entered into confidentiality agreements) that the other Party obtains knowledge of or access to; (ii) non-public Intellectual Property of the disclosing Party; and (iii) business and financial information of the disclosing Party, including but not limited to pricing, business plans, forecasts, revenues, expenses, earnings projections, sales data and any and all other non-public financial information;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“Confidential Information” does not include information that: (i) is or becomes public knowledge without any action by, or involvement of, the receiving Party or its Affiliates or contractors; (ii) is independently developed by the receiving Party without reference or access to the Confidential Information of the disclosing Party and is so documented; or (iii) is obtained by the receiving Party without restrictions on use or disclosure from a third party who did not receive it, directly or indirectly, from the disclosing Party.</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Fully Burdened Cost</w:t>
      </w:r>
      <w:r>
        <w:rPr>
          <w:rFonts w:ascii="Arial" w:cs="Arial" w:eastAsia="Arial" w:hAnsi="Arial"/>
          <w:sz w:val="18"/>
          <w:szCs w:val="18"/>
          <w:color w:val="auto"/>
        </w:rPr>
        <w:t>” has the meaning set forth in Annex IV.</w:t>
      </w:r>
    </w:p>
    <w:p>
      <w:pPr>
        <w:spacing w:after="0" w:line="22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Provider</w:t>
      </w:r>
      <w:r>
        <w:rPr>
          <w:rFonts w:ascii="Arial" w:cs="Arial" w:eastAsia="Arial" w:hAnsi="Arial"/>
          <w:sz w:val="18"/>
          <w:szCs w:val="18"/>
          <w:color w:val="auto"/>
        </w:rPr>
        <w:t xml:space="preserve">” refers to (i) TFMC, in connection with Services provided by such Person pursuant to </w:t>
      </w:r>
      <w:r>
        <w:rPr>
          <w:rFonts w:ascii="Arial" w:cs="Arial" w:eastAsia="Arial" w:hAnsi="Arial"/>
          <w:sz w:val="18"/>
          <w:szCs w:val="18"/>
          <w:u w:val="single" w:color="auto"/>
          <w:color w:val="auto"/>
        </w:rPr>
        <w:t>Section 1.1(a)</w:t>
      </w:r>
      <w:r>
        <w:rPr>
          <w:rFonts w:ascii="Arial" w:cs="Arial" w:eastAsia="Arial" w:hAnsi="Arial"/>
          <w:sz w:val="18"/>
          <w:szCs w:val="18"/>
          <w:color w:val="auto"/>
        </w:rPr>
        <w:t xml:space="preserve"> of this Agreement, and (ii) TEN, in connection with Services provided by such Person pursuant to </w:t>
      </w:r>
      <w:r>
        <w:rPr>
          <w:rFonts w:ascii="Arial" w:cs="Arial" w:eastAsia="Arial" w:hAnsi="Arial"/>
          <w:sz w:val="18"/>
          <w:szCs w:val="18"/>
          <w:u w:val="single" w:color="auto"/>
          <w:color w:val="auto"/>
        </w:rPr>
        <w:t>Section 1.1(b)</w:t>
      </w:r>
      <w:r>
        <w:rPr>
          <w:rFonts w:ascii="Arial" w:cs="Arial" w:eastAsia="Arial" w:hAnsi="Arial"/>
          <w:sz w:val="18"/>
          <w:szCs w:val="18"/>
          <w:color w:val="auto"/>
        </w:rPr>
        <w:t xml:space="preserve"> of this Agreement.</w:t>
      </w:r>
    </w:p>
    <w:p>
      <w:pPr>
        <w:spacing w:after="0" w:line="170" w:lineRule="exact"/>
        <w:rPr>
          <w:sz w:val="20"/>
          <w:szCs w:val="20"/>
          <w:color w:val="auto"/>
        </w:rPr>
      </w:pPr>
    </w:p>
    <w:p>
      <w:pPr>
        <w:ind w:right="10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xml:space="preserve">” refers to (i) TEN, in connection with Services received by such Person pursuant to </w:t>
      </w:r>
      <w:r>
        <w:rPr>
          <w:rFonts w:ascii="Arial" w:cs="Arial" w:eastAsia="Arial" w:hAnsi="Arial"/>
          <w:sz w:val="18"/>
          <w:szCs w:val="18"/>
          <w:u w:val="single" w:color="auto"/>
          <w:color w:val="auto"/>
        </w:rPr>
        <w:t>Section 1.1(a)</w:t>
      </w:r>
      <w:r>
        <w:rPr>
          <w:rFonts w:ascii="Arial" w:cs="Arial" w:eastAsia="Arial" w:hAnsi="Arial"/>
          <w:sz w:val="18"/>
          <w:szCs w:val="18"/>
          <w:color w:val="auto"/>
        </w:rPr>
        <w:t xml:space="preserve"> of this Agreement, and (ii) TFMC, in connection with Services received by such Person pursuant to </w:t>
      </w:r>
      <w:r>
        <w:rPr>
          <w:rFonts w:ascii="Arial" w:cs="Arial" w:eastAsia="Arial" w:hAnsi="Arial"/>
          <w:sz w:val="18"/>
          <w:szCs w:val="18"/>
          <w:u w:val="single" w:color="auto"/>
          <w:color w:val="auto"/>
        </w:rPr>
        <w:t>Section 1.1(b)</w:t>
      </w:r>
      <w:r>
        <w:rPr>
          <w:rFonts w:ascii="Arial" w:cs="Arial" w:eastAsia="Arial" w:hAnsi="Arial"/>
          <w:sz w:val="18"/>
          <w:szCs w:val="18"/>
          <w:color w:val="auto"/>
        </w:rPr>
        <w:t xml:space="preserve"> of this Agreement.</w:t>
      </w:r>
    </w:p>
    <w:p>
      <w:pPr>
        <w:spacing w:after="0" w:line="170" w:lineRule="exact"/>
        <w:rPr>
          <w:sz w:val="20"/>
          <w:szCs w:val="20"/>
          <w:color w:val="auto"/>
        </w:rPr>
      </w:pPr>
    </w:p>
    <w:p>
      <w:pPr>
        <w:jc w:val="both"/>
        <w:ind w:right="560"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w:t>
      </w:r>
      <w:r>
        <w:rPr>
          <w:rFonts w:ascii="Arial" w:cs="Arial" w:eastAsia="Arial" w:hAnsi="Arial"/>
          <w:sz w:val="18"/>
          <w:szCs w:val="18"/>
          <w:color w:val="auto"/>
        </w:rPr>
        <w:t xml:space="preserve">” refers to (i) each Service provided by or at the direction of TFMC to TEN and its Subsidiaries as set forth on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in accordance with </w:t>
      </w:r>
      <w:r>
        <w:rPr>
          <w:rFonts w:ascii="Arial" w:cs="Arial" w:eastAsia="Arial" w:hAnsi="Arial"/>
          <w:sz w:val="18"/>
          <w:szCs w:val="18"/>
          <w:u w:val="single" w:color="auto"/>
          <w:color w:val="auto"/>
        </w:rPr>
        <w:t>Section 1.1(a)</w:t>
      </w:r>
      <w:r>
        <w:rPr>
          <w:rFonts w:ascii="Arial" w:cs="Arial" w:eastAsia="Arial" w:hAnsi="Arial"/>
          <w:sz w:val="18"/>
          <w:szCs w:val="18"/>
          <w:color w:val="auto"/>
        </w:rPr>
        <w:t xml:space="preserve"> and (ii) each service provided by or at the direction of TEN to TFMC and its Subsidiaries as set forth on </w:t>
      </w:r>
      <w:r>
        <w:rPr>
          <w:rFonts w:ascii="Arial" w:cs="Arial" w:eastAsia="Arial" w:hAnsi="Arial"/>
          <w:sz w:val="18"/>
          <w:szCs w:val="18"/>
          <w:u w:val="single" w:color="auto"/>
          <w:color w:val="auto"/>
        </w:rPr>
        <w:t>Annex II</w:t>
      </w:r>
      <w:r>
        <w:rPr>
          <w:rFonts w:ascii="Arial" w:cs="Arial" w:eastAsia="Arial" w:hAnsi="Arial"/>
          <w:sz w:val="18"/>
          <w:szCs w:val="18"/>
          <w:color w:val="auto"/>
        </w:rPr>
        <w:t xml:space="preserve"> in accordance with </w:t>
      </w:r>
      <w:r>
        <w:rPr>
          <w:rFonts w:ascii="Arial" w:cs="Arial" w:eastAsia="Arial" w:hAnsi="Arial"/>
          <w:sz w:val="18"/>
          <w:szCs w:val="18"/>
          <w:u w:val="single" w:color="auto"/>
          <w:color w:val="auto"/>
        </w:rPr>
        <w:t>Section 1.1(b)</w:t>
      </w:r>
      <w:r>
        <w:rPr>
          <w:rFonts w:ascii="Arial" w:cs="Arial" w:eastAsia="Arial" w:hAnsi="Arial"/>
          <w:sz w:val="18"/>
          <w:szCs w:val="18"/>
          <w:color w:val="auto"/>
        </w:rPr>
        <w:t>.</w:t>
      </w:r>
    </w:p>
    <w:p>
      <w:pPr>
        <w:spacing w:after="0" w:line="184" w:lineRule="exact"/>
        <w:rPr>
          <w:sz w:val="20"/>
          <w:szCs w:val="20"/>
          <w:color w:val="auto"/>
        </w:rPr>
      </w:pPr>
    </w:p>
    <w:p>
      <w:pPr>
        <w:ind w:right="16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Stranded Costs</w:t>
      </w:r>
      <w:r>
        <w:rPr>
          <w:rFonts w:ascii="Arial" w:cs="Arial" w:eastAsia="Arial" w:hAnsi="Arial"/>
          <w:sz w:val="18"/>
          <w:szCs w:val="18"/>
          <w:color w:val="auto"/>
        </w:rPr>
        <w:t xml:space="preserve">” means, with respect to any particular Service, the amounts identified as “Stranded Costs” for early termination, if any, in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Annex II</w:t>
      </w:r>
      <w:r>
        <w:rPr>
          <w:rFonts w:ascii="Arial" w:cs="Arial" w:eastAsia="Arial" w:hAnsi="Arial"/>
          <w:sz w:val="18"/>
          <w:szCs w:val="18"/>
          <w:color w:val="auto"/>
        </w:rPr>
        <w: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tbl>
      <w:tblPr>
        <w:tblLayout w:type="fixed"/>
        <w:tblInd w:w="1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8100" w:type="dxa"/>
            <w:vAlign w:val="bottom"/>
            <w:gridSpan w:val="3"/>
          </w:tcPr>
          <w:p>
            <w:pPr>
              <w:jc w:val="right"/>
              <w:ind w:right="4330"/>
              <w:spacing w:after="0"/>
              <w:rPr>
                <w:sz w:val="20"/>
                <w:szCs w:val="20"/>
                <w:color w:val="auto"/>
              </w:rPr>
            </w:pPr>
            <w:r>
              <w:rPr>
                <w:rFonts w:ascii="Arial" w:cs="Arial" w:eastAsia="Arial" w:hAnsi="Arial"/>
                <w:sz w:val="18"/>
                <w:szCs w:val="18"/>
                <w:b w:val="1"/>
                <w:bCs w:val="1"/>
                <w:color w:val="auto"/>
              </w:rPr>
              <w:t>Other Defined Term References</w:t>
            </w:r>
          </w:p>
        </w:tc>
      </w:tr>
      <w:tr>
        <w:trPr>
          <w:trHeight w:val="223"/>
        </w:trPr>
        <w:tc>
          <w:tcPr>
            <w:tcW w:w="11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50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r>
      <w:tr>
        <w:trPr>
          <w:trHeight w:val="223"/>
        </w:trPr>
        <w:tc>
          <w:tcPr>
            <w:tcW w:w="3160" w:type="dxa"/>
            <w:vAlign w:val="bottom"/>
            <w:tcBorders>
              <w:left w:val="single" w:sz="8" w:color="auto"/>
              <w:bottom w:val="single" w:sz="8" w:color="auto"/>
            </w:tcBorders>
            <w:gridSpan w:val="2"/>
            <w:shd w:val="clear" w:color="auto" w:fill="CCEEFF"/>
          </w:tcPr>
          <w:p>
            <w:pPr>
              <w:ind w:left="40"/>
              <w:spacing w:after="0" w:line="176" w:lineRule="exact"/>
              <w:rPr>
                <w:sz w:val="20"/>
                <w:szCs w:val="20"/>
                <w:color w:val="auto"/>
              </w:rPr>
            </w:pPr>
            <w:r>
              <w:rPr>
                <w:rFonts w:ascii="Arial" w:cs="Arial" w:eastAsia="Arial" w:hAnsi="Arial"/>
                <w:sz w:val="18"/>
                <w:szCs w:val="18"/>
                <w:b w:val="1"/>
                <w:bCs w:val="1"/>
                <w:color w:val="auto"/>
              </w:rPr>
              <w:t>Defined Term</w:t>
            </w:r>
          </w:p>
        </w:tc>
        <w:tc>
          <w:tcPr>
            <w:tcW w:w="2500" w:type="dxa"/>
            <w:vAlign w:val="bottom"/>
            <w:tcBorders>
              <w:bottom w:val="single" w:sz="8" w:color="auto"/>
              <w:right w:val="single" w:sz="8" w:color="auto"/>
            </w:tcBorders>
            <w:shd w:val="clear" w:color="auto" w:fill="CCEEFF"/>
          </w:tcPr>
          <w:p>
            <w:pPr>
              <w:spacing w:after="0"/>
              <w:rPr>
                <w:sz w:val="19"/>
                <w:szCs w:val="19"/>
                <w:color w:val="auto"/>
              </w:rPr>
            </w:pPr>
          </w:p>
        </w:tc>
        <w:tc>
          <w:tcPr>
            <w:tcW w:w="50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right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w w:val="82"/>
              </w:rPr>
              <w:t>Section</w:t>
            </w:r>
          </w:p>
        </w:tc>
      </w:tr>
      <w:tr>
        <w:trPr>
          <w:trHeight w:val="223"/>
        </w:trPr>
        <w:tc>
          <w:tcPr>
            <w:tcW w:w="316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Action</w:t>
            </w:r>
          </w:p>
        </w:tc>
        <w:tc>
          <w:tcPr>
            <w:tcW w:w="250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Separation Agreement</w:t>
            </w:r>
          </w:p>
        </w:tc>
      </w:tr>
      <w:tr>
        <w:trPr>
          <w:trHeight w:val="223"/>
        </w:trPr>
        <w:tc>
          <w:tcPr>
            <w:tcW w:w="3160" w:type="dxa"/>
            <w:vAlign w:val="bottom"/>
            <w:tcBorders>
              <w:left w:val="single" w:sz="8" w:color="auto"/>
              <w:bottom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Additional Services</w:t>
            </w:r>
          </w:p>
        </w:tc>
        <w:tc>
          <w:tcPr>
            <w:tcW w:w="2500" w:type="dxa"/>
            <w:vAlign w:val="bottom"/>
            <w:tcBorders>
              <w:bottom w:val="single" w:sz="8" w:color="auto"/>
              <w:right w:val="single" w:sz="8" w:color="auto"/>
            </w:tcBorders>
            <w:shd w:val="clear" w:color="auto" w:fill="CCEEFF"/>
          </w:tcPr>
          <w:p>
            <w:pPr>
              <w:spacing w:after="0"/>
              <w:rPr>
                <w:sz w:val="19"/>
                <w:szCs w:val="19"/>
                <w:color w:val="auto"/>
              </w:rPr>
            </w:pPr>
          </w:p>
        </w:tc>
        <w:tc>
          <w:tcPr>
            <w:tcW w:w="560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Section 1.2(a)</w:t>
            </w:r>
          </w:p>
        </w:tc>
      </w:tr>
      <w:tr>
        <w:trPr>
          <w:trHeight w:val="223"/>
        </w:trPr>
        <w:tc>
          <w:tcPr>
            <w:tcW w:w="316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Affiliate</w:t>
            </w:r>
          </w:p>
        </w:tc>
        <w:tc>
          <w:tcPr>
            <w:tcW w:w="250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Separation Agreement</w:t>
            </w:r>
          </w:p>
        </w:tc>
      </w:tr>
      <w:tr>
        <w:trPr>
          <w:trHeight w:val="223"/>
        </w:trPr>
        <w:tc>
          <w:tcPr>
            <w:tcW w:w="3160" w:type="dxa"/>
            <w:vAlign w:val="bottom"/>
            <w:tcBorders>
              <w:left w:val="single" w:sz="8" w:color="auto"/>
              <w:bottom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Agreement</w:t>
            </w:r>
          </w:p>
        </w:tc>
        <w:tc>
          <w:tcPr>
            <w:tcW w:w="2500" w:type="dxa"/>
            <w:vAlign w:val="bottom"/>
            <w:tcBorders>
              <w:bottom w:val="single" w:sz="8" w:color="auto"/>
              <w:right w:val="single" w:sz="8" w:color="auto"/>
            </w:tcBorders>
            <w:shd w:val="clear" w:color="auto" w:fill="CCEEFF"/>
          </w:tcPr>
          <w:p>
            <w:pPr>
              <w:spacing w:after="0"/>
              <w:rPr>
                <w:sz w:val="19"/>
                <w:szCs w:val="19"/>
                <w:color w:val="auto"/>
              </w:rPr>
            </w:pPr>
          </w:p>
        </w:tc>
        <w:tc>
          <w:tcPr>
            <w:tcW w:w="560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Preamble</w:t>
            </w:r>
          </w:p>
        </w:tc>
      </w:tr>
      <w:tr>
        <w:trPr>
          <w:trHeight w:val="223"/>
        </w:trPr>
        <w:tc>
          <w:tcPr>
            <w:tcW w:w="316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Ancillary Agreements</w:t>
            </w:r>
          </w:p>
        </w:tc>
        <w:tc>
          <w:tcPr>
            <w:tcW w:w="250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Separation Agreement</w:t>
            </w:r>
          </w:p>
        </w:tc>
      </w:tr>
      <w:tr>
        <w:trPr>
          <w:trHeight w:val="223"/>
        </w:trPr>
        <w:tc>
          <w:tcPr>
            <w:tcW w:w="3160" w:type="dxa"/>
            <w:vAlign w:val="bottom"/>
            <w:tcBorders>
              <w:left w:val="single" w:sz="8" w:color="auto"/>
              <w:bottom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 Transfer Agreement</w:t>
            </w:r>
          </w:p>
        </w:tc>
        <w:tc>
          <w:tcPr>
            <w:tcW w:w="2500" w:type="dxa"/>
            <w:vAlign w:val="bottom"/>
            <w:tcBorders>
              <w:bottom w:val="single" w:sz="8" w:color="auto"/>
              <w:right w:val="single" w:sz="8" w:color="auto"/>
            </w:tcBorders>
            <w:shd w:val="clear" w:color="auto" w:fill="CCEEFF"/>
          </w:tcPr>
          <w:p>
            <w:pPr>
              <w:spacing w:after="0"/>
              <w:rPr>
                <w:sz w:val="19"/>
                <w:szCs w:val="19"/>
                <w:color w:val="auto"/>
              </w:rPr>
            </w:pPr>
          </w:p>
        </w:tc>
        <w:tc>
          <w:tcPr>
            <w:tcW w:w="560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Recitals</w:t>
            </w:r>
          </w:p>
        </w:tc>
      </w:tr>
      <w:tr>
        <w:trPr>
          <w:trHeight w:val="223"/>
        </w:trPr>
        <w:tc>
          <w:tcPr>
            <w:tcW w:w="316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Change</w:t>
            </w:r>
          </w:p>
        </w:tc>
        <w:tc>
          <w:tcPr>
            <w:tcW w:w="250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Section 1.2(b)</w:t>
            </w:r>
          </w:p>
        </w:tc>
      </w:tr>
      <w:tr>
        <w:trPr>
          <w:trHeight w:val="223"/>
        </w:trPr>
        <w:tc>
          <w:tcPr>
            <w:tcW w:w="3160" w:type="dxa"/>
            <w:vAlign w:val="bottom"/>
            <w:tcBorders>
              <w:left w:val="single" w:sz="8" w:color="auto"/>
              <w:bottom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 Request</w:t>
            </w:r>
          </w:p>
        </w:tc>
        <w:tc>
          <w:tcPr>
            <w:tcW w:w="2500" w:type="dxa"/>
            <w:vAlign w:val="bottom"/>
            <w:tcBorders>
              <w:bottom w:val="single" w:sz="8" w:color="auto"/>
              <w:right w:val="single" w:sz="8" w:color="auto"/>
            </w:tcBorders>
            <w:shd w:val="clear" w:color="auto" w:fill="CCEEFF"/>
          </w:tcPr>
          <w:p>
            <w:pPr>
              <w:spacing w:after="0"/>
              <w:rPr>
                <w:sz w:val="19"/>
                <w:szCs w:val="19"/>
                <w:color w:val="auto"/>
              </w:rPr>
            </w:pPr>
          </w:p>
        </w:tc>
        <w:tc>
          <w:tcPr>
            <w:tcW w:w="560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Section 1.2(b)</w:t>
            </w:r>
          </w:p>
        </w:tc>
      </w:tr>
      <w:tr>
        <w:trPr>
          <w:trHeight w:val="223"/>
        </w:trPr>
        <w:tc>
          <w:tcPr>
            <w:tcW w:w="316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Consents</w:t>
            </w:r>
          </w:p>
        </w:tc>
        <w:tc>
          <w:tcPr>
            <w:tcW w:w="250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Section 1.1(d)</w:t>
            </w:r>
          </w:p>
        </w:tc>
      </w:tr>
      <w:tr>
        <w:trPr>
          <w:trHeight w:val="223"/>
        </w:trPr>
        <w:tc>
          <w:tcPr>
            <w:tcW w:w="3160" w:type="dxa"/>
            <w:vAlign w:val="bottom"/>
            <w:tcBorders>
              <w:left w:val="single" w:sz="8" w:color="auto"/>
              <w:bottom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Contract</w:t>
            </w:r>
          </w:p>
        </w:tc>
        <w:tc>
          <w:tcPr>
            <w:tcW w:w="2500" w:type="dxa"/>
            <w:vAlign w:val="bottom"/>
            <w:tcBorders>
              <w:bottom w:val="single" w:sz="8" w:color="auto"/>
              <w:right w:val="single" w:sz="8" w:color="auto"/>
            </w:tcBorders>
            <w:shd w:val="clear" w:color="auto" w:fill="CCEEFF"/>
          </w:tcPr>
          <w:p>
            <w:pPr>
              <w:spacing w:after="0"/>
              <w:rPr>
                <w:sz w:val="19"/>
                <w:szCs w:val="19"/>
                <w:color w:val="auto"/>
              </w:rPr>
            </w:pPr>
          </w:p>
        </w:tc>
        <w:tc>
          <w:tcPr>
            <w:tcW w:w="560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Separation Agreement</w:t>
            </w:r>
          </w:p>
        </w:tc>
      </w:tr>
      <w:tr>
        <w:trPr>
          <w:trHeight w:val="223"/>
        </w:trPr>
        <w:tc>
          <w:tcPr>
            <w:tcW w:w="316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Cutover</w:t>
            </w:r>
          </w:p>
        </w:tc>
        <w:tc>
          <w:tcPr>
            <w:tcW w:w="250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Section 1.1(e)</w:t>
            </w:r>
          </w:p>
        </w:tc>
      </w:tr>
      <w:tr>
        <w:trPr>
          <w:trHeight w:val="223"/>
        </w:trPr>
        <w:tc>
          <w:tcPr>
            <w:tcW w:w="3160" w:type="dxa"/>
            <w:vAlign w:val="bottom"/>
            <w:tcBorders>
              <w:left w:val="single" w:sz="8" w:color="auto"/>
              <w:bottom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Cutover Plan</w:t>
            </w:r>
          </w:p>
        </w:tc>
        <w:tc>
          <w:tcPr>
            <w:tcW w:w="2500" w:type="dxa"/>
            <w:vAlign w:val="bottom"/>
            <w:tcBorders>
              <w:bottom w:val="single" w:sz="8" w:color="auto"/>
              <w:right w:val="single" w:sz="8" w:color="auto"/>
            </w:tcBorders>
            <w:shd w:val="clear" w:color="auto" w:fill="CCEEFF"/>
          </w:tcPr>
          <w:p>
            <w:pPr>
              <w:spacing w:after="0"/>
              <w:rPr>
                <w:sz w:val="19"/>
                <w:szCs w:val="19"/>
                <w:color w:val="auto"/>
              </w:rPr>
            </w:pPr>
          </w:p>
        </w:tc>
        <w:tc>
          <w:tcPr>
            <w:tcW w:w="560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Section 1.1(e)</w:t>
            </w:r>
          </w:p>
        </w:tc>
      </w:tr>
      <w:tr>
        <w:trPr>
          <w:trHeight w:val="223"/>
        </w:trPr>
        <w:tc>
          <w:tcPr>
            <w:tcW w:w="316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Distribution</w:t>
            </w:r>
          </w:p>
        </w:tc>
        <w:tc>
          <w:tcPr>
            <w:tcW w:w="250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Separation Agreement</w:t>
            </w:r>
          </w:p>
        </w:tc>
      </w:tr>
      <w:tr>
        <w:trPr>
          <w:trHeight w:val="223"/>
        </w:trPr>
        <w:tc>
          <w:tcPr>
            <w:tcW w:w="3160" w:type="dxa"/>
            <w:vAlign w:val="bottom"/>
            <w:tcBorders>
              <w:left w:val="single" w:sz="8" w:color="auto"/>
              <w:bottom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Early Termination Notice</w:t>
            </w:r>
          </w:p>
        </w:tc>
        <w:tc>
          <w:tcPr>
            <w:tcW w:w="2500" w:type="dxa"/>
            <w:vAlign w:val="bottom"/>
            <w:tcBorders>
              <w:bottom w:val="single" w:sz="8" w:color="auto"/>
              <w:right w:val="single" w:sz="8" w:color="auto"/>
            </w:tcBorders>
            <w:shd w:val="clear" w:color="auto" w:fill="CCEEFF"/>
          </w:tcPr>
          <w:p>
            <w:pPr>
              <w:spacing w:after="0"/>
              <w:rPr>
                <w:sz w:val="19"/>
                <w:szCs w:val="19"/>
                <w:color w:val="auto"/>
              </w:rPr>
            </w:pPr>
          </w:p>
        </w:tc>
        <w:tc>
          <w:tcPr>
            <w:tcW w:w="560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Section 3.3</w:t>
            </w:r>
          </w:p>
        </w:tc>
      </w:tr>
      <w:tr>
        <w:trPr>
          <w:trHeight w:val="223"/>
        </w:trPr>
        <w:tc>
          <w:tcPr>
            <w:tcW w:w="316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Effective Date</w:t>
            </w:r>
          </w:p>
        </w:tc>
        <w:tc>
          <w:tcPr>
            <w:tcW w:w="250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Preamble</w:t>
            </w:r>
          </w:p>
        </w:tc>
      </w:tr>
      <w:tr>
        <w:trPr>
          <w:trHeight w:val="223"/>
        </w:trPr>
        <w:tc>
          <w:tcPr>
            <w:tcW w:w="3160" w:type="dxa"/>
            <w:vAlign w:val="bottom"/>
            <w:tcBorders>
              <w:left w:val="single" w:sz="8" w:color="auto"/>
              <w:bottom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2500" w:type="dxa"/>
            <w:vAlign w:val="bottom"/>
            <w:tcBorders>
              <w:bottom w:val="single" w:sz="8" w:color="auto"/>
              <w:right w:val="single" w:sz="8" w:color="auto"/>
            </w:tcBorders>
            <w:shd w:val="clear" w:color="auto" w:fill="CCEEFF"/>
          </w:tcPr>
          <w:p>
            <w:pPr>
              <w:spacing w:after="0"/>
              <w:rPr>
                <w:sz w:val="19"/>
                <w:szCs w:val="19"/>
                <w:color w:val="auto"/>
              </w:rPr>
            </w:pPr>
          </w:p>
        </w:tc>
        <w:tc>
          <w:tcPr>
            <w:tcW w:w="560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Section 2.1</w:t>
            </w:r>
          </w:p>
        </w:tc>
      </w:tr>
      <w:tr>
        <w:trPr>
          <w:trHeight w:val="223"/>
        </w:trPr>
        <w:tc>
          <w:tcPr>
            <w:tcW w:w="316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Fees</w:t>
            </w:r>
          </w:p>
        </w:tc>
        <w:tc>
          <w:tcPr>
            <w:tcW w:w="250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Section 2.1</w:t>
            </w:r>
          </w:p>
        </w:tc>
      </w:tr>
      <w:tr>
        <w:trPr>
          <w:trHeight w:val="223"/>
        </w:trPr>
        <w:tc>
          <w:tcPr>
            <w:tcW w:w="3160" w:type="dxa"/>
            <w:vAlign w:val="bottom"/>
            <w:tcBorders>
              <w:left w:val="single" w:sz="8" w:color="auto"/>
              <w:bottom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Force Majeure Event</w:t>
            </w:r>
          </w:p>
        </w:tc>
        <w:tc>
          <w:tcPr>
            <w:tcW w:w="2500" w:type="dxa"/>
            <w:vAlign w:val="bottom"/>
            <w:tcBorders>
              <w:bottom w:val="single" w:sz="8" w:color="auto"/>
              <w:right w:val="single" w:sz="8" w:color="auto"/>
            </w:tcBorders>
            <w:shd w:val="clear" w:color="auto" w:fill="CCEEFF"/>
          </w:tcPr>
          <w:p>
            <w:pPr>
              <w:spacing w:after="0"/>
              <w:rPr>
                <w:sz w:val="19"/>
                <w:szCs w:val="19"/>
                <w:color w:val="auto"/>
              </w:rPr>
            </w:pPr>
          </w:p>
        </w:tc>
        <w:tc>
          <w:tcPr>
            <w:tcW w:w="560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Section 7.1</w:t>
            </w:r>
          </w:p>
        </w:tc>
      </w:tr>
      <w:tr>
        <w:trPr>
          <w:trHeight w:val="223"/>
        </w:trPr>
        <w:tc>
          <w:tcPr>
            <w:tcW w:w="316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Law</w:t>
            </w:r>
          </w:p>
        </w:tc>
        <w:tc>
          <w:tcPr>
            <w:tcW w:w="250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Separation Agreement</w:t>
            </w:r>
          </w:p>
        </w:tc>
      </w:tr>
      <w:tr>
        <w:trPr>
          <w:trHeight w:val="223"/>
        </w:trPr>
        <w:tc>
          <w:tcPr>
            <w:tcW w:w="3160" w:type="dxa"/>
            <w:vAlign w:val="bottom"/>
            <w:tcBorders>
              <w:left w:val="single" w:sz="8" w:color="auto"/>
              <w:bottom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500" w:type="dxa"/>
            <w:vAlign w:val="bottom"/>
            <w:tcBorders>
              <w:bottom w:val="single" w:sz="8" w:color="auto"/>
              <w:right w:val="single" w:sz="8" w:color="auto"/>
            </w:tcBorders>
            <w:shd w:val="clear" w:color="auto" w:fill="CCEEFF"/>
          </w:tcPr>
          <w:p>
            <w:pPr>
              <w:spacing w:after="0"/>
              <w:rPr>
                <w:sz w:val="19"/>
                <w:szCs w:val="19"/>
                <w:color w:val="auto"/>
              </w:rPr>
            </w:pPr>
          </w:p>
        </w:tc>
        <w:tc>
          <w:tcPr>
            <w:tcW w:w="560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Separation Agreement</w:t>
            </w:r>
          </w:p>
        </w:tc>
      </w:tr>
      <w:tr>
        <w:trPr>
          <w:trHeight w:val="223"/>
        </w:trPr>
        <w:tc>
          <w:tcPr>
            <w:tcW w:w="316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Party(ies)</w:t>
            </w:r>
          </w:p>
        </w:tc>
        <w:tc>
          <w:tcPr>
            <w:tcW w:w="250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Preamble</w:t>
            </w:r>
          </w:p>
        </w:tc>
      </w:tr>
      <w:tr>
        <w:trPr>
          <w:trHeight w:val="223"/>
        </w:trPr>
        <w:tc>
          <w:tcPr>
            <w:tcW w:w="3160" w:type="dxa"/>
            <w:vAlign w:val="bottom"/>
            <w:tcBorders>
              <w:left w:val="single" w:sz="8" w:color="auto"/>
              <w:bottom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Payee</w:t>
            </w:r>
          </w:p>
        </w:tc>
        <w:tc>
          <w:tcPr>
            <w:tcW w:w="2500" w:type="dxa"/>
            <w:vAlign w:val="bottom"/>
            <w:tcBorders>
              <w:bottom w:val="single" w:sz="8" w:color="auto"/>
              <w:right w:val="single" w:sz="8" w:color="auto"/>
            </w:tcBorders>
            <w:shd w:val="clear" w:color="auto" w:fill="CCEEFF"/>
          </w:tcPr>
          <w:p>
            <w:pPr>
              <w:spacing w:after="0"/>
              <w:rPr>
                <w:sz w:val="19"/>
                <w:szCs w:val="19"/>
                <w:color w:val="auto"/>
              </w:rPr>
            </w:pPr>
          </w:p>
        </w:tc>
        <w:tc>
          <w:tcPr>
            <w:tcW w:w="560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Section 2.3</w:t>
            </w:r>
          </w:p>
        </w:tc>
      </w:tr>
      <w:tr>
        <w:trPr>
          <w:trHeight w:val="223"/>
        </w:trPr>
        <w:tc>
          <w:tcPr>
            <w:tcW w:w="316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Payor</w:t>
            </w:r>
          </w:p>
        </w:tc>
        <w:tc>
          <w:tcPr>
            <w:tcW w:w="250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Section 2.3</w:t>
            </w:r>
          </w:p>
        </w:tc>
      </w:tr>
      <w:tr>
        <w:trPr>
          <w:trHeight w:val="223"/>
        </w:trPr>
        <w:tc>
          <w:tcPr>
            <w:tcW w:w="3160" w:type="dxa"/>
            <w:vAlign w:val="bottom"/>
            <w:tcBorders>
              <w:left w:val="single" w:sz="8" w:color="auto"/>
              <w:bottom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Person</w:t>
            </w:r>
          </w:p>
        </w:tc>
        <w:tc>
          <w:tcPr>
            <w:tcW w:w="2500" w:type="dxa"/>
            <w:vAlign w:val="bottom"/>
            <w:tcBorders>
              <w:bottom w:val="single" w:sz="8" w:color="auto"/>
              <w:right w:val="single" w:sz="8" w:color="auto"/>
            </w:tcBorders>
            <w:shd w:val="clear" w:color="auto" w:fill="CCEEFF"/>
          </w:tcPr>
          <w:p>
            <w:pPr>
              <w:spacing w:after="0"/>
              <w:rPr>
                <w:sz w:val="19"/>
                <w:szCs w:val="19"/>
                <w:color w:val="auto"/>
              </w:rPr>
            </w:pPr>
          </w:p>
        </w:tc>
        <w:tc>
          <w:tcPr>
            <w:tcW w:w="560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Separation Agreement</w:t>
            </w:r>
          </w:p>
        </w:tc>
      </w:tr>
      <w:tr>
        <w:trPr>
          <w:trHeight w:val="223"/>
        </w:trPr>
        <w:tc>
          <w:tcPr>
            <w:tcW w:w="316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Project Managers</w:t>
            </w:r>
          </w:p>
        </w:tc>
        <w:tc>
          <w:tcPr>
            <w:tcW w:w="250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Section 1.1(f)</w:t>
            </w:r>
          </w:p>
        </w:tc>
      </w:tr>
      <w:tr>
        <w:trPr>
          <w:trHeight w:val="223"/>
        </w:trPr>
        <w:tc>
          <w:tcPr>
            <w:tcW w:w="3160" w:type="dxa"/>
            <w:vAlign w:val="bottom"/>
            <w:tcBorders>
              <w:left w:val="single" w:sz="8" w:color="auto"/>
              <w:bottom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Separation</w:t>
            </w:r>
          </w:p>
        </w:tc>
        <w:tc>
          <w:tcPr>
            <w:tcW w:w="2500" w:type="dxa"/>
            <w:vAlign w:val="bottom"/>
            <w:tcBorders>
              <w:bottom w:val="single" w:sz="8" w:color="auto"/>
              <w:right w:val="single" w:sz="8" w:color="auto"/>
            </w:tcBorders>
            <w:shd w:val="clear" w:color="auto" w:fill="CCEEFF"/>
          </w:tcPr>
          <w:p>
            <w:pPr>
              <w:spacing w:after="0"/>
              <w:rPr>
                <w:sz w:val="19"/>
                <w:szCs w:val="19"/>
                <w:color w:val="auto"/>
              </w:rPr>
            </w:pPr>
          </w:p>
        </w:tc>
        <w:tc>
          <w:tcPr>
            <w:tcW w:w="560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Recitals</w:t>
            </w:r>
          </w:p>
        </w:tc>
      </w:tr>
      <w:tr>
        <w:trPr>
          <w:trHeight w:val="223"/>
        </w:trPr>
        <w:tc>
          <w:tcPr>
            <w:tcW w:w="316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Separation Agreement</w:t>
            </w:r>
          </w:p>
        </w:tc>
        <w:tc>
          <w:tcPr>
            <w:tcW w:w="250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Recitals</w:t>
            </w:r>
          </w:p>
        </w:tc>
      </w:tr>
      <w:tr>
        <w:trPr>
          <w:trHeight w:val="223"/>
        </w:trPr>
        <w:tc>
          <w:tcPr>
            <w:tcW w:w="3160" w:type="dxa"/>
            <w:vAlign w:val="bottom"/>
            <w:tcBorders>
              <w:left w:val="single" w:sz="8" w:color="auto"/>
              <w:bottom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Modification</w:t>
            </w:r>
          </w:p>
        </w:tc>
        <w:tc>
          <w:tcPr>
            <w:tcW w:w="2500" w:type="dxa"/>
            <w:vAlign w:val="bottom"/>
            <w:tcBorders>
              <w:bottom w:val="single" w:sz="8" w:color="auto"/>
              <w:right w:val="single" w:sz="8" w:color="auto"/>
            </w:tcBorders>
            <w:shd w:val="clear" w:color="auto" w:fill="CCEEFF"/>
          </w:tcPr>
          <w:p>
            <w:pPr>
              <w:spacing w:after="0"/>
              <w:rPr>
                <w:sz w:val="19"/>
                <w:szCs w:val="19"/>
                <w:color w:val="auto"/>
              </w:rPr>
            </w:pPr>
          </w:p>
        </w:tc>
        <w:tc>
          <w:tcPr>
            <w:tcW w:w="560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Section 1.2(a)</w:t>
            </w:r>
          </w:p>
        </w:tc>
      </w:tr>
      <w:tr>
        <w:trPr>
          <w:trHeight w:val="223"/>
        </w:trPr>
        <w:tc>
          <w:tcPr>
            <w:tcW w:w="316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Service Standards</w:t>
            </w:r>
          </w:p>
        </w:tc>
        <w:tc>
          <w:tcPr>
            <w:tcW w:w="250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Section 1.3(a)</w:t>
            </w:r>
          </w:p>
        </w:tc>
      </w:tr>
      <w:tr>
        <w:trPr>
          <w:trHeight w:val="223"/>
        </w:trPr>
        <w:tc>
          <w:tcPr>
            <w:tcW w:w="3160" w:type="dxa"/>
            <w:vAlign w:val="bottom"/>
            <w:tcBorders>
              <w:left w:val="single" w:sz="8" w:color="auto"/>
              <w:bottom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Managers</w:t>
            </w:r>
          </w:p>
        </w:tc>
        <w:tc>
          <w:tcPr>
            <w:tcW w:w="2500" w:type="dxa"/>
            <w:vAlign w:val="bottom"/>
            <w:tcBorders>
              <w:bottom w:val="single" w:sz="8" w:color="auto"/>
              <w:right w:val="single" w:sz="8" w:color="auto"/>
            </w:tcBorders>
            <w:shd w:val="clear" w:color="auto" w:fill="CCEEFF"/>
          </w:tcPr>
          <w:p>
            <w:pPr>
              <w:spacing w:after="0"/>
              <w:rPr>
                <w:sz w:val="19"/>
                <w:szCs w:val="19"/>
                <w:color w:val="auto"/>
              </w:rPr>
            </w:pPr>
          </w:p>
        </w:tc>
        <w:tc>
          <w:tcPr>
            <w:tcW w:w="560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Section 1.1(f)</w:t>
            </w:r>
          </w:p>
        </w:tc>
      </w:tr>
      <w:tr>
        <w:trPr>
          <w:trHeight w:val="223"/>
        </w:trPr>
        <w:tc>
          <w:tcPr>
            <w:tcW w:w="316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Service Taxes</w:t>
            </w:r>
          </w:p>
        </w:tc>
        <w:tc>
          <w:tcPr>
            <w:tcW w:w="250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Section 2.3</w:t>
            </w:r>
          </w:p>
        </w:tc>
      </w:tr>
      <w:tr>
        <w:trPr>
          <w:trHeight w:val="223"/>
        </w:trPr>
        <w:tc>
          <w:tcPr>
            <w:tcW w:w="3160" w:type="dxa"/>
            <w:vAlign w:val="bottom"/>
            <w:tcBorders>
              <w:left w:val="single" w:sz="8" w:color="auto"/>
              <w:bottom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Term</w:t>
            </w:r>
          </w:p>
        </w:tc>
        <w:tc>
          <w:tcPr>
            <w:tcW w:w="2500" w:type="dxa"/>
            <w:vAlign w:val="bottom"/>
            <w:tcBorders>
              <w:bottom w:val="single" w:sz="8" w:color="auto"/>
              <w:right w:val="single" w:sz="8" w:color="auto"/>
            </w:tcBorders>
            <w:shd w:val="clear" w:color="auto" w:fill="CCEEFF"/>
          </w:tcPr>
          <w:p>
            <w:pPr>
              <w:spacing w:after="0"/>
              <w:rPr>
                <w:sz w:val="19"/>
                <w:szCs w:val="19"/>
                <w:color w:val="auto"/>
              </w:rPr>
            </w:pPr>
          </w:p>
        </w:tc>
        <w:tc>
          <w:tcPr>
            <w:tcW w:w="560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Section 3.2</w:t>
            </w:r>
          </w:p>
        </w:tc>
      </w:tr>
      <w:tr>
        <w:trPr>
          <w:trHeight w:val="223"/>
        </w:trPr>
        <w:tc>
          <w:tcPr>
            <w:tcW w:w="316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Services</w:t>
            </w:r>
          </w:p>
        </w:tc>
        <w:tc>
          <w:tcPr>
            <w:tcW w:w="250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Section 1.1(a)</w:t>
            </w:r>
          </w:p>
        </w:tc>
      </w:tr>
      <w:tr>
        <w:trPr>
          <w:trHeight w:val="223"/>
        </w:trPr>
        <w:tc>
          <w:tcPr>
            <w:tcW w:w="3160" w:type="dxa"/>
            <w:vAlign w:val="bottom"/>
            <w:tcBorders>
              <w:left w:val="single" w:sz="8" w:color="auto"/>
              <w:bottom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Subsidiary</w:t>
            </w:r>
          </w:p>
        </w:tc>
        <w:tc>
          <w:tcPr>
            <w:tcW w:w="2500" w:type="dxa"/>
            <w:vAlign w:val="bottom"/>
            <w:tcBorders>
              <w:bottom w:val="single" w:sz="8" w:color="auto"/>
              <w:right w:val="single" w:sz="8" w:color="auto"/>
            </w:tcBorders>
            <w:shd w:val="clear" w:color="auto" w:fill="CCEEFF"/>
          </w:tcPr>
          <w:p>
            <w:pPr>
              <w:spacing w:after="0"/>
              <w:rPr>
                <w:sz w:val="19"/>
                <w:szCs w:val="19"/>
                <w:color w:val="auto"/>
              </w:rPr>
            </w:pPr>
          </w:p>
        </w:tc>
        <w:tc>
          <w:tcPr>
            <w:tcW w:w="560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Separation Agreement</w:t>
            </w:r>
          </w:p>
        </w:tc>
      </w:tr>
      <w:tr>
        <w:trPr>
          <w:trHeight w:val="223"/>
        </w:trPr>
        <w:tc>
          <w:tcPr>
            <w:tcW w:w="316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Tax Matters Agreement</w:t>
            </w:r>
          </w:p>
        </w:tc>
        <w:tc>
          <w:tcPr>
            <w:tcW w:w="250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Separation Agreement</w:t>
            </w:r>
          </w:p>
        </w:tc>
      </w:tr>
      <w:tr>
        <w:trPr>
          <w:trHeight w:val="223"/>
        </w:trPr>
        <w:tc>
          <w:tcPr>
            <w:tcW w:w="3160" w:type="dxa"/>
            <w:vAlign w:val="bottom"/>
            <w:tcBorders>
              <w:left w:val="single" w:sz="8" w:color="auto"/>
              <w:bottom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TEN</w:t>
            </w:r>
          </w:p>
        </w:tc>
        <w:tc>
          <w:tcPr>
            <w:tcW w:w="2500" w:type="dxa"/>
            <w:vAlign w:val="bottom"/>
            <w:tcBorders>
              <w:bottom w:val="single" w:sz="8" w:color="auto"/>
              <w:right w:val="single" w:sz="8" w:color="auto"/>
            </w:tcBorders>
            <w:shd w:val="clear" w:color="auto" w:fill="CCEEFF"/>
          </w:tcPr>
          <w:p>
            <w:pPr>
              <w:spacing w:after="0"/>
              <w:rPr>
                <w:sz w:val="19"/>
                <w:szCs w:val="19"/>
                <w:color w:val="auto"/>
              </w:rPr>
            </w:pPr>
          </w:p>
        </w:tc>
        <w:tc>
          <w:tcPr>
            <w:tcW w:w="560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Preamble</w:t>
            </w:r>
          </w:p>
        </w:tc>
      </w:tr>
      <w:tr>
        <w:trPr>
          <w:trHeight w:val="223"/>
        </w:trPr>
        <w:tc>
          <w:tcPr>
            <w:tcW w:w="316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TEN Business</w:t>
            </w:r>
          </w:p>
        </w:tc>
        <w:tc>
          <w:tcPr>
            <w:tcW w:w="250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Separation Agreement</w:t>
            </w:r>
          </w:p>
        </w:tc>
      </w:tr>
      <w:tr>
        <w:trPr>
          <w:trHeight w:val="223"/>
        </w:trPr>
        <w:tc>
          <w:tcPr>
            <w:tcW w:w="3160" w:type="dxa"/>
            <w:vAlign w:val="bottom"/>
            <w:tcBorders>
              <w:left w:val="single" w:sz="8" w:color="auto"/>
              <w:bottom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w:t>
            </w:r>
          </w:p>
        </w:tc>
        <w:tc>
          <w:tcPr>
            <w:tcW w:w="2500" w:type="dxa"/>
            <w:vAlign w:val="bottom"/>
            <w:tcBorders>
              <w:bottom w:val="single" w:sz="8" w:color="auto"/>
              <w:right w:val="single" w:sz="8" w:color="auto"/>
            </w:tcBorders>
            <w:shd w:val="clear" w:color="auto" w:fill="CCEEFF"/>
          </w:tcPr>
          <w:p>
            <w:pPr>
              <w:spacing w:after="0"/>
              <w:rPr>
                <w:sz w:val="19"/>
                <w:szCs w:val="19"/>
                <w:color w:val="auto"/>
              </w:rPr>
            </w:pPr>
          </w:p>
        </w:tc>
        <w:tc>
          <w:tcPr>
            <w:tcW w:w="560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Section 3.1</w:t>
            </w:r>
          </w:p>
        </w:tc>
      </w:tr>
      <w:tr>
        <w:trPr>
          <w:trHeight w:val="223"/>
        </w:trPr>
        <w:tc>
          <w:tcPr>
            <w:tcW w:w="316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Termination Services</w:t>
            </w:r>
          </w:p>
        </w:tc>
        <w:tc>
          <w:tcPr>
            <w:tcW w:w="250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Section 3.5(a)</w:t>
            </w:r>
          </w:p>
        </w:tc>
      </w:tr>
      <w:tr>
        <w:trPr>
          <w:trHeight w:val="240"/>
        </w:trPr>
        <w:tc>
          <w:tcPr>
            <w:tcW w:w="3160" w:type="dxa"/>
            <w:vAlign w:val="bottom"/>
            <w:tcBorders>
              <w:left w:val="single" w:sz="8" w:color="auto"/>
              <w:bottom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TFMC</w:t>
            </w:r>
          </w:p>
        </w:tc>
        <w:tc>
          <w:tcPr>
            <w:tcW w:w="2500" w:type="dxa"/>
            <w:vAlign w:val="bottom"/>
            <w:tcBorders>
              <w:bottom w:val="single" w:sz="8" w:color="auto"/>
              <w:right w:val="single" w:sz="8" w:color="auto"/>
            </w:tcBorders>
            <w:shd w:val="clear" w:color="auto" w:fill="CCEEFF"/>
          </w:tcPr>
          <w:p>
            <w:pPr>
              <w:spacing w:after="0"/>
              <w:rPr>
                <w:sz w:val="20"/>
                <w:szCs w:val="20"/>
                <w:color w:val="auto"/>
              </w:rPr>
            </w:pPr>
          </w:p>
        </w:tc>
        <w:tc>
          <w:tcPr>
            <w:tcW w:w="560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Preamble</w:t>
            </w:r>
          </w:p>
        </w:tc>
      </w:tr>
      <w:tr>
        <w:trPr>
          <w:trHeight w:val="206"/>
        </w:trPr>
        <w:tc>
          <w:tcPr>
            <w:tcW w:w="3160" w:type="dxa"/>
            <w:vAlign w:val="bottom"/>
            <w:tcBorders>
              <w:left w:val="single" w:sz="8" w:color="auto"/>
              <w:bottom w:val="single" w:sz="8" w:color="auto"/>
            </w:tcBorders>
            <w:gridSpan w:val="2"/>
          </w:tcPr>
          <w:p>
            <w:pPr>
              <w:ind w:left="40"/>
              <w:spacing w:after="0" w:line="200" w:lineRule="exact"/>
              <w:rPr>
                <w:sz w:val="20"/>
                <w:szCs w:val="20"/>
                <w:color w:val="auto"/>
              </w:rPr>
            </w:pPr>
            <w:r>
              <w:rPr>
                <w:rFonts w:ascii="Arial" w:cs="Arial" w:eastAsia="Arial" w:hAnsi="Arial"/>
                <w:sz w:val="18"/>
                <w:szCs w:val="18"/>
                <w:color w:val="auto"/>
              </w:rPr>
              <w:t>TFMC Business</w:t>
            </w:r>
          </w:p>
        </w:tc>
        <w:tc>
          <w:tcPr>
            <w:tcW w:w="2500" w:type="dxa"/>
            <w:vAlign w:val="bottom"/>
            <w:tcBorders>
              <w:bottom w:val="single" w:sz="8" w:color="auto"/>
              <w:right w:val="single" w:sz="8" w:color="auto"/>
            </w:tcBorders>
          </w:tcPr>
          <w:p>
            <w:pPr>
              <w:spacing w:after="0"/>
              <w:rPr>
                <w:sz w:val="17"/>
                <w:szCs w:val="17"/>
                <w:color w:val="auto"/>
              </w:rPr>
            </w:pPr>
          </w:p>
        </w:tc>
        <w:tc>
          <w:tcPr>
            <w:tcW w:w="5600" w:type="dxa"/>
            <w:vAlign w:val="bottom"/>
            <w:tcBorders>
              <w:bottom w:val="single" w:sz="8" w:color="auto"/>
              <w:right w:val="single" w:sz="8" w:color="auto"/>
            </w:tcBorders>
            <w:gridSpan w:val="2"/>
          </w:tcPr>
          <w:p>
            <w:pPr>
              <w:jc w:val="right"/>
              <w:spacing w:after="0" w:line="200" w:lineRule="exact"/>
              <w:rPr>
                <w:sz w:val="20"/>
                <w:szCs w:val="20"/>
                <w:color w:val="auto"/>
              </w:rPr>
            </w:pPr>
            <w:r>
              <w:rPr>
                <w:rFonts w:ascii="Arial" w:cs="Arial" w:eastAsia="Arial" w:hAnsi="Arial"/>
                <w:sz w:val="18"/>
                <w:szCs w:val="18"/>
                <w:color w:val="auto"/>
              </w:rPr>
              <w:t>Separation Agreement</w:t>
            </w:r>
          </w:p>
        </w:tc>
      </w:tr>
      <w:tr>
        <w:trPr>
          <w:trHeight w:val="399"/>
        </w:trPr>
        <w:tc>
          <w:tcPr>
            <w:tcW w:w="11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43" w:name="page144"/>
    <w:bookmarkEnd w:id="143"/>
    <w:p>
      <w:pPr>
        <w:jc w:val="center"/>
        <w:ind w:right="-179"/>
        <w:spacing w:after="0"/>
        <w:rPr>
          <w:sz w:val="20"/>
          <w:szCs w:val="20"/>
          <w:color w:val="auto"/>
        </w:rPr>
      </w:pPr>
      <w:r>
        <w:rPr>
          <w:rFonts w:ascii="Arial" w:cs="Arial" w:eastAsia="Arial" w:hAnsi="Arial"/>
          <w:sz w:val="18"/>
          <w:szCs w:val="18"/>
          <w:b w:val="1"/>
          <w:bCs w:val="1"/>
          <w:color w:val="auto"/>
        </w:rPr>
        <w:t>ANNEX IV</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Costing Methodology</w:t>
      </w:r>
    </w:p>
    <w:p>
      <w:pPr>
        <w:spacing w:after="0" w:line="211"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Fully Burdened Cost</w:t>
      </w:r>
      <w:r>
        <w:rPr>
          <w:rFonts w:ascii="Arial" w:cs="Arial" w:eastAsia="Arial" w:hAnsi="Arial"/>
          <w:sz w:val="16"/>
          <w:szCs w:val="16"/>
          <w:color w:val="auto"/>
        </w:rPr>
        <w:t>” represents the total cost to provide a Service. The intent is to assign to the Service all direct costs (including direct labor at average labor rates, direct supervision, benefits, travel and related costs, service-related training and any direct third party costs incurred to provide the Service) as well as a relevant portion of overhead. Overhead includes the necessary costs to support the provision of a Service including indirect labor, building occupancy costs, depreciation, information technology costs, site costs, and supplies. Average departmental labor rates are normally used to charge direct labor to a product or Service. Actual material purchase prices are used to charge direct materials to a product or Service.</w:t>
      </w:r>
    </w:p>
    <w:p>
      <w:pPr>
        <w:spacing w:after="0" w:line="161" w:lineRule="exact"/>
        <w:rPr>
          <w:sz w:val="20"/>
          <w:szCs w:val="20"/>
          <w:color w:val="auto"/>
        </w:rPr>
      </w:pPr>
    </w:p>
    <w:p>
      <w:pPr>
        <w:ind w:left="660" w:right="460" w:hanging="4"/>
        <w:spacing w:after="0" w:line="277" w:lineRule="auto"/>
        <w:tabs>
          <w:tab w:leader="none" w:pos="1215"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Methodology</w:t>
      </w:r>
      <w:r>
        <w:rPr>
          <w:rFonts w:ascii="Arial" w:cs="Arial" w:eastAsia="Arial" w:hAnsi="Arial"/>
          <w:sz w:val="18"/>
          <w:szCs w:val="18"/>
          <w:color w:val="auto"/>
        </w:rPr>
        <w:t>. Provider will use a methodology similar to the following to calculate the Fully Burdened Cost to provide a Service: The Service to be performed will be defined (e.g., Accounts Payable, Accounts Receivable).</w:t>
      </w:r>
    </w:p>
    <w:p>
      <w:pPr>
        <w:spacing w:after="0" w:line="170" w:lineRule="exact"/>
        <w:rPr>
          <w:rFonts w:ascii="Arial" w:cs="Arial" w:eastAsia="Arial" w:hAnsi="Arial"/>
          <w:sz w:val="18"/>
          <w:szCs w:val="18"/>
          <w:color w:val="auto"/>
        </w:rPr>
      </w:pPr>
    </w:p>
    <w:p>
      <w:pPr>
        <w:ind w:left="660" w:right="260" w:firstLine="644"/>
        <w:spacing w:after="0" w:line="263" w:lineRule="auto"/>
        <w:tabs>
          <w:tab w:leader="none" w:pos="2131" w:val="left"/>
        </w:tabs>
        <w:numPr>
          <w:ilvl w:val="1"/>
          <w:numId w:val="79"/>
        </w:numPr>
        <w:rPr>
          <w:rFonts w:ascii="Arial" w:cs="Arial" w:eastAsia="Arial" w:hAnsi="Arial"/>
          <w:sz w:val="18"/>
          <w:szCs w:val="18"/>
          <w:color w:val="auto"/>
        </w:rPr>
      </w:pPr>
      <w:r>
        <w:rPr>
          <w:rFonts w:ascii="Arial" w:cs="Arial" w:eastAsia="Arial" w:hAnsi="Arial"/>
          <w:sz w:val="18"/>
          <w:szCs w:val="18"/>
          <w:color w:val="auto"/>
        </w:rPr>
        <w:t>Direct costs to provide the Service are charged directly to the applicable Provider providing this Service. These costs generally include direct labor, direct supervision, employee benefits, travel and related costs, service-related training, Taxes, permits, and any direct third party costs incurred to provide the Service.</w:t>
      </w:r>
    </w:p>
    <w:p>
      <w:pPr>
        <w:spacing w:after="0" w:line="183" w:lineRule="exact"/>
        <w:rPr>
          <w:rFonts w:ascii="Arial" w:cs="Arial" w:eastAsia="Arial" w:hAnsi="Arial"/>
          <w:sz w:val="18"/>
          <w:szCs w:val="18"/>
          <w:color w:val="auto"/>
        </w:rPr>
      </w:pPr>
    </w:p>
    <w:p>
      <w:pPr>
        <w:ind w:left="660" w:firstLine="644"/>
        <w:spacing w:after="0" w:line="308" w:lineRule="auto"/>
        <w:tabs>
          <w:tab w:leader="none" w:pos="2121" w:val="left"/>
        </w:tabs>
        <w:numPr>
          <w:ilvl w:val="1"/>
          <w:numId w:val="79"/>
        </w:numPr>
        <w:rPr>
          <w:rFonts w:ascii="Arial" w:cs="Arial" w:eastAsia="Arial" w:hAnsi="Arial"/>
          <w:sz w:val="17"/>
          <w:szCs w:val="17"/>
          <w:color w:val="auto"/>
        </w:rPr>
      </w:pPr>
      <w:r>
        <w:rPr>
          <w:rFonts w:ascii="Arial" w:cs="Arial" w:eastAsia="Arial" w:hAnsi="Arial"/>
          <w:sz w:val="17"/>
          <w:szCs w:val="17"/>
          <w:color w:val="auto"/>
        </w:rPr>
        <w:t>Direct costs will be allocated to the Service being provided using appropriate and available cost drivers or based on an effort study to determine the portion of the total effort of the relevant Provider utilized to provide the defined Service in A. above.</w:t>
      </w:r>
    </w:p>
    <w:p>
      <w:pPr>
        <w:spacing w:after="0" w:line="146" w:lineRule="exact"/>
        <w:rPr>
          <w:rFonts w:ascii="Arial" w:cs="Arial" w:eastAsia="Arial" w:hAnsi="Arial"/>
          <w:sz w:val="17"/>
          <w:szCs w:val="17"/>
          <w:color w:val="auto"/>
        </w:rPr>
      </w:pPr>
    </w:p>
    <w:p>
      <w:pPr>
        <w:ind w:left="660" w:right="400" w:firstLine="644"/>
        <w:spacing w:after="0" w:line="263" w:lineRule="auto"/>
        <w:tabs>
          <w:tab w:leader="none" w:pos="2121"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 allocation of overhead to the Service being provided will be determined by first identifying relevant overhead costs necessary to support the Service. Second, an appropriate and available cost driver will be used to relate the overhead to the Service being provided.</w:t>
      </w:r>
    </w:p>
    <w:p>
      <w:pPr>
        <w:spacing w:after="0" w:line="183" w:lineRule="exact"/>
        <w:rPr>
          <w:rFonts w:ascii="Arial" w:cs="Arial" w:eastAsia="Arial" w:hAnsi="Arial"/>
          <w:sz w:val="18"/>
          <w:szCs w:val="18"/>
          <w:color w:val="auto"/>
        </w:rPr>
      </w:pPr>
    </w:p>
    <w:p>
      <w:pPr>
        <w:ind w:left="660" w:right="80" w:firstLine="644"/>
        <w:spacing w:after="0" w:line="342" w:lineRule="auto"/>
        <w:tabs>
          <w:tab w:leader="none" w:pos="2131" w:val="left"/>
        </w:tabs>
        <w:numPr>
          <w:ilvl w:val="1"/>
          <w:numId w:val="79"/>
        </w:numPr>
        <w:rPr>
          <w:rFonts w:ascii="Arial" w:cs="Arial" w:eastAsia="Arial" w:hAnsi="Arial"/>
          <w:sz w:val="16"/>
          <w:szCs w:val="16"/>
          <w:color w:val="auto"/>
        </w:rPr>
      </w:pPr>
      <w:r>
        <w:rPr>
          <w:rFonts w:ascii="Arial" w:cs="Arial" w:eastAsia="Arial" w:hAnsi="Arial"/>
          <w:sz w:val="16"/>
          <w:szCs w:val="16"/>
          <w:color w:val="auto"/>
        </w:rPr>
        <w:t>Fully Burdened Cost is equal to the sum of direct costs as determined in B and allocated overhead as determined in C. The unit charge rate for each Service provided is determined by dividing the total cost by the forecast/actual units (e.g., direct hours, etc.).</w:t>
      </w:r>
    </w:p>
    <w:p>
      <w:pPr>
        <w:spacing w:after="0" w:line="124" w:lineRule="exact"/>
        <w:rPr>
          <w:sz w:val="20"/>
          <w:szCs w:val="20"/>
          <w:color w:val="auto"/>
        </w:rPr>
      </w:pPr>
    </w:p>
    <w:p>
      <w:pPr>
        <w:ind w:left="1460" w:hanging="804"/>
        <w:spacing w:after="0"/>
        <w:tabs>
          <w:tab w:leader="none" w:pos="1460"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Example Overhead Costs</w:t>
      </w:r>
      <w:r>
        <w:rPr>
          <w:rFonts w:ascii="Arial" w:cs="Arial" w:eastAsia="Arial" w:hAnsi="Arial"/>
          <w:sz w:val="16"/>
          <w:szCs w:val="16"/>
          <w:color w:val="auto"/>
        </w:rPr>
        <w:t>. The overhead portion of Fully Burdened Cost attributable to a Service shall include (but is not limited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costs such as:</w:t>
      </w:r>
    </w:p>
    <w:p>
      <w:pPr>
        <w:spacing w:after="0" w:line="210" w:lineRule="exact"/>
        <w:rPr>
          <w:rFonts w:ascii="Arial" w:cs="Arial" w:eastAsia="Arial" w:hAnsi="Arial"/>
          <w:sz w:val="16"/>
          <w:szCs w:val="16"/>
          <w:color w:val="auto"/>
        </w:rPr>
      </w:pPr>
    </w:p>
    <w:p>
      <w:pPr>
        <w:ind w:left="660" w:right="40" w:firstLine="644"/>
        <w:spacing w:after="0" w:line="277" w:lineRule="auto"/>
        <w:tabs>
          <w:tab w:leader="none" w:pos="2068" w:val="left"/>
        </w:tabs>
        <w:numPr>
          <w:ilvl w:val="1"/>
          <w:numId w:val="80"/>
        </w:numPr>
        <w:rPr>
          <w:rFonts w:ascii="Arial" w:cs="Arial" w:eastAsia="Arial" w:hAnsi="Arial"/>
          <w:sz w:val="18"/>
          <w:szCs w:val="18"/>
          <w:color w:val="auto"/>
        </w:rPr>
      </w:pPr>
      <w:r>
        <w:rPr>
          <w:rFonts w:ascii="Arial" w:cs="Arial" w:eastAsia="Arial" w:hAnsi="Arial"/>
          <w:sz w:val="18"/>
          <w:szCs w:val="18"/>
          <w:color w:val="auto"/>
        </w:rPr>
        <w:t>Information technology costs including voice communication, data communication, desktop hardware and software, desktop support, application support, data center and related hardware costs and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144" w:name="page145"/>
    <w:bookmarkEnd w:id="144"/>
    <w:p>
      <w:pPr>
        <w:ind w:left="2000" w:hanging="696"/>
        <w:spacing w:after="0"/>
        <w:tabs>
          <w:tab w:leader="none" w:pos="20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Related costs including rent, property and related Taxes, insurance and depreciation.</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Maintenance.</w:t>
      </w:r>
    </w:p>
    <w:p>
      <w:pPr>
        <w:spacing w:after="0" w:line="225" w:lineRule="exact"/>
        <w:rPr>
          <w:rFonts w:ascii="Arial" w:cs="Arial" w:eastAsia="Arial" w:hAnsi="Arial"/>
          <w:sz w:val="18"/>
          <w:szCs w:val="18"/>
          <w:color w:val="auto"/>
        </w:rPr>
      </w:pPr>
    </w:p>
    <w:p>
      <w:pPr>
        <w:ind w:left="2020" w:hanging="716"/>
        <w:spacing w:after="0"/>
        <w:tabs>
          <w:tab w:leader="none" w:pos="20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Utilities.</w:t>
      </w:r>
    </w:p>
    <w:p>
      <w:pPr>
        <w:spacing w:after="0" w:line="225" w:lineRule="exact"/>
        <w:rPr>
          <w:rFonts w:ascii="Arial" w:cs="Arial" w:eastAsia="Arial" w:hAnsi="Arial"/>
          <w:sz w:val="18"/>
          <w:szCs w:val="18"/>
          <w:color w:val="auto"/>
        </w:rPr>
      </w:pPr>
    </w:p>
    <w:p>
      <w:pPr>
        <w:ind w:left="2040" w:hanging="736"/>
        <w:spacing w:after="0"/>
        <w:tabs>
          <w:tab w:leader="none" w:pos="2040" w:val="left"/>
        </w:tabs>
        <w:numPr>
          <w:ilvl w:val="1"/>
          <w:numId w:val="81"/>
        </w:numPr>
        <w:rPr>
          <w:rFonts w:ascii="Arial" w:cs="Arial" w:eastAsia="Arial" w:hAnsi="Arial"/>
          <w:sz w:val="18"/>
          <w:szCs w:val="18"/>
          <w:color w:val="auto"/>
        </w:rPr>
      </w:pPr>
      <w:r>
        <w:rPr>
          <w:rFonts w:ascii="Arial" w:cs="Arial" w:eastAsia="Arial" w:hAnsi="Arial"/>
          <w:sz w:val="18"/>
          <w:szCs w:val="18"/>
          <w:color w:val="auto"/>
        </w:rPr>
        <w:t>Security costs.</w:t>
      </w:r>
    </w:p>
    <w:p>
      <w:pPr>
        <w:spacing w:after="0" w:line="225" w:lineRule="exact"/>
        <w:rPr>
          <w:rFonts w:ascii="Arial" w:cs="Arial" w:eastAsia="Arial" w:hAnsi="Arial"/>
          <w:sz w:val="18"/>
          <w:szCs w:val="18"/>
          <w:color w:val="auto"/>
        </w:rPr>
      </w:pPr>
    </w:p>
    <w:p>
      <w:pPr>
        <w:ind w:left="2020" w:hanging="716"/>
        <w:spacing w:after="0"/>
        <w:tabs>
          <w:tab w:leader="none" w:pos="20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Office administration and supplies.</w:t>
      </w:r>
    </w:p>
    <w:p>
      <w:pPr>
        <w:spacing w:after="0" w:line="225" w:lineRule="exact"/>
        <w:rPr>
          <w:rFonts w:ascii="Arial" w:cs="Arial" w:eastAsia="Arial" w:hAnsi="Arial"/>
          <w:sz w:val="18"/>
          <w:szCs w:val="18"/>
          <w:color w:val="auto"/>
        </w:rPr>
      </w:pPr>
    </w:p>
    <w:p>
      <w:pPr>
        <w:ind w:right="360" w:firstLine="648"/>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III. </w:t>
      </w:r>
      <w:r>
        <w:rPr>
          <w:rFonts w:ascii="Arial" w:cs="Arial" w:eastAsia="Arial" w:hAnsi="Arial"/>
          <w:sz w:val="18"/>
          <w:szCs w:val="18"/>
          <w:u w:val="single" w:color="auto"/>
          <w:color w:val="auto"/>
        </w:rPr>
        <w:t>Examples of Overhead Costs Not Included in Overhead Calculations</w:t>
      </w:r>
      <w:r>
        <w:rPr>
          <w:rFonts w:ascii="Arial" w:cs="Arial" w:eastAsia="Arial" w:hAnsi="Arial"/>
          <w:sz w:val="18"/>
          <w:szCs w:val="18"/>
          <w:color w:val="auto"/>
        </w:rPr>
        <w:t>. The following costs will not be includable in the overhead portion of Fully Burdened Cost:</w:t>
      </w:r>
    </w:p>
    <w:p>
      <w:pPr>
        <w:spacing w:after="0" w:line="170" w:lineRule="exact"/>
        <w:rPr>
          <w:rFonts w:ascii="Arial" w:cs="Arial" w:eastAsia="Arial" w:hAnsi="Arial"/>
          <w:sz w:val="18"/>
          <w:szCs w:val="18"/>
          <w:color w:val="auto"/>
        </w:rPr>
      </w:pPr>
    </w:p>
    <w:p>
      <w:pPr>
        <w:ind w:left="660" w:firstLine="644"/>
        <w:spacing w:after="0" w:line="342" w:lineRule="auto"/>
        <w:tabs>
          <w:tab w:leader="none" w:pos="2131" w:val="left"/>
        </w:tabs>
        <w:numPr>
          <w:ilvl w:val="1"/>
          <w:numId w:val="82"/>
        </w:numPr>
        <w:rPr>
          <w:rFonts w:ascii="Arial" w:cs="Arial" w:eastAsia="Arial" w:hAnsi="Arial"/>
          <w:sz w:val="16"/>
          <w:szCs w:val="16"/>
          <w:color w:val="auto"/>
        </w:rPr>
      </w:pPr>
      <w:r>
        <w:rPr>
          <w:rFonts w:ascii="Arial" w:cs="Arial" w:eastAsia="Arial" w:hAnsi="Arial"/>
          <w:sz w:val="16"/>
          <w:szCs w:val="16"/>
          <w:color w:val="auto"/>
        </w:rPr>
        <w:t>Costs for corporate executives, including the CEO and those overseeing the following functions: Finance, Human Resources, Information Technology, Supply, Chain Management and Logistics, Corporate Marketing, and Corporate Research and Development.</w:t>
      </w:r>
    </w:p>
    <w:p>
      <w:pPr>
        <w:spacing w:after="0" w:line="123" w:lineRule="exact"/>
        <w:rPr>
          <w:rFonts w:ascii="Arial" w:cs="Arial" w:eastAsia="Arial" w:hAnsi="Arial"/>
          <w:sz w:val="16"/>
          <w:szCs w:val="16"/>
          <w:color w:val="auto"/>
        </w:rPr>
      </w:pPr>
    </w:p>
    <w:p>
      <w:pPr>
        <w:ind w:left="2120" w:hanging="816"/>
        <w:spacing w:after="0"/>
        <w:tabs>
          <w:tab w:leader="none" w:pos="21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Corporate marketing costs.</w:t>
      </w:r>
    </w:p>
    <w:p>
      <w:pPr>
        <w:spacing w:after="0" w:line="225" w:lineRule="exact"/>
        <w:rPr>
          <w:rFonts w:ascii="Arial" w:cs="Arial" w:eastAsia="Arial" w:hAnsi="Arial"/>
          <w:sz w:val="18"/>
          <w:szCs w:val="18"/>
          <w:color w:val="auto"/>
        </w:rPr>
      </w:pPr>
    </w:p>
    <w:p>
      <w:pPr>
        <w:ind w:left="2120" w:hanging="816"/>
        <w:spacing w:after="0"/>
        <w:tabs>
          <w:tab w:leader="none" w:pos="21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cost that does not directly or indirectly support the Service being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45" w:name="page146"/>
    <w:bookmarkEnd w:id="145"/>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233680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PATENT LICENSE AGREEMENT</w:t>
      </w:r>
    </w:p>
    <w:p>
      <w:pPr>
        <w:spacing w:after="0" w:line="245"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by and between</w:t>
      </w: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TECHNIPFMC PLC</w:t>
      </w: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AND</w:t>
      </w: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TECHNIP ENERGIES N.V.</w:t>
      </w:r>
    </w:p>
    <w:p>
      <w:pPr>
        <w:spacing w:after="0" w:line="233" w:lineRule="exact"/>
        <w:rPr>
          <w:sz w:val="20"/>
          <w:szCs w:val="20"/>
          <w:color w:val="auto"/>
        </w:rPr>
      </w:pPr>
    </w:p>
    <w:p>
      <w:pPr>
        <w:ind w:left="3120"/>
        <w:spacing w:after="0"/>
        <w:rPr>
          <w:sz w:val="20"/>
          <w:szCs w:val="20"/>
          <w:color w:val="auto"/>
        </w:rPr>
      </w:pPr>
      <w:r>
        <w:rPr>
          <w:rFonts w:ascii="Arial" w:cs="Arial" w:eastAsia="Arial" w:hAnsi="Arial"/>
          <w:sz w:val="22"/>
          <w:szCs w:val="22"/>
          <w:b w:val="1"/>
          <w:bCs w:val="1"/>
          <w:color w:val="auto"/>
        </w:rPr>
        <w:t>Dated as of February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387985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1048385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74" w:right="33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7720" w:type="dxa"/>
            <w:vAlign w:val="bottom"/>
          </w:tcPr>
          <w:p>
            <w:pPr>
              <w:ind w:left="3400"/>
              <w:spacing w:after="0"/>
              <w:rPr>
                <w:sz w:val="20"/>
                <w:szCs w:val="20"/>
                <w:color w:val="auto"/>
              </w:rPr>
            </w:pPr>
            <w:r>
              <w:rPr>
                <w:rFonts w:ascii="Arial" w:cs="Arial" w:eastAsia="Arial" w:hAnsi="Arial"/>
                <w:sz w:val="22"/>
                <w:szCs w:val="22"/>
                <w:b w:val="1"/>
                <w:bCs w:val="1"/>
                <w:color w:val="auto"/>
              </w:rPr>
              <w:t>TABLE OF CONTENTS</w:t>
            </w:r>
          </w:p>
        </w:tc>
        <w:tc>
          <w:tcPr>
            <w:tcW w:w="2480" w:type="dxa"/>
            <w:vAlign w:val="bottom"/>
            <w:gridSpan w:val="2"/>
            <w:vMerge w:val="restart"/>
          </w:tcPr>
          <w:p>
            <w:pPr>
              <w:jc w:val="right"/>
              <w:ind w:right="20"/>
              <w:spacing w:after="0"/>
              <w:rPr>
                <w:sz w:val="20"/>
                <w:szCs w:val="20"/>
                <w:color w:val="auto"/>
              </w:rPr>
            </w:pPr>
            <w:r>
              <w:rPr>
                <w:rFonts w:ascii="Arial" w:cs="Arial" w:eastAsia="Arial" w:hAnsi="Arial"/>
                <w:sz w:val="22"/>
                <w:szCs w:val="22"/>
                <w:b w:val="1"/>
                <w:bCs w:val="1"/>
                <w:color w:val="auto"/>
              </w:rPr>
              <w:t>Page</w:t>
            </w: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1"/>
                <w:szCs w:val="21"/>
                <w:color w:val="auto"/>
              </w:rPr>
            </w:pPr>
          </w:p>
        </w:tc>
        <w:tc>
          <w:tcPr>
            <w:tcW w:w="7720" w:type="dxa"/>
            <w:vAlign w:val="bottom"/>
          </w:tcPr>
          <w:p>
            <w:pPr>
              <w:spacing w:after="0"/>
              <w:rPr>
                <w:sz w:val="21"/>
                <w:szCs w:val="21"/>
                <w:color w:val="auto"/>
              </w:rPr>
            </w:pPr>
          </w:p>
        </w:tc>
        <w:tc>
          <w:tcPr>
            <w:tcW w:w="24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780" w:type="dxa"/>
            <w:vAlign w:val="bottom"/>
            <w:gridSpan w:val="2"/>
          </w:tcPr>
          <w:p>
            <w:pPr>
              <w:spacing w:after="0"/>
              <w:rPr>
                <w:sz w:val="20"/>
                <w:szCs w:val="20"/>
                <w:color w:val="auto"/>
              </w:rPr>
            </w:pPr>
          </w:p>
        </w:tc>
        <w:tc>
          <w:tcPr>
            <w:tcW w:w="246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 LICENSES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7720" w:type="dxa"/>
            <w:vAlign w:val="bottom"/>
          </w:tcPr>
          <w:p>
            <w:pPr>
              <w:ind w:left="80"/>
              <w:spacing w:after="0"/>
              <w:rPr>
                <w:sz w:val="20"/>
                <w:szCs w:val="20"/>
                <w:color w:val="auto"/>
              </w:rPr>
            </w:pPr>
            <w:r>
              <w:rPr>
                <w:rFonts w:ascii="Arial" w:cs="Arial" w:eastAsia="Arial" w:hAnsi="Arial"/>
                <w:sz w:val="18"/>
                <w:szCs w:val="18"/>
                <w:color w:val="auto"/>
              </w:rPr>
              <w:t>Retention of License to TFMC</w:t>
            </w:r>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1.2</w:t>
            </w:r>
          </w:p>
        </w:tc>
        <w:tc>
          <w:tcPr>
            <w:tcW w:w="7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License of Licensed TFMC Patents to TEN</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jc w:val="center"/>
              <w:spacing w:after="0"/>
              <w:rPr>
                <w:sz w:val="20"/>
                <w:szCs w:val="20"/>
                <w:color w:val="auto"/>
              </w:rPr>
            </w:pPr>
            <w:r>
              <w:rPr>
                <w:rFonts w:ascii="Arial" w:cs="Arial" w:eastAsia="Arial" w:hAnsi="Arial"/>
                <w:sz w:val="18"/>
                <w:szCs w:val="18"/>
                <w:color w:val="auto"/>
                <w:w w:val="87"/>
              </w:rPr>
              <w:t>1.3</w:t>
            </w:r>
          </w:p>
        </w:tc>
        <w:tc>
          <w:tcPr>
            <w:tcW w:w="7720" w:type="dxa"/>
            <w:vAlign w:val="bottom"/>
          </w:tcPr>
          <w:p>
            <w:pPr>
              <w:ind w:left="80"/>
              <w:spacing w:after="0"/>
              <w:rPr>
                <w:sz w:val="20"/>
                <w:szCs w:val="20"/>
                <w:color w:val="auto"/>
              </w:rPr>
            </w:pPr>
            <w:r>
              <w:rPr>
                <w:rFonts w:ascii="Arial" w:cs="Arial" w:eastAsia="Arial" w:hAnsi="Arial"/>
                <w:sz w:val="18"/>
                <w:szCs w:val="18"/>
                <w:color w:val="auto"/>
              </w:rPr>
              <w:t>License of Flexible Patents to TEN.</w:t>
            </w:r>
          </w:p>
        </w:tc>
        <w:tc>
          <w:tcPr>
            <w:tcW w:w="246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1.4</w:t>
            </w:r>
          </w:p>
        </w:tc>
        <w:tc>
          <w:tcPr>
            <w:tcW w:w="7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License of Fixed Offshore Platform Patents to TEN.</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jc w:val="center"/>
              <w:spacing w:after="0"/>
              <w:rPr>
                <w:sz w:val="20"/>
                <w:szCs w:val="20"/>
                <w:color w:val="auto"/>
              </w:rPr>
            </w:pPr>
            <w:r>
              <w:rPr>
                <w:rFonts w:ascii="Arial" w:cs="Arial" w:eastAsia="Arial" w:hAnsi="Arial"/>
                <w:sz w:val="18"/>
                <w:szCs w:val="18"/>
                <w:color w:val="auto"/>
                <w:w w:val="87"/>
              </w:rPr>
              <w:t>1.5</w:t>
            </w:r>
          </w:p>
        </w:tc>
        <w:tc>
          <w:tcPr>
            <w:tcW w:w="7720" w:type="dxa"/>
            <w:vAlign w:val="bottom"/>
          </w:tcPr>
          <w:p>
            <w:pPr>
              <w:ind w:left="80"/>
              <w:spacing w:after="0"/>
              <w:rPr>
                <w:sz w:val="20"/>
                <w:szCs w:val="20"/>
                <w:color w:val="auto"/>
              </w:rPr>
            </w:pPr>
            <w:r>
              <w:rPr>
                <w:rFonts w:ascii="Arial" w:cs="Arial" w:eastAsia="Arial" w:hAnsi="Arial"/>
                <w:sz w:val="18"/>
                <w:szCs w:val="18"/>
                <w:color w:val="auto"/>
              </w:rPr>
              <w:t>Reservation of Rights</w:t>
            </w:r>
          </w:p>
        </w:tc>
        <w:tc>
          <w:tcPr>
            <w:tcW w:w="246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1.6</w:t>
            </w:r>
          </w:p>
        </w:tc>
        <w:tc>
          <w:tcPr>
            <w:tcW w:w="7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Acknowledgements and Covenants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ARTICLE II.</w:t>
            </w:r>
          </w:p>
        </w:tc>
        <w:tc>
          <w:tcPr>
            <w:tcW w:w="7720" w:type="dxa"/>
            <w:vAlign w:val="bottom"/>
          </w:tcPr>
          <w:p>
            <w:pPr>
              <w:spacing w:after="0"/>
              <w:rPr>
                <w:sz w:val="18"/>
                <w:szCs w:val="18"/>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2.1</w:t>
            </w:r>
          </w:p>
        </w:tc>
        <w:tc>
          <w:tcPr>
            <w:tcW w:w="7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Term</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7720" w:type="dxa"/>
            <w:vAlign w:val="bottom"/>
          </w:tcPr>
          <w:p>
            <w:pPr>
              <w:ind w:left="80"/>
              <w:spacing w:after="0"/>
              <w:rPr>
                <w:sz w:val="20"/>
                <w:szCs w:val="20"/>
                <w:color w:val="auto"/>
              </w:rPr>
            </w:pPr>
            <w:r>
              <w:rPr>
                <w:rFonts w:ascii="Arial" w:cs="Arial" w:eastAsia="Arial" w:hAnsi="Arial"/>
                <w:sz w:val="18"/>
                <w:szCs w:val="18"/>
                <w:color w:val="auto"/>
              </w:rPr>
              <w:t>Termination on Sale to Competitor.</w:t>
            </w:r>
          </w:p>
        </w:tc>
        <w:tc>
          <w:tcPr>
            <w:tcW w:w="246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2.3</w:t>
            </w:r>
          </w:p>
        </w:tc>
        <w:tc>
          <w:tcPr>
            <w:tcW w:w="7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Effect of Termination.</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tcPr>
          <w:p>
            <w:pPr>
              <w:spacing w:after="0"/>
              <w:rPr>
                <w:sz w:val="20"/>
                <w:szCs w:val="20"/>
                <w:color w:val="auto"/>
              </w:rPr>
            </w:pPr>
            <w:r>
              <w:rPr>
                <w:rFonts w:ascii="Arial" w:cs="Arial" w:eastAsia="Arial" w:hAnsi="Arial"/>
                <w:sz w:val="18"/>
                <w:szCs w:val="18"/>
                <w:color w:val="auto"/>
              </w:rPr>
              <w:t>ARTICLE III. DISCLAIMER OF WARRANTIES; LIABILITY</w:t>
            </w:r>
          </w:p>
        </w:tc>
        <w:tc>
          <w:tcPr>
            <w:tcW w:w="246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3.1</w:t>
            </w:r>
          </w:p>
        </w:tc>
        <w:tc>
          <w:tcPr>
            <w:tcW w:w="7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 Warranties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7720" w:type="dxa"/>
            <w:vAlign w:val="bottom"/>
          </w:tcPr>
          <w:p>
            <w:pPr>
              <w:ind w:left="80"/>
              <w:spacing w:after="0"/>
              <w:rPr>
                <w:sz w:val="20"/>
                <w:szCs w:val="20"/>
                <w:color w:val="auto"/>
              </w:rPr>
            </w:pPr>
            <w:r>
              <w:rPr>
                <w:rFonts w:ascii="Arial" w:cs="Arial" w:eastAsia="Arial" w:hAnsi="Arial"/>
                <w:sz w:val="18"/>
                <w:szCs w:val="18"/>
                <w:color w:val="auto"/>
              </w:rPr>
              <w:t>Limitation of Liability</w:t>
            </w:r>
          </w:p>
        </w:tc>
        <w:tc>
          <w:tcPr>
            <w:tcW w:w="246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3.3</w:t>
            </w:r>
          </w:p>
        </w:tc>
        <w:tc>
          <w:tcPr>
            <w:tcW w:w="7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Limited Liability of Representatives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tcPr>
          <w:p>
            <w:pPr>
              <w:spacing w:after="0"/>
              <w:rPr>
                <w:sz w:val="20"/>
                <w:szCs w:val="20"/>
                <w:color w:val="auto"/>
              </w:rPr>
            </w:pPr>
            <w:r>
              <w:rPr>
                <w:rFonts w:ascii="Arial" w:cs="Arial" w:eastAsia="Arial" w:hAnsi="Arial"/>
                <w:sz w:val="18"/>
                <w:szCs w:val="18"/>
                <w:color w:val="auto"/>
              </w:rPr>
              <w:t>ARTICLE IV. DISPUTE RESOLUTION</w:t>
            </w:r>
          </w:p>
        </w:tc>
        <w:tc>
          <w:tcPr>
            <w:tcW w:w="24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4.1</w:t>
            </w:r>
          </w:p>
        </w:tc>
        <w:tc>
          <w:tcPr>
            <w:tcW w:w="7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Dispute Resolution</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tcPr>
          <w:p>
            <w:pPr>
              <w:spacing w:after="0"/>
              <w:rPr>
                <w:sz w:val="20"/>
                <w:szCs w:val="20"/>
                <w:color w:val="auto"/>
              </w:rPr>
            </w:pPr>
            <w:r>
              <w:rPr>
                <w:rFonts w:ascii="Arial" w:cs="Arial" w:eastAsia="Arial" w:hAnsi="Arial"/>
                <w:sz w:val="18"/>
                <w:szCs w:val="18"/>
                <w:color w:val="auto"/>
              </w:rPr>
              <w:t>ARTICLE V. MISCELLANEOUS</w:t>
            </w:r>
          </w:p>
        </w:tc>
        <w:tc>
          <w:tcPr>
            <w:tcW w:w="24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5.1</w:t>
            </w:r>
          </w:p>
        </w:tc>
        <w:tc>
          <w:tcPr>
            <w:tcW w:w="7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Corporate Power</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jc w:val="center"/>
              <w:spacing w:after="0"/>
              <w:rPr>
                <w:sz w:val="20"/>
                <w:szCs w:val="20"/>
                <w:color w:val="auto"/>
              </w:rPr>
            </w:pPr>
            <w:r>
              <w:rPr>
                <w:rFonts w:ascii="Arial" w:cs="Arial" w:eastAsia="Arial" w:hAnsi="Arial"/>
                <w:sz w:val="18"/>
                <w:szCs w:val="18"/>
                <w:color w:val="auto"/>
                <w:w w:val="87"/>
              </w:rPr>
              <w:t>5.2</w:t>
            </w:r>
          </w:p>
        </w:tc>
        <w:tc>
          <w:tcPr>
            <w:tcW w:w="7720" w:type="dxa"/>
            <w:vAlign w:val="bottom"/>
          </w:tcPr>
          <w:p>
            <w:pPr>
              <w:ind w:left="80"/>
              <w:spacing w:after="0"/>
              <w:rPr>
                <w:sz w:val="20"/>
                <w:szCs w:val="20"/>
                <w:color w:val="auto"/>
              </w:rPr>
            </w:pPr>
            <w:r>
              <w:rPr>
                <w:rFonts w:ascii="Arial" w:cs="Arial" w:eastAsia="Arial" w:hAnsi="Arial"/>
                <w:sz w:val="18"/>
                <w:szCs w:val="18"/>
                <w:color w:val="auto"/>
              </w:rPr>
              <w:t>Modification or Amendments</w:t>
            </w:r>
          </w:p>
        </w:tc>
        <w:tc>
          <w:tcPr>
            <w:tcW w:w="246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5.3</w:t>
            </w:r>
          </w:p>
        </w:tc>
        <w:tc>
          <w:tcPr>
            <w:tcW w:w="7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Waivers of Default</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jc w:val="center"/>
              <w:spacing w:after="0"/>
              <w:rPr>
                <w:sz w:val="20"/>
                <w:szCs w:val="20"/>
                <w:color w:val="auto"/>
              </w:rPr>
            </w:pPr>
            <w:r>
              <w:rPr>
                <w:rFonts w:ascii="Arial" w:cs="Arial" w:eastAsia="Arial" w:hAnsi="Arial"/>
                <w:sz w:val="18"/>
                <w:szCs w:val="18"/>
                <w:color w:val="auto"/>
                <w:w w:val="87"/>
              </w:rPr>
              <w:t>5.4</w:t>
            </w:r>
          </w:p>
        </w:tc>
        <w:tc>
          <w:tcPr>
            <w:tcW w:w="7720" w:type="dxa"/>
            <w:vAlign w:val="bottom"/>
          </w:tcPr>
          <w:p>
            <w:pPr>
              <w:ind w:left="80"/>
              <w:spacing w:after="0"/>
              <w:rPr>
                <w:sz w:val="20"/>
                <w:szCs w:val="20"/>
                <w:color w:val="auto"/>
              </w:rPr>
            </w:pPr>
            <w:r>
              <w:rPr>
                <w:rFonts w:ascii="Arial" w:cs="Arial" w:eastAsia="Arial" w:hAnsi="Arial"/>
                <w:sz w:val="18"/>
                <w:szCs w:val="18"/>
                <w:color w:val="auto"/>
              </w:rPr>
              <w:t>Counterparts</w:t>
            </w:r>
          </w:p>
        </w:tc>
        <w:tc>
          <w:tcPr>
            <w:tcW w:w="246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5.5</w:t>
            </w:r>
          </w:p>
        </w:tc>
        <w:tc>
          <w:tcPr>
            <w:tcW w:w="7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Governing Law</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jc w:val="center"/>
              <w:spacing w:after="0"/>
              <w:rPr>
                <w:sz w:val="20"/>
                <w:szCs w:val="20"/>
                <w:color w:val="auto"/>
              </w:rPr>
            </w:pPr>
            <w:r>
              <w:rPr>
                <w:rFonts w:ascii="Arial" w:cs="Arial" w:eastAsia="Arial" w:hAnsi="Arial"/>
                <w:sz w:val="18"/>
                <w:szCs w:val="18"/>
                <w:color w:val="auto"/>
                <w:w w:val="87"/>
              </w:rPr>
              <w:t>5.6</w:t>
            </w:r>
          </w:p>
        </w:tc>
        <w:tc>
          <w:tcPr>
            <w:tcW w:w="7720" w:type="dxa"/>
            <w:vAlign w:val="bottom"/>
          </w:tcPr>
          <w:p>
            <w:pPr>
              <w:ind w:left="80"/>
              <w:spacing w:after="0"/>
              <w:rPr>
                <w:sz w:val="20"/>
                <w:szCs w:val="20"/>
                <w:color w:val="auto"/>
              </w:rPr>
            </w:pPr>
            <w:r>
              <w:rPr>
                <w:rFonts w:ascii="Arial" w:cs="Arial" w:eastAsia="Arial" w:hAnsi="Arial"/>
                <w:sz w:val="18"/>
                <w:szCs w:val="18"/>
                <w:color w:val="auto"/>
              </w:rPr>
              <w:t>Notices</w:t>
            </w:r>
          </w:p>
        </w:tc>
        <w:tc>
          <w:tcPr>
            <w:tcW w:w="246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5.7</w:t>
            </w:r>
          </w:p>
        </w:tc>
        <w:tc>
          <w:tcPr>
            <w:tcW w:w="7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Entire Agreement</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jc w:val="center"/>
              <w:spacing w:after="0"/>
              <w:rPr>
                <w:sz w:val="20"/>
                <w:szCs w:val="20"/>
                <w:color w:val="auto"/>
              </w:rPr>
            </w:pPr>
            <w:r>
              <w:rPr>
                <w:rFonts w:ascii="Arial" w:cs="Arial" w:eastAsia="Arial" w:hAnsi="Arial"/>
                <w:sz w:val="18"/>
                <w:szCs w:val="18"/>
                <w:color w:val="auto"/>
                <w:w w:val="87"/>
              </w:rPr>
              <w:t>5.8</w:t>
            </w:r>
          </w:p>
        </w:tc>
        <w:tc>
          <w:tcPr>
            <w:tcW w:w="7720" w:type="dxa"/>
            <w:vAlign w:val="bottom"/>
          </w:tcPr>
          <w:p>
            <w:pPr>
              <w:ind w:left="80"/>
              <w:spacing w:after="0"/>
              <w:rPr>
                <w:sz w:val="20"/>
                <w:szCs w:val="20"/>
                <w:color w:val="auto"/>
              </w:rPr>
            </w:pPr>
            <w:r>
              <w:rPr>
                <w:rFonts w:ascii="Arial" w:cs="Arial" w:eastAsia="Arial" w:hAnsi="Arial"/>
                <w:sz w:val="18"/>
                <w:szCs w:val="18"/>
                <w:color w:val="auto"/>
              </w:rPr>
              <w:t>No Third-Party Beneficiaries</w:t>
            </w:r>
          </w:p>
        </w:tc>
        <w:tc>
          <w:tcPr>
            <w:tcW w:w="246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5.9</w:t>
            </w:r>
          </w:p>
        </w:tc>
        <w:tc>
          <w:tcPr>
            <w:tcW w:w="7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Severability</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jc w:val="center"/>
              <w:ind w:left="10"/>
              <w:spacing w:after="0"/>
              <w:rPr>
                <w:sz w:val="20"/>
                <w:szCs w:val="20"/>
                <w:color w:val="auto"/>
              </w:rPr>
            </w:pPr>
            <w:r>
              <w:rPr>
                <w:rFonts w:ascii="Arial" w:cs="Arial" w:eastAsia="Arial" w:hAnsi="Arial"/>
                <w:sz w:val="18"/>
                <w:szCs w:val="18"/>
                <w:color w:val="auto"/>
                <w:w w:val="91"/>
              </w:rPr>
              <w:t>5.10</w:t>
            </w:r>
          </w:p>
        </w:tc>
        <w:tc>
          <w:tcPr>
            <w:tcW w:w="7720" w:type="dxa"/>
            <w:vAlign w:val="bottom"/>
          </w:tcPr>
          <w:p>
            <w:pPr>
              <w:ind w:left="80"/>
              <w:spacing w:after="0"/>
              <w:rPr>
                <w:sz w:val="20"/>
                <w:szCs w:val="20"/>
                <w:color w:val="auto"/>
              </w:rPr>
            </w:pPr>
            <w:r>
              <w:rPr>
                <w:rFonts w:ascii="Arial" w:cs="Arial" w:eastAsia="Arial" w:hAnsi="Arial"/>
                <w:sz w:val="18"/>
                <w:szCs w:val="18"/>
                <w:color w:val="auto"/>
              </w:rPr>
              <w:t>Interpretation</w:t>
            </w:r>
          </w:p>
        </w:tc>
        <w:tc>
          <w:tcPr>
            <w:tcW w:w="246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5.11</w:t>
            </w:r>
          </w:p>
        </w:tc>
        <w:tc>
          <w:tcPr>
            <w:tcW w:w="7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Defined Terms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jc w:val="center"/>
              <w:ind w:left="10"/>
              <w:spacing w:after="0"/>
              <w:rPr>
                <w:sz w:val="20"/>
                <w:szCs w:val="20"/>
                <w:color w:val="auto"/>
              </w:rPr>
            </w:pPr>
            <w:r>
              <w:rPr>
                <w:rFonts w:ascii="Arial" w:cs="Arial" w:eastAsia="Arial" w:hAnsi="Arial"/>
                <w:sz w:val="18"/>
                <w:szCs w:val="18"/>
                <w:color w:val="auto"/>
                <w:w w:val="91"/>
              </w:rPr>
              <w:t>5.12</w:t>
            </w:r>
          </w:p>
        </w:tc>
        <w:tc>
          <w:tcPr>
            <w:tcW w:w="7720" w:type="dxa"/>
            <w:vAlign w:val="bottom"/>
          </w:tcPr>
          <w:p>
            <w:pPr>
              <w:ind w:left="80"/>
              <w:spacing w:after="0"/>
              <w:rPr>
                <w:sz w:val="20"/>
                <w:szCs w:val="20"/>
                <w:color w:val="auto"/>
              </w:rPr>
            </w:pPr>
            <w:r>
              <w:rPr>
                <w:rFonts w:ascii="Arial" w:cs="Arial" w:eastAsia="Arial" w:hAnsi="Arial"/>
                <w:sz w:val="18"/>
                <w:szCs w:val="18"/>
                <w:color w:val="auto"/>
              </w:rPr>
              <w:t>Assignment</w:t>
            </w:r>
          </w:p>
        </w:tc>
        <w:tc>
          <w:tcPr>
            <w:tcW w:w="246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5.13</w:t>
            </w:r>
          </w:p>
        </w:tc>
        <w:tc>
          <w:tcPr>
            <w:tcW w:w="7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Specific Performance; Other Equitable Relief</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jc w:val="center"/>
              <w:ind w:left="10"/>
              <w:spacing w:after="0"/>
              <w:rPr>
                <w:sz w:val="20"/>
                <w:szCs w:val="20"/>
                <w:color w:val="auto"/>
              </w:rPr>
            </w:pPr>
            <w:r>
              <w:rPr>
                <w:rFonts w:ascii="Arial" w:cs="Arial" w:eastAsia="Arial" w:hAnsi="Arial"/>
                <w:sz w:val="18"/>
                <w:szCs w:val="18"/>
                <w:color w:val="auto"/>
                <w:w w:val="91"/>
              </w:rPr>
              <w:t>5.14</w:t>
            </w:r>
          </w:p>
        </w:tc>
        <w:tc>
          <w:tcPr>
            <w:tcW w:w="7720" w:type="dxa"/>
            <w:vAlign w:val="bottom"/>
          </w:tcPr>
          <w:p>
            <w:pPr>
              <w:ind w:left="80"/>
              <w:spacing w:after="0"/>
              <w:rPr>
                <w:sz w:val="20"/>
                <w:szCs w:val="20"/>
                <w:color w:val="auto"/>
              </w:rPr>
            </w:pPr>
            <w:r>
              <w:rPr>
                <w:rFonts w:ascii="Arial" w:cs="Arial" w:eastAsia="Arial" w:hAnsi="Arial"/>
                <w:sz w:val="18"/>
                <w:szCs w:val="18"/>
                <w:color w:val="auto"/>
              </w:rPr>
              <w:t>Construction</w:t>
            </w:r>
          </w:p>
        </w:tc>
        <w:tc>
          <w:tcPr>
            <w:tcW w:w="246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5.15</w:t>
            </w:r>
          </w:p>
        </w:tc>
        <w:tc>
          <w:tcPr>
            <w:tcW w:w="7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Performance</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tcPr>
          <w:p>
            <w:pPr>
              <w:jc w:val="center"/>
              <w:ind w:left="10"/>
              <w:spacing w:after="0"/>
              <w:rPr>
                <w:sz w:val="20"/>
                <w:szCs w:val="20"/>
                <w:color w:val="auto"/>
              </w:rPr>
            </w:pPr>
            <w:r>
              <w:rPr>
                <w:rFonts w:ascii="Arial" w:cs="Arial" w:eastAsia="Arial" w:hAnsi="Arial"/>
                <w:sz w:val="18"/>
                <w:szCs w:val="18"/>
                <w:color w:val="auto"/>
                <w:w w:val="91"/>
              </w:rPr>
              <w:t>5.16</w:t>
            </w:r>
          </w:p>
        </w:tc>
        <w:tc>
          <w:tcPr>
            <w:tcW w:w="7720" w:type="dxa"/>
            <w:vAlign w:val="bottom"/>
          </w:tcPr>
          <w:p>
            <w:pPr>
              <w:ind w:left="80"/>
              <w:spacing w:after="0"/>
              <w:rPr>
                <w:sz w:val="20"/>
                <w:szCs w:val="20"/>
                <w:color w:val="auto"/>
              </w:rPr>
            </w:pPr>
            <w:r>
              <w:rPr>
                <w:rFonts w:ascii="Arial" w:cs="Arial" w:eastAsia="Arial" w:hAnsi="Arial"/>
                <w:sz w:val="18"/>
                <w:szCs w:val="18"/>
                <w:color w:val="auto"/>
              </w:rPr>
              <w:t>Other Agreements</w:t>
            </w:r>
          </w:p>
        </w:tc>
        <w:tc>
          <w:tcPr>
            <w:tcW w:w="246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1060" w:type="dxa"/>
            <w:vAlign w:val="bottom"/>
          </w:tcPr>
          <w:p>
            <w:pPr>
              <w:spacing w:after="0"/>
              <w:rPr>
                <w:sz w:val="20"/>
                <w:szCs w:val="20"/>
                <w:color w:val="auto"/>
              </w:rPr>
            </w:pPr>
            <w:r>
              <w:rPr>
                <w:rFonts w:ascii="Arial" w:cs="Arial" w:eastAsia="Arial" w:hAnsi="Arial"/>
                <w:sz w:val="18"/>
                <w:szCs w:val="18"/>
                <w:color w:val="auto"/>
              </w:rPr>
              <w:t>Annex I</w:t>
            </w:r>
          </w:p>
        </w:tc>
        <w:tc>
          <w:tcPr>
            <w:tcW w:w="7720" w:type="dxa"/>
            <w:vAlign w:val="bottom"/>
          </w:tcPr>
          <w:p>
            <w:pPr>
              <w:ind w:left="240"/>
              <w:spacing w:after="0"/>
              <w:rPr>
                <w:sz w:val="20"/>
                <w:szCs w:val="20"/>
                <w:color w:val="auto"/>
              </w:rPr>
            </w:pPr>
            <w:r>
              <w:rPr>
                <w:rFonts w:ascii="Arial" w:cs="Arial" w:eastAsia="Arial" w:hAnsi="Arial"/>
                <w:sz w:val="18"/>
                <w:szCs w:val="18"/>
                <w:color w:val="auto"/>
              </w:rPr>
              <w:t>Defined Terms</w:t>
            </w:r>
          </w:p>
        </w:tc>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Annex II</w:t>
            </w:r>
          </w:p>
        </w:tc>
        <w:tc>
          <w:tcPr>
            <w:tcW w:w="7720" w:type="dxa"/>
            <w:vAlign w:val="bottom"/>
          </w:tcPr>
          <w:p>
            <w:pPr>
              <w:ind w:left="240"/>
              <w:spacing w:after="0"/>
              <w:rPr>
                <w:sz w:val="20"/>
                <w:szCs w:val="20"/>
                <w:color w:val="auto"/>
              </w:rPr>
            </w:pPr>
            <w:r>
              <w:rPr>
                <w:rFonts w:ascii="Arial" w:cs="Arial" w:eastAsia="Arial" w:hAnsi="Arial"/>
                <w:sz w:val="18"/>
                <w:szCs w:val="18"/>
                <w:color w:val="auto"/>
              </w:rPr>
              <w:t>Licensed TFMC Patents</w:t>
            </w:r>
          </w:p>
        </w:tc>
        <w:tc>
          <w:tcPr>
            <w:tcW w:w="2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Annex III</w:t>
            </w:r>
          </w:p>
        </w:tc>
        <w:tc>
          <w:tcPr>
            <w:tcW w:w="7720" w:type="dxa"/>
            <w:vAlign w:val="bottom"/>
          </w:tcPr>
          <w:p>
            <w:pPr>
              <w:ind w:left="240"/>
              <w:spacing w:after="0"/>
              <w:rPr>
                <w:sz w:val="20"/>
                <w:szCs w:val="20"/>
                <w:color w:val="auto"/>
              </w:rPr>
            </w:pPr>
            <w:r>
              <w:rPr>
                <w:rFonts w:ascii="Arial" w:cs="Arial" w:eastAsia="Arial" w:hAnsi="Arial"/>
                <w:sz w:val="18"/>
                <w:szCs w:val="18"/>
                <w:color w:val="auto"/>
              </w:rPr>
              <w:t>Licensed TEN Patents</w:t>
            </w:r>
          </w:p>
        </w:tc>
        <w:tc>
          <w:tcPr>
            <w:tcW w:w="2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Annex IV</w:t>
            </w:r>
          </w:p>
        </w:tc>
        <w:tc>
          <w:tcPr>
            <w:tcW w:w="7720" w:type="dxa"/>
            <w:vAlign w:val="bottom"/>
          </w:tcPr>
          <w:p>
            <w:pPr>
              <w:ind w:left="240"/>
              <w:spacing w:after="0"/>
              <w:rPr>
                <w:sz w:val="20"/>
                <w:szCs w:val="20"/>
                <w:color w:val="auto"/>
              </w:rPr>
            </w:pPr>
            <w:r>
              <w:rPr>
                <w:rFonts w:ascii="Arial" w:cs="Arial" w:eastAsia="Arial" w:hAnsi="Arial"/>
                <w:sz w:val="18"/>
                <w:szCs w:val="18"/>
                <w:color w:val="auto"/>
              </w:rPr>
              <w:t>Flexible Patents</w:t>
            </w:r>
          </w:p>
        </w:tc>
        <w:tc>
          <w:tcPr>
            <w:tcW w:w="2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Annex V</w:t>
            </w:r>
          </w:p>
        </w:tc>
        <w:tc>
          <w:tcPr>
            <w:tcW w:w="7720" w:type="dxa"/>
            <w:vAlign w:val="bottom"/>
          </w:tcPr>
          <w:p>
            <w:pPr>
              <w:ind w:left="240"/>
              <w:spacing w:after="0"/>
              <w:rPr>
                <w:sz w:val="20"/>
                <w:szCs w:val="20"/>
                <w:color w:val="auto"/>
              </w:rPr>
            </w:pPr>
            <w:r>
              <w:rPr>
                <w:rFonts w:ascii="Arial" w:cs="Arial" w:eastAsia="Arial" w:hAnsi="Arial"/>
                <w:sz w:val="18"/>
                <w:szCs w:val="18"/>
                <w:color w:val="auto"/>
              </w:rPr>
              <w:t>Fixed Offshore Platform Patents</w:t>
            </w:r>
          </w:p>
        </w:tc>
        <w:tc>
          <w:tcPr>
            <w:tcW w:w="2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2"/>
        </w:trPr>
        <w:tc>
          <w:tcPr>
            <w:tcW w:w="1060" w:type="dxa"/>
            <w:vAlign w:val="bottom"/>
            <w:tcBorders>
              <w:bottom w:val="single" w:sz="8" w:color="auto"/>
            </w:tcBorders>
          </w:tcPr>
          <w:p>
            <w:pPr>
              <w:spacing w:after="0"/>
              <w:rPr>
                <w:sz w:val="24"/>
                <w:szCs w:val="24"/>
                <w:color w:val="auto"/>
              </w:rPr>
            </w:pPr>
          </w:p>
        </w:tc>
        <w:tc>
          <w:tcPr>
            <w:tcW w:w="77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55" w:right="3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22"/>
          <w:szCs w:val="22"/>
          <w:b w:val="1"/>
          <w:bCs w:val="1"/>
          <w:color w:val="auto"/>
        </w:rPr>
        <w:t>PATENT LICENSE AGREEMENT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This PATENT LICENSE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is entered into effective as of February 15, 2021 (the</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Effective Date</w:t>
      </w:r>
      <w:r>
        <w:rPr>
          <w:rFonts w:ascii="Arial" w:cs="Arial" w:eastAsia="Arial" w:hAnsi="Arial"/>
          <w:sz w:val="19"/>
          <w:szCs w:val="19"/>
          <w:color w:val="auto"/>
        </w:rPr>
        <w:t>”), by and between TechnipFMC plc, a public limited company formed under the Laws of England and Wales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TFMC</w:t>
      </w:r>
      <w:r>
        <w:rPr>
          <w:rFonts w:ascii="Arial" w:cs="Arial" w:eastAsia="Arial" w:hAnsi="Arial"/>
          <w:sz w:val="19"/>
          <w:szCs w:val="19"/>
          <w:color w:val="auto"/>
        </w:rPr>
        <w:t>”) and Technip Energies N.V., a public limited liability company formed under the laws of the Netherlands and wholly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owned subsidiary of TFMC (“</w:t>
      </w:r>
      <w:r>
        <w:rPr>
          <w:rFonts w:ascii="Arial" w:cs="Arial" w:eastAsia="Arial" w:hAnsi="Arial"/>
          <w:sz w:val="19"/>
          <w:szCs w:val="19"/>
          <w:u w:val="single" w:color="auto"/>
          <w:color w:val="auto"/>
        </w:rPr>
        <w:t>TEN</w:t>
      </w:r>
      <w:r>
        <w:rPr>
          <w:rFonts w:ascii="Arial" w:cs="Arial" w:eastAsia="Arial" w:hAnsi="Arial"/>
          <w:sz w:val="19"/>
          <w:szCs w:val="19"/>
          <w:color w:val="auto"/>
        </w:rPr>
        <w:t>”). TFMC and TEN are each a “</w:t>
      </w:r>
      <w:r>
        <w:rPr>
          <w:rFonts w:ascii="Arial" w:cs="Arial" w:eastAsia="Arial" w:hAnsi="Arial"/>
          <w:sz w:val="19"/>
          <w:szCs w:val="19"/>
          <w:u w:val="single" w:color="auto"/>
          <w:color w:val="auto"/>
        </w:rPr>
        <w:t>Party</w:t>
      </w:r>
      <w:r>
        <w:rPr>
          <w:rFonts w:ascii="Arial" w:cs="Arial" w:eastAsia="Arial" w:hAnsi="Arial"/>
          <w:sz w:val="19"/>
          <w:szCs w:val="19"/>
          <w:color w:val="auto"/>
        </w:rPr>
        <w:t>” and are sometimes referred to herein collectively as the</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Parties.</w:t>
      </w:r>
      <w:r>
        <w:rPr>
          <w:rFonts w:ascii="Arial" w:cs="Arial" w:eastAsia="Arial" w:hAnsi="Arial"/>
          <w:sz w:val="22"/>
          <w:szCs w:val="22"/>
          <w:color w:val="auto"/>
        </w:rPr>
        <w: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TFMC, acting together with its Subsidiaries, currently conducts the TFMC Business and the TEN Business;</w:t>
      </w:r>
    </w:p>
    <w:p>
      <w:pPr>
        <w:spacing w:after="0" w:line="268"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WHEREAS, TFMC and TEN have entered into that certain Separation and Distribution Agreement, dated as of January 7, 2021 (the “</w:t>
      </w:r>
      <w:r>
        <w:rPr>
          <w:rFonts w:ascii="Arial" w:cs="Arial" w:eastAsia="Arial" w:hAnsi="Arial"/>
          <w:sz w:val="22"/>
          <w:szCs w:val="22"/>
          <w:u w:val="single" w:color="auto"/>
          <w:color w:val="auto"/>
        </w:rPr>
        <w:t>Separation Agreement</w:t>
      </w:r>
      <w:r>
        <w:rPr>
          <w:rFonts w:ascii="Arial" w:cs="Arial" w:eastAsia="Arial" w:hAnsi="Arial"/>
          <w:sz w:val="22"/>
          <w:szCs w:val="22"/>
          <w:color w:val="auto"/>
        </w:rPr>
        <w:t>”) pursuant to which the Separation will be consummated;</w:t>
      </w:r>
    </w:p>
    <w:p>
      <w:pPr>
        <w:spacing w:after="0" w:line="202" w:lineRule="exact"/>
        <w:rPr>
          <w:sz w:val="20"/>
          <w:szCs w:val="20"/>
          <w:color w:val="auto"/>
        </w:rPr>
      </w:pPr>
    </w:p>
    <w:p>
      <w:pPr>
        <w:ind w:right="80" w:firstLine="648"/>
        <w:spacing w:after="0"/>
        <w:rPr>
          <w:sz w:val="20"/>
          <w:szCs w:val="20"/>
          <w:color w:val="auto"/>
        </w:rPr>
      </w:pPr>
      <w:r>
        <w:rPr>
          <w:rFonts w:ascii="Arial" w:cs="Arial" w:eastAsia="Arial" w:hAnsi="Arial"/>
          <w:sz w:val="22"/>
          <w:szCs w:val="22"/>
          <w:color w:val="auto"/>
        </w:rPr>
        <w:t>WHEREAS, as a result of the Separation, TFMC will own certain patents and patent applications as of the Effective Date (“</w:t>
      </w:r>
      <w:r>
        <w:rPr>
          <w:rFonts w:ascii="Arial" w:cs="Arial" w:eastAsia="Arial" w:hAnsi="Arial"/>
          <w:sz w:val="22"/>
          <w:szCs w:val="22"/>
          <w:u w:val="single" w:color="auto"/>
          <w:color w:val="auto"/>
        </w:rPr>
        <w:t>TFMC Patents</w:t>
      </w:r>
      <w:r>
        <w:rPr>
          <w:rFonts w:ascii="Arial" w:cs="Arial" w:eastAsia="Arial" w:hAnsi="Arial"/>
          <w:sz w:val="22"/>
          <w:szCs w:val="22"/>
          <w:color w:val="auto"/>
        </w:rPr>
        <w:t>”) and certain other patents and patent applications will be owned by TEN as of the Effective Date (“</w:t>
      </w:r>
      <w:r>
        <w:rPr>
          <w:rFonts w:ascii="Arial" w:cs="Arial" w:eastAsia="Arial" w:hAnsi="Arial"/>
          <w:sz w:val="22"/>
          <w:szCs w:val="22"/>
          <w:u w:val="single" w:color="auto"/>
          <w:color w:val="auto"/>
        </w:rPr>
        <w:t>TEN</w:t>
      </w:r>
      <w:r>
        <w:rPr>
          <w:rFonts w:ascii="Arial" w:cs="Arial" w:eastAsia="Arial" w:hAnsi="Arial"/>
          <w:sz w:val="22"/>
          <w:szCs w:val="22"/>
          <w:color w:val="auto"/>
        </w:rPr>
        <w:t xml:space="preserve"> </w:t>
      </w:r>
      <w:r>
        <w:rPr>
          <w:rFonts w:ascii="Arial" w:cs="Arial" w:eastAsia="Arial" w:hAnsi="Arial"/>
          <w:sz w:val="22"/>
          <w:szCs w:val="22"/>
          <w:u w:val="single" w:color="auto"/>
          <w:color w:val="auto"/>
        </w:rPr>
        <w:t>Patents</w:t>
      </w:r>
      <w:r>
        <w:rPr>
          <w:rFonts w:ascii="Arial" w:cs="Arial" w:eastAsia="Arial" w:hAnsi="Arial"/>
          <w:sz w:val="22"/>
          <w:szCs w:val="22"/>
          <w:color w:val="auto"/>
        </w:rPr>
        <w:t>”);</w:t>
      </w:r>
    </w:p>
    <w:p>
      <w:pPr>
        <w:spacing w:after="0" w:line="213" w:lineRule="exact"/>
        <w:rPr>
          <w:sz w:val="20"/>
          <w:szCs w:val="20"/>
          <w:color w:val="auto"/>
        </w:rPr>
      </w:pPr>
    </w:p>
    <w:p>
      <w:pPr>
        <w:ind w:right="240" w:firstLine="648"/>
        <w:spacing w:after="0"/>
        <w:rPr>
          <w:sz w:val="20"/>
          <w:szCs w:val="20"/>
          <w:color w:val="auto"/>
        </w:rPr>
      </w:pPr>
      <w:r>
        <w:rPr>
          <w:rFonts w:ascii="Arial" w:cs="Arial" w:eastAsia="Arial" w:hAnsi="Arial"/>
          <w:sz w:val="22"/>
          <w:szCs w:val="22"/>
          <w:color w:val="auto"/>
        </w:rPr>
        <w:t>WHEREAS, within each group of TFMC Patents and TEN Patents there is a subset of patents in respect of which the other Party will be granted a license and such patents are defined herein as Licensed TFMC Patents and Licensed TEN Patents, respectively; and</w:t>
      </w:r>
    </w:p>
    <w:p>
      <w:pPr>
        <w:spacing w:after="0" w:line="213" w:lineRule="exact"/>
        <w:rPr>
          <w:sz w:val="20"/>
          <w:szCs w:val="20"/>
          <w:color w:val="auto"/>
        </w:rPr>
      </w:pPr>
    </w:p>
    <w:p>
      <w:pPr>
        <w:ind w:right="40" w:firstLine="648"/>
        <w:spacing w:after="0" w:line="297" w:lineRule="auto"/>
        <w:rPr>
          <w:sz w:val="20"/>
          <w:szCs w:val="20"/>
          <w:color w:val="auto"/>
        </w:rPr>
      </w:pPr>
      <w:r>
        <w:rPr>
          <w:rFonts w:ascii="Arial" w:cs="Arial" w:eastAsia="Arial" w:hAnsi="Arial"/>
          <w:sz w:val="19"/>
          <w:szCs w:val="19"/>
          <w:color w:val="auto"/>
        </w:rPr>
        <w:t>WHEREAS, as of the Effective Date, and subject to the terms and conditions herein, (i) TFMC is willing to grant to TEN, and TEN is willing to accept, a license to the Licensed TFMC Patents, and (ii) the transfer of the Licensed TEN Patents to TEN as part of the Separation is made subject to, and TEN is willing to grant to TFMC, a license to the Licensed TEN Patents.</w:t>
      </w:r>
    </w:p>
    <w:p>
      <w:pPr>
        <w:spacing w:after="0" w:line="161"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NOW, THEREFORE, in consideration of the foregoing and the mutual agreements, provisions and covenants contained in this Agreement, the Parties hereby agree as follows:</w:t>
      </w:r>
    </w:p>
    <w:p>
      <w:pPr>
        <w:spacing w:after="0" w:line="202"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ARTICLE I.</w:t>
      </w:r>
    </w:p>
    <w:p>
      <w:pPr>
        <w:spacing w:after="0" w:line="8"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LICENSES</w:t>
      </w:r>
    </w:p>
    <w:p>
      <w:pPr>
        <w:spacing w:after="0" w:line="215"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Retention of License to TFMC</w:t>
      </w:r>
      <w:r>
        <w:rPr>
          <w:rFonts w:ascii="Arial" w:cs="Arial" w:eastAsia="Arial" w:hAnsi="Arial"/>
          <w:sz w:val="19"/>
          <w:szCs w:val="19"/>
          <w:color w:val="auto"/>
        </w:rPr>
        <w:t xml:space="preserve">. The Parties acknowledge that the Licensed TEN Patents have been transferred to TEN as part of the Separation, subject to the retention by TFMC in favor of itself and its current and future Subsidiaries of, and TEN hereby grants to TFMC and its current and future Subsidiaries, effective as of the Effective Date and subject to the terms and conditions set forth herein, a royalty-free, fully paid up, non-transferable (except as set forth in </w:t>
      </w:r>
      <w:r>
        <w:rPr>
          <w:rFonts w:ascii="Arial" w:cs="Arial" w:eastAsia="Arial" w:hAnsi="Arial"/>
          <w:sz w:val="19"/>
          <w:szCs w:val="19"/>
          <w:u w:val="single" w:color="auto"/>
          <w:color w:val="auto"/>
        </w:rPr>
        <w:t>Section 5.12</w:t>
      </w:r>
      <w:r>
        <w:rPr>
          <w:rFonts w:ascii="Arial" w:cs="Arial" w:eastAsia="Arial" w:hAnsi="Arial"/>
          <w:sz w:val="19"/>
          <w:szCs w:val="19"/>
          <w:color w:val="auto"/>
        </w:rPr>
        <w:t xml:space="preserve">), sublicensable (solely as set forth in this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non-exclusive license for the Term to use and exploit the Licensed TEN Patents in the TFMC Field. Subject to the restrictions set forth above, the foregoing license includes (unless specified otherwise in any Annex to this Agreement related to any specific patent or family of patents), but is not limited to the rights (i) to make, have made, use, import, export, distribute, offer to sell and sell products and services under the Licensed TEN Patents and (ii) to enhance, improve and otherwise exploit the inventions claimed in the Licensed TEN Patents. The foregoing license is sublicensable solely as is reasonably necessary in connection with the receipt of services by TFMC and its Subsidiaries but is not sublicensable pursuant to this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for use by any third party for such third party’s own benefit. TFMC shall require such permitted sublicensees to agree in writing to comply with the limited scope of any such sublicense.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48" w:name="page149"/>
    <w:bookmarkEnd w:id="148"/>
    <w:p>
      <w:pPr>
        <w:ind w:right="20" w:firstLine="648"/>
        <w:spacing w:after="0" w:line="273"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License of Licensed TFMC Patents to TEN</w:t>
      </w:r>
      <w:r>
        <w:rPr>
          <w:rFonts w:ascii="Arial" w:cs="Arial" w:eastAsia="Arial" w:hAnsi="Arial"/>
          <w:sz w:val="19"/>
          <w:szCs w:val="19"/>
          <w:color w:val="auto"/>
        </w:rPr>
        <w:t xml:space="preserve">. Effective as of the Effective Date and subject to the terms and conditions set forth herein, TFMC on behalf of itself and its Subsidiaries, hereby grants, and shall cause its Subsidiaries to grant, to TEN and its current and future Subsidiaries, a royalty-free, fully paid up, non-transferable (except as set forth in </w:t>
      </w:r>
      <w:r>
        <w:rPr>
          <w:rFonts w:ascii="Arial" w:cs="Arial" w:eastAsia="Arial" w:hAnsi="Arial"/>
          <w:sz w:val="19"/>
          <w:szCs w:val="19"/>
          <w:u w:val="single" w:color="auto"/>
          <w:color w:val="auto"/>
        </w:rPr>
        <w:t>Section 5.12</w:t>
      </w:r>
      <w:r>
        <w:rPr>
          <w:rFonts w:ascii="Arial" w:cs="Arial" w:eastAsia="Arial" w:hAnsi="Arial"/>
          <w:sz w:val="19"/>
          <w:szCs w:val="19"/>
          <w:color w:val="auto"/>
        </w:rPr>
        <w:t xml:space="preserve">), sublicensable (solely as set forth in this </w:t>
      </w:r>
      <w:r>
        <w:rPr>
          <w:rFonts w:ascii="Arial" w:cs="Arial" w:eastAsia="Arial" w:hAnsi="Arial"/>
          <w:sz w:val="19"/>
          <w:szCs w:val="19"/>
          <w:u w:val="single" w:color="auto"/>
          <w:color w:val="auto"/>
        </w:rPr>
        <w:t>Section 1.2</w:t>
      </w:r>
      <w:r>
        <w:rPr>
          <w:rFonts w:ascii="Arial" w:cs="Arial" w:eastAsia="Arial" w:hAnsi="Arial"/>
          <w:sz w:val="19"/>
          <w:szCs w:val="19"/>
          <w:color w:val="auto"/>
        </w:rPr>
        <w:t xml:space="preserve">), non-exclusive license for the Term to use and exploit the Licensed TFMC Patents in the TEN Field. Subject to the restrictions set forth above, the foregoing license includes, but is not limited to the rights (unless specified otherwise in any Annex to this Agreement related to any specific patent or family of patents) (i) to make, have made, use, import, export, distribute, offer to sell and sell products and services under the Licensed TFMC Patents and (ii) to enhance, improve and otherwise exploit the inventions claimed in the Licensed TFMC Patents. The foregoing license is sublicensable solely as is reasonably necessary in connection with the receipt of services by TEN and its Subsidiaries but is not sublicensable pursuant to this </w:t>
      </w:r>
      <w:r>
        <w:rPr>
          <w:rFonts w:ascii="Arial" w:cs="Arial" w:eastAsia="Arial" w:hAnsi="Arial"/>
          <w:sz w:val="19"/>
          <w:szCs w:val="19"/>
          <w:u w:val="single" w:color="auto"/>
          <w:color w:val="auto"/>
        </w:rPr>
        <w:t>Section 1.2</w:t>
      </w:r>
      <w:r>
        <w:rPr>
          <w:rFonts w:ascii="Arial" w:cs="Arial" w:eastAsia="Arial" w:hAnsi="Arial"/>
          <w:sz w:val="19"/>
          <w:szCs w:val="19"/>
          <w:color w:val="auto"/>
        </w:rPr>
        <w:t xml:space="preserve"> for use by any third party for such third party’s own benefit. TEN shall require such permitted sublicensees to agree in writing to comply with the limited scope of any such sublicense.</w:t>
      </w:r>
    </w:p>
    <w:p>
      <w:pPr>
        <w:spacing w:after="0" w:line="183"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u w:val="single" w:color="auto"/>
          <w:color w:val="auto"/>
        </w:rPr>
        <w:t>License of Flexible Patents to TEN.</w:t>
      </w:r>
    </w:p>
    <w:p>
      <w:pPr>
        <w:spacing w:after="0" w:line="233" w:lineRule="exact"/>
        <w:rPr>
          <w:sz w:val="20"/>
          <w:szCs w:val="20"/>
          <w:color w:val="auto"/>
        </w:rPr>
      </w:pPr>
    </w:p>
    <w:p>
      <w:pPr>
        <w:ind w:firstLine="656"/>
        <w:spacing w:after="0" w:line="234" w:lineRule="auto"/>
        <w:tabs>
          <w:tab w:leader="none" w:pos="1536" w:val="left"/>
        </w:tabs>
        <w:numPr>
          <w:ilvl w:val="0"/>
          <w:numId w:val="83"/>
        </w:numPr>
        <w:rPr>
          <w:rFonts w:ascii="Arial" w:cs="Arial" w:eastAsia="Arial" w:hAnsi="Arial"/>
          <w:sz w:val="22"/>
          <w:szCs w:val="22"/>
          <w:color w:val="auto"/>
        </w:rPr>
      </w:pPr>
      <w:r>
        <w:rPr>
          <w:rFonts w:ascii="Arial" w:cs="Arial" w:eastAsia="Arial" w:hAnsi="Arial"/>
          <w:sz w:val="22"/>
          <w:szCs w:val="22"/>
          <w:color w:val="auto"/>
        </w:rPr>
        <w:t>Effective as of the Effective Date, TFMC on behalf of itself and its Subsidiaries, hereby grants, and shall cause its Subsidiaries to grant, to TEN and its current and future Subsidiaries, a royalty-free, fully paid up, non-exclusive license for the Term under the Flexible Patents to use, import, export, distribute, offer to sell and sell Flexible Products manufactured and supplied by TFMC to TEN and its Subsidiaries, subject to the terms and conditions set forth herein and in any other agreement between or among TFMC, TEN or any of their Subsidiaries relating to the manufacture and supply of Flexible Products by TFMC to TEN and its Subsidiaries (any such agreement, a “</w:t>
      </w:r>
      <w:r>
        <w:rPr>
          <w:rFonts w:ascii="Arial" w:cs="Arial" w:eastAsia="Arial" w:hAnsi="Arial"/>
          <w:sz w:val="22"/>
          <w:szCs w:val="22"/>
          <w:u w:val="single" w:color="auto"/>
          <w:color w:val="auto"/>
        </w:rPr>
        <w:t>Flexible Products Supply Agreement</w:t>
      </w:r>
      <w:r>
        <w:rPr>
          <w:rFonts w:ascii="Arial" w:cs="Arial" w:eastAsia="Arial" w:hAnsi="Arial"/>
          <w:sz w:val="22"/>
          <w:szCs w:val="22"/>
          <w:color w:val="auto"/>
        </w:rPr>
        <w:t xml:space="preserve">”). For the avoidance of doubt, subject to </w:t>
      </w:r>
      <w:r>
        <w:rPr>
          <w:rFonts w:ascii="Arial" w:cs="Arial" w:eastAsia="Arial" w:hAnsi="Arial"/>
          <w:sz w:val="22"/>
          <w:szCs w:val="22"/>
          <w:u w:val="single" w:color="auto"/>
          <w:color w:val="auto"/>
        </w:rPr>
        <w:t>Section 1.3(b),</w:t>
      </w:r>
      <w:r>
        <w:rPr>
          <w:rFonts w:ascii="Arial" w:cs="Arial" w:eastAsia="Arial" w:hAnsi="Arial"/>
          <w:sz w:val="22"/>
          <w:szCs w:val="22"/>
          <w:color w:val="auto"/>
        </w:rPr>
        <w:t xml:space="preserve"> the foregoing license does not permit TEN or any of its Subsidiaries to make or have made Flexible Products.</w:t>
      </w:r>
    </w:p>
    <w:p>
      <w:pPr>
        <w:spacing w:after="0" w:line="213" w:lineRule="exact"/>
        <w:rPr>
          <w:rFonts w:ascii="Arial" w:cs="Arial" w:eastAsia="Arial" w:hAnsi="Arial"/>
          <w:sz w:val="22"/>
          <w:szCs w:val="22"/>
          <w:color w:val="auto"/>
        </w:rPr>
      </w:pPr>
    </w:p>
    <w:p>
      <w:pPr>
        <w:ind w:right="20" w:firstLine="656"/>
        <w:spacing w:after="0" w:line="279" w:lineRule="auto"/>
        <w:tabs>
          <w:tab w:leader="none" w:pos="1548" w:val="left"/>
        </w:tabs>
        <w:numPr>
          <w:ilvl w:val="0"/>
          <w:numId w:val="83"/>
        </w:numPr>
        <w:rPr>
          <w:rFonts w:ascii="Arial" w:cs="Arial" w:eastAsia="Arial" w:hAnsi="Arial"/>
          <w:sz w:val="19"/>
          <w:szCs w:val="19"/>
          <w:color w:val="auto"/>
        </w:rPr>
      </w:pPr>
      <w:r>
        <w:rPr>
          <w:rFonts w:ascii="Arial" w:cs="Arial" w:eastAsia="Arial" w:hAnsi="Arial"/>
          <w:sz w:val="19"/>
          <w:szCs w:val="19"/>
          <w:color w:val="auto"/>
        </w:rPr>
        <w:t xml:space="preserve">If TFMC is unable or unwilling to manufacture and/or supply Flexible Products to TEN for a period exceeding three (3) months, then the license set forth in </w:t>
      </w:r>
      <w:r>
        <w:rPr>
          <w:rFonts w:ascii="Arial" w:cs="Arial" w:eastAsia="Arial" w:hAnsi="Arial"/>
          <w:sz w:val="19"/>
          <w:szCs w:val="19"/>
          <w:u w:val="single" w:color="auto"/>
          <w:color w:val="auto"/>
        </w:rPr>
        <w:t>Section 1.3(a)</w:t>
      </w:r>
      <w:r>
        <w:rPr>
          <w:rFonts w:ascii="Arial" w:cs="Arial" w:eastAsia="Arial" w:hAnsi="Arial"/>
          <w:sz w:val="19"/>
          <w:szCs w:val="19"/>
          <w:color w:val="auto"/>
        </w:rPr>
        <w:t xml:space="preserve"> above shall include the right to make and have made Flexible Products under the Flexible Patents; provided that (A) neither TEN nor any of its Subsidiaries is in material breach of any applicable Flexible Products Supply Agreement that is uncured in accordance with its terms, (B) the applicable Flexible Products Supply Agreement was not terminated by TFMC or its applicable Subsidiary for cause, and (C) the applicable Flexible Products Supply Agreement was not terminated by TEN or its applicable Subsidiary (except due to an uncured material breach by TFMC).</w:t>
      </w:r>
    </w:p>
    <w:p>
      <w:pPr>
        <w:spacing w:after="0" w:line="177" w:lineRule="exact"/>
        <w:rPr>
          <w:sz w:val="20"/>
          <w:szCs w:val="20"/>
          <w:color w:val="auto"/>
        </w:rPr>
      </w:pPr>
    </w:p>
    <w:p>
      <w:pPr>
        <w:ind w:right="40" w:firstLine="648"/>
        <w:spacing w:after="0" w:line="274" w:lineRule="auto"/>
        <w:rPr>
          <w:sz w:val="20"/>
          <w:szCs w:val="20"/>
          <w:color w:val="auto"/>
        </w:rPr>
      </w:pPr>
      <w:r>
        <w:rPr>
          <w:rFonts w:ascii="Arial" w:cs="Arial" w:eastAsia="Arial" w:hAnsi="Arial"/>
          <w:sz w:val="19"/>
          <w:szCs w:val="19"/>
          <w:color w:val="auto"/>
        </w:rPr>
        <w:t xml:space="preserve">1.4 </w:t>
      </w:r>
      <w:r>
        <w:rPr>
          <w:rFonts w:ascii="Arial" w:cs="Arial" w:eastAsia="Arial" w:hAnsi="Arial"/>
          <w:sz w:val="19"/>
          <w:szCs w:val="19"/>
          <w:u w:val="single" w:color="auto"/>
          <w:color w:val="auto"/>
        </w:rPr>
        <w:t>License of Fixed Offshore Platform Patents to TEN.</w:t>
      </w:r>
      <w:r>
        <w:rPr>
          <w:rFonts w:ascii="Arial" w:cs="Arial" w:eastAsia="Arial" w:hAnsi="Arial"/>
          <w:sz w:val="19"/>
          <w:szCs w:val="19"/>
          <w:color w:val="auto"/>
        </w:rPr>
        <w:t xml:space="preserve"> Effective as of the Effective Date and subject to the terms and conditions set forth herein, TFMC on behalf of itself and its Subsidiaries, hereby grants, and shall cause its Subsidiaries to grant, to TEN and its current and future Subsidiaries, a royalty-free, fully paid up, non-exclusive, non-transferable (except as set forth in </w:t>
      </w:r>
      <w:r>
        <w:rPr>
          <w:rFonts w:ascii="Arial" w:cs="Arial" w:eastAsia="Arial" w:hAnsi="Arial"/>
          <w:sz w:val="19"/>
          <w:szCs w:val="19"/>
          <w:u w:val="single" w:color="auto"/>
          <w:color w:val="auto"/>
        </w:rPr>
        <w:t>Section 5.12</w:t>
      </w:r>
      <w:r>
        <w:rPr>
          <w:rFonts w:ascii="Arial" w:cs="Arial" w:eastAsia="Arial" w:hAnsi="Arial"/>
          <w:sz w:val="19"/>
          <w:szCs w:val="19"/>
          <w:color w:val="auto"/>
        </w:rPr>
        <w:t xml:space="preserve">), sublicensable (solely as set forth in this </w:t>
      </w:r>
      <w:r>
        <w:rPr>
          <w:rFonts w:ascii="Arial" w:cs="Arial" w:eastAsia="Arial" w:hAnsi="Arial"/>
          <w:sz w:val="19"/>
          <w:szCs w:val="19"/>
          <w:u w:val="single" w:color="auto"/>
          <w:color w:val="auto"/>
        </w:rPr>
        <w:t>Section 1.4</w:t>
      </w:r>
      <w:r>
        <w:rPr>
          <w:rFonts w:ascii="Arial" w:cs="Arial" w:eastAsia="Arial" w:hAnsi="Arial"/>
          <w:sz w:val="19"/>
          <w:szCs w:val="19"/>
          <w:color w:val="auto"/>
        </w:rPr>
        <w:t xml:space="preserve">) license for the Term to make, use, import, export, distribute, offer to sell and sell products and services under the Fixed Offshore Platform Patents exclusively for the benefit of TFMC and its Subsidiaries and not for the benefit of any other Person. The foregoing license is sublicensable solely as is reasonably necessary in connection with the receipt of services by TEN and its Subsidiaries but is not sublicensable pursuant to this </w:t>
      </w:r>
      <w:r>
        <w:rPr>
          <w:rFonts w:ascii="Arial" w:cs="Arial" w:eastAsia="Arial" w:hAnsi="Arial"/>
          <w:sz w:val="19"/>
          <w:szCs w:val="19"/>
          <w:u w:val="single" w:color="auto"/>
          <w:color w:val="auto"/>
        </w:rPr>
        <w:t>Section 1.4</w:t>
      </w:r>
      <w:r>
        <w:rPr>
          <w:rFonts w:ascii="Arial" w:cs="Arial" w:eastAsia="Arial" w:hAnsi="Arial"/>
          <w:sz w:val="19"/>
          <w:szCs w:val="19"/>
          <w:color w:val="auto"/>
        </w:rPr>
        <w:t xml:space="preserve"> for use by any third party for such third party’s own benefit. TEN shall require such permitted sublicensees to agree in writing to comply with the limited scope of any such sublicense.</w:t>
      </w: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49" w:name="page150"/>
    <w:bookmarkEnd w:id="149"/>
    <w:p>
      <w:pPr>
        <w:ind w:left="620"/>
        <w:spacing w:after="0"/>
        <w:tabs>
          <w:tab w:leader="none" w:pos="152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u w:val="single" w:color="auto"/>
          <w:color w:val="auto"/>
        </w:rPr>
        <w:t>Reservation of Rights</w:t>
      </w:r>
      <w:r>
        <w:rPr>
          <w:rFonts w:ascii="Arial" w:cs="Arial" w:eastAsia="Arial" w:hAnsi="Arial"/>
          <w:sz w:val="19"/>
          <w:szCs w:val="19"/>
          <w:color w:val="auto"/>
        </w:rPr>
        <w:t>.</w:t>
      </w:r>
    </w:p>
    <w:p>
      <w:pPr>
        <w:spacing w:after="0" w:line="234" w:lineRule="exact"/>
        <w:rPr>
          <w:sz w:val="20"/>
          <w:szCs w:val="20"/>
          <w:color w:val="auto"/>
        </w:rPr>
      </w:pPr>
    </w:p>
    <w:p>
      <w:pPr>
        <w:ind w:left="-40" w:right="80" w:firstLine="656"/>
        <w:spacing w:after="0" w:line="246" w:lineRule="auto"/>
        <w:tabs>
          <w:tab w:leader="none" w:pos="1496" w:val="left"/>
        </w:tabs>
        <w:numPr>
          <w:ilvl w:val="0"/>
          <w:numId w:val="84"/>
        </w:numPr>
        <w:rPr>
          <w:rFonts w:ascii="Arial" w:cs="Arial" w:eastAsia="Arial" w:hAnsi="Arial"/>
          <w:sz w:val="21"/>
          <w:szCs w:val="21"/>
          <w:color w:val="auto"/>
        </w:rPr>
      </w:pPr>
      <w:r>
        <w:rPr>
          <w:rFonts w:ascii="Arial" w:cs="Arial" w:eastAsia="Arial" w:hAnsi="Arial"/>
          <w:sz w:val="21"/>
          <w:szCs w:val="21"/>
          <w:color w:val="auto"/>
        </w:rPr>
        <w:t xml:space="preserve">TFMC hereby acknowledges and agrees that, as between the Parties, TEN and its Subsidiaries are the sole and exclusive owners of all right, title and interest in, to and under the Licensed TEN Patents, subject only to the retention by TFMC of the licensed rights set forth in </w:t>
      </w:r>
      <w:r>
        <w:rPr>
          <w:rFonts w:ascii="Arial" w:cs="Arial" w:eastAsia="Arial" w:hAnsi="Arial"/>
          <w:sz w:val="21"/>
          <w:szCs w:val="21"/>
          <w:u w:val="single" w:color="auto"/>
          <w:color w:val="auto"/>
        </w:rPr>
        <w:t>Section 1.1</w:t>
      </w:r>
      <w:r>
        <w:rPr>
          <w:rFonts w:ascii="Arial" w:cs="Arial" w:eastAsia="Arial" w:hAnsi="Arial"/>
          <w:sz w:val="21"/>
          <w:szCs w:val="21"/>
          <w:color w:val="auto"/>
        </w:rPr>
        <w:t>. Nothing in this Agreement grants TFMC any right, title or interest in or to the Licensed TEN Patents other than pursuant to the license granted herein, nor does anything in this Agreement restrict or prevent TEN or any of its Subsidiaries from using the Licensed TEN Patents for any purpose in any field. All rights in, to and under the Licensed TEN Patents that are not expressly retained by or granted to TFMC or any of its Subsidiaries hereunder are reserved by and to TEN and its Subsidiaries.</w:t>
      </w:r>
    </w:p>
    <w:p>
      <w:pPr>
        <w:spacing w:after="0" w:line="211" w:lineRule="exact"/>
        <w:rPr>
          <w:rFonts w:ascii="Arial" w:cs="Arial" w:eastAsia="Arial" w:hAnsi="Arial"/>
          <w:sz w:val="21"/>
          <w:szCs w:val="21"/>
          <w:color w:val="auto"/>
        </w:rPr>
      </w:pPr>
    </w:p>
    <w:p>
      <w:pPr>
        <w:ind w:left="-40" w:right="20" w:firstLine="656"/>
        <w:spacing w:after="0" w:line="246" w:lineRule="auto"/>
        <w:tabs>
          <w:tab w:leader="none" w:pos="1508" w:val="left"/>
        </w:tabs>
        <w:numPr>
          <w:ilvl w:val="0"/>
          <w:numId w:val="84"/>
        </w:numPr>
        <w:rPr>
          <w:rFonts w:ascii="Arial" w:cs="Arial" w:eastAsia="Arial" w:hAnsi="Arial"/>
          <w:sz w:val="21"/>
          <w:szCs w:val="21"/>
          <w:color w:val="auto"/>
        </w:rPr>
      </w:pPr>
      <w:r>
        <w:rPr>
          <w:rFonts w:ascii="Arial" w:cs="Arial" w:eastAsia="Arial" w:hAnsi="Arial"/>
          <w:sz w:val="21"/>
          <w:szCs w:val="21"/>
          <w:color w:val="auto"/>
        </w:rPr>
        <w:t>TEN hereby acknowledges and agrees that, as between the Parties, TFMC and its Subsidiaries are the sole and exclusive owners of all right, title and interest in, to and under the Licensed TFMC Patents, the Flexible Patents and the Fixed Offshore Platform Patents. Nothing in this Agreement grants TEN any right, title or interest in or to the Licensed TFMC Patents, the Flexible Patents or the Fixed Offshore Platform Patents other than pursuant to the license granted herein. Nothing in this Agreement restricts or prevents TFMC or any of its Subsidiaries from using the Licensed TFMC Patents, the Flexible Patents or the Fixed Offshore Platform Patents for any purpose in any field. All rights in, to and under the Licensed TFMC Patents, the Flexible Patents or the Fixed Offshore Platform Patents that are not expressly granted to TEN or any of its Subsidiaries hereunder are reserved by and to TFMC and its Subsidiaries.</w:t>
      </w:r>
    </w:p>
    <w:p>
      <w:pPr>
        <w:spacing w:after="0" w:line="207" w:lineRule="exact"/>
        <w:rPr>
          <w:sz w:val="20"/>
          <w:szCs w:val="20"/>
          <w:color w:val="auto"/>
        </w:rPr>
      </w:pPr>
    </w:p>
    <w:p>
      <w:pPr>
        <w:ind w:left="620"/>
        <w:spacing w:after="0"/>
        <w:tabs>
          <w:tab w:leader="none" w:pos="152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9"/>
          <w:szCs w:val="19"/>
          <w:u w:val="single" w:color="auto"/>
          <w:color w:val="auto"/>
        </w:rPr>
        <w:t>Acknowledgements and Covenants</w:t>
      </w:r>
      <w:r>
        <w:rPr>
          <w:rFonts w:ascii="Arial" w:cs="Arial" w:eastAsia="Arial" w:hAnsi="Arial"/>
          <w:sz w:val="19"/>
          <w:szCs w:val="19"/>
          <w:color w:val="auto"/>
        </w:rPr>
        <w:t>.</w:t>
      </w:r>
    </w:p>
    <w:p>
      <w:pPr>
        <w:spacing w:after="0" w:line="233" w:lineRule="exact"/>
        <w:rPr>
          <w:sz w:val="20"/>
          <w:szCs w:val="20"/>
          <w:color w:val="auto"/>
        </w:rPr>
      </w:pPr>
    </w:p>
    <w:p>
      <w:pPr>
        <w:ind w:left="-40" w:right="120" w:firstLine="656"/>
        <w:spacing w:after="0"/>
        <w:tabs>
          <w:tab w:leader="none" w:pos="1496" w:val="left"/>
        </w:tabs>
        <w:numPr>
          <w:ilvl w:val="0"/>
          <w:numId w:val="85"/>
        </w:numPr>
        <w:rPr>
          <w:rFonts w:ascii="Arial" w:cs="Arial" w:eastAsia="Arial" w:hAnsi="Arial"/>
          <w:sz w:val="22"/>
          <w:szCs w:val="22"/>
          <w:color w:val="auto"/>
        </w:rPr>
      </w:pPr>
      <w:r>
        <w:rPr>
          <w:rFonts w:ascii="Arial" w:cs="Arial" w:eastAsia="Arial" w:hAnsi="Arial"/>
          <w:sz w:val="22"/>
          <w:szCs w:val="22"/>
          <w:color w:val="auto"/>
        </w:rPr>
        <w:t>Each Party hereby acknowledges and agrees that it shall not (and it shall not cause or permit its applicable Affiliates and Subsidiaries to) at any time claim ownership of the Patents licensed to it by the other Party hereunder anywhere in the world.</w:t>
      </w:r>
    </w:p>
    <w:p>
      <w:pPr>
        <w:spacing w:after="0" w:line="213" w:lineRule="exact"/>
        <w:rPr>
          <w:rFonts w:ascii="Arial" w:cs="Arial" w:eastAsia="Arial" w:hAnsi="Arial"/>
          <w:sz w:val="22"/>
          <w:szCs w:val="22"/>
          <w:color w:val="auto"/>
        </w:rPr>
      </w:pPr>
    </w:p>
    <w:p>
      <w:pPr>
        <w:jc w:val="both"/>
        <w:ind w:left="-40" w:firstLine="656"/>
        <w:spacing w:after="0" w:line="287" w:lineRule="auto"/>
        <w:tabs>
          <w:tab w:leader="none" w:pos="1508" w:val="left"/>
        </w:tabs>
        <w:numPr>
          <w:ilvl w:val="0"/>
          <w:numId w:val="85"/>
        </w:numPr>
        <w:rPr>
          <w:rFonts w:ascii="Arial" w:cs="Arial" w:eastAsia="Arial" w:hAnsi="Arial"/>
          <w:sz w:val="19"/>
          <w:szCs w:val="19"/>
          <w:color w:val="auto"/>
        </w:rPr>
      </w:pPr>
      <w:r>
        <w:rPr>
          <w:rFonts w:ascii="Arial" w:cs="Arial" w:eastAsia="Arial" w:hAnsi="Arial"/>
          <w:sz w:val="19"/>
          <w:szCs w:val="19"/>
          <w:color w:val="auto"/>
        </w:rPr>
        <w:t>Each Party hereby acknowledges and agrees that, except as expressly set forth in the Separation Agreement, the Transition Services Agreement, this Agreement, or the other Ancillary Agreements, the other Party has no obligation whatsoever to provide support, maintenance, advice, services or any other assistance or any documentation or technical information of any kind in connection with the Patents licensed to such Party by the other Party hereunder.</w:t>
      </w:r>
    </w:p>
    <w:p>
      <w:pPr>
        <w:spacing w:after="0" w:line="169" w:lineRule="exact"/>
        <w:rPr>
          <w:rFonts w:ascii="Arial" w:cs="Arial" w:eastAsia="Arial" w:hAnsi="Arial"/>
          <w:sz w:val="19"/>
          <w:szCs w:val="19"/>
          <w:color w:val="auto"/>
        </w:rPr>
      </w:pPr>
    </w:p>
    <w:p>
      <w:pPr>
        <w:ind w:left="-40" w:firstLine="656"/>
        <w:spacing w:after="0" w:line="282" w:lineRule="auto"/>
        <w:tabs>
          <w:tab w:leader="none" w:pos="1496" w:val="left"/>
        </w:tabs>
        <w:numPr>
          <w:ilvl w:val="0"/>
          <w:numId w:val="85"/>
        </w:numPr>
        <w:rPr>
          <w:rFonts w:ascii="Arial" w:cs="Arial" w:eastAsia="Arial" w:hAnsi="Arial"/>
          <w:sz w:val="19"/>
          <w:szCs w:val="19"/>
          <w:color w:val="auto"/>
        </w:rPr>
      </w:pPr>
      <w:r>
        <w:rPr>
          <w:rFonts w:ascii="Arial" w:cs="Arial" w:eastAsia="Arial" w:hAnsi="Arial"/>
          <w:sz w:val="19"/>
          <w:szCs w:val="19"/>
          <w:color w:val="auto"/>
        </w:rPr>
        <w:t>Without limiting any of the representations, warranties and covenants set forth in the Separation Agreement and the other Ancillary Agreements, each Licensee hereby acknowledges and agrees (i) that the Licensor shall have no responsibility with respect to the past, present or future validity, subsistence, enforceability, application and/or registration of any of the Patents licensed by such Party to the Licensee hereunder and (ii) that the Licensor may make decisions with respect to the prosecution, maintenance, abandonment, or lapse of all such Patents in its sole and absolute discretion.</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41275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18" w:right="359" w:bottom="1440" w:gutter="0" w:footer="0" w:header="0"/>
        </w:sectPr>
      </w:pPr>
    </w:p>
    <w:bookmarkStart w:id="150" w:name="page151"/>
    <w:bookmarkEnd w:id="150"/>
    <w:tbl>
      <w:tblPr>
        <w:tblLayout w:type="fixed"/>
        <w:tblInd w:w="660" w:type="dxa"/>
        <w:tblCellMar>
          <w:top w:w="0" w:type="dxa"/>
          <w:left w:w="0" w:type="dxa"/>
          <w:bottom w:w="0" w:type="dxa"/>
          <w:right w:w="0" w:type="dxa"/>
        </w:tblCellMar>
      </w:tblPr>
      <w:tr>
        <w:trPr>
          <w:trHeight w:val="253"/>
        </w:trPr>
        <w:tc>
          <w:tcPr>
            <w:tcW w:w="6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8000" w:type="dxa"/>
            <w:vAlign w:val="bottom"/>
          </w:tcPr>
          <w:p>
            <w:pPr>
              <w:jc w:val="center"/>
              <w:ind w:right="2492"/>
              <w:spacing w:after="0"/>
              <w:rPr>
                <w:sz w:val="20"/>
                <w:szCs w:val="20"/>
                <w:color w:val="auto"/>
              </w:rPr>
            </w:pPr>
            <w:r>
              <w:rPr>
                <w:rFonts w:ascii="Arial" w:cs="Arial" w:eastAsia="Arial" w:hAnsi="Arial"/>
                <w:sz w:val="22"/>
                <w:szCs w:val="22"/>
                <w:color w:val="auto"/>
                <w:w w:val="98"/>
              </w:rPr>
              <w:t>ARTICLE II.</w:t>
            </w:r>
          </w:p>
        </w:tc>
      </w:tr>
      <w:tr>
        <w:trPr>
          <w:trHeight w:val="274"/>
        </w:trPr>
        <w:tc>
          <w:tcPr>
            <w:tcW w:w="6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8000" w:type="dxa"/>
            <w:vAlign w:val="bottom"/>
          </w:tcPr>
          <w:p>
            <w:pPr>
              <w:jc w:val="center"/>
              <w:ind w:right="2492"/>
              <w:spacing w:after="0"/>
              <w:rPr>
                <w:sz w:val="20"/>
                <w:szCs w:val="20"/>
                <w:color w:val="auto"/>
              </w:rPr>
            </w:pPr>
            <w:r>
              <w:rPr>
                <w:rFonts w:ascii="Arial" w:cs="Arial" w:eastAsia="Arial" w:hAnsi="Arial"/>
                <w:sz w:val="22"/>
                <w:szCs w:val="22"/>
                <w:color w:val="auto"/>
                <w:w w:val="96"/>
              </w:rPr>
              <w:t>TERM AND TERMINATION</w:t>
            </w:r>
          </w:p>
        </w:tc>
      </w:tr>
      <w:tr>
        <w:trPr>
          <w:trHeight w:val="473"/>
        </w:trPr>
        <w:tc>
          <w:tcPr>
            <w:tcW w:w="600" w:type="dxa"/>
            <w:vAlign w:val="bottom"/>
          </w:tcPr>
          <w:p>
            <w:pPr>
              <w:jc w:val="right"/>
              <w:ind w:right="232"/>
              <w:spacing w:after="0"/>
              <w:rPr>
                <w:sz w:val="20"/>
                <w:szCs w:val="20"/>
                <w:color w:val="auto"/>
              </w:rPr>
            </w:pPr>
            <w:r>
              <w:rPr>
                <w:rFonts w:ascii="Arial" w:cs="Arial" w:eastAsia="Arial" w:hAnsi="Arial"/>
                <w:sz w:val="22"/>
                <w:szCs w:val="22"/>
                <w:color w:val="auto"/>
                <w:w w:val="78"/>
              </w:rPr>
              <w:t>2.1</w:t>
            </w:r>
          </w:p>
        </w:tc>
        <w:tc>
          <w:tcPr>
            <w:tcW w:w="1660" w:type="dxa"/>
            <w:vAlign w:val="bottom"/>
          </w:tcPr>
          <w:p>
            <w:pPr>
              <w:ind w:left="320"/>
              <w:spacing w:after="0"/>
              <w:rPr>
                <w:sz w:val="20"/>
                <w:szCs w:val="20"/>
                <w:color w:val="auto"/>
              </w:rPr>
            </w:pPr>
            <w:r>
              <w:rPr>
                <w:rFonts w:ascii="Arial" w:cs="Arial" w:eastAsia="Arial" w:hAnsi="Arial"/>
                <w:sz w:val="22"/>
                <w:szCs w:val="22"/>
                <w:u w:val="single" w:color="auto"/>
                <w:color w:val="auto"/>
              </w:rPr>
              <w:t>Term</w:t>
            </w:r>
            <w:r>
              <w:rPr>
                <w:rFonts w:ascii="Arial" w:cs="Arial" w:eastAsia="Arial" w:hAnsi="Arial"/>
                <w:sz w:val="22"/>
                <w:szCs w:val="22"/>
                <w:color w:val="auto"/>
              </w:rPr>
              <w:t>(a)</w:t>
            </w:r>
          </w:p>
        </w:tc>
        <w:tc>
          <w:tcPr>
            <w:tcW w:w="8000" w:type="dxa"/>
            <w:vAlign w:val="bottom"/>
          </w:tcPr>
          <w:p>
            <w:pPr>
              <w:ind w:left="640"/>
              <w:spacing w:after="0"/>
              <w:rPr>
                <w:sz w:val="20"/>
                <w:szCs w:val="20"/>
                <w:color w:val="auto"/>
              </w:rPr>
            </w:pPr>
            <w:r>
              <w:rPr>
                <w:rFonts w:ascii="Arial" w:cs="Arial" w:eastAsia="Arial" w:hAnsi="Arial"/>
                <w:sz w:val="22"/>
                <w:szCs w:val="22"/>
                <w:color w:val="auto"/>
                <w:w w:val="88"/>
              </w:rPr>
              <w:t>. This Agreement and the licenses granted hereunder are effective as of the Effective</w:t>
            </w:r>
          </w:p>
        </w:tc>
      </w:tr>
    </w:tbl>
    <w:p>
      <w:pPr>
        <w:ind w:right="200"/>
        <w:spacing w:after="0" w:line="277" w:lineRule="auto"/>
        <w:rPr>
          <w:sz w:val="20"/>
          <w:szCs w:val="20"/>
          <w:color w:val="auto"/>
        </w:rPr>
      </w:pPr>
      <w:r>
        <w:rPr>
          <w:rFonts w:ascii="Arial" w:cs="Arial" w:eastAsia="Arial" w:hAnsi="Arial"/>
          <w:sz w:val="19"/>
          <w:szCs w:val="19"/>
          <w:color w:val="auto"/>
        </w:rPr>
        <w:t>Date and shall continue, in respect of each Patent licensed hereunder, for the life of such Patent (the “</w:t>
      </w:r>
      <w:r>
        <w:rPr>
          <w:rFonts w:ascii="Arial" w:cs="Arial" w:eastAsia="Arial" w:hAnsi="Arial"/>
          <w:sz w:val="19"/>
          <w:szCs w:val="19"/>
          <w:u w:val="single" w:color="auto"/>
          <w:color w:val="auto"/>
        </w:rPr>
        <w:t>Term</w:t>
      </w:r>
      <w:r>
        <w:rPr>
          <w:rFonts w:ascii="Arial" w:cs="Arial" w:eastAsia="Arial" w:hAnsi="Arial"/>
          <w:sz w:val="19"/>
          <w:szCs w:val="19"/>
          <w:color w:val="auto"/>
        </w:rPr>
        <w:t xml:space="preserve">”), unless terminated earlier in accordance with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below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in the event the Separation Agreement is terminated, this Agreement shall automatically become null and void and no Party, nor any Party’s directors, officers or employees, shall have any Liability of any kind to any Person by reason of this Agreement. After the Distribution, this Agreement may not be terminated except as otherwise provided in this </w:t>
      </w:r>
      <w:r>
        <w:rPr>
          <w:rFonts w:ascii="Arial" w:cs="Arial" w:eastAsia="Arial" w:hAnsi="Arial"/>
          <w:sz w:val="19"/>
          <w:szCs w:val="19"/>
          <w:u w:val="single" w:color="auto"/>
          <w:color w:val="auto"/>
        </w:rPr>
        <w:t>ARTICLE II</w:t>
      </w:r>
      <w:r>
        <w:rPr>
          <w:rFonts w:ascii="Arial" w:cs="Arial" w:eastAsia="Arial" w:hAnsi="Arial"/>
          <w:sz w:val="19"/>
          <w:szCs w:val="19"/>
          <w:color w:val="auto"/>
        </w:rPr>
        <w:t>, or by an agreement in writing signed by the Parties.</w:t>
      </w:r>
    </w:p>
    <w:p>
      <w:pPr>
        <w:spacing w:after="0" w:line="179" w:lineRule="exact"/>
        <w:rPr>
          <w:sz w:val="20"/>
          <w:szCs w:val="20"/>
          <w:color w:val="auto"/>
        </w:rPr>
      </w:pPr>
    </w:p>
    <w:p>
      <w:pPr>
        <w:ind w:right="120" w:firstLine="648"/>
        <w:spacing w:after="0" w:line="238"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Termination on Sale to Competitor</w:t>
      </w:r>
      <w:r>
        <w:rPr>
          <w:rFonts w:ascii="Arial" w:cs="Arial" w:eastAsia="Arial" w:hAnsi="Arial"/>
          <w:sz w:val="22"/>
          <w:szCs w:val="22"/>
          <w:color w:val="auto"/>
        </w:rPr>
        <w:t>. In the event this Agreement or any license hereunder is assigned or otherwise transferred by either Party to a Competitor without the consent of the applicable Licensor, such assignment or transfer shall be void ab initio, and to the extent purported to be assigned or transferred to such Competitor, this Agreement or the applicable license shall terminate with immediate effect.</w:t>
      </w:r>
    </w:p>
    <w:p>
      <w:pPr>
        <w:spacing w:after="0" w:line="212" w:lineRule="exact"/>
        <w:rPr>
          <w:sz w:val="20"/>
          <w:szCs w:val="20"/>
          <w:color w:val="auto"/>
        </w:rPr>
      </w:pPr>
    </w:p>
    <w:p>
      <w:pPr>
        <w:ind w:firstLine="648"/>
        <w:spacing w:after="0" w:line="257" w:lineRule="auto"/>
        <w:rPr>
          <w:sz w:val="20"/>
          <w:szCs w:val="20"/>
          <w:color w:val="auto"/>
        </w:rPr>
      </w:pPr>
      <w:r>
        <w:rPr>
          <w:rFonts w:ascii="Arial" w:cs="Arial" w:eastAsia="Arial" w:hAnsi="Arial"/>
          <w:sz w:val="21"/>
          <w:szCs w:val="21"/>
          <w:color w:val="auto"/>
        </w:rPr>
        <w:t xml:space="preserve">2.3 </w:t>
      </w:r>
      <w:r>
        <w:rPr>
          <w:rFonts w:ascii="Arial" w:cs="Arial" w:eastAsia="Arial" w:hAnsi="Arial"/>
          <w:sz w:val="21"/>
          <w:szCs w:val="21"/>
          <w:u w:val="single" w:color="auto"/>
          <w:color w:val="auto"/>
        </w:rPr>
        <w:t>Effect of Termination</w:t>
      </w:r>
      <w:r>
        <w:rPr>
          <w:rFonts w:ascii="Arial" w:cs="Arial" w:eastAsia="Arial" w:hAnsi="Arial"/>
          <w:sz w:val="21"/>
          <w:szCs w:val="21"/>
          <w:color w:val="auto"/>
        </w:rPr>
        <w:t>. Upon expiration or termination of this Agreement or any licenses granted hereunder for any reason, Licensee shall immediately cease and refrain from any use of the Licensed TEN Patents, the Licensed TFMC Patents, the Flexible Patents and/or the Fixed Offshore Platform Patents, as applicable.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III.</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DISCLAIMER OF WARRANTIES; LIABILITY</w:t>
      </w:r>
    </w:p>
    <w:p>
      <w:pPr>
        <w:spacing w:after="0" w:line="215" w:lineRule="exact"/>
        <w:rPr>
          <w:sz w:val="20"/>
          <w:szCs w:val="20"/>
          <w:color w:val="auto"/>
        </w:rPr>
      </w:pPr>
    </w:p>
    <w:p>
      <w:pPr>
        <w:ind w:right="80" w:firstLine="648"/>
        <w:spacing w:after="0" w:line="234"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No Warranties</w:t>
      </w:r>
      <w:r>
        <w:rPr>
          <w:rFonts w:ascii="Arial" w:cs="Arial" w:eastAsia="Arial" w:hAnsi="Arial"/>
          <w:sz w:val="22"/>
          <w:szCs w:val="22"/>
          <w:color w:val="auto"/>
        </w:rPr>
        <w:t>. WITHOUT LIMITING ANY REPRESENTATIONS OR WARRANTIES SET FORTH IN THE SEPARATION AGREEMENT AND THE OTHER ANCILLARY AGREEMENTS AND ANY RELATED RIGHTS TO INDEMNIFICATION THEREUNDER, ALL OF THE RIGHTS PROVIDED HEREUNDER ARE PROVIDED “AS IS” AND “WHERE IS”, WITHOUT WARRANTY OR CONDITION OF ANY KIND, WHETHER EXPRESS, IMPLIED, STATUTORY, OR OTHERWISE, INCLUDING, WITHOUT LIMITATION, ANY WARRANTIES OF CONDITION OF TITLE, MERCHANTABILITY, FITNESS FOR A PARTICULAR PURPOSE OR NON-INFRINGEMENT OF THIRD-PARTY RIGHTS, ALL OF WHICH ARE HEREBY DISCLAIMED.</w:t>
      </w:r>
    </w:p>
    <w:p>
      <w:pPr>
        <w:spacing w:after="0" w:line="218" w:lineRule="exact"/>
        <w:rPr>
          <w:sz w:val="20"/>
          <w:szCs w:val="20"/>
          <w:color w:val="auto"/>
        </w:rPr>
      </w:pPr>
    </w:p>
    <w:p>
      <w:pPr>
        <w:ind w:firstLine="648"/>
        <w:spacing w:after="0" w:line="245" w:lineRule="auto"/>
        <w:rPr>
          <w:sz w:val="20"/>
          <w:szCs w:val="20"/>
          <w:color w:val="auto"/>
        </w:rPr>
      </w:pPr>
      <w:r>
        <w:rPr>
          <w:rFonts w:ascii="Arial" w:cs="Arial" w:eastAsia="Arial" w:hAnsi="Arial"/>
          <w:sz w:val="21"/>
          <w:szCs w:val="21"/>
          <w:color w:val="auto"/>
        </w:rPr>
        <w:t xml:space="preserve">3.2 </w:t>
      </w:r>
      <w:r>
        <w:rPr>
          <w:rFonts w:ascii="Arial" w:cs="Arial" w:eastAsia="Arial" w:hAnsi="Arial"/>
          <w:sz w:val="21"/>
          <w:szCs w:val="21"/>
          <w:u w:val="single" w:color="auto"/>
          <w:color w:val="auto"/>
        </w:rPr>
        <w:t>Limitation of Liability</w:t>
      </w:r>
      <w:r>
        <w:rPr>
          <w:rFonts w:ascii="Arial" w:cs="Arial" w:eastAsia="Arial" w:hAnsi="Arial"/>
          <w:sz w:val="21"/>
          <w:szCs w:val="21"/>
          <w:color w:val="auto"/>
        </w:rPr>
        <w:t>. WITHOUT LIMITING EITHER PARTY’S LIABILITY UNDER THE SEPARATION AGREEMENT AND THE OTHER ANCILLARY AGREEMENTS, AND WITH THE EXCEPTION OF LIABILITY ARISING FROM FRAUD, GROSS NEGLIGENCE, OR WILLFUL MISCONDUCT, NEITHER PARTY SHALL BE LIABLE FOR, OR BEAR ANY OBLIGATION IN RESPECT OF, ANY PUNITIVE, INCIDENTAL, INDIRECT, SPECIAL, EXEMPLARY OR CONSEQUENTIAL DAMAGES OF ANY KIND OR CHARACTER OR ANY DAMAGES RELATING TO, OR ARISING OUT OF, LOST PROFITS, OR LIMITATIONS OR RESTRICTIONS ON BUSINESS PRACTICES ARISING OUT OF OR IN CONNECTION WITH THE USE OF ANY LICENSED TEN PATENTS, LICENSED TFMC PATENTS, FLEXIBLE PATENTS OR FIXED OFFSHORE PLATFORM PATENTS OR ANY OTHER RIGHTS OR OBLIGATIONS UNDER THIS PATENTS AGREEMENT, EVEN IF A PARTY HAS BEEN ADVISED OF THE POSSIBILITY OF SUCH DAMAGES.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51" w:name="page152"/>
    <w:bookmarkEnd w:id="151"/>
    <w:p>
      <w:pPr>
        <w:ind w:right="20" w:firstLine="648"/>
        <w:spacing w:after="0" w:line="234"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u w:val="single" w:color="auto"/>
          <w:color w:val="auto"/>
        </w:rPr>
        <w:t>Limited Liability of Representatives</w:t>
      </w:r>
      <w:r>
        <w:rPr>
          <w:rFonts w:ascii="Arial" w:cs="Arial" w:eastAsia="Arial" w:hAnsi="Arial"/>
          <w:sz w:val="22"/>
          <w:szCs w:val="22"/>
          <w:color w:val="auto"/>
        </w:rPr>
        <w:t>. Notwithstanding any other provision of this Agreement, no individual who is a shareholder, director, employee, officer, agent or representative of TFMC or TEN, in such individual’s capacity as such, shall have any Liability in respect of or relating to the covenants or obligations of TFMC or TEN, as applicable, under this Agreement or in respect of any certificate delivered with respect hereto and, to the fullest extent legally permissible, each of TFMC or TEN, for itself and its respective Subsidiaries and its and their respective shareholders, directors, employees and officers, waives and agrees not to seek to assert or enforce any such Liability that any such Person otherwise might have pursuant to applicable Law.</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IV.</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DISPUTE RESOLUTION</w:t>
      </w:r>
    </w:p>
    <w:p>
      <w:pPr>
        <w:spacing w:after="0" w:line="215"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Dispute Resolution</w:t>
      </w:r>
      <w:r>
        <w:rPr>
          <w:rFonts w:ascii="Arial" w:cs="Arial" w:eastAsia="Arial" w:hAnsi="Arial"/>
          <w:sz w:val="22"/>
          <w:szCs w:val="22"/>
          <w:color w:val="auto"/>
        </w:rPr>
        <w:t>. Any and all disputes, controversies and claims arising hereunder, including with respect to the validity, interpretation, performance, breach or termination of this Agreement shall be resolved through the procedures provided in Article VI of the Separation Agreement.</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V.</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MISCELLANEOUS</w:t>
      </w:r>
    </w:p>
    <w:p>
      <w:pPr>
        <w:spacing w:after="0" w:line="215"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u w:val="single" w:color="auto"/>
          <w:color w:val="auto"/>
        </w:rPr>
        <w:t>Corporate Power</w:t>
      </w:r>
      <w:r>
        <w:rPr>
          <w:rFonts w:ascii="Arial" w:cs="Arial" w:eastAsia="Arial" w:hAnsi="Arial"/>
          <w:sz w:val="19"/>
          <w:szCs w:val="19"/>
          <w:color w:val="auto"/>
        </w:rPr>
        <w:t>.</w:t>
      </w:r>
    </w:p>
    <w:p>
      <w:pPr>
        <w:spacing w:after="0" w:line="233" w:lineRule="exact"/>
        <w:rPr>
          <w:sz w:val="20"/>
          <w:szCs w:val="20"/>
          <w:color w:val="auto"/>
        </w:rPr>
      </w:pPr>
    </w:p>
    <w:p>
      <w:pPr>
        <w:ind w:right="180" w:firstLine="656"/>
        <w:spacing w:after="0" w:line="250" w:lineRule="auto"/>
        <w:tabs>
          <w:tab w:leader="none" w:pos="1536" w:val="left"/>
        </w:tabs>
        <w:numPr>
          <w:ilvl w:val="0"/>
          <w:numId w:val="86"/>
        </w:numPr>
        <w:rPr>
          <w:rFonts w:ascii="Arial" w:cs="Arial" w:eastAsia="Arial" w:hAnsi="Arial"/>
          <w:sz w:val="22"/>
          <w:szCs w:val="22"/>
          <w:color w:val="auto"/>
        </w:rPr>
      </w:pPr>
      <w:r>
        <w:rPr>
          <w:rFonts w:ascii="Arial" w:cs="Arial" w:eastAsia="Arial" w:hAnsi="Arial"/>
          <w:sz w:val="22"/>
          <w:szCs w:val="22"/>
          <w:color w:val="auto"/>
        </w:rPr>
        <w:t>TFMC represents on behalf of itself and each other member of the TFMC Companies, and TEN represents on behalf of itself and each other member of the TEN Companies, as follows:</w:t>
      </w:r>
    </w:p>
    <w:p>
      <w:pPr>
        <w:spacing w:after="0" w:line="201" w:lineRule="exact"/>
        <w:rPr>
          <w:rFonts w:ascii="Arial" w:cs="Arial" w:eastAsia="Arial" w:hAnsi="Arial"/>
          <w:sz w:val="22"/>
          <w:szCs w:val="22"/>
          <w:color w:val="auto"/>
        </w:rPr>
      </w:pPr>
    </w:p>
    <w:p>
      <w:pPr>
        <w:ind w:left="660" w:right="120" w:firstLine="644"/>
        <w:spacing w:after="0"/>
        <w:tabs>
          <w:tab w:leader="none" w:pos="2160" w:val="left"/>
        </w:tabs>
        <w:numPr>
          <w:ilvl w:val="1"/>
          <w:numId w:val="86"/>
        </w:numPr>
        <w:rPr>
          <w:rFonts w:ascii="Arial" w:cs="Arial" w:eastAsia="Arial" w:hAnsi="Arial"/>
          <w:sz w:val="22"/>
          <w:szCs w:val="22"/>
          <w:color w:val="auto"/>
        </w:rPr>
      </w:pPr>
      <w:r>
        <w:rPr>
          <w:rFonts w:ascii="Arial" w:cs="Arial" w:eastAsia="Arial" w:hAnsi="Arial"/>
          <w:sz w:val="22"/>
          <w:szCs w:val="22"/>
          <w:color w:val="auto"/>
        </w:rPr>
        <w:t>each such Person has the requisite corporate or other power and authority and has taken all corporate or other action necessary in order to execute, deliver and perform this Agreement and to consummate the transactions contemplated hereby; and</w:t>
      </w:r>
    </w:p>
    <w:p>
      <w:pPr>
        <w:spacing w:after="0" w:line="213" w:lineRule="exact"/>
        <w:rPr>
          <w:rFonts w:ascii="Arial" w:cs="Arial" w:eastAsia="Arial" w:hAnsi="Arial"/>
          <w:sz w:val="22"/>
          <w:szCs w:val="22"/>
          <w:color w:val="auto"/>
        </w:rPr>
      </w:pPr>
    </w:p>
    <w:p>
      <w:pPr>
        <w:ind w:left="660" w:right="880" w:firstLine="644"/>
        <w:spacing w:after="0" w:line="250" w:lineRule="auto"/>
        <w:tabs>
          <w:tab w:leader="none" w:pos="2220" w:val="left"/>
        </w:tabs>
        <w:numPr>
          <w:ilvl w:val="1"/>
          <w:numId w:val="86"/>
        </w:numPr>
        <w:rPr>
          <w:rFonts w:ascii="Arial" w:cs="Arial" w:eastAsia="Arial" w:hAnsi="Arial"/>
          <w:sz w:val="22"/>
          <w:szCs w:val="22"/>
          <w:color w:val="auto"/>
        </w:rPr>
      </w:pPr>
      <w:r>
        <w:rPr>
          <w:rFonts w:ascii="Arial" w:cs="Arial" w:eastAsia="Arial" w:hAnsi="Arial"/>
          <w:sz w:val="22"/>
          <w:szCs w:val="22"/>
          <w:color w:val="auto"/>
        </w:rPr>
        <w:t>this Agreement has been duly executed and delivered by it and constitutes a valid and binding agreement of it enforceable in accordance with the terms hereof.</w:t>
      </w:r>
    </w:p>
    <w:p>
      <w:pPr>
        <w:spacing w:after="0" w:line="201" w:lineRule="exact"/>
        <w:rPr>
          <w:rFonts w:ascii="Arial" w:cs="Arial" w:eastAsia="Arial" w:hAnsi="Arial"/>
          <w:sz w:val="22"/>
          <w:szCs w:val="22"/>
          <w:color w:val="auto"/>
        </w:rPr>
      </w:pPr>
    </w:p>
    <w:p>
      <w:pPr>
        <w:ind w:right="20" w:firstLine="656"/>
        <w:spacing w:after="0" w:line="235" w:lineRule="auto"/>
        <w:tabs>
          <w:tab w:leader="none" w:pos="1548" w:val="left"/>
        </w:tabs>
        <w:numPr>
          <w:ilvl w:val="0"/>
          <w:numId w:val="86"/>
        </w:numPr>
        <w:rPr>
          <w:rFonts w:ascii="Arial" w:cs="Arial" w:eastAsia="Arial" w:hAnsi="Arial"/>
          <w:sz w:val="22"/>
          <w:szCs w:val="22"/>
          <w:color w:val="auto"/>
        </w:rPr>
      </w:pPr>
      <w:r>
        <w:rPr>
          <w:rFonts w:ascii="Arial" w:cs="Arial" w:eastAsia="Arial" w:hAnsi="Arial"/>
          <w:sz w:val="22"/>
          <w:szCs w:val="22"/>
          <w:color w:val="auto"/>
        </w:rPr>
        <w:t>Each Party acknowledges that it and each other Party may execute this Agreement by facsimile, stamp or mechanical signature. Each Party expressly adopts and confirms each such facsimile, stamp or mechanical signature made in its respective name as if it were a manual signature, agrees that it shall not assert that any such signature is not adequate to bind such Party to the same extent as if it were signed manually and agrees that at the reasonable request of any other Party at any time it shall as promptly as reasonably practicable cause this Agreement to be manually executed (any such execution to be as of the date of the initial date thereof).</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152" w:name="page153"/>
    <w:bookmarkEnd w:id="152"/>
    <w:p>
      <w:pPr>
        <w:ind w:right="120" w:firstLine="648"/>
        <w:spacing w:after="0" w:line="238"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Modification or Amendments</w:t>
      </w:r>
      <w:r>
        <w:rPr>
          <w:rFonts w:ascii="Arial" w:cs="Arial" w:eastAsia="Arial" w:hAnsi="Arial"/>
          <w:sz w:val="22"/>
          <w:szCs w:val="22"/>
          <w:color w:val="auto"/>
        </w:rPr>
        <w:t>. Subject to the provisions of applicable Law, and except as otherwise provided in this Agreement, this Agreement may be amended, modified or supplemented only by written instrument signed by the authorized representative of the Party against whom it sought to enforce such waiver, amendment, supplement or modification is sought to be enforced.</w:t>
      </w:r>
    </w:p>
    <w:p>
      <w:pPr>
        <w:spacing w:after="0" w:line="212" w:lineRule="exact"/>
        <w:rPr>
          <w:sz w:val="20"/>
          <w:szCs w:val="20"/>
          <w:color w:val="auto"/>
        </w:rPr>
      </w:pPr>
    </w:p>
    <w:p>
      <w:pPr>
        <w:ind w:right="60" w:firstLine="648"/>
        <w:spacing w:after="0" w:line="236" w:lineRule="auto"/>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u w:val="single" w:color="auto"/>
          <w:color w:val="auto"/>
        </w:rPr>
        <w:t>Waivers of Default</w:t>
      </w:r>
      <w:r>
        <w:rPr>
          <w:rFonts w:ascii="Arial" w:cs="Arial" w:eastAsia="Arial" w:hAnsi="Arial"/>
          <w:sz w:val="22"/>
          <w:szCs w:val="22"/>
          <w:color w:val="auto"/>
        </w:rPr>
        <w:t>. Waiver by a Party of any default by the other Party of any provision of this Agreement shall not be deemed a waiver by the waiving Party of any subsequent or other default, nor shall it prejudice the rights of the other Party. No failure or delay by a Party in exercising any right, power or privilege under this Agreement shall operate as a waiver thereof nor shall a single or partial exercise thereof prejudice any other or further exercise thereof or the exercise of any other right, power or privilege.</w:t>
      </w:r>
    </w:p>
    <w:p>
      <w:pPr>
        <w:spacing w:after="0" w:line="214"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one or more counterparts, and by the different Parties hereto in separate counterparts, each of which when executed shall be deemed to be an original but all of which taken together shall constitute one and the same agreement. The exchange of a fully executed Agreement (in counterparts or otherwise) by facsimile or by electronic delivery in .pdf format shall be sufficient to bind the Parties to the terms and conditions of this Agreement.</w:t>
      </w:r>
    </w:p>
    <w:p>
      <w:pPr>
        <w:spacing w:after="0" w:line="170" w:lineRule="exact"/>
        <w:rPr>
          <w:sz w:val="20"/>
          <w:szCs w:val="20"/>
          <w:color w:val="auto"/>
        </w:rPr>
      </w:pPr>
    </w:p>
    <w:p>
      <w:pPr>
        <w:ind w:right="340" w:firstLine="648"/>
        <w:spacing w:after="0" w:line="282" w:lineRule="auto"/>
        <w:rPr>
          <w:sz w:val="20"/>
          <w:szCs w:val="20"/>
          <w:color w:val="auto"/>
        </w:rPr>
      </w:pPr>
      <w:r>
        <w:rPr>
          <w:rFonts w:ascii="Arial" w:cs="Arial" w:eastAsia="Arial" w:hAnsi="Arial"/>
          <w:sz w:val="19"/>
          <w:szCs w:val="19"/>
          <w:color w:val="auto"/>
        </w:rPr>
        <w:t xml:space="preserve">5.5 </w:t>
      </w: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(and any claims arising out of or related hereto or to the transactions contemplated hereby or to the inducement of any Party to enter herein, whether for breach of contract, tortious conduct or otherwise and whether predicated on common law, statute or otherwise) shall be governed by and construed and interpreted in accordance with the Laws of the State of New York, irrespective of the choice of laws principles of the State of New York, including all matters of validity, construction, effect, enforceability, performance and remedies.</w:t>
      </w:r>
    </w:p>
    <w:p>
      <w:pPr>
        <w:spacing w:after="0" w:line="174"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 xml:space="preserve">5.6 </w:t>
      </w:r>
      <w:r>
        <w:rPr>
          <w:rFonts w:ascii="Arial" w:cs="Arial" w:eastAsia="Arial" w:hAnsi="Arial"/>
          <w:sz w:val="22"/>
          <w:szCs w:val="22"/>
          <w:u w:val="single" w:color="auto"/>
          <w:color w:val="auto"/>
        </w:rPr>
        <w:t>Notices</w:t>
      </w:r>
      <w:r>
        <w:rPr>
          <w:rFonts w:ascii="Arial" w:cs="Arial" w:eastAsia="Arial" w:hAnsi="Arial"/>
          <w:sz w:val="22"/>
          <w:szCs w:val="22"/>
          <w:color w:val="auto"/>
        </w:rPr>
        <w:t>. Any notice, request, instruction or other document to be given hereunder by any party to the others shall be in writing and delivered personally or sent by registered or certified mail, postage prepaid or by prepaid overnight courier (providing written proof of delivery), or by confirmed facsimile transmission or electronic mail (with confirmed receipt), addressed as follows:</w:t>
      </w:r>
    </w:p>
    <w:p>
      <w:pPr>
        <w:spacing w:after="0" w:line="21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If to TFMC, to:</w:t>
      </w:r>
    </w:p>
    <w:p>
      <w:pPr>
        <w:spacing w:after="0" w:line="225"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TechnipFMC plc</w:t>
      </w:r>
    </w:p>
    <w:p>
      <w:pPr>
        <w:spacing w:after="0" w:line="23"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One St. Paul’s Churchyard,</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London EC4M 8AP, United Kingdom</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Attention: Victoria Lazar</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Email: victoria.lazar@technipfmc.com</w:t>
      </w:r>
    </w:p>
    <w:p>
      <w:pPr>
        <w:spacing w:after="0" w:line="238"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330 North Wabash Avenue, Suite 2800</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Chicago, IL 60611</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Attention: Ryan Maierson</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Email: ryan.maierson@lw.com</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Attention: Christopher R. Drewry</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Email: christopher.drewry@lw.com</w:t>
      </w:r>
    </w:p>
    <w:p>
      <w:pPr>
        <w:spacing w:after="0" w:line="238"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If to TEN, to:</w:t>
      </w:r>
    </w:p>
    <w:p>
      <w:pPr>
        <w:spacing w:after="0" w:line="225"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Technip Energies N.V.</w:t>
      </w:r>
    </w:p>
    <w:p>
      <w:pPr>
        <w:spacing w:after="0" w:line="23"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6-8 Allée de l’Arche, Faubourg de l’Arche, ZAC Danton, 92400 Courbevoie, France</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Attention: Bruno Vibert</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Email: bruno.vibert@technipfmc.com</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Attention: Stephen Siegel</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Email: stephen.siegel@technipfmc.com</w:t>
      </w:r>
    </w:p>
    <w:p>
      <w:pPr>
        <w:spacing w:after="0" w:line="238"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Davis &amp; Polk Wardwell LLP</w:t>
      </w:r>
    </w:p>
    <w:p>
      <w:pPr>
        <w:spacing w:after="0" w:line="23"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450 Lexington Avenue</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Attention: William Aaronson</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Email: william.aaronson@davispolk.com</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Attention: Jacques Naquet-Radiguet</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Email: jacques.naquet@davispolk.com</w:t>
      </w:r>
    </w:p>
    <w:p>
      <w:pPr>
        <w:spacing w:after="0" w:line="231" w:lineRule="exact"/>
        <w:rPr>
          <w:sz w:val="20"/>
          <w:szCs w:val="20"/>
          <w:color w:val="auto"/>
        </w:rPr>
      </w:pPr>
    </w:p>
    <w:p>
      <w:pPr>
        <w:spacing w:after="0"/>
        <w:rPr>
          <w:sz w:val="20"/>
          <w:szCs w:val="20"/>
          <w:color w:val="auto"/>
        </w:rPr>
      </w:pPr>
      <w:r>
        <w:rPr>
          <w:rFonts w:ascii="Arial" w:cs="Arial" w:eastAsia="Arial" w:hAnsi="Arial"/>
          <w:sz w:val="19"/>
          <w:szCs w:val="19"/>
          <w:color w:val="auto"/>
        </w:rPr>
        <w:t>or to such other persons or addresses as may be designated in writing by the party to receive such notice as provided above.</w:t>
      </w:r>
    </w:p>
    <w:p>
      <w:pPr>
        <w:sectPr>
          <w:pgSz w:w="11900" w:h="16838" w:orient="portrait"/>
          <w:cols w:equalWidth="0" w:num="1">
            <w:col w:w="11240"/>
          </w:cols>
          <w:pgMar w:left="320" w:top="118" w:right="339" w:bottom="637"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637" w:gutter="0" w:footer="0" w:header="0"/>
          <w:type w:val="continuous"/>
        </w:sectPr>
      </w:pPr>
    </w:p>
    <w:bookmarkStart w:id="153" w:name="page154"/>
    <w:bookmarkEnd w:id="153"/>
    <w:p>
      <w:pPr>
        <w:jc w:val="both"/>
        <w:ind w:right="160" w:firstLine="648"/>
        <w:spacing w:after="0" w:line="298" w:lineRule="auto"/>
        <w:rPr>
          <w:sz w:val="20"/>
          <w:szCs w:val="20"/>
          <w:color w:val="auto"/>
        </w:rPr>
      </w:pPr>
      <w:r>
        <w:rPr>
          <w:rFonts w:ascii="Arial" w:cs="Arial" w:eastAsia="Arial" w:hAnsi="Arial"/>
          <w:sz w:val="19"/>
          <w:szCs w:val="19"/>
          <w:color w:val="auto"/>
        </w:rPr>
        <w:t xml:space="preserve">5.7 </w:t>
      </w: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(including any annexes hereto), together with the Separation Agreement and the other Ancillary Agreements constitutes the entire agreement, and supersedes all other prior agreements, understandings, representations and warranties both written and oral, among the Parties, with respect to the subject matter hereof.</w:t>
      </w:r>
    </w:p>
    <w:p>
      <w:pPr>
        <w:spacing w:after="0" w:line="159" w:lineRule="exact"/>
        <w:rPr>
          <w:sz w:val="20"/>
          <w:szCs w:val="20"/>
          <w:color w:val="auto"/>
        </w:rPr>
      </w:pPr>
    </w:p>
    <w:p>
      <w:pPr>
        <w:ind w:firstLine="648"/>
        <w:spacing w:after="0" w:line="247" w:lineRule="exact"/>
        <w:rPr>
          <w:sz w:val="20"/>
          <w:szCs w:val="20"/>
          <w:color w:val="auto"/>
        </w:rPr>
      </w:pPr>
      <w:r>
        <w:rPr>
          <w:rFonts w:ascii="Arial" w:cs="Arial" w:eastAsia="Arial" w:hAnsi="Arial"/>
          <w:sz w:val="22"/>
          <w:szCs w:val="22"/>
          <w:color w:val="auto"/>
        </w:rPr>
        <w:t xml:space="preserve">5.8 </w:t>
      </w:r>
      <w:r>
        <w:rPr>
          <w:rFonts w:ascii="Arial" w:cs="Arial" w:eastAsia="Arial" w:hAnsi="Arial"/>
          <w:sz w:val="22"/>
          <w:szCs w:val="22"/>
          <w:u w:val="single" w:color="auto"/>
          <w:color w:val="auto"/>
        </w:rPr>
        <w:t>No Third-Party Beneficiaries</w:t>
      </w:r>
      <w:r>
        <w:rPr>
          <w:rFonts w:ascii="Arial" w:cs="Arial" w:eastAsia="Arial" w:hAnsi="Arial"/>
          <w:sz w:val="22"/>
          <w:szCs w:val="22"/>
          <w:color w:val="auto"/>
        </w:rPr>
        <w:t xml:space="preserve">. Except for the applicability of the licenses contained in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1.2</w:t>
      </w:r>
      <w:r>
        <w:rPr>
          <w:rFonts w:ascii="Arial" w:cs="Arial" w:eastAsia="Arial" w:hAnsi="Arial"/>
          <w:sz w:val="22"/>
          <w:szCs w:val="22"/>
          <w:color w:val="auto"/>
        </w:rPr>
        <w:t xml:space="preserve"> to Subsidiaries of the Licensees: (a) the provisions of this Agreement are solely for the benefit of the Parties and are not intended to confer upon any Person (including, without limitation, any shareholders of TFMC or shareholders of TEN) except the Parties hereto any rights or remedies hereunder; and (b) there are no third</w:t>
      </w:r>
      <w:r>
        <w:rPr>
          <w:rFonts w:ascii="MS PGothic" w:cs="MS PGothic" w:eastAsia="MS PGothic" w:hAnsi="MS PGothic"/>
          <w:sz w:val="22"/>
          <w:szCs w:val="22"/>
          <w:color w:val="auto"/>
        </w:rPr>
        <w:t>‑</w:t>
      </w:r>
      <w:r>
        <w:rPr>
          <w:rFonts w:ascii="Arial" w:cs="Arial" w:eastAsia="Arial" w:hAnsi="Arial"/>
          <w:sz w:val="22"/>
          <w:szCs w:val="22"/>
          <w:color w:val="auto"/>
        </w:rPr>
        <w:t>party beneficiaries of this Agreement, and this Agreement shall not provide any third Person (including, without limitation, any shareholders of TFMC or shareholders of TEN) with any remedy, claim, reimbursement, claim of action or other right in excess of those existing without reference to this Agreement.</w:t>
      </w:r>
    </w:p>
    <w:p>
      <w:pPr>
        <w:spacing w:after="0" w:line="218" w:lineRule="exact"/>
        <w:rPr>
          <w:sz w:val="20"/>
          <w:szCs w:val="20"/>
          <w:color w:val="auto"/>
        </w:rPr>
      </w:pPr>
    </w:p>
    <w:p>
      <w:pPr>
        <w:ind w:firstLine="648"/>
        <w:spacing w:after="0" w:line="277" w:lineRule="auto"/>
        <w:rPr>
          <w:sz w:val="20"/>
          <w:szCs w:val="20"/>
          <w:color w:val="auto"/>
        </w:rPr>
      </w:pPr>
      <w:r>
        <w:rPr>
          <w:rFonts w:ascii="Arial" w:cs="Arial" w:eastAsia="Arial" w:hAnsi="Arial"/>
          <w:sz w:val="19"/>
          <w:szCs w:val="19"/>
          <w:color w:val="auto"/>
        </w:rPr>
        <w:t xml:space="preserve">5.9 </w:t>
      </w:r>
      <w:r>
        <w:rPr>
          <w:rFonts w:ascii="Arial" w:cs="Arial" w:eastAsia="Arial" w:hAnsi="Arial"/>
          <w:sz w:val="19"/>
          <w:szCs w:val="19"/>
          <w:u w:val="single" w:color="auto"/>
          <w:color w:val="auto"/>
        </w:rPr>
        <w:t>Severability</w:t>
      </w:r>
      <w:r>
        <w:rPr>
          <w:rFonts w:ascii="Arial" w:cs="Arial" w:eastAsia="Arial" w:hAnsi="Arial"/>
          <w:sz w:val="19"/>
          <w:szCs w:val="19"/>
          <w:color w:val="auto"/>
        </w:rPr>
        <w:t>. The provisions of this Agreement shall be deemed severable and the invalidity or unenforceability of any provision shall not affect the validity or enforceability or the other provisions hereof. If any provision of this Agreement, or the application thereof to any Person or any circumstance, is invalid or unenforceable, (a) a suitable and equitable provision shall be substituted therefor in order to carry out, so far as may be valid and enforceable, the intent and purpose of such invalid or unenforceable provision and (b)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thereof, in any other jurisdiction.</w:t>
      </w:r>
    </w:p>
    <w:p>
      <w:pPr>
        <w:spacing w:after="0" w:line="179" w:lineRule="exact"/>
        <w:rPr>
          <w:sz w:val="20"/>
          <w:szCs w:val="20"/>
          <w:color w:val="auto"/>
        </w:rPr>
      </w:pPr>
    </w:p>
    <w:p>
      <w:pPr>
        <w:ind w:right="180" w:firstLine="648"/>
        <w:spacing w:after="0" w:line="245" w:lineRule="auto"/>
        <w:rPr>
          <w:sz w:val="20"/>
          <w:szCs w:val="20"/>
          <w:color w:val="auto"/>
        </w:rPr>
      </w:pPr>
      <w:r>
        <w:rPr>
          <w:rFonts w:ascii="Arial" w:cs="Arial" w:eastAsia="Arial" w:hAnsi="Arial"/>
          <w:sz w:val="21"/>
          <w:szCs w:val="21"/>
          <w:color w:val="auto"/>
        </w:rPr>
        <w:t xml:space="preserve">5.10 </w:t>
      </w:r>
      <w:r>
        <w:rPr>
          <w:rFonts w:ascii="Arial" w:cs="Arial" w:eastAsia="Arial" w:hAnsi="Arial"/>
          <w:sz w:val="21"/>
          <w:szCs w:val="21"/>
          <w:u w:val="single" w:color="auto"/>
          <w:color w:val="auto"/>
        </w:rPr>
        <w:t>Interpretation</w:t>
      </w:r>
      <w:r>
        <w:rPr>
          <w:rFonts w:ascii="Arial" w:cs="Arial" w:eastAsia="Arial" w:hAnsi="Arial"/>
          <w:sz w:val="21"/>
          <w:szCs w:val="21"/>
          <w:color w:val="auto"/>
        </w:rPr>
        <w:t>. The table of contents and headings herein are for convenience of reference only, do not constitute part of this Agreement and shall not be deemed to limit or otherwise affect any of the provisions hereof. Where a reference in this Agreement is made to a Section, Schedule, Annex or Exhibit, such reference shall be to a Section of, Schedule to, Annex to or Exhibit to this Agreement unless otherwise indicated. Whenever the words “include,” “includes” or “including” are used in this Agreement, they shall be deemed to be followed by the words “without limitation.” For purposes of this Agreement, whenever the context requires the singular number shall include the plural, and vice versa. All references in this Agreement to “$” are intended to refer to United States dollars and all references to “EUR” are to the lawful currency of the European Union. Any reference to a particular Law or Contract means such Law or Contract as amended, modified or supplemented (including, with respect to any such Law, all rules and regulations promulgated thereunder) and, unless otherwise provided, as in effect from time to time.</w:t>
      </w:r>
    </w:p>
    <w:p>
      <w:pPr>
        <w:spacing w:after="0" w:line="208" w:lineRule="exact"/>
        <w:rPr>
          <w:sz w:val="20"/>
          <w:szCs w:val="20"/>
          <w:color w:val="auto"/>
        </w:rPr>
      </w:pPr>
    </w:p>
    <w:p>
      <w:pPr>
        <w:ind w:right="100" w:firstLine="648"/>
        <w:spacing w:after="0" w:line="250" w:lineRule="auto"/>
        <w:rPr>
          <w:sz w:val="20"/>
          <w:szCs w:val="20"/>
          <w:color w:val="auto"/>
        </w:rPr>
      </w:pPr>
      <w:r>
        <w:rPr>
          <w:rFonts w:ascii="Arial" w:cs="Arial" w:eastAsia="Arial" w:hAnsi="Arial"/>
          <w:sz w:val="22"/>
          <w:szCs w:val="22"/>
          <w:color w:val="auto"/>
        </w:rPr>
        <w:t xml:space="preserve">5.11 </w:t>
      </w:r>
      <w:r>
        <w:rPr>
          <w:rFonts w:ascii="Arial" w:cs="Arial" w:eastAsia="Arial" w:hAnsi="Arial"/>
          <w:sz w:val="22"/>
          <w:szCs w:val="22"/>
          <w:u w:val="single" w:color="auto"/>
          <w:color w:val="auto"/>
        </w:rPr>
        <w:t>Defined Terms</w:t>
      </w:r>
      <w:r>
        <w:rPr>
          <w:rFonts w:ascii="Arial" w:cs="Arial" w:eastAsia="Arial" w:hAnsi="Arial"/>
          <w:sz w:val="22"/>
          <w:szCs w:val="22"/>
          <w:color w:val="auto"/>
        </w:rPr>
        <w:t>. Capitalized terms used and not otherwise defined herein shall have the meanings specified or referred to in Annex I, or if not defined therein, in the Separation Agreement.</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54" w:name="page155"/>
    <w:bookmarkEnd w:id="154"/>
    <w:p>
      <w:pPr>
        <w:ind w:left="660"/>
        <w:spacing w:after="0"/>
        <w:tabs>
          <w:tab w:leader="none" w:pos="1660" w:val="left"/>
        </w:tabs>
        <w:rPr>
          <w:sz w:val="20"/>
          <w:szCs w:val="20"/>
          <w:color w:val="auto"/>
        </w:rPr>
      </w:pPr>
      <w:r>
        <w:rPr>
          <w:rFonts w:ascii="Arial" w:cs="Arial" w:eastAsia="Arial" w:hAnsi="Arial"/>
          <w:sz w:val="22"/>
          <w:szCs w:val="22"/>
          <w:color w:val="auto"/>
        </w:rPr>
        <w:t>5.12</w:t>
      </w:r>
      <w:r>
        <w:rPr>
          <w:sz w:val="20"/>
          <w:szCs w:val="20"/>
          <w:color w:val="auto"/>
        </w:rPr>
        <w:tab/>
      </w:r>
      <w:r>
        <w:rPr>
          <w:rFonts w:ascii="Arial" w:cs="Arial" w:eastAsia="Arial" w:hAnsi="Arial"/>
          <w:sz w:val="19"/>
          <w:szCs w:val="19"/>
          <w:u w:val="single" w:color="auto"/>
          <w:color w:val="auto"/>
        </w:rPr>
        <w:t>Assignment</w:t>
      </w:r>
      <w:r>
        <w:rPr>
          <w:rFonts w:ascii="Arial" w:cs="Arial" w:eastAsia="Arial" w:hAnsi="Arial"/>
          <w:sz w:val="19"/>
          <w:szCs w:val="19"/>
          <w:color w:val="auto"/>
        </w:rPr>
        <w:t>.</w:t>
      </w:r>
    </w:p>
    <w:p>
      <w:pPr>
        <w:spacing w:after="0" w:line="234" w:lineRule="exact"/>
        <w:rPr>
          <w:sz w:val="20"/>
          <w:szCs w:val="20"/>
          <w:color w:val="auto"/>
        </w:rPr>
      </w:pPr>
    </w:p>
    <w:p>
      <w:pPr>
        <w:ind w:right="120" w:firstLine="656"/>
        <w:spacing w:after="0" w:line="282" w:lineRule="auto"/>
        <w:tabs>
          <w:tab w:leader="none" w:pos="1536" w:val="left"/>
        </w:tabs>
        <w:numPr>
          <w:ilvl w:val="0"/>
          <w:numId w:val="87"/>
        </w:numPr>
        <w:rPr>
          <w:rFonts w:ascii="Arial" w:cs="Arial" w:eastAsia="Arial" w:hAnsi="Arial"/>
          <w:sz w:val="19"/>
          <w:szCs w:val="19"/>
          <w:color w:val="auto"/>
        </w:rPr>
      </w:pPr>
      <w:r>
        <w:rPr>
          <w:rFonts w:ascii="Arial" w:cs="Arial" w:eastAsia="Arial" w:hAnsi="Arial"/>
          <w:sz w:val="19"/>
          <w:szCs w:val="19"/>
          <w:color w:val="auto"/>
        </w:rPr>
        <w:t>Nothing herein shall restrict a Party from assigning or transferring any Patents it owns and licenses to the other Party hereunder to any Person (whether by Contract, by operation of Law, by virtue of a merger or consolidation with any surviving entity, or otherwise); provided that any such assignment or transfer (or deemed assignment or transfer) shall have no effect on the licenses granted hereunder, and the assigned or transferred Patents shall remain subject to, and the applicable assignee or transferee agrees in writing to be bound by the terms and conditions of, this Agreement.</w:t>
      </w:r>
    </w:p>
    <w:p>
      <w:pPr>
        <w:spacing w:after="0" w:line="174" w:lineRule="exact"/>
        <w:rPr>
          <w:rFonts w:ascii="Arial" w:cs="Arial" w:eastAsia="Arial" w:hAnsi="Arial"/>
          <w:sz w:val="19"/>
          <w:szCs w:val="19"/>
          <w:color w:val="auto"/>
        </w:rPr>
      </w:pPr>
    </w:p>
    <w:p>
      <w:pPr>
        <w:ind w:right="20" w:firstLine="656"/>
        <w:spacing w:after="0" w:line="270" w:lineRule="auto"/>
        <w:tabs>
          <w:tab w:leader="none" w:pos="1548" w:val="left"/>
        </w:tabs>
        <w:numPr>
          <w:ilvl w:val="0"/>
          <w:numId w:val="87"/>
        </w:numPr>
        <w:rPr>
          <w:rFonts w:ascii="Arial" w:cs="Arial" w:eastAsia="Arial" w:hAnsi="Arial"/>
          <w:sz w:val="19"/>
          <w:szCs w:val="19"/>
          <w:color w:val="auto"/>
        </w:rPr>
      </w:pPr>
      <w:r>
        <w:rPr>
          <w:rFonts w:ascii="Arial" w:cs="Arial" w:eastAsia="Arial" w:hAnsi="Arial"/>
          <w:sz w:val="19"/>
          <w:szCs w:val="19"/>
          <w:color w:val="auto"/>
        </w:rPr>
        <w:t>Subject to and without limiting subsection (a) above, neither Party may assign this Agreement, or any of its respective rights and obligations under this Agreement to any Person and any attempt to do so shall be void. Notwithstanding the foregoing, either Party may (i) transfer all or a part of their respective rights and obligations under this Agreement, or sublicense any of the licenses granted hereunder, to their respective Affiliates; (ii) transfer all or part of their respective rights and obligations under this Agreement to any third party in connection with an acquisition of such Party (whether by merger, consolidation, sale of assets, sale or exchange of stock, by operation of Law or otherwise and whether in a single or multiple transactions); and (iii) transfer all or part of its respective rights and obligations under this Agreement to any third party in connection with an acquisition of a discrete business unit or division of such Party (whether by merger, consolidation, sale of assets, sale or exchange of stock, or otherwise), provided that business unit or division is capable of being operated on a standalone basis, and provided that the license shall not extend beyond the business unit or division being sold; and provided further that, in each of the above cases, such transferee, assignee or successor agrees to be bound by the terms of this Agreement. Notwithstanding anything to the contrary herein, neither this Agreement, nor any of the licenses hereunder, shall be assigned or otherwise transferred in whole or in part by either Party to any Competitor of the other Party without the other Party’s prior written consent, which shall not be unreasonably withheld, delayed or conditioned. Further, each Party may collaterally assign its rights under this Agreement to its lenders or other financing sources, provided that, upon foreclosure, (A) any assignee or transferee of all or part of this Agreement agrees to be bound by the terms of this Agreement, and (B) neither this Agreement, nor any of the licenses hereunder, shall be assigned or otherwise transferred in whole or in part in connection with such foreclosure to any Competitor of the other Party without the other Party’s prior written consent, which shall not be unreasonably withheld, delayed or conditioned.</w:t>
      </w:r>
    </w:p>
    <w:p>
      <w:pPr>
        <w:spacing w:after="0" w:line="200" w:lineRule="exact"/>
        <w:rPr>
          <w:rFonts w:ascii="Arial" w:cs="Arial" w:eastAsia="Arial" w:hAnsi="Arial"/>
          <w:sz w:val="19"/>
          <w:szCs w:val="19"/>
          <w:color w:val="auto"/>
        </w:rPr>
      </w:pPr>
    </w:p>
    <w:p>
      <w:pPr>
        <w:spacing w:after="0" w:line="235" w:lineRule="exact"/>
        <w:rPr>
          <w:rFonts w:ascii="Arial" w:cs="Arial" w:eastAsia="Arial" w:hAnsi="Arial"/>
          <w:sz w:val="19"/>
          <w:szCs w:val="19"/>
          <w:color w:val="auto"/>
        </w:rPr>
      </w:pPr>
    </w:p>
    <w:p>
      <w:pPr>
        <w:ind w:right="120" w:firstLine="656"/>
        <w:spacing w:after="0" w:line="328" w:lineRule="auto"/>
        <w:tabs>
          <w:tab w:leader="none" w:pos="1536" w:val="left"/>
        </w:tabs>
        <w:numPr>
          <w:ilvl w:val="0"/>
          <w:numId w:val="87"/>
        </w:numPr>
        <w:rPr>
          <w:rFonts w:ascii="Arial" w:cs="Arial" w:eastAsia="Arial" w:hAnsi="Arial"/>
          <w:sz w:val="19"/>
          <w:szCs w:val="19"/>
          <w:color w:val="auto"/>
        </w:rPr>
      </w:pPr>
      <w:r>
        <w:rPr>
          <w:rFonts w:ascii="Arial" w:cs="Arial" w:eastAsia="Arial" w:hAnsi="Arial"/>
          <w:sz w:val="19"/>
          <w:szCs w:val="19"/>
          <w:color w:val="auto"/>
        </w:rPr>
        <w:t>Subject to subparagraphs (a) and (b) above, this Agreement shall be binding upon and shall inure to the benefit of the Parties and their respective successors (whether by Contract, operation of Law or otherwise) and permitted assigns.</w:t>
      </w:r>
    </w:p>
    <w:p>
      <w:pPr>
        <w:spacing w:after="0" w:line="132" w:lineRule="exact"/>
        <w:rPr>
          <w:sz w:val="20"/>
          <w:szCs w:val="20"/>
          <w:color w:val="auto"/>
        </w:rPr>
      </w:pPr>
    </w:p>
    <w:p>
      <w:pPr>
        <w:ind w:firstLine="648"/>
        <w:spacing w:after="0" w:line="269" w:lineRule="auto"/>
        <w:rPr>
          <w:sz w:val="20"/>
          <w:szCs w:val="20"/>
          <w:color w:val="auto"/>
        </w:rPr>
      </w:pPr>
      <w:r>
        <w:rPr>
          <w:rFonts w:ascii="Arial" w:cs="Arial" w:eastAsia="Arial" w:hAnsi="Arial"/>
          <w:sz w:val="19"/>
          <w:szCs w:val="19"/>
          <w:color w:val="auto"/>
        </w:rPr>
        <w:t xml:space="preserve">5.13 </w:t>
      </w:r>
      <w:r>
        <w:rPr>
          <w:rFonts w:ascii="Arial" w:cs="Arial" w:eastAsia="Arial" w:hAnsi="Arial"/>
          <w:sz w:val="19"/>
          <w:szCs w:val="19"/>
          <w:u w:val="single" w:color="auto"/>
          <w:color w:val="auto"/>
        </w:rPr>
        <w:t>Specific Performance; Other Equitable Relief</w:t>
      </w:r>
      <w:r>
        <w:rPr>
          <w:rFonts w:ascii="Arial" w:cs="Arial" w:eastAsia="Arial" w:hAnsi="Arial"/>
          <w:sz w:val="19"/>
          <w:szCs w:val="19"/>
          <w:color w:val="auto"/>
        </w:rPr>
        <w:t>. Each Party hereby acknowledges and agrees that (i) irreparable damage would occur if any provision of this Agreement were not performed in accordance with the specific terms hereof or were otherwise breached, and (ii) remedies at Law for any breach or threatened breach of this Agreement, including monetary damages, are inadequate compensation for any loss that any other Party would suffer as a result. It is accordingly agreed that the Parties shall be entitled to an injunction or injunctions to prevent breaches of this Agreement and to enforce specifically the terms and provisions of this Agreement (without necessity of posting bond or other security (any requirements therefor being expressly waived)), this being in addition to any other remedy to which they are entitled at Law or in equity. Each of the Parties agrees that it will not oppose the granting of an injunction, specific performance or other equitable relief as provided herein on the basis that</w:t>
      </w:r>
    </w:p>
    <w:p>
      <w:pPr>
        <w:spacing w:after="0" w:line="3" w:lineRule="exact"/>
        <w:rPr>
          <w:sz w:val="20"/>
          <w:szCs w:val="20"/>
          <w:color w:val="auto"/>
        </w:rPr>
      </w:pPr>
    </w:p>
    <w:p>
      <w:pPr>
        <w:ind w:right="140" w:firstLine="8"/>
        <w:spacing w:after="0" w:line="233" w:lineRule="auto"/>
        <w:tabs>
          <w:tab w:leader="none" w:pos="258"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the other Party has an adequate remedy at Law or (ii) an award of specific performance is not an appropriate remedy for any reason at Law or equity. Any party seeking an injunction or injunctions to prevent breaches of this Agreement and to enforce specifically the terms and provisions of this Agreement shall not be required to provide any bond or other security in connection with any such order or injunction.</w:t>
      </w:r>
    </w:p>
    <w:p>
      <w:pPr>
        <w:spacing w:after="0" w:line="215" w:lineRule="exact"/>
        <w:rPr>
          <w:sz w:val="20"/>
          <w:szCs w:val="20"/>
          <w:color w:val="auto"/>
        </w:rPr>
      </w:pPr>
    </w:p>
    <w:p>
      <w:pPr>
        <w:ind w:right="60" w:firstLine="648"/>
        <w:spacing w:after="0" w:line="273" w:lineRule="auto"/>
        <w:rPr>
          <w:sz w:val="20"/>
          <w:szCs w:val="20"/>
          <w:color w:val="auto"/>
        </w:rPr>
      </w:pPr>
      <w:r>
        <w:rPr>
          <w:rFonts w:ascii="Arial" w:cs="Arial" w:eastAsia="Arial" w:hAnsi="Arial"/>
          <w:sz w:val="19"/>
          <w:szCs w:val="19"/>
          <w:color w:val="auto"/>
        </w:rPr>
        <w:t xml:space="preserve">5.14 </w:t>
      </w:r>
      <w:r>
        <w:rPr>
          <w:rFonts w:ascii="Arial" w:cs="Arial" w:eastAsia="Arial" w:hAnsi="Arial"/>
          <w:sz w:val="19"/>
          <w:szCs w:val="19"/>
          <w:u w:val="single" w:color="auto"/>
          <w:color w:val="auto"/>
        </w:rPr>
        <w:t>Construction</w:t>
      </w:r>
      <w:r>
        <w:rPr>
          <w:rFonts w:ascii="Arial" w:cs="Arial" w:eastAsia="Arial" w:hAnsi="Arial"/>
          <w:sz w:val="19"/>
          <w:szCs w:val="19"/>
          <w:color w:val="auto"/>
        </w:rPr>
        <w:t>. This Agreement shall be construed as if jointly drafted by the Parties and no rule of construction or strict interpretation shall be applied against either Party. The Parties represent that this Agreement is entered into with full consideration of any and all rights which the Parties may have. The Parties have conducted such investigations they thought appropriate, and have consulted with such advisors as they deemed appropriate regarding this Agreement and their rights and asserted rights in connection therewith. The Parties are not relying upon any representations or statements made by the other Party, or such other Party’s employees, agents, representatives or attorneys, regarding this Agreement, except to the extent such representations are expressly set forth or incorporated in this Agreement, the Separation Agreement or any of the other Ancillary Agreements. The Parties are not relying upon a legal duty, if one exists, on the part of the other Party (or such other Party’s employees, agents, representatives or attorneys) to disclose any information in connection with the execution of this Agreement or their preparation, it being expressly understood that neither Party shall ever assert any failure to disclose information on the part of the other Party as a ground for challenging this Agreement.</w:t>
      </w:r>
    </w:p>
    <w:p>
      <w:pPr>
        <w:spacing w:after="0" w:line="182" w:lineRule="exact"/>
        <w:rPr>
          <w:sz w:val="20"/>
          <w:szCs w:val="20"/>
          <w:color w:val="auto"/>
        </w:rPr>
      </w:pPr>
    </w:p>
    <w:p>
      <w:pPr>
        <w:ind w:right="140" w:firstLine="648"/>
        <w:spacing w:after="0" w:line="250" w:lineRule="auto"/>
        <w:rPr>
          <w:sz w:val="20"/>
          <w:szCs w:val="20"/>
          <w:color w:val="auto"/>
        </w:rPr>
      </w:pPr>
      <w:r>
        <w:rPr>
          <w:rFonts w:ascii="Arial" w:cs="Arial" w:eastAsia="Arial" w:hAnsi="Arial"/>
          <w:sz w:val="22"/>
          <w:szCs w:val="22"/>
          <w:color w:val="auto"/>
        </w:rPr>
        <w:t xml:space="preserve">5.15 </w:t>
      </w:r>
      <w:r>
        <w:rPr>
          <w:rFonts w:ascii="Arial" w:cs="Arial" w:eastAsia="Arial" w:hAnsi="Arial"/>
          <w:sz w:val="22"/>
          <w:szCs w:val="22"/>
          <w:u w:val="single" w:color="auto"/>
          <w:color w:val="auto"/>
        </w:rPr>
        <w:t>Performance</w:t>
      </w:r>
      <w:r>
        <w:rPr>
          <w:rFonts w:ascii="Arial" w:cs="Arial" w:eastAsia="Arial" w:hAnsi="Arial"/>
          <w:sz w:val="22"/>
          <w:szCs w:val="22"/>
          <w:color w:val="auto"/>
        </w:rPr>
        <w:t>. Each Party shall cause to be performed, and hereby guarantees the performance of, all actions, agreements and obligations set forth herein to be performed by any Subsidiary or Affiliate of such Party.</w:t>
      </w:r>
    </w:p>
    <w:p>
      <w:pPr>
        <w:spacing w:after="0" w:line="202"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 xml:space="preserve">5.16 </w:t>
      </w:r>
      <w:r>
        <w:rPr>
          <w:rFonts w:ascii="Arial" w:cs="Arial" w:eastAsia="Arial" w:hAnsi="Arial"/>
          <w:sz w:val="22"/>
          <w:szCs w:val="22"/>
          <w:u w:val="single" w:color="auto"/>
          <w:color w:val="auto"/>
        </w:rPr>
        <w:t>Other Agreements</w:t>
      </w:r>
      <w:r>
        <w:rPr>
          <w:rFonts w:ascii="Arial" w:cs="Arial" w:eastAsia="Arial" w:hAnsi="Arial"/>
          <w:sz w:val="22"/>
          <w:szCs w:val="22"/>
          <w:color w:val="auto"/>
        </w:rPr>
        <w:t>. Except as expressly set forth herein, this Agreement is not intended to address, and should not be interpreted to address, the matters specifically and expressly covered by the Separation Agreement or the other Ancillary Agreements.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Follow.]</w:t>
      </w:r>
    </w:p>
    <w:p>
      <w:pPr>
        <w:sectPr>
          <w:pgSz w:w="11900" w:h="16838" w:orient="portrait"/>
          <w:cols w:equalWidth="0" w:num="1">
            <w:col w:w="11240"/>
          </w:cols>
          <w:pgMar w:left="320" w:top="118" w:right="339" w:bottom="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0" w:gutter="0" w:footer="0" w:header="0"/>
          <w:type w:val="continuous"/>
        </w:sectPr>
      </w:pPr>
    </w:p>
    <w:bookmarkStart w:id="155" w:name="page156"/>
    <w:bookmarkEnd w:id="155"/>
    <w:p>
      <w:pPr>
        <w:ind w:right="1380" w:firstLine="648"/>
        <w:spacing w:after="0" w:line="250" w:lineRule="auto"/>
        <w:rPr>
          <w:sz w:val="20"/>
          <w:szCs w:val="20"/>
          <w:color w:val="auto"/>
        </w:rPr>
      </w:pPr>
      <w:r>
        <w:rPr>
          <w:rFonts w:ascii="Arial" w:cs="Arial" w:eastAsia="Arial" w:hAnsi="Arial"/>
          <w:sz w:val="22"/>
          <w:szCs w:val="22"/>
          <w:color w:val="auto"/>
        </w:rPr>
        <w:t>IN WITNESS WHEREOF, the parties have caused this Agreement to be executed by their duly authorized representatives.</w:t>
      </w:r>
    </w:p>
    <w:p>
      <w:pPr>
        <w:spacing w:after="0" w:line="20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TECHNIPFMC PLC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00" w:type="dxa"/>
            <w:vAlign w:val="bottom"/>
          </w:tcPr>
          <w:p>
            <w:pPr>
              <w:ind w:left="56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Alf Melin</w:t>
            </w:r>
          </w:p>
        </w:tc>
      </w:tr>
      <w:tr>
        <w:trPr>
          <w:trHeight w:val="202"/>
        </w:trPr>
        <w:tc>
          <w:tcPr>
            <w:tcW w:w="6300" w:type="dxa"/>
            <w:vAlign w:val="bottom"/>
          </w:tcPr>
          <w:p>
            <w:pPr>
              <w:ind w:left="5640"/>
              <w:spacing w:after="0" w:line="201"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201" w:lineRule="exact"/>
              <w:rPr>
                <w:sz w:val="20"/>
                <w:szCs w:val="20"/>
                <w:color w:val="auto"/>
              </w:rPr>
            </w:pPr>
            <w:r>
              <w:rPr>
                <w:rFonts w:ascii="Arial" w:cs="Arial" w:eastAsia="Arial" w:hAnsi="Arial"/>
                <w:sz w:val="18"/>
                <w:szCs w:val="18"/>
                <w:color w:val="auto"/>
              </w:rPr>
              <w:t>Alf Melin</w:t>
            </w:r>
          </w:p>
        </w:tc>
      </w:tr>
      <w:tr>
        <w:trPr>
          <w:trHeight w:val="230"/>
        </w:trPr>
        <w:tc>
          <w:tcPr>
            <w:tcW w:w="6300" w:type="dxa"/>
            <w:vAlign w:val="bottom"/>
          </w:tcPr>
          <w:p>
            <w:pPr>
              <w:ind w:left="564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425"/>
        </w:trPr>
        <w:tc>
          <w:tcPr>
            <w:tcW w:w="63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1" w:right="339" w:bottom="1440" w:gutter="0" w:footer="0" w:header="0"/>
        </w:sectPr>
      </w:pPr>
    </w:p>
    <w:bookmarkStart w:id="156" w:name="page157"/>
    <w:bookmarkEnd w:id="156"/>
    <w:p>
      <w:pPr>
        <w:ind w:right="1380" w:firstLine="648"/>
        <w:spacing w:after="0" w:line="251" w:lineRule="auto"/>
        <w:rPr>
          <w:sz w:val="20"/>
          <w:szCs w:val="20"/>
          <w:color w:val="auto"/>
        </w:rPr>
      </w:pPr>
      <w:r>
        <w:rPr>
          <w:rFonts w:ascii="Arial" w:cs="Arial" w:eastAsia="Arial" w:hAnsi="Arial"/>
          <w:sz w:val="22"/>
          <w:szCs w:val="22"/>
          <w:color w:val="auto"/>
        </w:rPr>
        <w:t>IN WITNESS WHEREOF, the parties have caused this Agreement to be executed by their duly authorized representatives.</w:t>
      </w:r>
    </w:p>
    <w:p>
      <w:pPr>
        <w:spacing w:after="0" w:line="200" w:lineRule="exact"/>
        <w:rPr>
          <w:sz w:val="20"/>
          <w:szCs w:val="20"/>
          <w:color w:val="auto"/>
        </w:rPr>
      </w:pPr>
    </w:p>
    <w:p>
      <w:pPr>
        <w:spacing w:after="0" w:line="25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TECHNIP ENERGIES N.V.</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00" w:type="dxa"/>
            <w:vAlign w:val="bottom"/>
          </w:tcPr>
          <w:p>
            <w:pPr>
              <w:ind w:left="56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Bruno Vibert</w:t>
            </w:r>
          </w:p>
        </w:tc>
      </w:tr>
      <w:tr>
        <w:trPr>
          <w:trHeight w:val="202"/>
        </w:trPr>
        <w:tc>
          <w:tcPr>
            <w:tcW w:w="6300" w:type="dxa"/>
            <w:vAlign w:val="bottom"/>
          </w:tcPr>
          <w:p>
            <w:pPr>
              <w:ind w:left="5640"/>
              <w:spacing w:after="0" w:line="201"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201" w:lineRule="exact"/>
              <w:rPr>
                <w:sz w:val="20"/>
                <w:szCs w:val="20"/>
                <w:color w:val="auto"/>
              </w:rPr>
            </w:pPr>
            <w:r>
              <w:rPr>
                <w:rFonts w:ascii="Arial" w:cs="Arial" w:eastAsia="Arial" w:hAnsi="Arial"/>
                <w:sz w:val="18"/>
                <w:szCs w:val="18"/>
                <w:color w:val="auto"/>
              </w:rPr>
              <w:t>Bruno Vibert</w:t>
            </w:r>
          </w:p>
        </w:tc>
      </w:tr>
      <w:tr>
        <w:trPr>
          <w:trHeight w:val="230"/>
        </w:trPr>
        <w:tc>
          <w:tcPr>
            <w:tcW w:w="6300" w:type="dxa"/>
            <w:vAlign w:val="bottom"/>
          </w:tcPr>
          <w:p>
            <w:pPr>
              <w:ind w:left="564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25"/>
        </w:trPr>
        <w:tc>
          <w:tcPr>
            <w:tcW w:w="63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8" w:right="339" w:bottom="1440" w:gutter="0" w:footer="0" w:header="0"/>
        </w:sectPr>
      </w:pPr>
    </w:p>
    <w:bookmarkStart w:id="157" w:name="page158"/>
    <w:bookmarkEnd w:id="157"/>
    <w:p>
      <w:pPr>
        <w:jc w:val="center"/>
        <w:ind w:right="-79"/>
        <w:spacing w:after="0"/>
        <w:rPr>
          <w:sz w:val="20"/>
          <w:szCs w:val="20"/>
          <w:color w:val="auto"/>
        </w:rPr>
      </w:pPr>
      <w:r>
        <w:rPr>
          <w:rFonts w:ascii="Arial" w:cs="Arial" w:eastAsia="Arial" w:hAnsi="Arial"/>
          <w:sz w:val="22"/>
          <w:szCs w:val="22"/>
          <w:b w:val="1"/>
          <w:bCs w:val="1"/>
          <w:color w:val="auto"/>
        </w:rPr>
        <w:t>ANNEX I:</w:t>
      </w: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Defined Terms</w:t>
      </w:r>
    </w:p>
    <w:p>
      <w:pPr>
        <w:spacing w:after="0" w:line="239" w:lineRule="exact"/>
        <w:rPr>
          <w:sz w:val="20"/>
          <w:szCs w:val="20"/>
          <w:color w:val="auto"/>
        </w:rPr>
      </w:pPr>
    </w:p>
    <w:p>
      <w:pPr>
        <w:ind w:right="4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Competitor</w:t>
      </w:r>
      <w:r>
        <w:rPr>
          <w:rFonts w:ascii="Arial" w:cs="Arial" w:eastAsia="Arial" w:hAnsi="Arial"/>
          <w:sz w:val="22"/>
          <w:szCs w:val="22"/>
          <w:color w:val="auto"/>
        </w:rPr>
        <w:t>” means (a) in respect of TFMC, any other Person identified as a competitor to TFMC or any of its Affiliates in the most recent annual report or proxy of TFMC; and (b) in respect of TEN, any other Person identified as a competitor to TEN or any of its Affiliates in the most recent annual report or proxy of TEN.</w:t>
      </w:r>
    </w:p>
    <w:p>
      <w:pPr>
        <w:spacing w:after="0" w:line="213" w:lineRule="exact"/>
        <w:rPr>
          <w:sz w:val="20"/>
          <w:szCs w:val="20"/>
          <w:color w:val="auto"/>
        </w:rPr>
      </w:pPr>
    </w:p>
    <w:p>
      <w:pPr>
        <w:ind w:right="36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Fixed Offshore Platform Patents</w:t>
      </w:r>
      <w:r>
        <w:rPr>
          <w:rFonts w:ascii="Arial" w:cs="Arial" w:eastAsia="Arial" w:hAnsi="Arial"/>
          <w:sz w:val="19"/>
          <w:szCs w:val="19"/>
          <w:color w:val="auto"/>
        </w:rPr>
        <w:t>” means the patents and patent applications set forth in Annex V, including any re-examinations and reissues thereof, together with any patents issuing from any such patent applications, or any continuations, continuations in part, divisionals, or national stage entries of such applications, or any future applications that validly claim a right of priority to such applications under the Paris Convention for the Protection of Industrial Property.</w:t>
      </w:r>
    </w:p>
    <w:p>
      <w:pPr>
        <w:spacing w:after="0" w:line="170" w:lineRule="exact"/>
        <w:rPr>
          <w:sz w:val="20"/>
          <w:szCs w:val="20"/>
          <w:color w:val="auto"/>
        </w:rPr>
      </w:pPr>
    </w:p>
    <w:p>
      <w:pPr>
        <w:ind w:right="10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Flexible Patents</w:t>
      </w:r>
      <w:r>
        <w:rPr>
          <w:rFonts w:ascii="Arial" w:cs="Arial" w:eastAsia="Arial" w:hAnsi="Arial"/>
          <w:sz w:val="19"/>
          <w:szCs w:val="19"/>
          <w:color w:val="auto"/>
        </w:rPr>
        <w:t>” means the patents and patent applications set forth in Annex IV, including any re-examinations and reissues thereof, together with any patents issuing from any such patent applications, or any continuations, continuations in part, divisionals, or national stage entries of such applications, or any future applications that validly claim a right of priority to such applications under the Paris Convention for the Protection of Industrial Property.</w:t>
      </w:r>
    </w:p>
    <w:p>
      <w:pPr>
        <w:spacing w:after="0" w:line="170" w:lineRule="exact"/>
        <w:rPr>
          <w:sz w:val="20"/>
          <w:szCs w:val="20"/>
          <w:color w:val="auto"/>
        </w:rPr>
      </w:pPr>
    </w:p>
    <w:p>
      <w:pPr>
        <w:ind w:right="6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Flexible Products</w:t>
      </w:r>
      <w:r>
        <w:rPr>
          <w:rFonts w:ascii="Arial" w:cs="Arial" w:eastAsia="Arial" w:hAnsi="Arial"/>
          <w:sz w:val="22"/>
          <w:szCs w:val="22"/>
          <w:color w:val="auto"/>
        </w:rPr>
        <w:t>” means pipe composite or unbonded or bonded construction of layers of different materials forming a pressure-containing conduit, delivered in one continuous length or joined together with connectors, and the pipe structure allows large deflections without a significant increase in bending stresses, such as, but not limited to API 17J and API RP 17B and including transport of cryogenic fluid.</w:t>
      </w:r>
    </w:p>
    <w:p>
      <w:pPr>
        <w:spacing w:after="0" w:line="212" w:lineRule="exact"/>
        <w:rPr>
          <w:sz w:val="20"/>
          <w:szCs w:val="20"/>
          <w:color w:val="auto"/>
        </w:rPr>
      </w:pPr>
    </w:p>
    <w:p>
      <w:pPr>
        <w:jc w:val="both"/>
        <w:ind w:right="10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Licensed TEN Patents</w:t>
      </w:r>
      <w:r>
        <w:rPr>
          <w:rFonts w:ascii="Arial" w:cs="Arial" w:eastAsia="Arial" w:hAnsi="Arial"/>
          <w:sz w:val="19"/>
          <w:szCs w:val="19"/>
          <w:color w:val="auto"/>
        </w:rPr>
        <w:t>” means (a) the patents and patent applications set forth in Annex III and (b) any re-examinations and reissues thereof, together with any patents issuing from any such patent applications, or any continuations, continuations in part, divisionals, or national stage entries of such applications, or any future applications that validly claim a right of priority to such applications under the Paris Convention for the Protection of Industrial Property.</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Licensed TFMC Patents</w:t>
      </w:r>
      <w:r>
        <w:rPr>
          <w:rFonts w:ascii="Arial" w:cs="Arial" w:eastAsia="Arial" w:hAnsi="Arial"/>
          <w:sz w:val="19"/>
          <w:szCs w:val="19"/>
          <w:color w:val="auto"/>
        </w:rPr>
        <w:t>” means (a) the patents and patent applications set forth in Annex II and (b) any re-examinations and reissues thereof, together with any patents issuing from any such patent applications, or any continuations, continuations in part, divisionals, or national stage entries of such applications, or any future applications that validly claim a right of priority to such applications under the Paris Convention for the Protection of Industrial Property.</w:t>
      </w:r>
    </w:p>
    <w:p>
      <w:pPr>
        <w:spacing w:after="0" w:line="170" w:lineRule="exact"/>
        <w:rPr>
          <w:sz w:val="20"/>
          <w:szCs w:val="20"/>
          <w:color w:val="auto"/>
        </w:rPr>
      </w:pPr>
    </w:p>
    <w:p>
      <w:pPr>
        <w:ind w:right="2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Licensee</w:t>
      </w:r>
      <w:r>
        <w:rPr>
          <w:rFonts w:ascii="Arial" w:cs="Arial" w:eastAsia="Arial" w:hAnsi="Arial"/>
          <w:sz w:val="22"/>
          <w:szCs w:val="22"/>
          <w:color w:val="auto"/>
        </w:rPr>
        <w:t xml:space="preserve">” means (a) TFMC, with respect to the license under the Licensed TEN Patents, set forth in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and (b) TEN, with respect to the licenses under the Licensed TFMC Patents, the Flexible Patents and the Fixed Offshore Platform Patents, set forth in </w:t>
      </w:r>
      <w:r>
        <w:rPr>
          <w:rFonts w:ascii="Arial" w:cs="Arial" w:eastAsia="Arial" w:hAnsi="Arial"/>
          <w:sz w:val="22"/>
          <w:szCs w:val="22"/>
          <w:u w:val="single" w:color="auto"/>
          <w:color w:val="auto"/>
        </w:rPr>
        <w:t>Sections 1.2, 1.3</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1.4</w:t>
      </w:r>
      <w:r>
        <w:rPr>
          <w:rFonts w:ascii="Arial" w:cs="Arial" w:eastAsia="Arial" w:hAnsi="Arial"/>
          <w:sz w:val="22"/>
          <w:szCs w:val="22"/>
          <w:color w:val="auto"/>
        </w:rPr>
        <w:t>.</w:t>
      </w:r>
    </w:p>
    <w:p>
      <w:pPr>
        <w:spacing w:after="0" w:line="213" w:lineRule="exact"/>
        <w:rPr>
          <w:sz w:val="20"/>
          <w:szCs w:val="20"/>
          <w:color w:val="auto"/>
        </w:rPr>
      </w:pPr>
    </w:p>
    <w:p>
      <w:pPr>
        <w:ind w:right="2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Licensor</w:t>
      </w:r>
      <w:r>
        <w:rPr>
          <w:rFonts w:ascii="Arial" w:cs="Arial" w:eastAsia="Arial" w:hAnsi="Arial"/>
          <w:sz w:val="22"/>
          <w:szCs w:val="22"/>
          <w:color w:val="auto"/>
        </w:rPr>
        <w:t xml:space="preserve">” means (a) TEN, with respect to the license under the Licensed TEN Patents, set forth in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and (b) TFMC, with respect to the licenses under the Licensed TFMC Patents, the Flexible Patents and the Fixed Offshore Platform Patents, set forth in </w:t>
      </w:r>
      <w:r>
        <w:rPr>
          <w:rFonts w:ascii="Arial" w:cs="Arial" w:eastAsia="Arial" w:hAnsi="Arial"/>
          <w:sz w:val="22"/>
          <w:szCs w:val="22"/>
          <w:u w:val="single" w:color="auto"/>
          <w:color w:val="auto"/>
        </w:rPr>
        <w:t>Sections 1.2, 1.3</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1.4</w:t>
      </w:r>
      <w:r>
        <w:rPr>
          <w:rFonts w:ascii="Arial" w:cs="Arial" w:eastAsia="Arial" w:hAnsi="Arial"/>
          <w:sz w:val="22"/>
          <w:szCs w:val="22"/>
          <w:color w:val="auto"/>
        </w:rPr>
        <w:t>.</w:t>
      </w:r>
    </w:p>
    <w:p>
      <w:pPr>
        <w:spacing w:after="0" w:line="213" w:lineRule="exact"/>
        <w:rPr>
          <w:sz w:val="20"/>
          <w:szCs w:val="20"/>
          <w:color w:val="auto"/>
        </w:rPr>
      </w:pPr>
    </w:p>
    <w:p>
      <w:pPr>
        <w:ind w:right="18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Patents</w:t>
      </w:r>
      <w:r>
        <w:rPr>
          <w:rFonts w:ascii="Arial" w:cs="Arial" w:eastAsia="Arial" w:hAnsi="Arial"/>
          <w:sz w:val="22"/>
          <w:szCs w:val="22"/>
          <w:color w:val="auto"/>
        </w:rPr>
        <w:t>” means the Licensed TFMC Patents, the Licensed TEN Patents, the Flexible Patents and/or the Fixed Offshore Platform Patents.</w:t>
      </w:r>
    </w:p>
    <w:p>
      <w:pPr>
        <w:spacing w:after="0" w:line="202" w:lineRule="exact"/>
        <w:rPr>
          <w:sz w:val="20"/>
          <w:szCs w:val="20"/>
          <w:color w:val="auto"/>
        </w:rPr>
      </w:pPr>
    </w:p>
    <w:p>
      <w:pPr>
        <w:ind w:right="6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TEN Field</w:t>
      </w:r>
      <w:r>
        <w:rPr>
          <w:rFonts w:ascii="Arial" w:cs="Arial" w:eastAsia="Arial" w:hAnsi="Arial"/>
          <w:sz w:val="22"/>
          <w:szCs w:val="22"/>
          <w:color w:val="auto"/>
        </w:rPr>
        <w:t>” means the field of the TEN Business, as such business is conducted as of the Closing, and the natural extensions and evolutions thereof.</w:t>
      </w:r>
    </w:p>
    <w:p>
      <w:pPr>
        <w:spacing w:after="0" w:line="202" w:lineRule="exact"/>
        <w:rPr>
          <w:sz w:val="20"/>
          <w:szCs w:val="20"/>
          <w:color w:val="auto"/>
        </w:rPr>
      </w:pPr>
    </w:p>
    <w:p>
      <w:pPr>
        <w:ind w:right="28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TFMC Field</w:t>
      </w:r>
      <w:r>
        <w:rPr>
          <w:rFonts w:ascii="Arial" w:cs="Arial" w:eastAsia="Arial" w:hAnsi="Arial"/>
          <w:sz w:val="22"/>
          <w:szCs w:val="22"/>
          <w:color w:val="auto"/>
        </w:rPr>
        <w:t>” means the field of the TFMC Business, as such business is conducted as of the Closing, and the natural extensions and evolutions thereof.</w:t>
      </w:r>
    </w:p>
    <w:p>
      <w:pPr>
        <w:spacing w:after="0" w:line="37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55" w:right="399" w:bottom="144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7740" w:type="dxa"/>
            <w:vAlign w:val="bottom"/>
            <w:gridSpan w:val="2"/>
          </w:tcPr>
          <w:p>
            <w:pPr>
              <w:jc w:val="right"/>
              <w:ind w:right="4050"/>
              <w:spacing w:after="0"/>
              <w:rPr>
                <w:sz w:val="20"/>
                <w:szCs w:val="20"/>
                <w:color w:val="auto"/>
              </w:rPr>
            </w:pPr>
            <w:r>
              <w:rPr>
                <w:rFonts w:ascii="Arial" w:cs="Arial" w:eastAsia="Arial" w:hAnsi="Arial"/>
                <w:sz w:val="22"/>
                <w:szCs w:val="22"/>
                <w:b w:val="1"/>
                <w:bCs w:val="1"/>
                <w:color w:val="auto"/>
              </w:rPr>
              <w:t>Other Defined Term References</w:t>
            </w:r>
          </w:p>
        </w:tc>
      </w:tr>
      <w:tr>
        <w:trPr>
          <w:trHeight w:val="408"/>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Defined Term</w:t>
            </w:r>
          </w:p>
        </w:tc>
        <w:tc>
          <w:tcPr>
            <w:tcW w:w="7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82"/>
              </w:rPr>
              <w:t>Section</w:t>
            </w:r>
          </w:p>
        </w:tc>
      </w:tr>
      <w:tr>
        <w:trPr>
          <w:trHeight w:val="20"/>
        </w:trPr>
        <w:tc>
          <w:tcPr>
            <w:tcW w:w="106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r>
      <w:tr>
        <w:trPr>
          <w:trHeight w:val="222"/>
        </w:trPr>
        <w:tc>
          <w:tcPr>
            <w:tcW w:w="1060" w:type="dxa"/>
            <w:vAlign w:val="bottom"/>
          </w:tcPr>
          <w:p>
            <w:pPr>
              <w:spacing w:after="0"/>
              <w:rPr>
                <w:sz w:val="20"/>
                <w:szCs w:val="20"/>
                <w:color w:val="auto"/>
              </w:rPr>
            </w:pPr>
            <w:r>
              <w:rPr>
                <w:rFonts w:ascii="Arial" w:cs="Arial" w:eastAsia="Arial" w:hAnsi="Arial"/>
                <w:sz w:val="18"/>
                <w:szCs w:val="18"/>
                <w:color w:val="auto"/>
              </w:rPr>
              <w:t>Action</w:t>
            </w:r>
          </w:p>
        </w:tc>
        <w:tc>
          <w:tcPr>
            <w:tcW w:w="2440" w:type="dxa"/>
            <w:vAlign w:val="bottom"/>
          </w:tcPr>
          <w:p>
            <w:pPr>
              <w:spacing w:after="0"/>
              <w:rPr>
                <w:sz w:val="19"/>
                <w:szCs w:val="19"/>
                <w:color w:val="auto"/>
              </w:rPr>
            </w:pPr>
          </w:p>
        </w:tc>
        <w:tc>
          <w:tcPr>
            <w:tcW w:w="7740" w:type="dxa"/>
            <w:vAlign w:val="bottom"/>
            <w:gridSpan w:val="2"/>
          </w:tcPr>
          <w:p>
            <w:pPr>
              <w:jc w:val="right"/>
              <w:spacing w:after="0"/>
              <w:rPr>
                <w:sz w:val="20"/>
                <w:szCs w:val="20"/>
                <w:color w:val="auto"/>
              </w:rPr>
            </w:pPr>
            <w:r>
              <w:rPr>
                <w:rFonts w:ascii="Arial" w:cs="Arial" w:eastAsia="Arial" w:hAnsi="Arial"/>
                <w:sz w:val="18"/>
                <w:szCs w:val="18"/>
                <w:color w:val="auto"/>
              </w:rPr>
              <w:t>Separation Agreement</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Affiliate</w:t>
            </w:r>
          </w:p>
        </w:tc>
        <w:tc>
          <w:tcPr>
            <w:tcW w:w="7740" w:type="dxa"/>
            <w:vAlign w:val="bottom"/>
            <w:gridSpan w:val="2"/>
          </w:tcPr>
          <w:p>
            <w:pPr>
              <w:jc w:val="right"/>
              <w:spacing w:after="0"/>
              <w:rPr>
                <w:sz w:val="20"/>
                <w:szCs w:val="20"/>
                <w:color w:val="auto"/>
              </w:rPr>
            </w:pPr>
            <w:r>
              <w:rPr>
                <w:rFonts w:ascii="Arial" w:cs="Arial" w:eastAsia="Arial" w:hAnsi="Arial"/>
                <w:sz w:val="18"/>
                <w:szCs w:val="18"/>
                <w:color w:val="auto"/>
              </w:rPr>
              <w:t>Separation Agreement</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Agreement</w:t>
            </w:r>
          </w:p>
        </w:tc>
        <w:tc>
          <w:tcPr>
            <w:tcW w:w="7740" w:type="dxa"/>
            <w:vAlign w:val="bottom"/>
            <w:gridSpan w:val="2"/>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Ancillary Agreements</w:t>
            </w:r>
          </w:p>
        </w:tc>
        <w:tc>
          <w:tcPr>
            <w:tcW w:w="7740" w:type="dxa"/>
            <w:vAlign w:val="bottom"/>
            <w:gridSpan w:val="2"/>
          </w:tcPr>
          <w:p>
            <w:pPr>
              <w:jc w:val="right"/>
              <w:spacing w:after="0"/>
              <w:rPr>
                <w:sz w:val="20"/>
                <w:szCs w:val="20"/>
                <w:color w:val="auto"/>
              </w:rPr>
            </w:pPr>
            <w:r>
              <w:rPr>
                <w:rFonts w:ascii="Arial" w:cs="Arial" w:eastAsia="Arial" w:hAnsi="Arial"/>
                <w:sz w:val="18"/>
                <w:szCs w:val="18"/>
                <w:color w:val="auto"/>
              </w:rPr>
              <w:t>Separation Agreement</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Asset Transfer Agreement</w:t>
            </w:r>
          </w:p>
        </w:tc>
        <w:tc>
          <w:tcPr>
            <w:tcW w:w="7740" w:type="dxa"/>
            <w:vAlign w:val="bottom"/>
            <w:gridSpan w:val="2"/>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Flexible Products Supply Agreement</w:t>
            </w:r>
          </w:p>
        </w:tc>
        <w:tc>
          <w:tcPr>
            <w:tcW w:w="7740" w:type="dxa"/>
            <w:vAlign w:val="bottom"/>
            <w:gridSpan w:val="2"/>
          </w:tcPr>
          <w:p>
            <w:pPr>
              <w:jc w:val="right"/>
              <w:spacing w:after="0"/>
              <w:rPr>
                <w:sz w:val="20"/>
                <w:szCs w:val="20"/>
                <w:color w:val="auto"/>
              </w:rPr>
            </w:pPr>
            <w:r>
              <w:rPr>
                <w:rFonts w:ascii="Arial" w:cs="Arial" w:eastAsia="Arial" w:hAnsi="Arial"/>
                <w:sz w:val="18"/>
                <w:szCs w:val="18"/>
                <w:color w:val="auto"/>
              </w:rPr>
              <w:t>Section 1.3(a)</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Contract</w:t>
            </w:r>
          </w:p>
        </w:tc>
        <w:tc>
          <w:tcPr>
            <w:tcW w:w="7740" w:type="dxa"/>
            <w:vAlign w:val="bottom"/>
            <w:gridSpan w:val="2"/>
          </w:tcPr>
          <w:p>
            <w:pPr>
              <w:jc w:val="right"/>
              <w:spacing w:after="0"/>
              <w:rPr>
                <w:sz w:val="20"/>
                <w:szCs w:val="20"/>
                <w:color w:val="auto"/>
              </w:rPr>
            </w:pPr>
            <w:r>
              <w:rPr>
                <w:rFonts w:ascii="Arial" w:cs="Arial" w:eastAsia="Arial" w:hAnsi="Arial"/>
                <w:sz w:val="18"/>
                <w:szCs w:val="18"/>
                <w:color w:val="auto"/>
              </w:rPr>
              <w:t>Separation Agreement</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Effective Date</w:t>
            </w:r>
          </w:p>
        </w:tc>
        <w:tc>
          <w:tcPr>
            <w:tcW w:w="7740" w:type="dxa"/>
            <w:vAlign w:val="bottom"/>
            <w:gridSpan w:val="2"/>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Governmental Entity</w:t>
            </w:r>
          </w:p>
        </w:tc>
        <w:tc>
          <w:tcPr>
            <w:tcW w:w="7740" w:type="dxa"/>
            <w:vAlign w:val="bottom"/>
            <w:gridSpan w:val="2"/>
          </w:tcPr>
          <w:p>
            <w:pPr>
              <w:jc w:val="right"/>
              <w:spacing w:after="0"/>
              <w:rPr>
                <w:sz w:val="20"/>
                <w:szCs w:val="20"/>
                <w:color w:val="auto"/>
              </w:rPr>
            </w:pPr>
            <w:r>
              <w:rPr>
                <w:rFonts w:ascii="Arial" w:cs="Arial" w:eastAsia="Arial" w:hAnsi="Arial"/>
                <w:sz w:val="18"/>
                <w:szCs w:val="18"/>
                <w:color w:val="auto"/>
              </w:rPr>
              <w:t>Separation Agreement</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Law</w:t>
            </w:r>
          </w:p>
        </w:tc>
        <w:tc>
          <w:tcPr>
            <w:tcW w:w="7740" w:type="dxa"/>
            <w:vAlign w:val="bottom"/>
            <w:gridSpan w:val="2"/>
          </w:tcPr>
          <w:p>
            <w:pPr>
              <w:jc w:val="right"/>
              <w:spacing w:after="0"/>
              <w:rPr>
                <w:sz w:val="20"/>
                <w:szCs w:val="20"/>
                <w:color w:val="auto"/>
              </w:rPr>
            </w:pPr>
            <w:r>
              <w:rPr>
                <w:rFonts w:ascii="Arial" w:cs="Arial" w:eastAsia="Arial" w:hAnsi="Arial"/>
                <w:sz w:val="18"/>
                <w:szCs w:val="18"/>
                <w:color w:val="auto"/>
              </w:rPr>
              <w:t>Separation Agreement</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7740" w:type="dxa"/>
            <w:vAlign w:val="bottom"/>
            <w:gridSpan w:val="2"/>
          </w:tcPr>
          <w:p>
            <w:pPr>
              <w:jc w:val="right"/>
              <w:spacing w:after="0"/>
              <w:rPr>
                <w:sz w:val="20"/>
                <w:szCs w:val="20"/>
                <w:color w:val="auto"/>
              </w:rPr>
            </w:pPr>
            <w:r>
              <w:rPr>
                <w:rFonts w:ascii="Arial" w:cs="Arial" w:eastAsia="Arial" w:hAnsi="Arial"/>
                <w:sz w:val="18"/>
                <w:szCs w:val="18"/>
                <w:color w:val="auto"/>
              </w:rPr>
              <w:t>Separation Agreement</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Party(ies)</w:t>
            </w:r>
          </w:p>
        </w:tc>
        <w:tc>
          <w:tcPr>
            <w:tcW w:w="7740" w:type="dxa"/>
            <w:vAlign w:val="bottom"/>
            <w:gridSpan w:val="2"/>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Person</w:t>
            </w:r>
          </w:p>
        </w:tc>
        <w:tc>
          <w:tcPr>
            <w:tcW w:w="7740" w:type="dxa"/>
            <w:vAlign w:val="bottom"/>
            <w:gridSpan w:val="2"/>
          </w:tcPr>
          <w:p>
            <w:pPr>
              <w:jc w:val="right"/>
              <w:spacing w:after="0"/>
              <w:rPr>
                <w:sz w:val="20"/>
                <w:szCs w:val="20"/>
                <w:color w:val="auto"/>
              </w:rPr>
            </w:pPr>
            <w:r>
              <w:rPr>
                <w:rFonts w:ascii="Arial" w:cs="Arial" w:eastAsia="Arial" w:hAnsi="Arial"/>
                <w:sz w:val="18"/>
                <w:szCs w:val="18"/>
                <w:color w:val="auto"/>
              </w:rPr>
              <w:t>Separation Agreement</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Separation</w:t>
            </w:r>
          </w:p>
        </w:tc>
        <w:tc>
          <w:tcPr>
            <w:tcW w:w="7740" w:type="dxa"/>
            <w:vAlign w:val="bottom"/>
            <w:gridSpan w:val="2"/>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Separation and Distribution Agreement</w:t>
            </w:r>
          </w:p>
        </w:tc>
        <w:tc>
          <w:tcPr>
            <w:tcW w:w="7740" w:type="dxa"/>
            <w:vAlign w:val="bottom"/>
            <w:gridSpan w:val="2"/>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Subsidiary</w:t>
            </w:r>
          </w:p>
        </w:tc>
        <w:tc>
          <w:tcPr>
            <w:tcW w:w="7740" w:type="dxa"/>
            <w:vAlign w:val="bottom"/>
            <w:gridSpan w:val="2"/>
          </w:tcPr>
          <w:p>
            <w:pPr>
              <w:jc w:val="right"/>
              <w:spacing w:after="0"/>
              <w:rPr>
                <w:sz w:val="20"/>
                <w:szCs w:val="20"/>
                <w:color w:val="auto"/>
              </w:rPr>
            </w:pPr>
            <w:r>
              <w:rPr>
                <w:rFonts w:ascii="Arial" w:cs="Arial" w:eastAsia="Arial" w:hAnsi="Arial"/>
                <w:sz w:val="18"/>
                <w:szCs w:val="18"/>
                <w:color w:val="auto"/>
              </w:rPr>
              <w:t>Separation Agreement</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TEN</w:t>
            </w:r>
          </w:p>
        </w:tc>
        <w:tc>
          <w:tcPr>
            <w:tcW w:w="7740" w:type="dxa"/>
            <w:vAlign w:val="bottom"/>
            <w:gridSpan w:val="2"/>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TEN Business</w:t>
            </w:r>
          </w:p>
        </w:tc>
        <w:tc>
          <w:tcPr>
            <w:tcW w:w="7740" w:type="dxa"/>
            <w:vAlign w:val="bottom"/>
            <w:gridSpan w:val="2"/>
          </w:tcPr>
          <w:p>
            <w:pPr>
              <w:jc w:val="right"/>
              <w:spacing w:after="0"/>
              <w:rPr>
                <w:sz w:val="20"/>
                <w:szCs w:val="20"/>
                <w:color w:val="auto"/>
              </w:rPr>
            </w:pPr>
            <w:r>
              <w:rPr>
                <w:rFonts w:ascii="Arial" w:cs="Arial" w:eastAsia="Arial" w:hAnsi="Arial"/>
                <w:sz w:val="18"/>
                <w:szCs w:val="18"/>
                <w:color w:val="auto"/>
              </w:rPr>
              <w:t>Separation Agreement</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TEN Patents</w:t>
            </w:r>
          </w:p>
        </w:tc>
        <w:tc>
          <w:tcPr>
            <w:tcW w:w="7740" w:type="dxa"/>
            <w:vAlign w:val="bottom"/>
            <w:gridSpan w:val="2"/>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Term</w:t>
            </w:r>
          </w:p>
        </w:tc>
        <w:tc>
          <w:tcPr>
            <w:tcW w:w="7740" w:type="dxa"/>
            <w:vAlign w:val="bottom"/>
            <w:gridSpan w:val="2"/>
          </w:tcPr>
          <w:p>
            <w:pPr>
              <w:jc w:val="right"/>
              <w:spacing w:after="0"/>
              <w:rPr>
                <w:sz w:val="20"/>
                <w:szCs w:val="20"/>
                <w:color w:val="auto"/>
              </w:rPr>
            </w:pPr>
            <w:r>
              <w:rPr>
                <w:rFonts w:ascii="Arial" w:cs="Arial" w:eastAsia="Arial" w:hAnsi="Arial"/>
                <w:sz w:val="18"/>
                <w:szCs w:val="18"/>
                <w:color w:val="auto"/>
              </w:rPr>
              <w:t>Section 2.1</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TFMC Business</w:t>
            </w:r>
          </w:p>
        </w:tc>
        <w:tc>
          <w:tcPr>
            <w:tcW w:w="7740" w:type="dxa"/>
            <w:vAlign w:val="bottom"/>
            <w:gridSpan w:val="2"/>
          </w:tcPr>
          <w:p>
            <w:pPr>
              <w:jc w:val="right"/>
              <w:spacing w:after="0"/>
              <w:rPr>
                <w:sz w:val="20"/>
                <w:szCs w:val="20"/>
                <w:color w:val="auto"/>
              </w:rPr>
            </w:pPr>
            <w:r>
              <w:rPr>
                <w:rFonts w:ascii="Arial" w:cs="Arial" w:eastAsia="Arial" w:hAnsi="Arial"/>
                <w:sz w:val="18"/>
                <w:szCs w:val="18"/>
                <w:color w:val="auto"/>
              </w:rPr>
              <w:t>Separation Agreement</w:t>
            </w:r>
          </w:p>
        </w:tc>
      </w:tr>
      <w:tr>
        <w:trPr>
          <w:trHeight w:val="230"/>
        </w:trPr>
        <w:tc>
          <w:tcPr>
            <w:tcW w:w="3500" w:type="dxa"/>
            <w:vAlign w:val="bottom"/>
            <w:gridSpan w:val="2"/>
          </w:tcPr>
          <w:p>
            <w:pPr>
              <w:spacing w:after="0"/>
              <w:rPr>
                <w:sz w:val="20"/>
                <w:szCs w:val="20"/>
                <w:color w:val="auto"/>
              </w:rPr>
            </w:pPr>
            <w:r>
              <w:rPr>
                <w:rFonts w:ascii="Arial" w:cs="Arial" w:eastAsia="Arial" w:hAnsi="Arial"/>
                <w:sz w:val="18"/>
                <w:szCs w:val="18"/>
                <w:color w:val="auto"/>
              </w:rPr>
              <w:t>TFMC Patents</w:t>
            </w:r>
          </w:p>
        </w:tc>
        <w:tc>
          <w:tcPr>
            <w:tcW w:w="7740" w:type="dxa"/>
            <w:vAlign w:val="bottom"/>
            <w:gridSpan w:val="2"/>
          </w:tcPr>
          <w:p>
            <w:pPr>
              <w:jc w:val="right"/>
              <w:spacing w:after="0"/>
              <w:rPr>
                <w:sz w:val="20"/>
                <w:szCs w:val="20"/>
                <w:color w:val="auto"/>
              </w:rPr>
            </w:pPr>
            <w:r>
              <w:rPr>
                <w:rFonts w:ascii="Arial" w:cs="Arial" w:eastAsia="Arial" w:hAnsi="Arial"/>
                <w:sz w:val="18"/>
                <w:szCs w:val="18"/>
                <w:color w:val="auto"/>
              </w:rPr>
              <w:t>Recitals</w:t>
            </w:r>
          </w:p>
        </w:tc>
      </w:tr>
      <w:tr>
        <w:trPr>
          <w:trHeight w:val="675"/>
        </w:trPr>
        <w:tc>
          <w:tcPr>
            <w:tcW w:w="10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7740" w:type="dxa"/>
            <w:vAlign w:val="bottom"/>
            <w:gridSpan w:val="2"/>
          </w:tcPr>
          <w:p>
            <w:pPr>
              <w:jc w:val="right"/>
              <w:ind w:right="5390"/>
              <w:spacing w:after="0"/>
              <w:rPr>
                <w:sz w:val="20"/>
                <w:szCs w:val="20"/>
                <w:color w:val="auto"/>
              </w:rPr>
            </w:pPr>
            <w:r>
              <w:rPr>
                <w:rFonts w:ascii="Arial" w:cs="Arial" w:eastAsia="Arial" w:hAnsi="Arial"/>
                <w:sz w:val="18"/>
                <w:szCs w:val="18"/>
                <w:color w:val="auto"/>
              </w:rPr>
              <w:t>I -2</w:t>
            </w:r>
          </w:p>
        </w:tc>
      </w:tr>
      <w:tr>
        <w:trPr>
          <w:trHeight w:val="102"/>
        </w:trPr>
        <w:tc>
          <w:tcPr>
            <w:tcW w:w="1060" w:type="dxa"/>
            <w:vAlign w:val="bottom"/>
            <w:tcBorders>
              <w:bottom w:val="single" w:sz="8" w:color="auto"/>
            </w:tcBorders>
          </w:tcPr>
          <w:p>
            <w:pPr>
              <w:spacing w:after="0"/>
              <w:rPr>
                <w:sz w:val="8"/>
                <w:szCs w:val="8"/>
                <w:color w:val="auto"/>
              </w:rPr>
            </w:pPr>
          </w:p>
        </w:tc>
        <w:tc>
          <w:tcPr>
            <w:tcW w:w="2440" w:type="dxa"/>
            <w:vAlign w:val="bottom"/>
            <w:tcBorders>
              <w:bottom w:val="single" w:sz="8" w:color="auto"/>
            </w:tcBorders>
          </w:tcPr>
          <w:p>
            <w:pPr>
              <w:spacing w:after="0"/>
              <w:rPr>
                <w:sz w:val="8"/>
                <w:szCs w:val="8"/>
                <w:color w:val="auto"/>
              </w:rPr>
            </w:pPr>
          </w:p>
        </w:tc>
        <w:tc>
          <w:tcPr>
            <w:tcW w:w="7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598" w:right="339" w:bottom="1440" w:gutter="0" w:footer="0" w:header="0"/>
        </w:sectPr>
      </w:pPr>
    </w:p>
    <w:bookmarkStart w:id="159" w:name="page160"/>
    <w:bookmarkEnd w:id="159"/>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379730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COEXISTENCE AND TRADEMARK MATTERS AGREEMENT</w:t>
      </w:r>
    </w:p>
    <w:p>
      <w:pPr>
        <w:spacing w:after="0" w:line="16"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by and between</w:t>
      </w:r>
    </w:p>
    <w:p>
      <w:pPr>
        <w:jc w:val="center"/>
        <w:ind w:right="1120"/>
        <w:spacing w:after="0" w:line="230" w:lineRule="auto"/>
        <w:rPr>
          <w:sz w:val="20"/>
          <w:szCs w:val="20"/>
          <w:color w:val="auto"/>
        </w:rPr>
      </w:pPr>
      <w:r>
        <w:rPr>
          <w:rFonts w:ascii="Arial" w:cs="Arial" w:eastAsia="Arial" w:hAnsi="Arial"/>
          <w:sz w:val="22"/>
          <w:szCs w:val="22"/>
          <w:b w:val="1"/>
          <w:bCs w:val="1"/>
          <w:color w:val="auto"/>
        </w:rPr>
        <w:t>TECHNIPFMC PLC</w:t>
      </w:r>
    </w:p>
    <w:p>
      <w:pPr>
        <w:jc w:val="center"/>
        <w:ind w:right="1120"/>
        <w:spacing w:after="0" w:line="231" w:lineRule="auto"/>
        <w:rPr>
          <w:sz w:val="20"/>
          <w:szCs w:val="20"/>
          <w:color w:val="auto"/>
        </w:rPr>
      </w:pPr>
      <w:r>
        <w:rPr>
          <w:rFonts w:ascii="Arial" w:cs="Arial" w:eastAsia="Arial" w:hAnsi="Arial"/>
          <w:sz w:val="22"/>
          <w:szCs w:val="22"/>
          <w:b w:val="1"/>
          <w:bCs w:val="1"/>
          <w:color w:val="auto"/>
        </w:rPr>
        <w:t>AND</w:t>
      </w:r>
    </w:p>
    <w:p>
      <w:pPr>
        <w:jc w:val="center"/>
        <w:ind w:right="1120"/>
        <w:spacing w:after="0"/>
        <w:rPr>
          <w:sz w:val="20"/>
          <w:szCs w:val="20"/>
          <w:color w:val="auto"/>
        </w:rPr>
      </w:pPr>
      <w:r>
        <w:rPr>
          <w:rFonts w:ascii="Arial" w:cs="Arial" w:eastAsia="Arial" w:hAnsi="Arial"/>
          <w:sz w:val="22"/>
          <w:szCs w:val="22"/>
          <w:b w:val="1"/>
          <w:bCs w:val="1"/>
          <w:color w:val="auto"/>
        </w:rPr>
        <w:t>TECHNIP ENERGIES N.V.</w:t>
      </w:r>
    </w:p>
    <w:p>
      <w:pPr>
        <w:spacing w:after="0" w:line="169" w:lineRule="exact"/>
        <w:rPr>
          <w:sz w:val="20"/>
          <w:szCs w:val="20"/>
          <w:color w:val="auto"/>
        </w:rPr>
      </w:pPr>
    </w:p>
    <w:p>
      <w:pPr>
        <w:ind w:left="3120"/>
        <w:spacing w:after="0"/>
        <w:rPr>
          <w:sz w:val="20"/>
          <w:szCs w:val="20"/>
          <w:color w:val="auto"/>
        </w:rPr>
      </w:pPr>
      <w:r>
        <w:rPr>
          <w:rFonts w:ascii="Arial" w:cs="Arial" w:eastAsia="Arial" w:hAnsi="Arial"/>
          <w:sz w:val="22"/>
          <w:szCs w:val="22"/>
          <w:b w:val="1"/>
          <w:bCs w:val="1"/>
          <w:color w:val="auto"/>
        </w:rPr>
        <w:t>Dated as of February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71120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679450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61" w:right="339"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281"/>
        </w:trPr>
        <w:tc>
          <w:tcPr>
            <w:tcW w:w="10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6820" w:type="dxa"/>
            <w:vAlign w:val="bottom"/>
            <w:gridSpan w:val="2"/>
          </w:tcPr>
          <w:p>
            <w:pPr>
              <w:ind w:left="20"/>
              <w:spacing w:after="0"/>
              <w:rPr>
                <w:sz w:val="20"/>
                <w:szCs w:val="20"/>
                <w:color w:val="auto"/>
              </w:rPr>
            </w:pPr>
            <w:r>
              <w:rPr>
                <w:rFonts w:ascii="Arial" w:cs="Arial" w:eastAsia="Arial" w:hAnsi="Arial"/>
                <w:sz w:val="22"/>
                <w:szCs w:val="22"/>
                <w:b w:val="1"/>
                <w:bCs w:val="1"/>
                <w:color w:val="auto"/>
              </w:rPr>
              <w:t>TABLE OF CONTENTS</w:t>
            </w:r>
          </w:p>
        </w:tc>
        <w:tc>
          <w:tcPr>
            <w:tcW w:w="0" w:type="dxa"/>
            <w:vAlign w:val="bottom"/>
          </w:tcPr>
          <w:p>
            <w:pPr>
              <w:spacing w:after="0"/>
              <w:rPr>
                <w:sz w:val="1"/>
                <w:szCs w:val="1"/>
                <w:color w:val="auto"/>
              </w:rPr>
            </w:pPr>
          </w:p>
        </w:tc>
      </w:tr>
      <w:tr>
        <w:trPr>
          <w:trHeight w:val="463"/>
        </w:trPr>
        <w:tc>
          <w:tcPr>
            <w:tcW w:w="10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6820" w:type="dxa"/>
            <w:vAlign w:val="bottom"/>
            <w:gridSpan w:val="2"/>
          </w:tcPr>
          <w:p>
            <w:pPr>
              <w:ind w:left="644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57"/>
        </w:trPr>
        <w:tc>
          <w:tcPr>
            <w:tcW w:w="4440" w:type="dxa"/>
            <w:vAlign w:val="bottom"/>
            <w:gridSpan w:val="2"/>
          </w:tcPr>
          <w:p>
            <w:pPr>
              <w:spacing w:after="0"/>
              <w:rPr>
                <w:sz w:val="22"/>
                <w:szCs w:val="22"/>
                <w:color w:val="auto"/>
              </w:rPr>
            </w:pPr>
          </w:p>
        </w:tc>
        <w:tc>
          <w:tcPr>
            <w:tcW w:w="6800" w:type="dxa"/>
            <w:vAlign w:val="bottom"/>
          </w:tcPr>
          <w:p>
            <w:pPr>
              <w:spacing w:after="0"/>
              <w:rPr>
                <w:sz w:val="22"/>
                <w:szCs w:val="22"/>
                <w:color w:val="auto"/>
              </w:rPr>
            </w:pPr>
          </w:p>
        </w:tc>
        <w:tc>
          <w:tcPr>
            <w:tcW w:w="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 OWNERSHIP</w:t>
            </w:r>
          </w:p>
        </w:tc>
        <w:tc>
          <w:tcPr>
            <w:tcW w:w="6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08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3360" w:type="dxa"/>
            <w:vAlign w:val="bottom"/>
          </w:tcPr>
          <w:p>
            <w:pPr>
              <w:ind w:left="60"/>
              <w:spacing w:after="0"/>
              <w:rPr>
                <w:sz w:val="20"/>
                <w:szCs w:val="20"/>
                <w:color w:val="auto"/>
              </w:rPr>
            </w:pPr>
            <w:r>
              <w:rPr>
                <w:rFonts w:ascii="Arial" w:cs="Arial" w:eastAsia="Arial" w:hAnsi="Arial"/>
                <w:sz w:val="18"/>
                <w:szCs w:val="18"/>
                <w:color w:val="auto"/>
              </w:rPr>
              <w:t>Ownership</w:t>
            </w:r>
          </w:p>
        </w:tc>
        <w:tc>
          <w:tcPr>
            <w:tcW w:w="680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1.2</w:t>
            </w:r>
          </w:p>
        </w:tc>
        <w:tc>
          <w:tcPr>
            <w:tcW w:w="3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No Inconsistent Action</w:t>
            </w:r>
          </w:p>
        </w:tc>
        <w:tc>
          <w:tcPr>
            <w:tcW w:w="6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080" w:type="dxa"/>
            <w:vAlign w:val="bottom"/>
          </w:tcPr>
          <w:p>
            <w:pPr>
              <w:jc w:val="center"/>
              <w:spacing w:after="0"/>
              <w:rPr>
                <w:sz w:val="20"/>
                <w:szCs w:val="20"/>
                <w:color w:val="auto"/>
              </w:rPr>
            </w:pPr>
            <w:r>
              <w:rPr>
                <w:rFonts w:ascii="Arial" w:cs="Arial" w:eastAsia="Arial" w:hAnsi="Arial"/>
                <w:sz w:val="18"/>
                <w:szCs w:val="18"/>
                <w:color w:val="auto"/>
                <w:w w:val="87"/>
              </w:rPr>
              <w:t>1.3</w:t>
            </w:r>
          </w:p>
        </w:tc>
        <w:tc>
          <w:tcPr>
            <w:tcW w:w="3360" w:type="dxa"/>
            <w:vAlign w:val="bottom"/>
          </w:tcPr>
          <w:p>
            <w:pPr>
              <w:ind w:left="60"/>
              <w:spacing w:after="0"/>
              <w:rPr>
                <w:sz w:val="20"/>
                <w:szCs w:val="20"/>
                <w:color w:val="auto"/>
              </w:rPr>
            </w:pPr>
            <w:r>
              <w:rPr>
                <w:rFonts w:ascii="Arial" w:cs="Arial" w:eastAsia="Arial" w:hAnsi="Arial"/>
                <w:sz w:val="18"/>
                <w:szCs w:val="18"/>
                <w:color w:val="auto"/>
              </w:rPr>
              <w:t>No Likelihood of Confusion</w:t>
            </w:r>
          </w:p>
        </w:tc>
        <w:tc>
          <w:tcPr>
            <w:tcW w:w="680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1.4</w:t>
            </w:r>
          </w:p>
        </w:tc>
        <w:tc>
          <w:tcPr>
            <w:tcW w:w="3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No License Granted</w:t>
            </w:r>
          </w:p>
        </w:tc>
        <w:tc>
          <w:tcPr>
            <w:tcW w:w="6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ARTICLE II. USE RESTRICTIONS</w:t>
            </w:r>
          </w:p>
        </w:tc>
        <w:tc>
          <w:tcPr>
            <w:tcW w:w="680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2.1</w:t>
            </w:r>
          </w:p>
        </w:tc>
        <w:tc>
          <w:tcPr>
            <w:tcW w:w="3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Restrictions on TEN.</w:t>
            </w:r>
          </w:p>
        </w:tc>
        <w:tc>
          <w:tcPr>
            <w:tcW w:w="6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08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3360" w:type="dxa"/>
            <w:vAlign w:val="bottom"/>
          </w:tcPr>
          <w:p>
            <w:pPr>
              <w:ind w:left="60"/>
              <w:spacing w:after="0"/>
              <w:rPr>
                <w:sz w:val="20"/>
                <w:szCs w:val="20"/>
                <w:color w:val="auto"/>
              </w:rPr>
            </w:pPr>
            <w:r>
              <w:rPr>
                <w:rFonts w:ascii="Arial" w:cs="Arial" w:eastAsia="Arial" w:hAnsi="Arial"/>
                <w:sz w:val="18"/>
                <w:szCs w:val="18"/>
                <w:color w:val="auto"/>
              </w:rPr>
              <w:t>Restrictions on TFMC.</w:t>
            </w:r>
          </w:p>
        </w:tc>
        <w:tc>
          <w:tcPr>
            <w:tcW w:w="680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III. PROSECUTION AND ENFORCEMENT</w:t>
            </w:r>
          </w:p>
        </w:tc>
        <w:tc>
          <w:tcPr>
            <w:tcW w:w="6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0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3360" w:type="dxa"/>
            <w:vAlign w:val="bottom"/>
          </w:tcPr>
          <w:p>
            <w:pPr>
              <w:ind w:left="60"/>
              <w:spacing w:after="0"/>
              <w:rPr>
                <w:sz w:val="20"/>
                <w:szCs w:val="20"/>
                <w:color w:val="auto"/>
              </w:rPr>
            </w:pPr>
            <w:r>
              <w:rPr>
                <w:rFonts w:ascii="Arial" w:cs="Arial" w:eastAsia="Arial" w:hAnsi="Arial"/>
                <w:sz w:val="18"/>
                <w:szCs w:val="18"/>
                <w:color w:val="auto"/>
              </w:rPr>
              <w:t>Registration of Marks</w:t>
            </w:r>
          </w:p>
        </w:tc>
        <w:tc>
          <w:tcPr>
            <w:tcW w:w="680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3.2</w:t>
            </w:r>
          </w:p>
        </w:tc>
        <w:tc>
          <w:tcPr>
            <w:tcW w:w="3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By TEN.</w:t>
            </w:r>
          </w:p>
        </w:tc>
        <w:tc>
          <w:tcPr>
            <w:tcW w:w="6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08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3360" w:type="dxa"/>
            <w:vAlign w:val="bottom"/>
          </w:tcPr>
          <w:p>
            <w:pPr>
              <w:ind w:left="60"/>
              <w:spacing w:after="0"/>
              <w:rPr>
                <w:sz w:val="20"/>
                <w:szCs w:val="20"/>
                <w:color w:val="auto"/>
              </w:rPr>
            </w:pPr>
            <w:r>
              <w:rPr>
                <w:rFonts w:ascii="Arial" w:cs="Arial" w:eastAsia="Arial" w:hAnsi="Arial"/>
                <w:sz w:val="18"/>
                <w:szCs w:val="18"/>
                <w:color w:val="auto"/>
              </w:rPr>
              <w:t>By TFMC.</w:t>
            </w:r>
          </w:p>
        </w:tc>
        <w:tc>
          <w:tcPr>
            <w:tcW w:w="680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3.4</w:t>
            </w:r>
          </w:p>
        </w:tc>
        <w:tc>
          <w:tcPr>
            <w:tcW w:w="3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Domain Name Registrations</w:t>
            </w:r>
          </w:p>
        </w:tc>
        <w:tc>
          <w:tcPr>
            <w:tcW w:w="6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08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3360" w:type="dxa"/>
            <w:vAlign w:val="bottom"/>
          </w:tcPr>
          <w:p>
            <w:pPr>
              <w:ind w:left="60"/>
              <w:spacing w:after="0"/>
              <w:rPr>
                <w:sz w:val="20"/>
                <w:szCs w:val="20"/>
                <w:color w:val="auto"/>
              </w:rPr>
            </w:pPr>
            <w:r>
              <w:rPr>
                <w:rFonts w:ascii="Arial" w:cs="Arial" w:eastAsia="Arial" w:hAnsi="Arial"/>
                <w:sz w:val="18"/>
                <w:szCs w:val="18"/>
                <w:color w:val="auto"/>
              </w:rPr>
              <w:t>Cooperation</w:t>
            </w:r>
          </w:p>
        </w:tc>
        <w:tc>
          <w:tcPr>
            <w:tcW w:w="680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ARTICLE IV.</w:t>
            </w:r>
          </w:p>
        </w:tc>
        <w:tc>
          <w:tcPr>
            <w:tcW w:w="3360" w:type="dxa"/>
            <w:vAlign w:val="bottom"/>
            <w:shd w:val="clear" w:color="auto" w:fill="CCEEFF"/>
          </w:tcPr>
          <w:p>
            <w:pPr>
              <w:spacing w:after="0"/>
              <w:rPr>
                <w:sz w:val="22"/>
                <w:szCs w:val="22"/>
                <w:color w:val="auto"/>
              </w:rPr>
            </w:pPr>
          </w:p>
        </w:tc>
        <w:tc>
          <w:tcPr>
            <w:tcW w:w="6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0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3360" w:type="dxa"/>
            <w:vAlign w:val="bottom"/>
          </w:tcPr>
          <w:p>
            <w:pPr>
              <w:ind w:left="60"/>
              <w:spacing w:after="0"/>
              <w:rPr>
                <w:sz w:val="20"/>
                <w:szCs w:val="20"/>
                <w:color w:val="auto"/>
              </w:rPr>
            </w:pPr>
            <w:r>
              <w:rPr>
                <w:rFonts w:ascii="Arial" w:cs="Arial" w:eastAsia="Arial" w:hAnsi="Arial"/>
                <w:sz w:val="18"/>
                <w:szCs w:val="18"/>
                <w:color w:val="auto"/>
              </w:rPr>
              <w:t>Ownership</w:t>
            </w:r>
          </w:p>
        </w:tc>
        <w:tc>
          <w:tcPr>
            <w:tcW w:w="680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4.2</w:t>
            </w:r>
          </w:p>
        </w:tc>
        <w:tc>
          <w:tcPr>
            <w:tcW w:w="3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Transitional Use</w:t>
            </w:r>
          </w:p>
        </w:tc>
        <w:tc>
          <w:tcPr>
            <w:tcW w:w="6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08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3360" w:type="dxa"/>
            <w:vAlign w:val="bottom"/>
          </w:tcPr>
          <w:p>
            <w:pPr>
              <w:ind w:left="60"/>
              <w:spacing w:after="0"/>
              <w:rPr>
                <w:sz w:val="20"/>
                <w:szCs w:val="20"/>
                <w:color w:val="auto"/>
              </w:rPr>
            </w:pPr>
            <w:r>
              <w:rPr>
                <w:rFonts w:ascii="Arial" w:cs="Arial" w:eastAsia="Arial" w:hAnsi="Arial"/>
                <w:sz w:val="18"/>
                <w:szCs w:val="18"/>
                <w:color w:val="auto"/>
              </w:rPr>
              <w:t>Liability; Loading Arms Indemnity</w:t>
            </w:r>
          </w:p>
        </w:tc>
        <w:tc>
          <w:tcPr>
            <w:tcW w:w="680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 TERM AND TERMINATION</w:t>
            </w:r>
          </w:p>
        </w:tc>
        <w:tc>
          <w:tcPr>
            <w:tcW w:w="6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080" w:type="dxa"/>
            <w:vAlign w:val="bottom"/>
          </w:tcPr>
          <w:p>
            <w:pPr>
              <w:jc w:val="center"/>
              <w:spacing w:after="0"/>
              <w:rPr>
                <w:sz w:val="20"/>
                <w:szCs w:val="20"/>
                <w:color w:val="auto"/>
              </w:rPr>
            </w:pPr>
            <w:r>
              <w:rPr>
                <w:rFonts w:ascii="Arial" w:cs="Arial" w:eastAsia="Arial" w:hAnsi="Arial"/>
                <w:sz w:val="18"/>
                <w:szCs w:val="18"/>
                <w:color w:val="auto"/>
                <w:w w:val="87"/>
              </w:rPr>
              <w:t>5.1</w:t>
            </w:r>
          </w:p>
        </w:tc>
        <w:tc>
          <w:tcPr>
            <w:tcW w:w="3360" w:type="dxa"/>
            <w:vAlign w:val="bottom"/>
          </w:tcPr>
          <w:p>
            <w:pPr>
              <w:ind w:left="60"/>
              <w:spacing w:after="0"/>
              <w:rPr>
                <w:sz w:val="20"/>
                <w:szCs w:val="20"/>
                <w:color w:val="auto"/>
              </w:rPr>
            </w:pPr>
            <w:r>
              <w:rPr>
                <w:rFonts w:ascii="Arial" w:cs="Arial" w:eastAsia="Arial" w:hAnsi="Arial"/>
                <w:sz w:val="18"/>
                <w:szCs w:val="18"/>
                <w:color w:val="auto"/>
              </w:rPr>
              <w:t>Term</w:t>
            </w:r>
          </w:p>
        </w:tc>
        <w:tc>
          <w:tcPr>
            <w:tcW w:w="680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5.2</w:t>
            </w:r>
          </w:p>
        </w:tc>
        <w:tc>
          <w:tcPr>
            <w:tcW w:w="3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Termination</w:t>
            </w:r>
          </w:p>
        </w:tc>
        <w:tc>
          <w:tcPr>
            <w:tcW w:w="6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ARTICLE VI. DISPUTE RESOLUTION</w:t>
            </w:r>
          </w:p>
        </w:tc>
        <w:tc>
          <w:tcPr>
            <w:tcW w:w="680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6.1</w:t>
            </w:r>
          </w:p>
        </w:tc>
        <w:tc>
          <w:tcPr>
            <w:tcW w:w="3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Dispute Resolution</w:t>
            </w:r>
          </w:p>
        </w:tc>
        <w:tc>
          <w:tcPr>
            <w:tcW w:w="6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ARTICLE VII. MISCELLANEOUS</w:t>
            </w:r>
          </w:p>
        </w:tc>
        <w:tc>
          <w:tcPr>
            <w:tcW w:w="680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7.1</w:t>
            </w:r>
          </w:p>
        </w:tc>
        <w:tc>
          <w:tcPr>
            <w:tcW w:w="3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Corporate Power</w:t>
            </w:r>
          </w:p>
        </w:tc>
        <w:tc>
          <w:tcPr>
            <w:tcW w:w="6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080" w:type="dxa"/>
            <w:vAlign w:val="bottom"/>
          </w:tcPr>
          <w:p>
            <w:pPr>
              <w:jc w:val="center"/>
              <w:spacing w:after="0"/>
              <w:rPr>
                <w:sz w:val="20"/>
                <w:szCs w:val="20"/>
                <w:color w:val="auto"/>
              </w:rPr>
            </w:pPr>
            <w:r>
              <w:rPr>
                <w:rFonts w:ascii="Arial" w:cs="Arial" w:eastAsia="Arial" w:hAnsi="Arial"/>
                <w:sz w:val="18"/>
                <w:szCs w:val="18"/>
                <w:color w:val="auto"/>
                <w:w w:val="87"/>
              </w:rPr>
              <w:t>7.2</w:t>
            </w:r>
          </w:p>
        </w:tc>
        <w:tc>
          <w:tcPr>
            <w:tcW w:w="3360" w:type="dxa"/>
            <w:vAlign w:val="bottom"/>
          </w:tcPr>
          <w:p>
            <w:pPr>
              <w:ind w:left="60"/>
              <w:spacing w:after="0"/>
              <w:rPr>
                <w:sz w:val="20"/>
                <w:szCs w:val="20"/>
                <w:color w:val="auto"/>
              </w:rPr>
            </w:pPr>
            <w:r>
              <w:rPr>
                <w:rFonts w:ascii="Arial" w:cs="Arial" w:eastAsia="Arial" w:hAnsi="Arial"/>
                <w:sz w:val="18"/>
                <w:szCs w:val="18"/>
                <w:color w:val="auto"/>
              </w:rPr>
              <w:t>Modification or Amendments</w:t>
            </w:r>
          </w:p>
        </w:tc>
        <w:tc>
          <w:tcPr>
            <w:tcW w:w="680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7.3</w:t>
            </w:r>
          </w:p>
        </w:tc>
        <w:tc>
          <w:tcPr>
            <w:tcW w:w="3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Waivers of Default</w:t>
            </w:r>
          </w:p>
        </w:tc>
        <w:tc>
          <w:tcPr>
            <w:tcW w:w="6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080" w:type="dxa"/>
            <w:vAlign w:val="bottom"/>
          </w:tcPr>
          <w:p>
            <w:pPr>
              <w:jc w:val="center"/>
              <w:spacing w:after="0"/>
              <w:rPr>
                <w:sz w:val="20"/>
                <w:szCs w:val="20"/>
                <w:color w:val="auto"/>
              </w:rPr>
            </w:pPr>
            <w:r>
              <w:rPr>
                <w:rFonts w:ascii="Arial" w:cs="Arial" w:eastAsia="Arial" w:hAnsi="Arial"/>
                <w:sz w:val="18"/>
                <w:szCs w:val="18"/>
                <w:color w:val="auto"/>
                <w:w w:val="87"/>
              </w:rPr>
              <w:t>7.4</w:t>
            </w:r>
          </w:p>
        </w:tc>
        <w:tc>
          <w:tcPr>
            <w:tcW w:w="3360" w:type="dxa"/>
            <w:vAlign w:val="bottom"/>
          </w:tcPr>
          <w:p>
            <w:pPr>
              <w:ind w:left="60"/>
              <w:spacing w:after="0"/>
              <w:rPr>
                <w:sz w:val="20"/>
                <w:szCs w:val="20"/>
                <w:color w:val="auto"/>
              </w:rPr>
            </w:pPr>
            <w:r>
              <w:rPr>
                <w:rFonts w:ascii="Arial" w:cs="Arial" w:eastAsia="Arial" w:hAnsi="Arial"/>
                <w:sz w:val="18"/>
                <w:szCs w:val="18"/>
                <w:color w:val="auto"/>
              </w:rPr>
              <w:t>Counterparts</w:t>
            </w:r>
          </w:p>
        </w:tc>
        <w:tc>
          <w:tcPr>
            <w:tcW w:w="680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7.5</w:t>
            </w:r>
          </w:p>
        </w:tc>
        <w:tc>
          <w:tcPr>
            <w:tcW w:w="3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Governing Law</w:t>
            </w:r>
          </w:p>
        </w:tc>
        <w:tc>
          <w:tcPr>
            <w:tcW w:w="6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080" w:type="dxa"/>
            <w:vAlign w:val="bottom"/>
          </w:tcPr>
          <w:p>
            <w:pPr>
              <w:jc w:val="center"/>
              <w:spacing w:after="0"/>
              <w:rPr>
                <w:sz w:val="20"/>
                <w:szCs w:val="20"/>
                <w:color w:val="auto"/>
              </w:rPr>
            </w:pPr>
            <w:r>
              <w:rPr>
                <w:rFonts w:ascii="Arial" w:cs="Arial" w:eastAsia="Arial" w:hAnsi="Arial"/>
                <w:sz w:val="18"/>
                <w:szCs w:val="18"/>
                <w:color w:val="auto"/>
                <w:w w:val="87"/>
              </w:rPr>
              <w:t>7.6</w:t>
            </w:r>
          </w:p>
        </w:tc>
        <w:tc>
          <w:tcPr>
            <w:tcW w:w="3360" w:type="dxa"/>
            <w:vAlign w:val="bottom"/>
          </w:tcPr>
          <w:p>
            <w:pPr>
              <w:ind w:left="60"/>
              <w:spacing w:after="0"/>
              <w:rPr>
                <w:sz w:val="20"/>
                <w:szCs w:val="20"/>
                <w:color w:val="auto"/>
              </w:rPr>
            </w:pPr>
            <w:r>
              <w:rPr>
                <w:rFonts w:ascii="Arial" w:cs="Arial" w:eastAsia="Arial" w:hAnsi="Arial"/>
                <w:sz w:val="18"/>
                <w:szCs w:val="18"/>
                <w:color w:val="auto"/>
              </w:rPr>
              <w:t>Notices</w:t>
            </w:r>
          </w:p>
        </w:tc>
        <w:tc>
          <w:tcPr>
            <w:tcW w:w="680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7.7</w:t>
            </w:r>
          </w:p>
        </w:tc>
        <w:tc>
          <w:tcPr>
            <w:tcW w:w="3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Entire Agreement</w:t>
            </w:r>
          </w:p>
        </w:tc>
        <w:tc>
          <w:tcPr>
            <w:tcW w:w="6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080" w:type="dxa"/>
            <w:vAlign w:val="bottom"/>
          </w:tcPr>
          <w:p>
            <w:pPr>
              <w:jc w:val="center"/>
              <w:spacing w:after="0"/>
              <w:rPr>
                <w:sz w:val="20"/>
                <w:szCs w:val="20"/>
                <w:color w:val="auto"/>
              </w:rPr>
            </w:pPr>
            <w:r>
              <w:rPr>
                <w:rFonts w:ascii="Arial" w:cs="Arial" w:eastAsia="Arial" w:hAnsi="Arial"/>
                <w:sz w:val="18"/>
                <w:szCs w:val="18"/>
                <w:color w:val="auto"/>
                <w:w w:val="87"/>
              </w:rPr>
              <w:t>7.8</w:t>
            </w:r>
          </w:p>
        </w:tc>
        <w:tc>
          <w:tcPr>
            <w:tcW w:w="3360" w:type="dxa"/>
            <w:vAlign w:val="bottom"/>
          </w:tcPr>
          <w:p>
            <w:pPr>
              <w:ind w:left="60"/>
              <w:spacing w:after="0"/>
              <w:rPr>
                <w:sz w:val="20"/>
                <w:szCs w:val="20"/>
                <w:color w:val="auto"/>
              </w:rPr>
            </w:pPr>
            <w:r>
              <w:rPr>
                <w:rFonts w:ascii="Arial" w:cs="Arial" w:eastAsia="Arial" w:hAnsi="Arial"/>
                <w:sz w:val="18"/>
                <w:szCs w:val="18"/>
                <w:color w:val="auto"/>
              </w:rPr>
              <w:t>No Third-Party Beneficiaries</w:t>
            </w:r>
          </w:p>
        </w:tc>
        <w:tc>
          <w:tcPr>
            <w:tcW w:w="680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7.9</w:t>
            </w:r>
          </w:p>
        </w:tc>
        <w:tc>
          <w:tcPr>
            <w:tcW w:w="3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Severability</w:t>
            </w:r>
          </w:p>
        </w:tc>
        <w:tc>
          <w:tcPr>
            <w:tcW w:w="6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080" w:type="dxa"/>
            <w:vAlign w:val="bottom"/>
          </w:tcPr>
          <w:p>
            <w:pPr>
              <w:jc w:val="center"/>
              <w:spacing w:after="0"/>
              <w:rPr>
                <w:sz w:val="20"/>
                <w:szCs w:val="20"/>
                <w:color w:val="auto"/>
              </w:rPr>
            </w:pPr>
            <w:r>
              <w:rPr>
                <w:rFonts w:ascii="Arial" w:cs="Arial" w:eastAsia="Arial" w:hAnsi="Arial"/>
                <w:sz w:val="18"/>
                <w:szCs w:val="18"/>
                <w:color w:val="auto"/>
                <w:w w:val="91"/>
              </w:rPr>
              <w:t>7.10</w:t>
            </w:r>
          </w:p>
        </w:tc>
        <w:tc>
          <w:tcPr>
            <w:tcW w:w="3360" w:type="dxa"/>
            <w:vAlign w:val="bottom"/>
          </w:tcPr>
          <w:p>
            <w:pPr>
              <w:ind w:left="60"/>
              <w:spacing w:after="0"/>
              <w:rPr>
                <w:sz w:val="20"/>
                <w:szCs w:val="20"/>
                <w:color w:val="auto"/>
              </w:rPr>
            </w:pPr>
            <w:r>
              <w:rPr>
                <w:rFonts w:ascii="Arial" w:cs="Arial" w:eastAsia="Arial" w:hAnsi="Arial"/>
                <w:sz w:val="18"/>
                <w:szCs w:val="18"/>
                <w:color w:val="auto"/>
              </w:rPr>
              <w:t>Interpretation</w:t>
            </w:r>
          </w:p>
        </w:tc>
        <w:tc>
          <w:tcPr>
            <w:tcW w:w="680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7.11</w:t>
            </w:r>
          </w:p>
        </w:tc>
        <w:tc>
          <w:tcPr>
            <w:tcW w:w="3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Defined Terms</w:t>
            </w:r>
          </w:p>
        </w:tc>
        <w:tc>
          <w:tcPr>
            <w:tcW w:w="6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080" w:type="dxa"/>
            <w:vAlign w:val="bottom"/>
          </w:tcPr>
          <w:p>
            <w:pPr>
              <w:jc w:val="center"/>
              <w:spacing w:after="0"/>
              <w:rPr>
                <w:sz w:val="20"/>
                <w:szCs w:val="20"/>
                <w:color w:val="auto"/>
              </w:rPr>
            </w:pPr>
            <w:r>
              <w:rPr>
                <w:rFonts w:ascii="Arial" w:cs="Arial" w:eastAsia="Arial" w:hAnsi="Arial"/>
                <w:sz w:val="18"/>
                <w:szCs w:val="18"/>
                <w:color w:val="auto"/>
                <w:w w:val="91"/>
              </w:rPr>
              <w:t>7.12</w:t>
            </w:r>
          </w:p>
        </w:tc>
        <w:tc>
          <w:tcPr>
            <w:tcW w:w="3360" w:type="dxa"/>
            <w:vAlign w:val="bottom"/>
          </w:tcPr>
          <w:p>
            <w:pPr>
              <w:ind w:left="60"/>
              <w:spacing w:after="0"/>
              <w:rPr>
                <w:sz w:val="20"/>
                <w:szCs w:val="20"/>
                <w:color w:val="auto"/>
              </w:rPr>
            </w:pPr>
            <w:r>
              <w:rPr>
                <w:rFonts w:ascii="Arial" w:cs="Arial" w:eastAsia="Arial" w:hAnsi="Arial"/>
                <w:sz w:val="18"/>
                <w:szCs w:val="18"/>
                <w:color w:val="auto"/>
              </w:rPr>
              <w:t>Assignment</w:t>
            </w:r>
          </w:p>
        </w:tc>
        <w:tc>
          <w:tcPr>
            <w:tcW w:w="680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7.13</w:t>
            </w:r>
          </w:p>
        </w:tc>
        <w:tc>
          <w:tcPr>
            <w:tcW w:w="3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1"/>
              </w:rPr>
              <w:t>Specific Performance; Other Equitable Relief</w:t>
            </w:r>
          </w:p>
        </w:tc>
        <w:tc>
          <w:tcPr>
            <w:tcW w:w="6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080" w:type="dxa"/>
            <w:vAlign w:val="bottom"/>
          </w:tcPr>
          <w:p>
            <w:pPr>
              <w:jc w:val="center"/>
              <w:spacing w:after="0"/>
              <w:rPr>
                <w:sz w:val="20"/>
                <w:szCs w:val="20"/>
                <w:color w:val="auto"/>
              </w:rPr>
            </w:pPr>
            <w:r>
              <w:rPr>
                <w:rFonts w:ascii="Arial" w:cs="Arial" w:eastAsia="Arial" w:hAnsi="Arial"/>
                <w:sz w:val="18"/>
                <w:szCs w:val="18"/>
                <w:color w:val="auto"/>
                <w:w w:val="91"/>
              </w:rPr>
              <w:t>7.14</w:t>
            </w:r>
          </w:p>
        </w:tc>
        <w:tc>
          <w:tcPr>
            <w:tcW w:w="3360" w:type="dxa"/>
            <w:vAlign w:val="bottom"/>
          </w:tcPr>
          <w:p>
            <w:pPr>
              <w:ind w:left="60"/>
              <w:spacing w:after="0"/>
              <w:rPr>
                <w:sz w:val="20"/>
                <w:szCs w:val="20"/>
                <w:color w:val="auto"/>
              </w:rPr>
            </w:pPr>
            <w:r>
              <w:rPr>
                <w:rFonts w:ascii="Arial" w:cs="Arial" w:eastAsia="Arial" w:hAnsi="Arial"/>
                <w:sz w:val="18"/>
                <w:szCs w:val="18"/>
                <w:color w:val="auto"/>
              </w:rPr>
              <w:t>Construction</w:t>
            </w:r>
          </w:p>
        </w:tc>
        <w:tc>
          <w:tcPr>
            <w:tcW w:w="680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7.15</w:t>
            </w:r>
          </w:p>
        </w:tc>
        <w:tc>
          <w:tcPr>
            <w:tcW w:w="3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Performance</w:t>
            </w:r>
          </w:p>
        </w:tc>
        <w:tc>
          <w:tcPr>
            <w:tcW w:w="6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080" w:type="dxa"/>
            <w:vAlign w:val="bottom"/>
          </w:tcPr>
          <w:p>
            <w:pPr>
              <w:jc w:val="center"/>
              <w:spacing w:after="0"/>
              <w:rPr>
                <w:sz w:val="20"/>
                <w:szCs w:val="20"/>
                <w:color w:val="auto"/>
              </w:rPr>
            </w:pPr>
            <w:r>
              <w:rPr>
                <w:rFonts w:ascii="Arial" w:cs="Arial" w:eastAsia="Arial" w:hAnsi="Arial"/>
                <w:sz w:val="18"/>
                <w:szCs w:val="18"/>
                <w:color w:val="auto"/>
                <w:w w:val="91"/>
              </w:rPr>
              <w:t>7.16</w:t>
            </w:r>
          </w:p>
        </w:tc>
        <w:tc>
          <w:tcPr>
            <w:tcW w:w="3360" w:type="dxa"/>
            <w:vAlign w:val="bottom"/>
          </w:tcPr>
          <w:p>
            <w:pPr>
              <w:ind w:left="60"/>
              <w:spacing w:after="0"/>
              <w:rPr>
                <w:sz w:val="20"/>
                <w:szCs w:val="20"/>
                <w:color w:val="auto"/>
              </w:rPr>
            </w:pPr>
            <w:r>
              <w:rPr>
                <w:rFonts w:ascii="Arial" w:cs="Arial" w:eastAsia="Arial" w:hAnsi="Arial"/>
                <w:sz w:val="18"/>
                <w:szCs w:val="18"/>
                <w:color w:val="auto"/>
              </w:rPr>
              <w:t>Other Agreements</w:t>
            </w:r>
          </w:p>
        </w:tc>
        <w:tc>
          <w:tcPr>
            <w:tcW w:w="680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1"/>
        </w:trPr>
        <w:tc>
          <w:tcPr>
            <w:tcW w:w="1080" w:type="dxa"/>
            <w:vAlign w:val="bottom"/>
          </w:tcPr>
          <w:p>
            <w:pPr>
              <w:spacing w:after="0"/>
              <w:rPr>
                <w:sz w:val="20"/>
                <w:szCs w:val="20"/>
                <w:color w:val="auto"/>
              </w:rPr>
            </w:pPr>
            <w:r>
              <w:rPr>
                <w:rFonts w:ascii="Arial" w:cs="Arial" w:eastAsia="Arial" w:hAnsi="Arial"/>
                <w:sz w:val="18"/>
                <w:szCs w:val="18"/>
                <w:color w:val="auto"/>
              </w:rPr>
              <w:t>Annex I</w:t>
            </w:r>
          </w:p>
        </w:tc>
        <w:tc>
          <w:tcPr>
            <w:tcW w:w="3360" w:type="dxa"/>
            <w:vAlign w:val="bottom"/>
          </w:tcPr>
          <w:p>
            <w:pPr>
              <w:ind w:left="1180"/>
              <w:spacing w:after="0"/>
              <w:rPr>
                <w:sz w:val="20"/>
                <w:szCs w:val="20"/>
                <w:color w:val="auto"/>
              </w:rPr>
            </w:pPr>
            <w:r>
              <w:rPr>
                <w:rFonts w:ascii="Arial" w:cs="Arial" w:eastAsia="Arial" w:hAnsi="Arial"/>
                <w:sz w:val="18"/>
                <w:szCs w:val="18"/>
                <w:color w:val="auto"/>
              </w:rPr>
              <w:t>Defined Terms</w:t>
            </w:r>
          </w:p>
        </w:tc>
        <w:tc>
          <w:tcPr>
            <w:tcW w:w="6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Annex II</w:t>
            </w:r>
          </w:p>
        </w:tc>
        <w:tc>
          <w:tcPr>
            <w:tcW w:w="3360" w:type="dxa"/>
            <w:vAlign w:val="bottom"/>
          </w:tcPr>
          <w:p>
            <w:pPr>
              <w:ind w:left="1180"/>
              <w:spacing w:after="0"/>
              <w:rPr>
                <w:sz w:val="20"/>
                <w:szCs w:val="20"/>
                <w:color w:val="auto"/>
              </w:rPr>
            </w:pPr>
            <w:r>
              <w:rPr>
                <w:rFonts w:ascii="Arial" w:cs="Arial" w:eastAsia="Arial" w:hAnsi="Arial"/>
                <w:sz w:val="18"/>
                <w:szCs w:val="18"/>
                <w:color w:val="auto"/>
              </w:rPr>
              <w:t>TFMC Marks</w:t>
            </w:r>
          </w:p>
        </w:tc>
        <w:tc>
          <w:tcPr>
            <w:tcW w:w="6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Annex III</w:t>
            </w:r>
          </w:p>
        </w:tc>
        <w:tc>
          <w:tcPr>
            <w:tcW w:w="3360" w:type="dxa"/>
            <w:vAlign w:val="bottom"/>
          </w:tcPr>
          <w:p>
            <w:pPr>
              <w:ind w:left="1180"/>
              <w:spacing w:after="0"/>
              <w:rPr>
                <w:sz w:val="20"/>
                <w:szCs w:val="20"/>
                <w:color w:val="auto"/>
              </w:rPr>
            </w:pPr>
            <w:r>
              <w:rPr>
                <w:rFonts w:ascii="Arial" w:cs="Arial" w:eastAsia="Arial" w:hAnsi="Arial"/>
                <w:sz w:val="18"/>
                <w:szCs w:val="18"/>
                <w:color w:val="auto"/>
              </w:rPr>
              <w:t>TEN Marks</w:t>
            </w:r>
          </w:p>
        </w:tc>
        <w:tc>
          <w:tcPr>
            <w:tcW w:w="6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2"/>
        </w:trPr>
        <w:tc>
          <w:tcPr>
            <w:tcW w:w="10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6800" w:type="dxa"/>
            <w:vAlign w:val="bottom"/>
          </w:tcPr>
          <w:p>
            <w:pPr>
              <w:jc w:val="right"/>
              <w:ind w:right="5469"/>
              <w:spacing w:after="0"/>
              <w:rPr>
                <w:sz w:val="20"/>
                <w:szCs w:val="20"/>
                <w:color w:val="auto"/>
              </w:rPr>
            </w:pPr>
            <w:r>
              <w:rPr>
                <w:rFonts w:ascii="Arial" w:cs="Arial" w:eastAsia="Arial" w:hAnsi="Arial"/>
                <w:sz w:val="22"/>
                <w:szCs w:val="22"/>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1080" w:type="dxa"/>
            <w:vAlign w:val="bottom"/>
            <w:tcBorders>
              <w:bottom w:val="single" w:sz="8" w:color="auto"/>
            </w:tcBorders>
          </w:tcPr>
          <w:p>
            <w:pPr>
              <w:spacing w:after="0"/>
              <w:rPr>
                <w:sz w:val="4"/>
                <w:szCs w:val="4"/>
                <w:color w:val="auto"/>
              </w:rPr>
            </w:pPr>
          </w:p>
        </w:tc>
        <w:tc>
          <w:tcPr>
            <w:tcW w:w="3360" w:type="dxa"/>
            <w:vAlign w:val="bottom"/>
            <w:tcBorders>
              <w:bottom w:val="single" w:sz="8" w:color="auto"/>
            </w:tcBorders>
          </w:tcPr>
          <w:p>
            <w:pPr>
              <w:spacing w:after="0"/>
              <w:rPr>
                <w:sz w:val="4"/>
                <w:szCs w:val="4"/>
                <w:color w:val="auto"/>
              </w:rPr>
            </w:pPr>
          </w:p>
        </w:tc>
        <w:tc>
          <w:tcPr>
            <w:tcW w:w="68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2" w:right="339" w:bottom="1440" w:gutter="0" w:footer="0" w:header="0"/>
        </w:sectPr>
      </w:pPr>
    </w:p>
    <w:bookmarkStart w:id="161" w:name="page162"/>
    <w:bookmarkEnd w:id="161"/>
    <w:p>
      <w:pPr>
        <w:jc w:val="center"/>
        <w:spacing w:after="0"/>
        <w:rPr>
          <w:sz w:val="20"/>
          <w:szCs w:val="20"/>
          <w:color w:val="auto"/>
        </w:rPr>
      </w:pPr>
      <w:r>
        <w:rPr>
          <w:rFonts w:ascii="Arial" w:cs="Arial" w:eastAsia="Arial" w:hAnsi="Arial"/>
          <w:sz w:val="22"/>
          <w:szCs w:val="22"/>
          <w:b w:val="1"/>
          <w:bCs w:val="1"/>
          <w:color w:val="auto"/>
        </w:rPr>
        <w:t>COEXISTENCE AND TRADEMARK MATTERS AGREEMENT</w:t>
      </w:r>
    </w:p>
    <w:p>
      <w:pPr>
        <w:spacing w:after="0" w:line="240" w:lineRule="exact"/>
        <w:rPr>
          <w:sz w:val="20"/>
          <w:szCs w:val="20"/>
          <w:color w:val="auto"/>
        </w:rPr>
      </w:pPr>
    </w:p>
    <w:p>
      <w:pPr>
        <w:ind w:right="100" w:firstLine="648"/>
        <w:spacing w:after="0" w:line="236" w:lineRule="auto"/>
        <w:rPr>
          <w:sz w:val="20"/>
          <w:szCs w:val="20"/>
          <w:color w:val="auto"/>
        </w:rPr>
      </w:pPr>
      <w:r>
        <w:rPr>
          <w:rFonts w:ascii="Arial" w:cs="Arial" w:eastAsia="Arial" w:hAnsi="Arial"/>
          <w:sz w:val="22"/>
          <w:szCs w:val="22"/>
          <w:color w:val="auto"/>
        </w:rPr>
        <w:t>This COEXISTENCE AND TRADEMARK MATTERS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is entered into effective as of February 15, 2021 (the “</w:t>
      </w:r>
      <w:r>
        <w:rPr>
          <w:rFonts w:ascii="Arial" w:cs="Arial" w:eastAsia="Arial" w:hAnsi="Arial"/>
          <w:sz w:val="22"/>
          <w:szCs w:val="22"/>
          <w:u w:val="single" w:color="auto"/>
          <w:color w:val="auto"/>
        </w:rPr>
        <w:t>Effective Date</w:t>
      </w:r>
      <w:r>
        <w:rPr>
          <w:rFonts w:ascii="Arial" w:cs="Arial" w:eastAsia="Arial" w:hAnsi="Arial"/>
          <w:sz w:val="22"/>
          <w:szCs w:val="22"/>
          <w:color w:val="auto"/>
        </w:rPr>
        <w:t>”), by and between TechnipFMC plc, a public limited company formed under the Laws of England and Wales (“</w:t>
      </w:r>
      <w:r>
        <w:rPr>
          <w:rFonts w:ascii="Arial" w:cs="Arial" w:eastAsia="Arial" w:hAnsi="Arial"/>
          <w:sz w:val="22"/>
          <w:szCs w:val="22"/>
          <w:u w:val="single" w:color="auto"/>
          <w:color w:val="auto"/>
        </w:rPr>
        <w:t>TFMC</w:t>
      </w:r>
      <w:r>
        <w:rPr>
          <w:rFonts w:ascii="Arial" w:cs="Arial" w:eastAsia="Arial" w:hAnsi="Arial"/>
          <w:sz w:val="22"/>
          <w:szCs w:val="22"/>
          <w:color w:val="auto"/>
        </w:rPr>
        <w:t>”) and Technip Energies N.V., a public limited liability company formed under the Laws of the Netherlands and a wholly owned subsidiary of TechnipFMC (“</w:t>
      </w:r>
      <w:r>
        <w:rPr>
          <w:rFonts w:ascii="Arial" w:cs="Arial" w:eastAsia="Arial" w:hAnsi="Arial"/>
          <w:sz w:val="22"/>
          <w:szCs w:val="22"/>
          <w:u w:val="single" w:color="auto"/>
          <w:color w:val="auto"/>
        </w:rPr>
        <w:t>TEN</w:t>
      </w:r>
      <w:r>
        <w:rPr>
          <w:rFonts w:ascii="Arial" w:cs="Arial" w:eastAsia="Arial" w:hAnsi="Arial"/>
          <w:sz w:val="22"/>
          <w:szCs w:val="22"/>
          <w:color w:val="auto"/>
        </w:rPr>
        <w:t>”). TFMC and TEN are each a “</w:t>
      </w:r>
      <w:r>
        <w:rPr>
          <w:rFonts w:ascii="Arial" w:cs="Arial" w:eastAsia="Arial" w:hAnsi="Arial"/>
          <w:sz w:val="22"/>
          <w:szCs w:val="22"/>
          <w:u w:val="single" w:color="auto"/>
          <w:color w:val="auto"/>
        </w:rPr>
        <w:t>Party</w:t>
      </w:r>
      <w:r>
        <w:rPr>
          <w:rFonts w:ascii="Arial" w:cs="Arial" w:eastAsia="Arial" w:hAnsi="Arial"/>
          <w:sz w:val="22"/>
          <w:szCs w:val="22"/>
          <w:color w:val="auto"/>
        </w:rPr>
        <w:t>” and are sometimes referred to herein collectively as the “</w:t>
      </w:r>
      <w:r>
        <w:rPr>
          <w:rFonts w:ascii="Arial" w:cs="Arial" w:eastAsia="Arial" w:hAnsi="Arial"/>
          <w:sz w:val="22"/>
          <w:szCs w:val="22"/>
          <w:u w:val="single" w:color="auto"/>
          <w:color w:val="auto"/>
        </w:rPr>
        <w:t>Parties</w:t>
      </w:r>
      <w:r>
        <w:rPr>
          <w:rFonts w:ascii="Arial" w:cs="Arial" w:eastAsia="Arial" w:hAnsi="Arial"/>
          <w:sz w:val="22"/>
          <w:szCs w:val="22"/>
          <w:color w:val="auto"/>
        </w:rPr>
        <w: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39" w:lineRule="exact"/>
        <w:rPr>
          <w:sz w:val="20"/>
          <w:szCs w:val="20"/>
          <w:color w:val="auto"/>
        </w:rPr>
      </w:pPr>
    </w:p>
    <w:p>
      <w:pPr>
        <w:ind w:right="680" w:firstLine="648"/>
        <w:spacing w:after="0" w:line="250" w:lineRule="auto"/>
        <w:rPr>
          <w:sz w:val="20"/>
          <w:szCs w:val="20"/>
          <w:color w:val="auto"/>
        </w:rPr>
      </w:pPr>
      <w:r>
        <w:rPr>
          <w:rFonts w:ascii="Arial" w:cs="Arial" w:eastAsia="Arial" w:hAnsi="Arial"/>
          <w:sz w:val="22"/>
          <w:szCs w:val="22"/>
          <w:color w:val="auto"/>
        </w:rPr>
        <w:t>WHEREAS, TFMC plc, acting together with its Subsidiaries, currently conducts the TFMC Business and the TEN Business;</w:t>
      </w:r>
    </w:p>
    <w:p>
      <w:pPr>
        <w:spacing w:after="0" w:line="202"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WHEREAS, TFMC and TEN have entered into that certain Separation and Distribution Agreement, dated as of January 7, 2021 (the “</w:t>
      </w:r>
      <w:r>
        <w:rPr>
          <w:rFonts w:ascii="Arial" w:cs="Arial" w:eastAsia="Arial" w:hAnsi="Arial"/>
          <w:sz w:val="22"/>
          <w:szCs w:val="22"/>
          <w:u w:val="single" w:color="auto"/>
          <w:color w:val="auto"/>
        </w:rPr>
        <w:t>Separation Agreement</w:t>
      </w:r>
      <w:r>
        <w:rPr>
          <w:rFonts w:ascii="Arial" w:cs="Arial" w:eastAsia="Arial" w:hAnsi="Arial"/>
          <w:sz w:val="22"/>
          <w:szCs w:val="22"/>
          <w:color w:val="auto"/>
        </w:rPr>
        <w:t>”) pursuant to which TEN will be separated from the rest of TFMC and will be established as a separate, publicly-traded company to operate the TEN Business;</w:t>
      </w:r>
    </w:p>
    <w:p>
      <w:pPr>
        <w:spacing w:after="0" w:line="213" w:lineRule="exact"/>
        <w:rPr>
          <w:sz w:val="20"/>
          <w:szCs w:val="20"/>
          <w:color w:val="auto"/>
        </w:rPr>
      </w:pPr>
    </w:p>
    <w:p>
      <w:pPr>
        <w:ind w:right="240" w:firstLine="648"/>
        <w:spacing w:after="0"/>
        <w:rPr>
          <w:sz w:val="20"/>
          <w:szCs w:val="20"/>
          <w:color w:val="auto"/>
        </w:rPr>
      </w:pPr>
      <w:r>
        <w:rPr>
          <w:rFonts w:ascii="Arial" w:cs="Arial" w:eastAsia="Arial" w:hAnsi="Arial"/>
          <w:sz w:val="22"/>
          <w:szCs w:val="22"/>
          <w:color w:val="auto"/>
        </w:rPr>
        <w:t>WHEREAS, TFMC, together with its Affiliates, owns a family of Marks containing the element TECHNIP, including TECHNIP, TECHNIP FMC, and TECHNIP UMBILICALS, which were used in connection with both the TFMC Business and the TEN Business prior to the Separation;</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WHEREAS, following the Separation, TFMC intends to continue to use the Technip-Formative Marks set forth in </w:t>
      </w:r>
      <w:r>
        <w:rPr>
          <w:rFonts w:ascii="Arial" w:cs="Arial" w:eastAsia="Arial" w:hAnsi="Arial"/>
          <w:sz w:val="19"/>
          <w:szCs w:val="19"/>
          <w:u w:val="single" w:color="auto"/>
          <w:color w:val="auto"/>
        </w:rPr>
        <w:t>Annex</w:t>
      </w:r>
    </w:p>
    <w:p>
      <w:pPr>
        <w:spacing w:after="0" w:line="43" w:lineRule="exact"/>
        <w:rPr>
          <w:sz w:val="20"/>
          <w:szCs w:val="20"/>
          <w:color w:val="auto"/>
        </w:rPr>
      </w:pPr>
    </w:p>
    <w:p>
      <w:pPr>
        <w:ind w:right="220" w:firstLine="8"/>
        <w:spacing w:after="0" w:line="234" w:lineRule="auto"/>
        <w:tabs>
          <w:tab w:leader="none" w:pos="198" w:val="left"/>
        </w:tabs>
        <w:numPr>
          <w:ilvl w:val="0"/>
          <w:numId w:val="89"/>
        </w:numPr>
        <w:rPr>
          <w:rFonts w:ascii="Arial" w:cs="Arial" w:eastAsia="Arial" w:hAnsi="Arial"/>
          <w:sz w:val="22"/>
          <w:szCs w:val="22"/>
          <w:u w:val="single" w:color="auto"/>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TFMC Marks</w:t>
      </w:r>
      <w:r>
        <w:rPr>
          <w:rFonts w:ascii="Arial" w:cs="Arial" w:eastAsia="Arial" w:hAnsi="Arial"/>
          <w:sz w:val="22"/>
          <w:szCs w:val="22"/>
          <w:color w:val="auto"/>
        </w:rPr>
        <w:t xml:space="preserve">”) in connection with the TFMC Business; and TEN wishes to own and use the Technip-Formative Marks set forth in </w:t>
      </w:r>
      <w:r>
        <w:rPr>
          <w:rFonts w:ascii="Arial" w:cs="Arial" w:eastAsia="Arial" w:hAnsi="Arial"/>
          <w:sz w:val="22"/>
          <w:szCs w:val="22"/>
          <w:u w:val="single" w:color="auto"/>
          <w:color w:val="auto"/>
        </w:rPr>
        <w:t>Annex III</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TEN Marks</w:t>
      </w:r>
      <w:r>
        <w:rPr>
          <w:rFonts w:ascii="Arial" w:cs="Arial" w:eastAsia="Arial" w:hAnsi="Arial"/>
          <w:sz w:val="22"/>
          <w:szCs w:val="22"/>
          <w:color w:val="auto"/>
        </w:rPr>
        <w:t>”) in connection with the TEN Business, but has agreed to cease all use of the TFMC Marks, except as expressly set forth herein or in the Separation Agreement;</w:t>
      </w:r>
    </w:p>
    <w:p>
      <w:pPr>
        <w:spacing w:after="0" w:line="214" w:lineRule="exact"/>
        <w:rPr>
          <w:sz w:val="20"/>
          <w:szCs w:val="20"/>
          <w:color w:val="auto"/>
        </w:rPr>
      </w:pPr>
    </w:p>
    <w:p>
      <w:pPr>
        <w:ind w:right="80" w:firstLine="648"/>
        <w:spacing w:after="0" w:line="238" w:lineRule="auto"/>
        <w:rPr>
          <w:sz w:val="20"/>
          <w:szCs w:val="20"/>
          <w:color w:val="auto"/>
        </w:rPr>
      </w:pPr>
      <w:r>
        <w:rPr>
          <w:rFonts w:ascii="Arial" w:cs="Arial" w:eastAsia="Arial" w:hAnsi="Arial"/>
          <w:sz w:val="22"/>
          <w:szCs w:val="22"/>
          <w:color w:val="auto"/>
        </w:rPr>
        <w:t>WHEREAS, in order to maintain the strength of the TFMC Marks and the TEN Marks, and in order to avoid any likelihood of confusion as to the source of their respective goods and services, the Parties have agreed to abide by certain restrictions in connection with the use and exploitation of the TFMC Marks and the TEN Marks, respectively, as specified in this Agreement;</w:t>
      </w:r>
    </w:p>
    <w:p>
      <w:pPr>
        <w:spacing w:after="0" w:line="212"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WHEREAS, TFMC also owns certain Loading Arms Marks, and TEN desires (i) to use the Loading Arms Marks</w:t>
      </w:r>
    </w:p>
    <w:p>
      <w:pPr>
        <w:spacing w:after="0" w:line="8"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following the Separation on a transitional basis in connection with its marketing and sale of certain Loadings Arms Products, and</w:t>
      </w:r>
    </w:p>
    <w:p>
      <w:pPr>
        <w:spacing w:after="0" w:line="25" w:lineRule="exact"/>
        <w:rPr>
          <w:sz w:val="20"/>
          <w:szCs w:val="20"/>
          <w:color w:val="auto"/>
        </w:rPr>
      </w:pPr>
    </w:p>
    <w:p>
      <w:pPr>
        <w:ind w:right="40" w:firstLine="8"/>
        <w:spacing w:after="0" w:line="234" w:lineRule="auto"/>
        <w:tabs>
          <w:tab w:leader="none" w:pos="318" w:val="left"/>
        </w:tabs>
        <w:numPr>
          <w:ilvl w:val="0"/>
          <w:numId w:val="90"/>
        </w:numPr>
        <w:rPr>
          <w:rFonts w:ascii="Arial" w:cs="Arial" w:eastAsia="Arial" w:hAnsi="Arial"/>
          <w:sz w:val="22"/>
          <w:szCs w:val="22"/>
          <w:color w:val="auto"/>
        </w:rPr>
      </w:pPr>
      <w:r>
        <w:rPr>
          <w:rFonts w:ascii="Arial" w:cs="Arial" w:eastAsia="Arial" w:hAnsi="Arial"/>
          <w:sz w:val="22"/>
          <w:szCs w:val="22"/>
          <w:color w:val="auto"/>
        </w:rPr>
        <w:t>to permit the continued use by Tokyo Boeki of the Loading Arms Marks following the Separation in accordance with the Tokyo Boeki License Agreement; and TFMC consents to the limited and transitional use of the Loading Arms Marks as specified in this Agreement.</w:t>
      </w:r>
    </w:p>
    <w:p>
      <w:pPr>
        <w:spacing w:after="0" w:line="214"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NOW, THEREFORE, in consideration of the foregoing and the mutual agreements, provisions and covenants contained in this Agreement, the Parties hereby agree as follows: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2" w:name="page163"/>
    <w:bookmarkEnd w:id="162"/>
    <w:p>
      <w:pPr>
        <w:jc w:val="center"/>
        <w:spacing w:after="0"/>
        <w:rPr>
          <w:sz w:val="20"/>
          <w:szCs w:val="20"/>
          <w:color w:val="auto"/>
        </w:rPr>
      </w:pPr>
      <w:r>
        <w:rPr>
          <w:rFonts w:ascii="Arial" w:cs="Arial" w:eastAsia="Arial" w:hAnsi="Arial"/>
          <w:sz w:val="18"/>
          <w:szCs w:val="18"/>
          <w:color w:val="auto"/>
        </w:rPr>
        <w:t>ARTICLE I.</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OWNERSHIP</w:t>
      </w:r>
    </w:p>
    <w:p>
      <w:pPr>
        <w:spacing w:after="0" w:line="23"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u w:val="single" w:color="auto"/>
          <w:color w:val="auto"/>
        </w:rPr>
        <w:t>Ownership</w:t>
      </w:r>
      <w:r>
        <w:rPr>
          <w:rFonts w:ascii="Arial" w:cs="Arial" w:eastAsia="Arial" w:hAnsi="Arial"/>
          <w:sz w:val="19"/>
          <w:szCs w:val="19"/>
          <w:color w:val="auto"/>
        </w:rPr>
        <w:t>.</w:t>
      </w:r>
    </w:p>
    <w:p>
      <w:pPr>
        <w:spacing w:after="0" w:line="225" w:lineRule="exact"/>
        <w:rPr>
          <w:sz w:val="20"/>
          <w:szCs w:val="20"/>
          <w:color w:val="auto"/>
        </w:rPr>
      </w:pPr>
    </w:p>
    <w:p>
      <w:pPr>
        <w:ind w:left="-20" w:right="200" w:firstLine="656"/>
        <w:spacing w:after="0" w:line="257" w:lineRule="auto"/>
        <w:tabs>
          <w:tab w:leader="none" w:pos="1516" w:val="left"/>
        </w:tabs>
        <w:numPr>
          <w:ilvl w:val="0"/>
          <w:numId w:val="91"/>
        </w:numPr>
        <w:rPr>
          <w:rFonts w:ascii="Arial" w:cs="Arial" w:eastAsia="Arial" w:hAnsi="Arial"/>
          <w:sz w:val="21"/>
          <w:szCs w:val="21"/>
          <w:color w:val="auto"/>
        </w:rPr>
      </w:pPr>
      <w:r>
        <w:rPr>
          <w:rFonts w:ascii="Arial" w:cs="Arial" w:eastAsia="Arial" w:hAnsi="Arial"/>
          <w:sz w:val="21"/>
          <w:szCs w:val="21"/>
          <w:u w:val="single" w:color="auto"/>
          <w:color w:val="auto"/>
        </w:rPr>
        <w:t>TFMC Marks.</w:t>
      </w:r>
      <w:r>
        <w:rPr>
          <w:rFonts w:ascii="Arial" w:cs="Arial" w:eastAsia="Arial" w:hAnsi="Arial"/>
          <w:sz w:val="21"/>
          <w:szCs w:val="21"/>
          <w:color w:val="auto"/>
        </w:rPr>
        <w:t xml:space="preserve"> TEN acknowledges that, as between the Parties, TFMC is the sole and exclusive owner of all right, title and interest in and to the TFMC Marks and any rights related thereto. TEN acknowledges and agrees that nothing in this Agreement shall give any member of the TEN Group any right, title, or interest in the TFMC Marks.</w:t>
      </w:r>
    </w:p>
    <w:p>
      <w:pPr>
        <w:spacing w:after="0" w:line="196" w:lineRule="exact"/>
        <w:rPr>
          <w:rFonts w:ascii="Arial" w:cs="Arial" w:eastAsia="Arial" w:hAnsi="Arial"/>
          <w:sz w:val="21"/>
          <w:szCs w:val="21"/>
          <w:color w:val="auto"/>
        </w:rPr>
      </w:pPr>
    </w:p>
    <w:p>
      <w:pPr>
        <w:ind w:left="-20" w:firstLine="656"/>
        <w:spacing w:after="0" w:line="245" w:lineRule="auto"/>
        <w:tabs>
          <w:tab w:leader="none" w:pos="1528" w:val="left"/>
        </w:tabs>
        <w:numPr>
          <w:ilvl w:val="0"/>
          <w:numId w:val="91"/>
        </w:numPr>
        <w:rPr>
          <w:rFonts w:ascii="Arial" w:cs="Arial" w:eastAsia="Arial" w:hAnsi="Arial"/>
          <w:sz w:val="21"/>
          <w:szCs w:val="21"/>
          <w:color w:val="auto"/>
        </w:rPr>
      </w:pPr>
      <w:r>
        <w:rPr>
          <w:rFonts w:ascii="Arial" w:cs="Arial" w:eastAsia="Arial" w:hAnsi="Arial"/>
          <w:sz w:val="21"/>
          <w:szCs w:val="21"/>
          <w:u w:val="single" w:color="auto"/>
          <w:color w:val="auto"/>
        </w:rPr>
        <w:t>TEN Marks.</w:t>
      </w:r>
      <w:r>
        <w:rPr>
          <w:rFonts w:ascii="Arial" w:cs="Arial" w:eastAsia="Arial" w:hAnsi="Arial"/>
          <w:sz w:val="21"/>
          <w:szCs w:val="21"/>
          <w:color w:val="auto"/>
        </w:rPr>
        <w:t xml:space="preserve"> TFMC acknowledges that, as between the Parties, TEN is the sole and exclusive owner of all right, title and interest in and to the TEN Marks and any rights related thereto. TFMC acknowledges and agrees that nothing in this Agreement shall give any member of the TFMC Group any right, title, or interest in the TEN Marks. To the extent any of the TEN Marks are not owned as of the Effective Date by a member of the TEN Group, TFMC, on behalf of itself and the other members of the TFMC Group, hereby irrevocably assigns, conveys and transfers to TEN all right, title and interest in and to all TEN Marks, together with all goodwill associated therewith and the right to sue or recover and retain damages and costs and attorneys’ fees for past, present and future infringement, dilution, passing off, misappropriation or other violation of the TEN Marks. TFMC shall, and shall cause all other members of the TFMC Group to, as applicable, execute and deliver all documents and take all other actions reasonably requested by TEN to effect the terms of this assignment, including recordation thereof in the applicable state and national trademark offices.</w:t>
      </w:r>
    </w:p>
    <w:p>
      <w:pPr>
        <w:spacing w:after="0" w:line="208"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u w:val="single" w:color="auto"/>
          <w:color w:val="auto"/>
        </w:rPr>
        <w:t>No Inconsistent Action</w:t>
      </w:r>
      <w:r>
        <w:rPr>
          <w:rFonts w:ascii="Arial" w:cs="Arial" w:eastAsia="Arial" w:hAnsi="Arial"/>
          <w:sz w:val="19"/>
          <w:szCs w:val="19"/>
          <w:color w:val="auto"/>
        </w:rPr>
        <w:t>.</w:t>
      </w:r>
    </w:p>
    <w:p>
      <w:pPr>
        <w:spacing w:after="0" w:line="233" w:lineRule="exact"/>
        <w:rPr>
          <w:sz w:val="20"/>
          <w:szCs w:val="20"/>
          <w:color w:val="auto"/>
        </w:rPr>
      </w:pPr>
    </w:p>
    <w:p>
      <w:pPr>
        <w:ind w:left="-20" w:right="20" w:firstLine="656"/>
        <w:spacing w:after="0" w:line="273" w:lineRule="auto"/>
        <w:tabs>
          <w:tab w:leader="none" w:pos="1516"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TFMC Marks</w:t>
      </w:r>
      <w:r>
        <w:rPr>
          <w:rFonts w:ascii="Arial" w:cs="Arial" w:eastAsia="Arial" w:hAnsi="Arial"/>
          <w:sz w:val="19"/>
          <w:szCs w:val="19"/>
          <w:color w:val="auto"/>
        </w:rPr>
        <w:t>. Without limiting TEN’s right to enforce the terms of this Agreement (including its right to use all TEN Marks and all variations, adaptations, translations, combinations and derivatives thereof as permitted in this Agreement), TEN shall not, and shall cause each other member of the TEN Group to not, directly or indirectly: (a) assert any claim of right in or ownership of the TFMC Marks, contest the validity or enforceability of the TFMC Marks or challenge TFMC’s right, title, interest in, or ownership of, the TFMC Marks, its registrations therefor or TFMC’s right to license the same; (b) interfere with, oppose or challenge any of TFMC’s applications for or registrations of the TFMC Marks (including domain name registrations) or interfere with, oppose or challenge the exploitation of the TFMC Marks by or on behalf of TFMC; (c) apply for, or assist or cause any other entity to apply for, the registration of any logo, symbol, trademark, service mark, company or corporate name, product name, domain name or commercial slogan that creates a likelihood of confusion with TFMC’s use of the TFMC Marks, as permitted hereunder; or (d) intentionally take any action that would have a material adverse effect on the value, reputation or goodwill of the TFMC Marks or tarnish the TFMC Marks or materially harm TFMC’s valuable goodwill in the TFMC Marks.</w:t>
      </w:r>
    </w:p>
    <w:p>
      <w:pPr>
        <w:spacing w:after="0" w:line="182" w:lineRule="exact"/>
        <w:rPr>
          <w:rFonts w:ascii="Arial" w:cs="Arial" w:eastAsia="Arial" w:hAnsi="Arial"/>
          <w:sz w:val="19"/>
          <w:szCs w:val="19"/>
          <w:color w:val="auto"/>
        </w:rPr>
      </w:pPr>
    </w:p>
    <w:p>
      <w:pPr>
        <w:ind w:left="-20" w:right="40" w:firstLine="656"/>
        <w:spacing w:after="0" w:line="273" w:lineRule="auto"/>
        <w:tabs>
          <w:tab w:leader="none" w:pos="1528"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TEN Marks</w:t>
      </w:r>
      <w:r>
        <w:rPr>
          <w:rFonts w:ascii="Arial" w:cs="Arial" w:eastAsia="Arial" w:hAnsi="Arial"/>
          <w:sz w:val="19"/>
          <w:szCs w:val="19"/>
          <w:color w:val="auto"/>
        </w:rPr>
        <w:t>. Without limiting TFMC’s right to enforce the terms of this Agreement, TFMC shall not, and shall cause each other member of the TFMC Group to not, directly or indirectly: (a) assert any claim of right in or ownership of the TEN Marks, contest the validity or enforceability of the TEN Marks or challenge TEN’s right, title, interest in, or ownership of, the TEN Marks, its registrations therefor or TEN’s right to license the same; (b) interfere with, oppose or challenge any of TEN’s applications for or registrations of the TEN Marks (including domain name registrations) or interfere with, oppose or challenge the exploitation of the TEN Marks by or on behalf of TEN; (c) apply for, or assist or cause any other entity to apply for, the registration of any logo, symbol, trademark, service mark, company or corporate name, product name, domain name or commercial slogan that creates a likelihood of confusion with TEN’s use of the TEN marks, as permitted hereunder; or (d) intentionally take any action that would have a material adverse effect on the value, reputation or goodwill of the TEN Marks or tarnish the TEN Marks or materially harm TEN’s valuable goodwill in the TEN Marks.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39" w:right="359" w:bottom="1440" w:gutter="0" w:footer="0" w:header="0"/>
        </w:sectPr>
      </w:pPr>
    </w:p>
    <w:bookmarkStart w:id="163" w:name="page164"/>
    <w:bookmarkEnd w:id="163"/>
    <w:p>
      <w:pPr>
        <w:ind w:left="600"/>
        <w:spacing w:after="0"/>
        <w:tabs>
          <w:tab w:leader="none" w:pos="118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u w:val="single" w:color="auto"/>
          <w:color w:val="auto"/>
        </w:rPr>
        <w:t>No Likelihood of Confusion</w:t>
      </w:r>
      <w:r>
        <w:rPr>
          <w:rFonts w:ascii="Arial" w:cs="Arial" w:eastAsia="Arial" w:hAnsi="Arial"/>
          <w:sz w:val="19"/>
          <w:szCs w:val="19"/>
          <w:color w:val="auto"/>
        </w:rPr>
        <w:t>. The Parties acknowledge and agree that there is no likelihood of confusion between</w:t>
      </w:r>
    </w:p>
    <w:p>
      <w:pPr>
        <w:spacing w:after="0" w:line="58" w:lineRule="exact"/>
        <w:rPr>
          <w:sz w:val="20"/>
          <w:szCs w:val="20"/>
          <w:color w:val="auto"/>
        </w:rPr>
      </w:pPr>
    </w:p>
    <w:p>
      <w:pPr>
        <w:ind w:right="60"/>
        <w:spacing w:after="0" w:line="274" w:lineRule="auto"/>
        <w:rPr>
          <w:sz w:val="20"/>
          <w:szCs w:val="20"/>
          <w:color w:val="auto"/>
        </w:rPr>
      </w:pPr>
      <w:r>
        <w:rPr>
          <w:rFonts w:ascii="Arial" w:cs="Arial" w:eastAsia="Arial" w:hAnsi="Arial"/>
          <w:sz w:val="19"/>
          <w:szCs w:val="19"/>
          <w:color w:val="auto"/>
        </w:rPr>
        <w:t>the use of the TFMC Marks by any member of the TFMC Group and the use of the TEN Marks by any member of the TEN Group, in each case as permitted hereunder or under the Separation Agreement. In the event that any member of the TFMC Group seeks to register a TFMC Mark or any member of the TEN Group seeks to register a TEN Mark, as permitted hereunder, and the U.S. Patent and Trademark Office or applicable foreign or multinational intellectual property office (an “</w:t>
      </w:r>
      <w:r>
        <w:rPr>
          <w:rFonts w:ascii="Arial" w:cs="Arial" w:eastAsia="Arial" w:hAnsi="Arial"/>
          <w:sz w:val="19"/>
          <w:szCs w:val="19"/>
          <w:u w:val="single" w:color="auto"/>
          <w:color w:val="auto"/>
        </w:rPr>
        <w:t>Applicable</w:t>
      </w:r>
      <w:r>
        <w:rPr>
          <w:rFonts w:ascii="Arial" w:cs="Arial" w:eastAsia="Arial" w:hAnsi="Arial"/>
          <w:sz w:val="19"/>
          <w:szCs w:val="19"/>
          <w:color w:val="auto"/>
        </w:rPr>
        <w:t xml:space="preserve"> </w:t>
      </w:r>
      <w:r>
        <w:rPr>
          <w:rFonts w:ascii="Arial" w:cs="Arial" w:eastAsia="Arial" w:hAnsi="Arial"/>
          <w:sz w:val="19"/>
          <w:szCs w:val="19"/>
          <w:u w:val="single" w:color="auto"/>
          <w:color w:val="auto"/>
        </w:rPr>
        <w:t>Trademark Office</w:t>
      </w:r>
      <w:r>
        <w:rPr>
          <w:rFonts w:ascii="Arial" w:cs="Arial" w:eastAsia="Arial" w:hAnsi="Arial"/>
          <w:sz w:val="19"/>
          <w:szCs w:val="19"/>
          <w:color w:val="auto"/>
        </w:rPr>
        <w:t>”) issues an office action with respect to any such application, or refuses to register or otherwise raises an issue or an objection with respect to the registration or ownership of such TFMC Mark or TEN Mark as a result of the ownership or use of Technip-Formative Marks by any member of the Group of the other Party, such other Party shall, and shall cause each other member of its Group to, upon request, reasonably cooperate in responding to the Applicable Trademark Office and provide any other reasonable assistance with respect thereto.</w:t>
      </w:r>
    </w:p>
    <w:p>
      <w:pPr>
        <w:spacing w:after="0" w:line="185" w:lineRule="exact"/>
        <w:rPr>
          <w:sz w:val="20"/>
          <w:szCs w:val="20"/>
          <w:color w:val="auto"/>
        </w:rPr>
      </w:pPr>
    </w:p>
    <w:p>
      <w:pPr>
        <w:ind w:right="200" w:firstLine="648"/>
        <w:spacing w:after="0" w:line="238" w:lineRule="auto"/>
        <w:rPr>
          <w:sz w:val="20"/>
          <w:szCs w:val="20"/>
          <w:color w:val="auto"/>
        </w:rPr>
      </w:pPr>
      <w:r>
        <w:rPr>
          <w:rFonts w:ascii="Arial" w:cs="Arial" w:eastAsia="Arial" w:hAnsi="Arial"/>
          <w:sz w:val="22"/>
          <w:szCs w:val="22"/>
          <w:color w:val="auto"/>
        </w:rPr>
        <w:t xml:space="preserve">1.4 </w:t>
      </w:r>
      <w:r>
        <w:rPr>
          <w:rFonts w:ascii="Arial" w:cs="Arial" w:eastAsia="Arial" w:hAnsi="Arial"/>
          <w:sz w:val="22"/>
          <w:szCs w:val="22"/>
          <w:u w:val="single" w:color="auto"/>
          <w:color w:val="auto"/>
        </w:rPr>
        <w:t>No License Granted</w:t>
      </w:r>
      <w:r>
        <w:rPr>
          <w:rFonts w:ascii="Arial" w:cs="Arial" w:eastAsia="Arial" w:hAnsi="Arial"/>
          <w:sz w:val="22"/>
          <w:szCs w:val="22"/>
          <w:color w:val="auto"/>
        </w:rPr>
        <w:t>. No license to or rights in any of the TFMC Marks have been conveyed or licensed to any member of the TEN Group under this Agreement or otherwise (except as expressly set forth in the Separation Agreement). No license to or rights in any of the TEN Marks have been conveyed or licensed to any member of the TFMC Group under this Agreement or otherwise.</w:t>
      </w: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II.</w:t>
      </w:r>
    </w:p>
    <w:p>
      <w:pPr>
        <w:spacing w:after="0" w:line="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USE RESTRICTIONS</w:t>
      </w:r>
    </w:p>
    <w:p>
      <w:pPr>
        <w:spacing w:after="0" w:line="258"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 xml:space="preserve">2.1 </w:t>
      </w:r>
      <w:r>
        <w:rPr>
          <w:rFonts w:ascii="Arial" w:cs="Arial" w:eastAsia="Arial" w:hAnsi="Arial"/>
          <w:sz w:val="20"/>
          <w:szCs w:val="20"/>
          <w:u w:val="single" w:color="auto"/>
          <w:color w:val="auto"/>
        </w:rPr>
        <w:t>Restrictions on TEN</w:t>
      </w:r>
      <w:r>
        <w:rPr>
          <w:rFonts w:ascii="Arial" w:cs="Arial" w:eastAsia="Arial" w:hAnsi="Arial"/>
          <w:sz w:val="20"/>
          <w:szCs w:val="20"/>
          <w:color w:val="auto"/>
        </w:rPr>
        <w:t>. TEN and its Affiliates (a) without limiting clauses (b) or (c) hereof, shall not use, and shall not permit any third party to use, any of the TEN Marks or any other Technip-Formative Marks with respect to any of the TEN Restricted Activities from the date hereof until the fifth (5</w:t>
      </w:r>
      <w:r>
        <w:rPr>
          <w:rFonts w:ascii="Arial" w:cs="Arial" w:eastAsia="Arial" w:hAnsi="Arial"/>
          <w:sz w:val="32"/>
          <w:szCs w:val="32"/>
          <w:color w:val="auto"/>
          <w:vertAlign w:val="superscript"/>
        </w:rPr>
        <w:t>th</w:t>
      </w:r>
      <w:r>
        <w:rPr>
          <w:rFonts w:ascii="Arial" w:cs="Arial" w:eastAsia="Arial" w:hAnsi="Arial"/>
          <w:sz w:val="20"/>
          <w:szCs w:val="20"/>
          <w:color w:val="auto"/>
        </w:rPr>
        <w:t xml:space="preserve">) anniversary of the Distribution Date, (b) will not use the TFMC Marks for any purpose (except as expressly set forth in the Separation Agreement), and (c) will not adopt or use the Technip Standalone Mark for any purpose (except as expressly set forth in the Separation Agreement). Notwithstanding anything to the contrary herein, TEN and its Affiliates shall have the right to (i) use the TEN Marks in the form shown in </w:t>
      </w:r>
      <w:r>
        <w:rPr>
          <w:rFonts w:ascii="Arial" w:cs="Arial" w:eastAsia="Arial" w:hAnsi="Arial"/>
          <w:sz w:val="20"/>
          <w:szCs w:val="20"/>
          <w:u w:val="single" w:color="auto"/>
          <w:color w:val="auto"/>
        </w:rPr>
        <w:t>Annex III</w:t>
      </w:r>
      <w:r>
        <w:rPr>
          <w:rFonts w:ascii="Arial" w:cs="Arial" w:eastAsia="Arial" w:hAnsi="Arial"/>
          <w:sz w:val="20"/>
          <w:szCs w:val="20"/>
          <w:color w:val="auto"/>
        </w:rPr>
        <w:t>, (ii) combine the TEN Marks with any other Marks or word elements and (iii) adopt or use any variation, adaptation, translation, combination or derivative of any Mark in the foregoing clauses (i) and (ii), including altering the color of or stylizing any such Mark, or using any such Mark as part of a logo that includes additional word or design elements, so long as, in the case of each of the foregoing clauses (ii) and (iii), any such combination, variation, adaptation, translation, combination, derivative, colorization, stylization, or logo is not confusingly similar to any TFMC Marks or any colorization, stylization, or logo that is then in use by any member of the TFMC Group with any TFMC Marks (or is the subject of a pending intent-to-use application) (it being understood that the use of “TECHNIP” in any of the Marks permitted to be used hereunder in and of itself shall not be considered to be confusingly similar to any TFMC Marks or any colorization, stylization, or logo that is then in use by any member of the TFMC Group with any TFMC Marks (or is the subject of a pending intent-to-use application)).</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164" w:name="page165"/>
    <w:bookmarkEnd w:id="164"/>
    <w:p>
      <w:pPr>
        <w:ind w:firstLine="648"/>
        <w:spacing w:after="0" w:line="245" w:lineRule="auto"/>
        <w:rPr>
          <w:sz w:val="20"/>
          <w:szCs w:val="20"/>
          <w:color w:val="auto"/>
        </w:rPr>
      </w:pPr>
      <w:r>
        <w:rPr>
          <w:rFonts w:ascii="Arial" w:cs="Arial" w:eastAsia="Arial" w:hAnsi="Arial"/>
          <w:sz w:val="20"/>
          <w:szCs w:val="20"/>
          <w:color w:val="auto"/>
        </w:rPr>
        <w:t xml:space="preserve">2.2 </w:t>
      </w:r>
      <w:r>
        <w:rPr>
          <w:rFonts w:ascii="Arial" w:cs="Arial" w:eastAsia="Arial" w:hAnsi="Arial"/>
          <w:sz w:val="20"/>
          <w:szCs w:val="20"/>
          <w:u w:val="single" w:color="auto"/>
          <w:color w:val="auto"/>
        </w:rPr>
        <w:t>Restrictions on TFMC</w:t>
      </w:r>
      <w:r>
        <w:rPr>
          <w:rFonts w:ascii="Arial" w:cs="Arial" w:eastAsia="Arial" w:hAnsi="Arial"/>
          <w:sz w:val="20"/>
          <w:szCs w:val="20"/>
          <w:color w:val="auto"/>
        </w:rPr>
        <w:t>. TFMC and its Affiliates (a) without limiting clauses (b) or (c) hereof, shall not use, and shall not permit any third party to use, any of the TFMC Marks or any other Technip-Formative Marks with respect to any of the TFMC Restricted Activities from the date hereof until the fifth (5</w:t>
      </w:r>
      <w:r>
        <w:rPr>
          <w:rFonts w:ascii="Arial" w:cs="Arial" w:eastAsia="Arial" w:hAnsi="Arial"/>
          <w:sz w:val="32"/>
          <w:szCs w:val="32"/>
          <w:color w:val="auto"/>
          <w:vertAlign w:val="superscript"/>
        </w:rPr>
        <w:t>th</w:t>
      </w:r>
      <w:r>
        <w:rPr>
          <w:rFonts w:ascii="Arial" w:cs="Arial" w:eastAsia="Arial" w:hAnsi="Arial"/>
          <w:sz w:val="20"/>
          <w:szCs w:val="20"/>
          <w:color w:val="auto"/>
        </w:rPr>
        <w:t xml:space="preserve">) anniversary of the Distribution Date, (b) will not use or adopt the TEN Marks for any purposes, and (c) will not use or adopt the Technip Standalone Mark for any purpose. Notwithstanding anything to the contrary herein, TFMC and its Affiliates shall have the right to (i) use the TFMC Marks in the form shown in </w:t>
      </w:r>
      <w:r>
        <w:rPr>
          <w:rFonts w:ascii="Arial" w:cs="Arial" w:eastAsia="Arial" w:hAnsi="Arial"/>
          <w:sz w:val="20"/>
          <w:szCs w:val="20"/>
          <w:u w:val="single" w:color="auto"/>
          <w:color w:val="auto"/>
        </w:rPr>
        <w:t>Annex II</w:t>
      </w:r>
      <w:r>
        <w:rPr>
          <w:rFonts w:ascii="Arial" w:cs="Arial" w:eastAsia="Arial" w:hAnsi="Arial"/>
          <w:sz w:val="20"/>
          <w:szCs w:val="20"/>
          <w:color w:val="auto"/>
        </w:rPr>
        <w:t>, (ii) combine the TFMC Marks with any other Marks or word elements and (iii) adopt or use any variation, adaptation, translation, combination or derivative of any Mark in the foregoing clauses (i) and (ii), including altering the color of or stylizing any of such Mark, or using any such Mark as part of a logo that includes additional word or design elements, so long as, in the case of each of the foregoing clauses (ii) and (iii), any such combination, variation, adaptation, translation, combination, derivative, colorization, stylization, or logo is not confusingly similar to any TEN Marks or any colorization, stylization, or logo that is then in use by any member of the TEN Group with any TEN Marks (or is the subject of a pending intent-to-use application) (it being understood that the use of “TECHNIP” in any of the Marks permitted to be used hereunder in and of itself shall not be considered to be confusingly similar to any TEN Marks or any colorization, stylization, or logo that is then in use by any member of the TEN Group with any TEN Marks (or is the subject of a pending intent-to-use application)).</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PROSECUTION AND ENFORCEMENT</w:t>
      </w:r>
    </w:p>
    <w:p>
      <w:pPr>
        <w:spacing w:after="0" w:line="23"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u w:val="single" w:color="auto"/>
          <w:color w:val="auto"/>
        </w:rPr>
        <w:t>Registration of Marks</w:t>
      </w:r>
      <w:r>
        <w:rPr>
          <w:rFonts w:ascii="Arial" w:cs="Arial" w:eastAsia="Arial" w:hAnsi="Arial"/>
          <w:sz w:val="19"/>
          <w:szCs w:val="19"/>
          <w:color w:val="auto"/>
        </w:rPr>
        <w:t>.</w:t>
      </w:r>
    </w:p>
    <w:p>
      <w:pPr>
        <w:spacing w:after="0" w:line="225" w:lineRule="exact"/>
        <w:rPr>
          <w:sz w:val="20"/>
          <w:szCs w:val="20"/>
          <w:color w:val="auto"/>
        </w:rPr>
      </w:pPr>
    </w:p>
    <w:p>
      <w:pPr>
        <w:ind w:right="240" w:firstLine="656"/>
        <w:spacing w:after="0" w:line="328" w:lineRule="auto"/>
        <w:tabs>
          <w:tab w:leader="none" w:pos="1536"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By TEN</w:t>
      </w:r>
      <w:r>
        <w:rPr>
          <w:rFonts w:ascii="Arial" w:cs="Arial" w:eastAsia="Arial" w:hAnsi="Arial"/>
          <w:sz w:val="19"/>
          <w:szCs w:val="19"/>
          <w:color w:val="auto"/>
        </w:rPr>
        <w:t xml:space="preserve">. Any member of the TEN Group may, in its sole discretion and at its sole expense, seek to apply for the registration of the TEN Marks or any other Mark permitted to be used by TEN under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in any jurisdiction.</w:t>
      </w:r>
    </w:p>
    <w:p>
      <w:pPr>
        <w:spacing w:after="0" w:line="131" w:lineRule="exact"/>
        <w:rPr>
          <w:rFonts w:ascii="Arial" w:cs="Arial" w:eastAsia="Arial" w:hAnsi="Arial"/>
          <w:sz w:val="19"/>
          <w:szCs w:val="19"/>
          <w:color w:val="auto"/>
        </w:rPr>
      </w:pPr>
    </w:p>
    <w:p>
      <w:pPr>
        <w:ind w:right="300" w:firstLine="656"/>
        <w:spacing w:after="0" w:line="274" w:lineRule="auto"/>
        <w:tabs>
          <w:tab w:leader="none" w:pos="1548" w:val="left"/>
        </w:tabs>
        <w:numPr>
          <w:ilvl w:val="0"/>
          <w:numId w:val="93"/>
        </w:numPr>
        <w:rPr>
          <w:rFonts w:ascii="Arial" w:cs="Arial" w:eastAsia="Arial" w:hAnsi="Arial"/>
          <w:sz w:val="21"/>
          <w:szCs w:val="21"/>
          <w:color w:val="auto"/>
        </w:rPr>
      </w:pPr>
      <w:r>
        <w:rPr>
          <w:rFonts w:ascii="Arial" w:cs="Arial" w:eastAsia="Arial" w:hAnsi="Arial"/>
          <w:sz w:val="21"/>
          <w:szCs w:val="21"/>
          <w:u w:val="single" w:color="auto"/>
          <w:color w:val="auto"/>
        </w:rPr>
        <w:t>By TFMC</w:t>
      </w:r>
      <w:r>
        <w:rPr>
          <w:rFonts w:ascii="Arial" w:cs="Arial" w:eastAsia="Arial" w:hAnsi="Arial"/>
          <w:sz w:val="21"/>
          <w:szCs w:val="21"/>
          <w:color w:val="auto"/>
        </w:rPr>
        <w:t xml:space="preserve">. Any member of the TFMC Group may, in its sole discretion, seek to apply for the registration of the TFMC Marks or any other Mark permitted to be used by TFMC under </w:t>
      </w:r>
      <w:r>
        <w:rPr>
          <w:rFonts w:ascii="Arial" w:cs="Arial" w:eastAsia="Arial" w:hAnsi="Arial"/>
          <w:sz w:val="21"/>
          <w:szCs w:val="21"/>
          <w:u w:val="single" w:color="auto"/>
          <w:color w:val="auto"/>
        </w:rPr>
        <w:t>Section 2.2</w:t>
      </w:r>
      <w:r>
        <w:rPr>
          <w:rFonts w:ascii="Arial" w:cs="Arial" w:eastAsia="Arial" w:hAnsi="Arial"/>
          <w:sz w:val="21"/>
          <w:szCs w:val="21"/>
          <w:color w:val="auto"/>
        </w:rPr>
        <w:t xml:space="preserve"> in any jurisdiction.</w:t>
      </w:r>
    </w:p>
    <w:p>
      <w:pPr>
        <w:spacing w:after="0" w:line="178"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u w:val="single" w:color="auto"/>
          <w:color w:val="auto"/>
        </w:rPr>
        <w:t>Domain Name Registrations</w:t>
      </w:r>
      <w:r>
        <w:rPr>
          <w:rFonts w:ascii="Arial" w:cs="Arial" w:eastAsia="Arial" w:hAnsi="Arial"/>
          <w:sz w:val="19"/>
          <w:szCs w:val="19"/>
          <w:color w:val="auto"/>
        </w:rPr>
        <w:t>.</w:t>
      </w:r>
    </w:p>
    <w:p>
      <w:pPr>
        <w:spacing w:after="0" w:line="233" w:lineRule="exact"/>
        <w:rPr>
          <w:sz w:val="20"/>
          <w:szCs w:val="20"/>
          <w:color w:val="auto"/>
        </w:rPr>
      </w:pPr>
    </w:p>
    <w:p>
      <w:pPr>
        <w:ind w:right="80" w:firstLine="656"/>
        <w:spacing w:after="0" w:line="227" w:lineRule="auto"/>
        <w:tabs>
          <w:tab w:leader="none" w:pos="1536" w:val="left"/>
        </w:tabs>
        <w:numPr>
          <w:ilvl w:val="0"/>
          <w:numId w:val="94"/>
        </w:numPr>
        <w:rPr>
          <w:rFonts w:ascii="Arial" w:cs="Arial" w:eastAsia="Arial" w:hAnsi="Arial"/>
          <w:sz w:val="20"/>
          <w:szCs w:val="20"/>
          <w:color w:val="auto"/>
        </w:rPr>
      </w:pPr>
      <w:r>
        <w:rPr>
          <w:rFonts w:ascii="Arial" w:cs="Arial" w:eastAsia="Arial" w:hAnsi="Arial"/>
          <w:sz w:val="20"/>
          <w:szCs w:val="20"/>
          <w:u w:val="single" w:color="auto"/>
          <w:color w:val="auto"/>
        </w:rPr>
        <w:t>By TEN</w:t>
      </w:r>
      <w:r>
        <w:rPr>
          <w:rFonts w:ascii="Arial" w:cs="Arial" w:eastAsia="Arial" w:hAnsi="Arial"/>
          <w:sz w:val="20"/>
          <w:szCs w:val="20"/>
          <w:color w:val="auto"/>
        </w:rPr>
        <w:t xml:space="preserve">. Any member of the TEN Group shall have the right, in its sole discretion and at its sole expense, to register and/or renew in such member’s name any internet domain names consisting of any TEN Marks or any other Mark permitted to be used by TEN under </w:t>
      </w:r>
      <w:r>
        <w:rPr>
          <w:rFonts w:ascii="Arial" w:cs="Arial" w:eastAsia="Arial" w:hAnsi="Arial"/>
          <w:sz w:val="20"/>
          <w:szCs w:val="20"/>
          <w:u w:val="single" w:color="auto"/>
          <w:color w:val="auto"/>
        </w:rPr>
        <w:t>Section 2.1</w:t>
      </w:r>
      <w:r>
        <w:rPr>
          <w:rFonts w:ascii="Arial" w:cs="Arial" w:eastAsia="Arial" w:hAnsi="Arial"/>
          <w:sz w:val="20"/>
          <w:szCs w:val="20"/>
          <w:color w:val="auto"/>
        </w:rPr>
        <w:t>; provided that, until the fifth (5</w:t>
      </w:r>
      <w:r>
        <w:rPr>
          <w:rFonts w:ascii="Arial" w:cs="Arial" w:eastAsia="Arial" w:hAnsi="Arial"/>
          <w:sz w:val="32"/>
          <w:szCs w:val="32"/>
          <w:color w:val="auto"/>
          <w:vertAlign w:val="superscript"/>
        </w:rPr>
        <w:t>th</w:t>
      </w:r>
      <w:r>
        <w:rPr>
          <w:rFonts w:ascii="Arial" w:cs="Arial" w:eastAsia="Arial" w:hAnsi="Arial"/>
          <w:sz w:val="20"/>
          <w:szCs w:val="20"/>
          <w:color w:val="auto"/>
        </w:rPr>
        <w:t>) anniversary of the Distribution Date, the use of any such domain names is limited to use outside of the field of the TEN Restricted Activities.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5" w:name="page166"/>
    <w:bookmarkEnd w:id="165"/>
    <w:p>
      <w:pPr>
        <w:ind w:right="20" w:firstLine="656"/>
        <w:spacing w:after="0" w:line="227" w:lineRule="auto"/>
        <w:tabs>
          <w:tab w:leader="none" w:pos="1548" w:val="left"/>
        </w:tabs>
        <w:numPr>
          <w:ilvl w:val="0"/>
          <w:numId w:val="95"/>
        </w:numPr>
        <w:rPr>
          <w:rFonts w:ascii="Arial" w:cs="Arial" w:eastAsia="Arial" w:hAnsi="Arial"/>
          <w:sz w:val="20"/>
          <w:szCs w:val="20"/>
          <w:color w:val="auto"/>
        </w:rPr>
      </w:pPr>
      <w:r>
        <w:rPr>
          <w:rFonts w:ascii="Arial" w:cs="Arial" w:eastAsia="Arial" w:hAnsi="Arial"/>
          <w:sz w:val="20"/>
          <w:szCs w:val="20"/>
          <w:u w:val="single" w:color="auto"/>
          <w:color w:val="auto"/>
        </w:rPr>
        <w:t>By TFMC</w:t>
      </w:r>
      <w:r>
        <w:rPr>
          <w:rFonts w:ascii="Arial" w:cs="Arial" w:eastAsia="Arial" w:hAnsi="Arial"/>
          <w:sz w:val="20"/>
          <w:szCs w:val="20"/>
          <w:color w:val="auto"/>
        </w:rPr>
        <w:t xml:space="preserve">. Any member of the TFMC Group shall have the right, in its sole discretion and at its sole expense, to register and/or renew in such member’s name any internet domain names consisting of any TFMC Marks or any other Mark permitted to be used by TFMC under </w:t>
      </w:r>
      <w:r>
        <w:rPr>
          <w:rFonts w:ascii="Arial" w:cs="Arial" w:eastAsia="Arial" w:hAnsi="Arial"/>
          <w:sz w:val="20"/>
          <w:szCs w:val="20"/>
          <w:u w:val="single" w:color="auto"/>
          <w:color w:val="auto"/>
        </w:rPr>
        <w:t>Section 2.2</w:t>
      </w:r>
      <w:r>
        <w:rPr>
          <w:rFonts w:ascii="Arial" w:cs="Arial" w:eastAsia="Arial" w:hAnsi="Arial"/>
          <w:sz w:val="20"/>
          <w:szCs w:val="20"/>
          <w:color w:val="auto"/>
        </w:rPr>
        <w:t>; provided that, until the fifth (5</w:t>
      </w:r>
      <w:r>
        <w:rPr>
          <w:rFonts w:ascii="Arial" w:cs="Arial" w:eastAsia="Arial" w:hAnsi="Arial"/>
          <w:sz w:val="32"/>
          <w:szCs w:val="32"/>
          <w:color w:val="auto"/>
          <w:vertAlign w:val="superscript"/>
        </w:rPr>
        <w:t>th</w:t>
      </w:r>
      <w:r>
        <w:rPr>
          <w:rFonts w:ascii="Arial" w:cs="Arial" w:eastAsia="Arial" w:hAnsi="Arial"/>
          <w:sz w:val="20"/>
          <w:szCs w:val="20"/>
          <w:color w:val="auto"/>
        </w:rPr>
        <w:t>) anniversary of the Distribution Date, the use of any such domain names is limited to use outside of the field of the TFMC Restricted Activities.</w:t>
      </w:r>
    </w:p>
    <w:p>
      <w:pPr>
        <w:spacing w:after="0" w:line="215" w:lineRule="exact"/>
        <w:rPr>
          <w:sz w:val="20"/>
          <w:szCs w:val="20"/>
          <w:color w:val="auto"/>
        </w:rPr>
      </w:pPr>
    </w:p>
    <w:p>
      <w:pPr>
        <w:ind w:right="60" w:firstLine="648"/>
        <w:spacing w:after="0" w:line="238"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u w:val="single" w:color="auto"/>
          <w:color w:val="auto"/>
        </w:rPr>
        <w:t>Cooperation</w:t>
      </w:r>
      <w:r>
        <w:rPr>
          <w:rFonts w:ascii="Arial" w:cs="Arial" w:eastAsia="Arial" w:hAnsi="Arial"/>
          <w:sz w:val="22"/>
          <w:szCs w:val="22"/>
          <w:color w:val="auto"/>
        </w:rPr>
        <w:t xml:space="preserve">. Each Party shall execute all documents and take all other actions, in each case, reasonably requested by the other Party in connection with any (a) application or registration sought by such other Party as permitted under </w:t>
      </w:r>
      <w:r>
        <w:rPr>
          <w:rFonts w:ascii="Arial" w:cs="Arial" w:eastAsia="Arial" w:hAnsi="Arial"/>
          <w:sz w:val="22"/>
          <w:szCs w:val="22"/>
          <w:u w:val="single" w:color="auto"/>
          <w:color w:val="auto"/>
        </w:rPr>
        <w:t>Sections</w:t>
      </w:r>
      <w:r>
        <w:rPr>
          <w:rFonts w:ascii="Arial" w:cs="Arial" w:eastAsia="Arial" w:hAnsi="Arial"/>
          <w:sz w:val="22"/>
          <w:szCs w:val="22"/>
          <w:color w:val="auto"/>
        </w:rPr>
        <w:t xml:space="preserve"> </w:t>
      </w:r>
      <w:r>
        <w:rPr>
          <w:rFonts w:ascii="Arial" w:cs="Arial" w:eastAsia="Arial" w:hAnsi="Arial"/>
          <w:sz w:val="22"/>
          <w:szCs w:val="22"/>
          <w:u w:val="single" w:color="auto"/>
          <w:color w:val="auto"/>
        </w:rPr>
        <w:t>3.1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3.2</w:t>
      </w:r>
      <w:r>
        <w:rPr>
          <w:rFonts w:ascii="Arial" w:cs="Arial" w:eastAsia="Arial" w:hAnsi="Arial"/>
          <w:sz w:val="22"/>
          <w:szCs w:val="22"/>
          <w:color w:val="auto"/>
        </w:rPr>
        <w:t>, or (b) enforcement by such other Party of any TFMC Marks (if such other Party is TFMC) or TEN Marks (if such other Party is TEN).</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ARTICLE IV.</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TRANSITIONAL USE OF LOADING ARMS MARKS</w:t>
      </w:r>
    </w:p>
    <w:p>
      <w:pPr>
        <w:spacing w:after="0" w:line="215"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Ownership</w:t>
      </w:r>
      <w:r>
        <w:rPr>
          <w:rFonts w:ascii="Arial" w:cs="Arial" w:eastAsia="Arial" w:hAnsi="Arial"/>
          <w:sz w:val="22"/>
          <w:szCs w:val="22"/>
          <w:color w:val="auto"/>
        </w:rPr>
        <w:t>. Notwithstanding any inference or prior course of conduct to the contrary and except as provided below, in no event shall TEN or any of its Subsidiaries acquire or have any right to use or any other right, title or interest in or to the Loading Arms Marks, or anything confusingly similar thereto, all rights to which, and the goodwill represented thereby, shall be retained by TFMC.</w:t>
      </w:r>
    </w:p>
    <w:p>
      <w:pPr>
        <w:spacing w:after="0" w:line="212" w:lineRule="exact"/>
        <w:rPr>
          <w:sz w:val="20"/>
          <w:szCs w:val="20"/>
          <w:color w:val="auto"/>
        </w:rPr>
      </w:pPr>
    </w:p>
    <w:p>
      <w:pPr>
        <w:ind w:firstLine="648"/>
        <w:spacing w:after="0" w:line="270"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Transitional Use</w:t>
      </w:r>
      <w:r>
        <w:rPr>
          <w:rFonts w:ascii="Arial" w:cs="Arial" w:eastAsia="Arial" w:hAnsi="Arial"/>
          <w:sz w:val="19"/>
          <w:szCs w:val="19"/>
          <w:color w:val="auto"/>
        </w:rPr>
        <w:t xml:space="preserve">. Following the Effective Date, TEN shall use commercially reasonable efforts to cease all use of the Loading Arms Marks. Subject to the terms and conditions of this Agreement, TFMC hereby grants to TEN a non-exclusive, limited, royalty-free, fully paid-up, transferable (as set forth in </w:t>
      </w:r>
      <w:r>
        <w:rPr>
          <w:rFonts w:ascii="Arial" w:cs="Arial" w:eastAsia="Arial" w:hAnsi="Arial"/>
          <w:sz w:val="19"/>
          <w:szCs w:val="19"/>
          <w:u w:val="single" w:color="auto"/>
          <w:color w:val="auto"/>
        </w:rPr>
        <w:t>Section 7.12</w:t>
      </w:r>
      <w:r>
        <w:rPr>
          <w:rFonts w:ascii="Arial" w:cs="Arial" w:eastAsia="Arial" w:hAnsi="Arial"/>
          <w:sz w:val="19"/>
          <w:szCs w:val="19"/>
          <w:color w:val="auto"/>
        </w:rPr>
        <w:t>), sublicensable (solely to other members of the TEN Group and any of its or their manufacturers, suppliers, contractors and distributors), worldwide license to: (a) use the Loading Arms Marks in connection with the TEN Group’s marketing or sale of any Loading Arms Products, including the appearance of the Loading Arms Marks on the cast or forged bodies of Loadings Arms Products that are manufactured by or on behalf of the TEN Group using existing tooling that bears such Loading Arms Marks; and (b) permit Tokyo Boeki to use the Loading Arms Marks pursuant to the terms of the Tokyo Boeki License Agreement, in each case of the foregoing clauses (a) and (b), until September 9, 2023, or, with respect to such clause (b), the termination of the Tokyo Boeki License Agreement, if earlier; provided that (x) the use of the Loading Arms Marks by Tokyo Boeki is subject to Tokyo Boeki’s compliance with the terms of the Tokyo Boeki License Agreement (including all quality control provisions therein), which Contract shall be enforced by TEN, and which Contract shall not be amended without TFMC’s prior written consent, (y) the use of the Loading Arms Marks by TEN shall be, in all material respects, in substantially similar form and manner, as such Loading Arms Marks were used in connection with the Loading Arms Products during the one (1) year period prior to the Effective Date, and (z) the Loading Arms Products manufactured by or on behalf of TEN and which are identified with the Loading Arms Marks are, in all material respects, of substantially similar quality as the Loading Arms Products that were manufactured by or on behalf of TFMC and its Affiliates during the one (1) year prior to the Effective Date.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166" w:name="page167"/>
    <w:bookmarkEnd w:id="166"/>
    <w:p>
      <w:pPr>
        <w:ind w:firstLine="648"/>
        <w:spacing w:after="0" w:line="269" w:lineRule="auto"/>
        <w:rPr>
          <w:sz w:val="20"/>
          <w:szCs w:val="20"/>
          <w:color w:val="auto"/>
        </w:rPr>
      </w:pPr>
      <w:r>
        <w:rPr>
          <w:rFonts w:ascii="Arial" w:cs="Arial" w:eastAsia="Arial" w:hAnsi="Arial"/>
          <w:sz w:val="19"/>
          <w:szCs w:val="19"/>
          <w:color w:val="auto"/>
        </w:rPr>
        <w:t xml:space="preserve">4.3 Liability; Loading Arms Indemnity. TEN acknowledges that, except as expressly set forth in </w:t>
      </w:r>
      <w:r>
        <w:rPr>
          <w:rFonts w:ascii="Arial" w:cs="Arial" w:eastAsia="Arial" w:hAnsi="Arial"/>
          <w:sz w:val="19"/>
          <w:szCs w:val="19"/>
          <w:u w:val="single" w:color="auto"/>
          <w:color w:val="auto"/>
        </w:rPr>
        <w:t>Section 4.2</w:t>
      </w:r>
      <w:r>
        <w:rPr>
          <w:rFonts w:ascii="Arial" w:cs="Arial" w:eastAsia="Arial" w:hAnsi="Arial"/>
          <w:sz w:val="19"/>
          <w:szCs w:val="19"/>
          <w:color w:val="auto"/>
        </w:rPr>
        <w:t>, nothing in this Agreement shall give TEN any right, title or interest in the Loading Arms Marks and that any use by TEN, its Affiliates or Tokyo Boeki of the Loading Arms Marks following the Effective Date is at TEN’s risk, without representation or warranty of any kind. Except as otherwise specifically set forth in this Agreement, to the fullest extent permitted by Law, TEN shall, and shall cause the other members of the TEN Group to, indemnify, defend and hold harmless TFMC, each member of the TFMC Group and each of their respective past, present and future directors, officers, employees and agents, in each case in their respective capacities as such, and each of the heirs, executors, successors and assigns of any of the foregoing (collectively, the “TFMC Indemnitees”) from and against any and all Liabilities resulting from a demand, claim, lawsuit, or action asserted by any third Person against any of the TFMC Indemnitees to the extent such Liabilities arise out of or are in connection with (a) the manufacture, distribution, and/or sale of the Loading Arms Products under the Loading Arms Marks by or on behalf of TEN or Tokyo Boeki, and their contract manufacturers and distributors, or (b) the use of the Loading Arms Marks by TEN, Tokyo Boeki, or their manufacturers and distributors, in each case of the foregoing clauses (a) and (b), after the Effective Time.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TERM AND TERMINATION</w:t>
      </w:r>
    </w:p>
    <w:p>
      <w:pPr>
        <w:spacing w:after="0" w:line="23" w:lineRule="exact"/>
        <w:rPr>
          <w:sz w:val="20"/>
          <w:szCs w:val="20"/>
          <w:color w:val="auto"/>
        </w:rPr>
      </w:pPr>
    </w:p>
    <w:p>
      <w:pPr>
        <w:ind w:right="600" w:firstLine="648"/>
        <w:spacing w:after="0" w:line="237"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Term</w:t>
      </w:r>
      <w:r>
        <w:rPr>
          <w:rFonts w:ascii="Arial" w:cs="Arial" w:eastAsia="Arial" w:hAnsi="Arial"/>
          <w:sz w:val="22"/>
          <w:szCs w:val="22"/>
          <w:color w:val="auto"/>
        </w:rPr>
        <w:t>. The term of this Agreement (the “</w:t>
      </w:r>
      <w:r>
        <w:rPr>
          <w:rFonts w:ascii="Arial" w:cs="Arial" w:eastAsia="Arial" w:hAnsi="Arial"/>
          <w:sz w:val="22"/>
          <w:szCs w:val="22"/>
          <w:u w:val="single" w:color="auto"/>
          <w:color w:val="auto"/>
        </w:rPr>
        <w:t>Term</w:t>
      </w:r>
      <w:r>
        <w:rPr>
          <w:rFonts w:ascii="Arial" w:cs="Arial" w:eastAsia="Arial" w:hAnsi="Arial"/>
          <w:sz w:val="22"/>
          <w:szCs w:val="22"/>
          <w:color w:val="auto"/>
        </w:rPr>
        <w:t xml:space="preserve">”) shall commence on the Effective Date and remain in effect perpetually and irrevocably, except to the extent set forth in </w:t>
      </w:r>
      <w:r>
        <w:rPr>
          <w:rFonts w:ascii="Arial" w:cs="Arial" w:eastAsia="Arial" w:hAnsi="Arial"/>
          <w:sz w:val="22"/>
          <w:szCs w:val="22"/>
          <w:u w:val="single" w:color="auto"/>
          <w:color w:val="auto"/>
        </w:rPr>
        <w:t>Section 5.2</w:t>
      </w:r>
      <w:r>
        <w:rPr>
          <w:rFonts w:ascii="Arial" w:cs="Arial" w:eastAsia="Arial" w:hAnsi="Arial"/>
          <w:sz w:val="22"/>
          <w:szCs w:val="22"/>
          <w:color w:val="auto"/>
        </w:rPr>
        <w:t xml:space="preserve"> below, or by an agreement in writing signed by the TFMC and TEN.</w:t>
      </w:r>
    </w:p>
    <w:p>
      <w:pPr>
        <w:spacing w:after="0" w:line="21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u w:val="single" w:color="auto"/>
          <w:color w:val="auto"/>
        </w:rPr>
        <w:t>Termination</w:t>
      </w:r>
      <w:r>
        <w:rPr>
          <w:rFonts w:ascii="Arial" w:cs="Arial" w:eastAsia="Arial" w:hAnsi="Arial"/>
          <w:sz w:val="19"/>
          <w:szCs w:val="19"/>
          <w:color w:val="auto"/>
        </w:rPr>
        <w:t>.</w:t>
      </w:r>
    </w:p>
    <w:p>
      <w:pPr>
        <w:spacing w:after="0" w:line="233" w:lineRule="exact"/>
        <w:rPr>
          <w:sz w:val="20"/>
          <w:szCs w:val="20"/>
          <w:color w:val="auto"/>
        </w:rPr>
      </w:pPr>
    </w:p>
    <w:p>
      <w:pPr>
        <w:ind w:right="340" w:firstLine="656"/>
        <w:spacing w:after="0"/>
        <w:tabs>
          <w:tab w:leader="none" w:pos="1536"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Effect of Separation Agreement Termination</w:t>
      </w:r>
      <w:r>
        <w:rPr>
          <w:rFonts w:ascii="Arial" w:cs="Arial" w:eastAsia="Arial" w:hAnsi="Arial"/>
          <w:sz w:val="22"/>
          <w:szCs w:val="22"/>
          <w:color w:val="auto"/>
        </w:rPr>
        <w:t>. In the event the Separation Agreement is terminated, this Agreement shall automatically become null and void and no Party, nor any Party’s directors, officers or employees, shall have any Liability of any kind to any Person by reason of this Agreement.</w:t>
      </w:r>
    </w:p>
    <w:p>
      <w:pPr>
        <w:spacing w:after="0" w:line="213" w:lineRule="exact"/>
        <w:rPr>
          <w:rFonts w:ascii="Arial" w:cs="Arial" w:eastAsia="Arial" w:hAnsi="Arial"/>
          <w:sz w:val="22"/>
          <w:szCs w:val="22"/>
          <w:color w:val="auto"/>
        </w:rPr>
      </w:pPr>
    </w:p>
    <w:p>
      <w:pPr>
        <w:ind w:left="1560" w:hanging="904"/>
        <w:spacing w:after="0"/>
        <w:tabs>
          <w:tab w:leader="none" w:pos="1560"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Termination on Sale to Competitor</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660" w:right="100" w:firstLine="644"/>
        <w:spacing w:after="0" w:line="269" w:lineRule="auto"/>
        <w:tabs>
          <w:tab w:leader="none" w:pos="2160" w:val="left"/>
        </w:tabs>
        <w:numPr>
          <w:ilvl w:val="1"/>
          <w:numId w:val="96"/>
        </w:numPr>
        <w:rPr>
          <w:rFonts w:ascii="Arial" w:cs="Arial" w:eastAsia="Arial" w:hAnsi="Arial"/>
          <w:sz w:val="19"/>
          <w:szCs w:val="19"/>
          <w:color w:val="auto"/>
        </w:rPr>
      </w:pPr>
      <w:r>
        <w:rPr>
          <w:rFonts w:ascii="Arial" w:cs="Arial" w:eastAsia="Arial" w:hAnsi="Arial"/>
          <w:sz w:val="19"/>
          <w:szCs w:val="19"/>
          <w:u w:val="single" w:color="auto"/>
          <w:color w:val="auto"/>
        </w:rPr>
        <w:t>TEN</w:t>
      </w:r>
      <w:r>
        <w:rPr>
          <w:rFonts w:ascii="Arial" w:cs="Arial" w:eastAsia="Arial" w:hAnsi="Arial"/>
          <w:sz w:val="19"/>
          <w:szCs w:val="19"/>
          <w:color w:val="auto"/>
        </w:rPr>
        <w:t xml:space="preserve">. If TEN is acquired by (whether by sale of assets, sale of stock, or otherwise) or merged with or into a Competitor of TFMC, TFMC may require TEN, upon written notice, to cease all use of any Technip-Formative Marks within twelve (12) months after the date of completion of such transaction, and TEN shall not thereafter use or adopt any Technip-Formative Marks. TFMC may also require in such notice that TEN shall either (i) expressly abandon any pending applications for the registration of any Technip-Formative Marks, (ii) surrender for cancellation any registrations of any Technip-Formative Marks, or (iii) at TFMC’s option, assign any Technip-Formative Marks and the applicable applications or registrations to TFMC. Subject to the survival of the foregoing covenant, this Agreement will terminate with immediate effect. Upon any such termination, the following provisions will survive: </w:t>
      </w:r>
      <w:r>
        <w:rPr>
          <w:rFonts w:ascii="Arial" w:cs="Arial" w:eastAsia="Arial" w:hAnsi="Arial"/>
          <w:sz w:val="19"/>
          <w:szCs w:val="19"/>
          <w:u w:val="single" w:color="auto"/>
          <w:color w:val="auto"/>
        </w:rPr>
        <w:t>Sections 1.1(a)</w:t>
      </w:r>
      <w:r>
        <w:rPr>
          <w:rFonts w:ascii="Arial" w:cs="Arial" w:eastAsia="Arial" w:hAnsi="Arial"/>
          <w:sz w:val="19"/>
          <w:szCs w:val="19"/>
          <w:color w:val="auto"/>
        </w:rPr>
        <w:t xml:space="preserve">, </w:t>
      </w:r>
      <w:r>
        <w:rPr>
          <w:rFonts w:ascii="Arial" w:cs="Arial" w:eastAsia="Arial" w:hAnsi="Arial"/>
          <w:sz w:val="19"/>
          <w:szCs w:val="19"/>
          <w:u w:val="single" w:color="auto"/>
          <w:color w:val="auto"/>
        </w:rPr>
        <w:t>1.2,</w:t>
      </w:r>
    </w:p>
    <w:p>
      <w:pPr>
        <w:spacing w:after="0" w:line="2" w:lineRule="exact"/>
        <w:rPr>
          <w:rFonts w:ascii="Arial" w:cs="Arial" w:eastAsia="Arial" w:hAnsi="Arial"/>
          <w:sz w:val="19"/>
          <w:szCs w:val="19"/>
          <w:color w:val="auto"/>
        </w:rPr>
      </w:pPr>
    </w:p>
    <w:p>
      <w:pPr>
        <w:ind w:left="660" w:right="540"/>
        <w:spacing w:after="0" w:line="236" w:lineRule="auto"/>
        <w:rPr>
          <w:rFonts w:ascii="Arial" w:cs="Arial" w:eastAsia="Arial" w:hAnsi="Arial"/>
          <w:sz w:val="19"/>
          <w:szCs w:val="19"/>
          <w:color w:val="auto"/>
        </w:rPr>
      </w:pPr>
      <w:r>
        <w:rPr>
          <w:rFonts w:ascii="Arial" w:cs="Arial" w:eastAsia="Arial" w:hAnsi="Arial"/>
          <w:sz w:val="22"/>
          <w:szCs w:val="22"/>
          <w:u w:val="single" w:color="auto"/>
          <w:color w:val="auto"/>
        </w:rPr>
        <w:t>(a)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5.2(b)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Articles IV</w:t>
      </w:r>
      <w:r>
        <w:rPr>
          <w:rFonts w:ascii="Arial" w:cs="Arial" w:eastAsia="Arial" w:hAnsi="Arial"/>
          <w:sz w:val="22"/>
          <w:szCs w:val="22"/>
          <w:color w:val="auto"/>
        </w:rPr>
        <w:t xml:space="preserve">, </w:t>
      </w:r>
      <w:r>
        <w:rPr>
          <w:rFonts w:ascii="Arial" w:cs="Arial" w:eastAsia="Arial" w:hAnsi="Arial"/>
          <w:sz w:val="22"/>
          <w:szCs w:val="22"/>
          <w:u w:val="single" w:color="auto"/>
          <w:color w:val="auto"/>
        </w:rPr>
        <w:t>VI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VII</w:t>
      </w:r>
      <w:r>
        <w:rPr>
          <w:rFonts w:ascii="Arial" w:cs="Arial" w:eastAsia="Arial" w:hAnsi="Arial"/>
          <w:sz w:val="22"/>
          <w:szCs w:val="22"/>
          <w:color w:val="auto"/>
        </w:rPr>
        <w:t>. For purposes of the surviving provisions, any such Technip-Formative Marks assigned to TFMC shall be deemed to be TFMC Marks.</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7" w:name="page168"/>
    <w:bookmarkEnd w:id="167"/>
    <w:p>
      <w:pPr>
        <w:ind w:left="660" w:right="60" w:firstLine="644"/>
        <w:spacing w:after="0" w:line="269" w:lineRule="auto"/>
        <w:tabs>
          <w:tab w:leader="none" w:pos="2220"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TFMC</w:t>
      </w:r>
      <w:r>
        <w:rPr>
          <w:rFonts w:ascii="Arial" w:cs="Arial" w:eastAsia="Arial" w:hAnsi="Arial"/>
          <w:sz w:val="19"/>
          <w:szCs w:val="19"/>
          <w:color w:val="auto"/>
        </w:rPr>
        <w:t xml:space="preserve">. If TFMC is acquired by (whether by sale of assets, sale of stock, or otherwise) or merged with or into a Competitor of TEN, TEN may require TFMC, upon written notice, to cease all use of any Technip-Formative Marks within twelve (12) months after the date of completion of such transaction, and TFMC shall not thereafter use or adopt any Technip-Formative Marks. TEN may also require in such notice that TFMC shall either (i) expressly abandon any pending applications for the registration of any Technip-Formative Marks, (ii) surrender for cancellation any registrations of any Technip-Formative Marks, or (iii) at TEN’s option, assign any Technip-Formative Marks and the applicable applications or registrations to TEN. Subject to the survival of the foregoing covenant, this Agreement will terminate with immediate effect. Upon any such termination, the following provisions will survive: </w:t>
      </w:r>
      <w:r>
        <w:rPr>
          <w:rFonts w:ascii="Arial" w:cs="Arial" w:eastAsia="Arial" w:hAnsi="Arial"/>
          <w:sz w:val="19"/>
          <w:szCs w:val="19"/>
          <w:u w:val="single" w:color="auto"/>
          <w:color w:val="auto"/>
        </w:rPr>
        <w:t>Sections 1.1(b)</w:t>
      </w:r>
      <w:r>
        <w:rPr>
          <w:rFonts w:ascii="Arial" w:cs="Arial" w:eastAsia="Arial" w:hAnsi="Arial"/>
          <w:sz w:val="19"/>
          <w:szCs w:val="19"/>
          <w:color w:val="auto"/>
        </w:rPr>
        <w:t xml:space="preserve">, </w:t>
      </w:r>
      <w:r>
        <w:rPr>
          <w:rFonts w:ascii="Arial" w:cs="Arial" w:eastAsia="Arial" w:hAnsi="Arial"/>
          <w:sz w:val="19"/>
          <w:szCs w:val="19"/>
          <w:u w:val="single" w:color="auto"/>
          <w:color w:val="auto"/>
        </w:rPr>
        <w:t>1.2,</w:t>
      </w:r>
    </w:p>
    <w:p>
      <w:pPr>
        <w:spacing w:after="0" w:line="3" w:lineRule="exact"/>
        <w:rPr>
          <w:rFonts w:ascii="Arial" w:cs="Arial" w:eastAsia="Arial" w:hAnsi="Arial"/>
          <w:sz w:val="19"/>
          <w:szCs w:val="19"/>
          <w:color w:val="auto"/>
        </w:rPr>
      </w:pPr>
    </w:p>
    <w:p>
      <w:pPr>
        <w:ind w:left="660" w:right="460"/>
        <w:spacing w:after="0" w:line="236" w:lineRule="auto"/>
        <w:rPr>
          <w:rFonts w:ascii="Arial" w:cs="Arial" w:eastAsia="Arial" w:hAnsi="Arial"/>
          <w:sz w:val="19"/>
          <w:szCs w:val="19"/>
          <w:color w:val="auto"/>
        </w:rPr>
      </w:pPr>
      <w:r>
        <w:rPr>
          <w:rFonts w:ascii="Arial" w:cs="Arial" w:eastAsia="Arial" w:hAnsi="Arial"/>
          <w:sz w:val="22"/>
          <w:szCs w:val="22"/>
          <w:u w:val="single" w:color="auto"/>
          <w:color w:val="auto"/>
        </w:rPr>
        <w:t>(b)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5.2(b)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Articles IV</w:t>
      </w:r>
      <w:r>
        <w:rPr>
          <w:rFonts w:ascii="Arial" w:cs="Arial" w:eastAsia="Arial" w:hAnsi="Arial"/>
          <w:sz w:val="22"/>
          <w:szCs w:val="22"/>
          <w:color w:val="auto"/>
        </w:rPr>
        <w:t xml:space="preserve">, </w:t>
      </w:r>
      <w:r>
        <w:rPr>
          <w:rFonts w:ascii="Arial" w:cs="Arial" w:eastAsia="Arial" w:hAnsi="Arial"/>
          <w:sz w:val="22"/>
          <w:szCs w:val="22"/>
          <w:u w:val="single" w:color="auto"/>
          <w:color w:val="auto"/>
        </w:rPr>
        <w:t>VI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VII</w:t>
      </w:r>
      <w:r>
        <w:rPr>
          <w:rFonts w:ascii="Arial" w:cs="Arial" w:eastAsia="Arial" w:hAnsi="Arial"/>
          <w:sz w:val="22"/>
          <w:szCs w:val="22"/>
          <w:color w:val="auto"/>
        </w:rPr>
        <w:t>. For purposes of the surviving provisions, any such Technip-Formative Marks assigned to TEN shall be deemed to be TEN Marks.</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DISPUTE RESOLUTION</w:t>
      </w:r>
    </w:p>
    <w:p>
      <w:pPr>
        <w:spacing w:after="0" w:line="258" w:lineRule="exact"/>
        <w:rPr>
          <w:sz w:val="20"/>
          <w:szCs w:val="20"/>
          <w:color w:val="auto"/>
        </w:rPr>
      </w:pPr>
    </w:p>
    <w:p>
      <w:pPr>
        <w:jc w:val="both"/>
        <w:ind w:right="40" w:firstLine="648"/>
        <w:spacing w:after="0"/>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u w:val="single" w:color="auto"/>
          <w:color w:val="auto"/>
        </w:rPr>
        <w:t>Dispute Resolution</w:t>
      </w:r>
      <w:r>
        <w:rPr>
          <w:rFonts w:ascii="Arial" w:cs="Arial" w:eastAsia="Arial" w:hAnsi="Arial"/>
          <w:sz w:val="22"/>
          <w:szCs w:val="22"/>
          <w:color w:val="auto"/>
        </w:rPr>
        <w:t xml:space="preserve">. Any and all disputes, controversies and claims arising hereunder, including with respect to the validity, interpretation, performance, breach or termination of this Agreement shall be resolved through the procedures provided in </w:t>
      </w:r>
      <w:r>
        <w:rPr>
          <w:rFonts w:ascii="Arial" w:cs="Arial" w:eastAsia="Arial" w:hAnsi="Arial"/>
          <w:sz w:val="22"/>
          <w:szCs w:val="22"/>
          <w:u w:val="single" w:color="auto"/>
          <w:color w:val="auto"/>
        </w:rPr>
        <w:t>Article VI</w:t>
      </w:r>
      <w:r>
        <w:rPr>
          <w:rFonts w:ascii="Arial" w:cs="Arial" w:eastAsia="Arial" w:hAnsi="Arial"/>
          <w:sz w:val="22"/>
          <w:szCs w:val="22"/>
          <w:color w:val="auto"/>
        </w:rPr>
        <w:t xml:space="preserve"> of the Separation Agreement.</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MISCELLANEOUS</w:t>
      </w:r>
    </w:p>
    <w:p>
      <w:pPr>
        <w:spacing w:after="0" w:line="258"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u w:val="single" w:color="auto"/>
          <w:color w:val="auto"/>
        </w:rPr>
        <w:t>Corporate Power</w:t>
      </w:r>
      <w:r>
        <w:rPr>
          <w:rFonts w:ascii="Arial" w:cs="Arial" w:eastAsia="Arial" w:hAnsi="Arial"/>
          <w:sz w:val="19"/>
          <w:szCs w:val="19"/>
          <w:color w:val="auto"/>
        </w:rPr>
        <w:t>.</w:t>
      </w:r>
    </w:p>
    <w:p>
      <w:pPr>
        <w:spacing w:after="0" w:line="233" w:lineRule="exact"/>
        <w:rPr>
          <w:sz w:val="20"/>
          <w:szCs w:val="20"/>
          <w:color w:val="auto"/>
        </w:rPr>
      </w:pPr>
    </w:p>
    <w:p>
      <w:pPr>
        <w:ind w:right="160" w:firstLine="656"/>
        <w:spacing w:after="0" w:line="250" w:lineRule="auto"/>
        <w:tabs>
          <w:tab w:leader="none" w:pos="1536" w:val="left"/>
        </w:tabs>
        <w:numPr>
          <w:ilvl w:val="0"/>
          <w:numId w:val="98"/>
        </w:numPr>
        <w:rPr>
          <w:rFonts w:ascii="Arial" w:cs="Arial" w:eastAsia="Arial" w:hAnsi="Arial"/>
          <w:sz w:val="22"/>
          <w:szCs w:val="22"/>
          <w:color w:val="auto"/>
        </w:rPr>
      </w:pPr>
      <w:r>
        <w:rPr>
          <w:rFonts w:ascii="Arial" w:cs="Arial" w:eastAsia="Arial" w:hAnsi="Arial"/>
          <w:sz w:val="22"/>
          <w:szCs w:val="22"/>
          <w:color w:val="auto"/>
        </w:rPr>
        <w:t>TFMC represents on behalf of itself and each other member of the TFMC Companies, and TEN represents on behalf of itself and each other member of the TEN Companies, as follows:</w:t>
      </w:r>
    </w:p>
    <w:p>
      <w:pPr>
        <w:spacing w:after="0" w:line="201" w:lineRule="exact"/>
        <w:rPr>
          <w:rFonts w:ascii="Arial" w:cs="Arial" w:eastAsia="Arial" w:hAnsi="Arial"/>
          <w:sz w:val="22"/>
          <w:szCs w:val="22"/>
          <w:color w:val="auto"/>
        </w:rPr>
      </w:pPr>
    </w:p>
    <w:p>
      <w:pPr>
        <w:ind w:left="660" w:right="100" w:firstLine="644"/>
        <w:spacing w:after="0"/>
        <w:tabs>
          <w:tab w:leader="none" w:pos="2160" w:val="left"/>
        </w:tabs>
        <w:numPr>
          <w:ilvl w:val="1"/>
          <w:numId w:val="98"/>
        </w:numPr>
        <w:rPr>
          <w:rFonts w:ascii="Arial" w:cs="Arial" w:eastAsia="Arial" w:hAnsi="Arial"/>
          <w:sz w:val="22"/>
          <w:szCs w:val="22"/>
          <w:color w:val="auto"/>
        </w:rPr>
      </w:pPr>
      <w:r>
        <w:rPr>
          <w:rFonts w:ascii="Arial" w:cs="Arial" w:eastAsia="Arial" w:hAnsi="Arial"/>
          <w:sz w:val="22"/>
          <w:szCs w:val="22"/>
          <w:color w:val="auto"/>
        </w:rPr>
        <w:t>each such Person has the requisite corporate or other power and authority and has taken all corporate or other action necessary in order to execute, deliver and perform this Agreement and to consummate the transactions contemplated hereby; and</w:t>
      </w:r>
    </w:p>
    <w:p>
      <w:pPr>
        <w:spacing w:after="0" w:line="213" w:lineRule="exact"/>
        <w:rPr>
          <w:rFonts w:ascii="Arial" w:cs="Arial" w:eastAsia="Arial" w:hAnsi="Arial"/>
          <w:sz w:val="22"/>
          <w:szCs w:val="22"/>
          <w:color w:val="auto"/>
        </w:rPr>
      </w:pPr>
    </w:p>
    <w:p>
      <w:pPr>
        <w:ind w:left="660" w:right="860" w:firstLine="644"/>
        <w:spacing w:after="0" w:line="250" w:lineRule="auto"/>
        <w:tabs>
          <w:tab w:leader="none" w:pos="2220" w:val="left"/>
        </w:tabs>
        <w:numPr>
          <w:ilvl w:val="1"/>
          <w:numId w:val="98"/>
        </w:numPr>
        <w:rPr>
          <w:rFonts w:ascii="Arial" w:cs="Arial" w:eastAsia="Arial" w:hAnsi="Arial"/>
          <w:sz w:val="22"/>
          <w:szCs w:val="22"/>
          <w:color w:val="auto"/>
        </w:rPr>
      </w:pPr>
      <w:r>
        <w:rPr>
          <w:rFonts w:ascii="Arial" w:cs="Arial" w:eastAsia="Arial" w:hAnsi="Arial"/>
          <w:sz w:val="22"/>
          <w:szCs w:val="22"/>
          <w:color w:val="auto"/>
        </w:rPr>
        <w:t>this Agreement has been duly executed and delivered by it and constitutes a valid and binding agreement of it enforceable in accordance with the terms hereof.</w:t>
      </w:r>
    </w:p>
    <w:p>
      <w:pPr>
        <w:spacing w:after="0" w:line="201" w:lineRule="exact"/>
        <w:rPr>
          <w:rFonts w:ascii="Arial" w:cs="Arial" w:eastAsia="Arial" w:hAnsi="Arial"/>
          <w:sz w:val="22"/>
          <w:szCs w:val="22"/>
          <w:color w:val="auto"/>
        </w:rPr>
      </w:pPr>
    </w:p>
    <w:p>
      <w:pPr>
        <w:ind w:firstLine="656"/>
        <w:spacing w:after="0" w:line="235" w:lineRule="auto"/>
        <w:tabs>
          <w:tab w:leader="none" w:pos="1548" w:val="left"/>
        </w:tabs>
        <w:numPr>
          <w:ilvl w:val="0"/>
          <w:numId w:val="98"/>
        </w:numPr>
        <w:rPr>
          <w:rFonts w:ascii="Arial" w:cs="Arial" w:eastAsia="Arial" w:hAnsi="Arial"/>
          <w:sz w:val="22"/>
          <w:szCs w:val="22"/>
          <w:color w:val="auto"/>
        </w:rPr>
      </w:pPr>
      <w:r>
        <w:rPr>
          <w:rFonts w:ascii="Arial" w:cs="Arial" w:eastAsia="Arial" w:hAnsi="Arial"/>
          <w:sz w:val="22"/>
          <w:szCs w:val="22"/>
          <w:color w:val="auto"/>
        </w:rPr>
        <w:t>Each Party acknowledges that it and each other Party may execute this Agreement by facsimile, stamp or mechanical signature. Each Party expressly adopts and confirms each such facsimile, stamp or mechanical signature made in its respective name as if it were a manual signature, agrees that it shall not assert that any such signature is not adequate to bind such Party to the same extent as if it were signed manually and agrees that at the reasonable request of any other Party at any time it shall as promptly as reasonably practicable cause this Agreement to be manually executed (any such execution to be as of the date of the initial date thereof).</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68" w:name="page169"/>
    <w:bookmarkEnd w:id="168"/>
    <w:p>
      <w:pPr>
        <w:ind w:firstLine="648"/>
        <w:spacing w:after="0" w:line="248" w:lineRule="auto"/>
        <w:rPr>
          <w:sz w:val="20"/>
          <w:szCs w:val="20"/>
          <w:color w:val="auto"/>
        </w:rPr>
      </w:pPr>
      <w:r>
        <w:rPr>
          <w:rFonts w:ascii="Arial" w:cs="Arial" w:eastAsia="Arial" w:hAnsi="Arial"/>
          <w:sz w:val="21"/>
          <w:szCs w:val="21"/>
          <w:color w:val="auto"/>
        </w:rPr>
        <w:t xml:space="preserve">7.2 </w:t>
      </w:r>
      <w:r>
        <w:rPr>
          <w:rFonts w:ascii="Arial" w:cs="Arial" w:eastAsia="Arial" w:hAnsi="Arial"/>
          <w:sz w:val="21"/>
          <w:szCs w:val="21"/>
          <w:u w:val="single" w:color="auto"/>
          <w:color w:val="auto"/>
        </w:rPr>
        <w:t>Modification or Amendments</w:t>
      </w:r>
      <w:r>
        <w:rPr>
          <w:rFonts w:ascii="Arial" w:cs="Arial" w:eastAsia="Arial" w:hAnsi="Arial"/>
          <w:sz w:val="21"/>
          <w:szCs w:val="21"/>
          <w:color w:val="auto"/>
        </w:rPr>
        <w:t>. Subject to the provisions of applicable Law, and except as otherwise provided in this Agreement, this Agreement may be amended, modified or supplemented only by written instrument signed by the authorized representative of the Party against whom it sought to enforce such waiver, amendment, supplement or modification is sought to be enforced; provided, at any time prior to the Effective Time, the terms and conditions of this Agreement, including terms relating to the Transactions, may be amended, modified or abandoned by and in the sole and absolute discretion of the TFMC Board without the approval of any Person, including TFMC or TEN.</w:t>
      </w:r>
    </w:p>
    <w:p>
      <w:pPr>
        <w:spacing w:after="0" w:line="204" w:lineRule="exact"/>
        <w:rPr>
          <w:sz w:val="20"/>
          <w:szCs w:val="20"/>
          <w:color w:val="auto"/>
        </w:rPr>
      </w:pPr>
    </w:p>
    <w:p>
      <w:pPr>
        <w:ind w:right="240" w:firstLine="648"/>
        <w:spacing w:after="0" w:line="236" w:lineRule="auto"/>
        <w:rPr>
          <w:sz w:val="20"/>
          <w:szCs w:val="20"/>
          <w:color w:val="auto"/>
        </w:rPr>
      </w:pPr>
      <w:r>
        <w:rPr>
          <w:rFonts w:ascii="Arial" w:cs="Arial" w:eastAsia="Arial" w:hAnsi="Arial"/>
          <w:sz w:val="22"/>
          <w:szCs w:val="22"/>
          <w:color w:val="auto"/>
        </w:rPr>
        <w:t xml:space="preserve">7.3 </w:t>
      </w:r>
      <w:r>
        <w:rPr>
          <w:rFonts w:ascii="Arial" w:cs="Arial" w:eastAsia="Arial" w:hAnsi="Arial"/>
          <w:sz w:val="22"/>
          <w:szCs w:val="22"/>
          <w:u w:val="single" w:color="auto"/>
          <w:color w:val="auto"/>
        </w:rPr>
        <w:t>Waivers of Default</w:t>
      </w:r>
      <w:r>
        <w:rPr>
          <w:rFonts w:ascii="Arial" w:cs="Arial" w:eastAsia="Arial" w:hAnsi="Arial"/>
          <w:sz w:val="22"/>
          <w:szCs w:val="22"/>
          <w:color w:val="auto"/>
        </w:rPr>
        <w:t>. Waiver by a Party of any default by the other Party of any provision of this Agreement shall not be deemed a waiver by the waiving Party of any subsequent or other default, nor shall it prejudice the rights of the other Party. No failure or delay by a Party in exercising any right, power or privilege under this Agreement shall operate as a waiver thereof nor shall a single or partial exercise thereof prejudice any other or further exercise thereof or the exercise of any other right, power or privilege.</w:t>
      </w:r>
    </w:p>
    <w:p>
      <w:pPr>
        <w:spacing w:after="0" w:line="214" w:lineRule="exact"/>
        <w:rPr>
          <w:sz w:val="20"/>
          <w:szCs w:val="20"/>
          <w:color w:val="auto"/>
        </w:rPr>
      </w:pPr>
    </w:p>
    <w:p>
      <w:pPr>
        <w:ind w:right="100" w:firstLine="648"/>
        <w:spacing w:after="0" w:line="287" w:lineRule="auto"/>
        <w:rPr>
          <w:sz w:val="20"/>
          <w:szCs w:val="20"/>
          <w:color w:val="auto"/>
        </w:rPr>
      </w:pPr>
      <w:r>
        <w:rPr>
          <w:rFonts w:ascii="Arial" w:cs="Arial" w:eastAsia="Arial" w:hAnsi="Arial"/>
          <w:sz w:val="19"/>
          <w:szCs w:val="19"/>
          <w:color w:val="auto"/>
        </w:rPr>
        <w:t xml:space="preserve">7.4 </w:t>
      </w: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one or more counterparts, and by the different Parties hereto in separate counterparts, each of which when executed shall be deemed to be an original but all of which taken together shall constitute one and the same agreement. The exchange of a fully executed Agreement (in counterparts or otherwise) by facsimile or by electronic delivery in .pdf format shall be sufficient to bind the Parties to the terms and conditions of this Agreement.</w:t>
      </w:r>
    </w:p>
    <w:p>
      <w:pPr>
        <w:spacing w:after="0" w:line="170" w:lineRule="exact"/>
        <w:rPr>
          <w:sz w:val="20"/>
          <w:szCs w:val="20"/>
          <w:color w:val="auto"/>
        </w:rPr>
      </w:pPr>
    </w:p>
    <w:p>
      <w:pPr>
        <w:ind w:right="280" w:firstLine="648"/>
        <w:spacing w:after="0" w:line="282" w:lineRule="auto"/>
        <w:rPr>
          <w:sz w:val="20"/>
          <w:szCs w:val="20"/>
          <w:color w:val="auto"/>
        </w:rPr>
      </w:pPr>
      <w:r>
        <w:rPr>
          <w:rFonts w:ascii="Arial" w:cs="Arial" w:eastAsia="Arial" w:hAnsi="Arial"/>
          <w:sz w:val="19"/>
          <w:szCs w:val="19"/>
          <w:color w:val="auto"/>
        </w:rPr>
        <w:t xml:space="preserve">7.5 </w:t>
      </w: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(and any claims arising out of or related hereto or to the transactions contemplated hereby or to the inducement of any Party to enter herein, whether for breach of contract, tortious conduct or otherwise and whether predicated on common law, statute or otherwise) shall be governed by and construed and interpreted in accordance with the Laws of the State of New York, irrespective of the choice of laws principles of the State of New York, including all matters of validity, construction, effect, enforceability, performance and remedies.</w:t>
      </w:r>
    </w:p>
    <w:p>
      <w:pPr>
        <w:spacing w:after="0" w:line="174" w:lineRule="exact"/>
        <w:rPr>
          <w:sz w:val="20"/>
          <w:szCs w:val="20"/>
          <w:color w:val="auto"/>
        </w:rPr>
      </w:pPr>
    </w:p>
    <w:p>
      <w:pPr>
        <w:ind w:right="160" w:firstLine="648"/>
        <w:spacing w:after="0" w:line="238" w:lineRule="auto"/>
        <w:rPr>
          <w:sz w:val="20"/>
          <w:szCs w:val="20"/>
          <w:color w:val="auto"/>
        </w:rPr>
      </w:pPr>
      <w:r>
        <w:rPr>
          <w:rFonts w:ascii="Arial" w:cs="Arial" w:eastAsia="Arial" w:hAnsi="Arial"/>
          <w:sz w:val="22"/>
          <w:szCs w:val="22"/>
          <w:color w:val="auto"/>
        </w:rPr>
        <w:t xml:space="preserve">7.6 </w:t>
      </w:r>
      <w:r>
        <w:rPr>
          <w:rFonts w:ascii="Arial" w:cs="Arial" w:eastAsia="Arial" w:hAnsi="Arial"/>
          <w:sz w:val="22"/>
          <w:szCs w:val="22"/>
          <w:u w:val="single" w:color="auto"/>
          <w:color w:val="auto"/>
        </w:rPr>
        <w:t>Notices</w:t>
      </w:r>
      <w:r>
        <w:rPr>
          <w:rFonts w:ascii="Arial" w:cs="Arial" w:eastAsia="Arial" w:hAnsi="Arial"/>
          <w:sz w:val="22"/>
          <w:szCs w:val="22"/>
          <w:color w:val="auto"/>
        </w:rPr>
        <w:t>. Any notice, request, instruction or other document to be given hereunder by any party to the others shall be in writing and delivered personally or sent by registered or certified mail, postage prepaid or by prepaid overnight courier (providing written proof of delivery), or by confirmed facsimile transmission or electronic mail (with confirmed receipt), addressed as follows:</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TFMC, to:</w:t>
      </w:r>
    </w:p>
    <w:p>
      <w:pPr>
        <w:ind w:left="2300"/>
        <w:spacing w:after="0" w:line="238" w:lineRule="auto"/>
        <w:rPr>
          <w:sz w:val="20"/>
          <w:szCs w:val="20"/>
          <w:color w:val="auto"/>
        </w:rPr>
      </w:pPr>
      <w:r>
        <w:rPr>
          <w:rFonts w:ascii="Arial" w:cs="Arial" w:eastAsia="Arial" w:hAnsi="Arial"/>
          <w:sz w:val="22"/>
          <w:szCs w:val="22"/>
          <w:color w:val="auto"/>
        </w:rPr>
        <w:t>TechnipFMC plc</w:t>
      </w:r>
    </w:p>
    <w:p>
      <w:pPr>
        <w:ind w:left="2300"/>
        <w:spacing w:after="0" w:line="230" w:lineRule="auto"/>
        <w:rPr>
          <w:sz w:val="20"/>
          <w:szCs w:val="20"/>
          <w:color w:val="auto"/>
        </w:rPr>
      </w:pPr>
      <w:r>
        <w:rPr>
          <w:rFonts w:ascii="Arial" w:cs="Arial" w:eastAsia="Arial" w:hAnsi="Arial"/>
          <w:sz w:val="22"/>
          <w:szCs w:val="22"/>
          <w:color w:val="auto"/>
        </w:rPr>
        <w:t>One St. Paul’s Churchyard,</w:t>
      </w:r>
    </w:p>
    <w:p>
      <w:pPr>
        <w:ind w:left="2300"/>
        <w:spacing w:after="0" w:line="231" w:lineRule="auto"/>
        <w:rPr>
          <w:sz w:val="20"/>
          <w:szCs w:val="20"/>
          <w:color w:val="auto"/>
        </w:rPr>
      </w:pPr>
      <w:r>
        <w:rPr>
          <w:rFonts w:ascii="Arial" w:cs="Arial" w:eastAsia="Arial" w:hAnsi="Arial"/>
          <w:sz w:val="22"/>
          <w:szCs w:val="22"/>
          <w:color w:val="auto"/>
        </w:rPr>
        <w:t>London EC4M 8AP, United Kingdom</w:t>
      </w:r>
    </w:p>
    <w:p>
      <w:pPr>
        <w:ind w:left="2300"/>
        <w:spacing w:after="0" w:line="230" w:lineRule="auto"/>
        <w:rPr>
          <w:sz w:val="20"/>
          <w:szCs w:val="20"/>
          <w:color w:val="auto"/>
        </w:rPr>
      </w:pPr>
      <w:r>
        <w:rPr>
          <w:rFonts w:ascii="Arial" w:cs="Arial" w:eastAsia="Arial" w:hAnsi="Arial"/>
          <w:sz w:val="22"/>
          <w:szCs w:val="22"/>
          <w:color w:val="auto"/>
        </w:rPr>
        <w:t>Attention: Victoria Lazar</w:t>
      </w:r>
    </w:p>
    <w:p>
      <w:pPr>
        <w:spacing w:after="0" w:line="1" w:lineRule="exact"/>
        <w:rPr>
          <w:sz w:val="20"/>
          <w:szCs w:val="20"/>
          <w:color w:val="auto"/>
        </w:rPr>
      </w:pPr>
    </w:p>
    <w:p>
      <w:pPr>
        <w:ind w:left="2300"/>
        <w:spacing w:after="0"/>
        <w:rPr>
          <w:sz w:val="20"/>
          <w:szCs w:val="20"/>
          <w:color w:val="auto"/>
        </w:rPr>
      </w:pPr>
      <w:r>
        <w:rPr>
          <w:rFonts w:ascii="Arial" w:cs="Arial" w:eastAsia="Arial" w:hAnsi="Arial"/>
          <w:sz w:val="22"/>
          <w:szCs w:val="22"/>
          <w:color w:val="auto"/>
        </w:rPr>
        <w:t>Email: victoria.lazar@technipfmc.com</w:t>
      </w: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69" w:name="page170"/>
    <w:bookmarkEnd w:id="169"/>
    <w:p>
      <w:pPr>
        <w:ind w:left="1300"/>
        <w:spacing w:after="0"/>
        <w:rPr>
          <w:sz w:val="20"/>
          <w:szCs w:val="20"/>
          <w:color w:val="auto"/>
        </w:rPr>
      </w:pPr>
      <w:r>
        <w:rPr>
          <w:rFonts w:ascii="Arial" w:cs="Arial" w:eastAsia="Arial" w:hAnsi="Arial"/>
          <w:sz w:val="22"/>
          <w:szCs w:val="22"/>
          <w:color w:val="auto"/>
        </w:rPr>
        <w:t>with a copy (which shall not constitute notice) to:</w:t>
      </w:r>
    </w:p>
    <w:p>
      <w:pPr>
        <w:ind w:left="2300"/>
        <w:spacing w:after="0" w:line="238" w:lineRule="auto"/>
        <w:rPr>
          <w:sz w:val="20"/>
          <w:szCs w:val="20"/>
          <w:color w:val="auto"/>
        </w:rPr>
      </w:pPr>
      <w:r>
        <w:rPr>
          <w:rFonts w:ascii="Arial" w:cs="Arial" w:eastAsia="Arial" w:hAnsi="Arial"/>
          <w:sz w:val="22"/>
          <w:szCs w:val="22"/>
          <w:color w:val="auto"/>
        </w:rPr>
        <w:t>Latham &amp; Watkins LLP</w:t>
      </w:r>
    </w:p>
    <w:p>
      <w:pPr>
        <w:ind w:left="2300"/>
        <w:spacing w:after="0" w:line="231" w:lineRule="auto"/>
        <w:rPr>
          <w:sz w:val="20"/>
          <w:szCs w:val="20"/>
          <w:color w:val="auto"/>
        </w:rPr>
      </w:pPr>
      <w:r>
        <w:rPr>
          <w:rFonts w:ascii="Arial" w:cs="Arial" w:eastAsia="Arial" w:hAnsi="Arial"/>
          <w:sz w:val="22"/>
          <w:szCs w:val="22"/>
          <w:color w:val="auto"/>
        </w:rPr>
        <w:t>330 North Wabash Avenue, Suite 2800</w:t>
      </w:r>
    </w:p>
    <w:p>
      <w:pPr>
        <w:ind w:left="2300"/>
        <w:spacing w:after="0" w:line="230" w:lineRule="auto"/>
        <w:rPr>
          <w:sz w:val="20"/>
          <w:szCs w:val="20"/>
          <w:color w:val="auto"/>
        </w:rPr>
      </w:pPr>
      <w:r>
        <w:rPr>
          <w:rFonts w:ascii="Arial" w:cs="Arial" w:eastAsia="Arial" w:hAnsi="Arial"/>
          <w:sz w:val="22"/>
          <w:szCs w:val="22"/>
          <w:color w:val="auto"/>
        </w:rPr>
        <w:t>Chicago, IL 60611</w:t>
      </w:r>
    </w:p>
    <w:p>
      <w:pPr>
        <w:ind w:left="2300"/>
        <w:spacing w:after="0" w:line="231" w:lineRule="auto"/>
        <w:rPr>
          <w:sz w:val="20"/>
          <w:szCs w:val="20"/>
          <w:color w:val="auto"/>
        </w:rPr>
      </w:pPr>
      <w:r>
        <w:rPr>
          <w:rFonts w:ascii="Arial" w:cs="Arial" w:eastAsia="Arial" w:hAnsi="Arial"/>
          <w:sz w:val="22"/>
          <w:szCs w:val="22"/>
          <w:color w:val="auto"/>
        </w:rPr>
        <w:t>Attention: Ryan Maierson</w:t>
      </w:r>
    </w:p>
    <w:p>
      <w:pPr>
        <w:ind w:left="2300"/>
        <w:spacing w:after="0" w:line="230" w:lineRule="auto"/>
        <w:rPr>
          <w:sz w:val="20"/>
          <w:szCs w:val="20"/>
          <w:color w:val="auto"/>
        </w:rPr>
      </w:pPr>
      <w:r>
        <w:rPr>
          <w:rFonts w:ascii="Arial" w:cs="Arial" w:eastAsia="Arial" w:hAnsi="Arial"/>
          <w:sz w:val="22"/>
          <w:szCs w:val="22"/>
          <w:color w:val="auto"/>
        </w:rPr>
        <w:t>Email: ryan.maierson@lw.com</w:t>
      </w:r>
    </w:p>
    <w:p>
      <w:pPr>
        <w:ind w:left="2300"/>
        <w:spacing w:after="0" w:line="231" w:lineRule="auto"/>
        <w:rPr>
          <w:sz w:val="20"/>
          <w:szCs w:val="20"/>
          <w:color w:val="auto"/>
        </w:rPr>
      </w:pPr>
      <w:r>
        <w:rPr>
          <w:rFonts w:ascii="Arial" w:cs="Arial" w:eastAsia="Arial" w:hAnsi="Arial"/>
          <w:sz w:val="22"/>
          <w:szCs w:val="22"/>
          <w:color w:val="auto"/>
        </w:rPr>
        <w:t>Attention: Christopher R. Drewry</w:t>
      </w:r>
    </w:p>
    <w:p>
      <w:pPr>
        <w:spacing w:after="0" w:line="1" w:lineRule="exact"/>
        <w:rPr>
          <w:sz w:val="20"/>
          <w:szCs w:val="20"/>
          <w:color w:val="auto"/>
        </w:rPr>
      </w:pPr>
    </w:p>
    <w:p>
      <w:pPr>
        <w:ind w:left="2300"/>
        <w:spacing w:after="0"/>
        <w:rPr>
          <w:sz w:val="20"/>
          <w:szCs w:val="20"/>
          <w:color w:val="auto"/>
        </w:rPr>
      </w:pPr>
      <w:r>
        <w:rPr>
          <w:rFonts w:ascii="Arial" w:cs="Arial" w:eastAsia="Arial" w:hAnsi="Arial"/>
          <w:sz w:val="22"/>
          <w:szCs w:val="22"/>
          <w:color w:val="auto"/>
        </w:rPr>
        <w:t>Email: christopher.drewry@lw.com</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TEN, to:</w:t>
      </w:r>
    </w:p>
    <w:p>
      <w:pPr>
        <w:ind w:left="2300"/>
        <w:spacing w:after="0" w:line="238" w:lineRule="auto"/>
        <w:rPr>
          <w:sz w:val="20"/>
          <w:szCs w:val="20"/>
          <w:color w:val="auto"/>
        </w:rPr>
      </w:pPr>
      <w:r>
        <w:rPr>
          <w:rFonts w:ascii="Arial" w:cs="Arial" w:eastAsia="Arial" w:hAnsi="Arial"/>
          <w:sz w:val="22"/>
          <w:szCs w:val="22"/>
          <w:color w:val="auto"/>
        </w:rPr>
        <w:t>Technip Energies N.V.</w:t>
      </w:r>
    </w:p>
    <w:p>
      <w:pPr>
        <w:ind w:left="2300"/>
        <w:spacing w:after="0" w:line="230" w:lineRule="auto"/>
        <w:rPr>
          <w:sz w:val="20"/>
          <w:szCs w:val="20"/>
          <w:color w:val="auto"/>
        </w:rPr>
      </w:pPr>
      <w:r>
        <w:rPr>
          <w:rFonts w:ascii="Arial" w:cs="Arial" w:eastAsia="Arial" w:hAnsi="Arial"/>
          <w:sz w:val="22"/>
          <w:szCs w:val="22"/>
          <w:color w:val="auto"/>
        </w:rPr>
        <w:t>6-8 Allée de l’Arche, Faubourg de l’Arche, ZAC Danton, 92400 Courbevoie, France</w:t>
      </w:r>
    </w:p>
    <w:p>
      <w:pPr>
        <w:ind w:left="2300"/>
        <w:spacing w:after="0" w:line="231" w:lineRule="auto"/>
        <w:rPr>
          <w:sz w:val="20"/>
          <w:szCs w:val="20"/>
          <w:color w:val="auto"/>
        </w:rPr>
      </w:pPr>
      <w:r>
        <w:rPr>
          <w:rFonts w:ascii="Arial" w:cs="Arial" w:eastAsia="Arial" w:hAnsi="Arial"/>
          <w:sz w:val="22"/>
          <w:szCs w:val="22"/>
          <w:color w:val="auto"/>
        </w:rPr>
        <w:t>Attention: Bruno Vibert</w:t>
      </w:r>
    </w:p>
    <w:p>
      <w:pPr>
        <w:ind w:left="2300"/>
        <w:spacing w:after="0" w:line="230" w:lineRule="auto"/>
        <w:rPr>
          <w:sz w:val="20"/>
          <w:szCs w:val="20"/>
          <w:color w:val="auto"/>
        </w:rPr>
      </w:pPr>
      <w:r>
        <w:rPr>
          <w:rFonts w:ascii="Arial" w:cs="Arial" w:eastAsia="Arial" w:hAnsi="Arial"/>
          <w:sz w:val="22"/>
          <w:szCs w:val="22"/>
          <w:color w:val="auto"/>
        </w:rPr>
        <w:t>Email: bruno.vibert@technipfmc.com</w:t>
      </w:r>
    </w:p>
    <w:p>
      <w:pPr>
        <w:ind w:left="2300"/>
        <w:spacing w:after="0" w:line="231" w:lineRule="auto"/>
        <w:rPr>
          <w:sz w:val="20"/>
          <w:szCs w:val="20"/>
          <w:color w:val="auto"/>
        </w:rPr>
      </w:pPr>
      <w:r>
        <w:rPr>
          <w:rFonts w:ascii="Arial" w:cs="Arial" w:eastAsia="Arial" w:hAnsi="Arial"/>
          <w:sz w:val="22"/>
          <w:szCs w:val="22"/>
          <w:color w:val="auto"/>
        </w:rPr>
        <w:t>Attention: Stephen Siegel</w:t>
      </w:r>
    </w:p>
    <w:p>
      <w:pPr>
        <w:ind w:left="2300"/>
        <w:spacing w:after="0"/>
        <w:rPr>
          <w:sz w:val="20"/>
          <w:szCs w:val="20"/>
          <w:color w:val="auto"/>
        </w:rPr>
      </w:pPr>
      <w:r>
        <w:rPr>
          <w:rFonts w:ascii="Arial" w:cs="Arial" w:eastAsia="Arial" w:hAnsi="Arial"/>
          <w:sz w:val="22"/>
          <w:szCs w:val="22"/>
          <w:color w:val="auto"/>
        </w:rPr>
        <w:t>Email: stephen.siegel@technipfmc.com</w:t>
      </w:r>
    </w:p>
    <w:p>
      <w:pPr>
        <w:spacing w:after="0" w:line="200" w:lineRule="exact"/>
        <w:rPr>
          <w:sz w:val="20"/>
          <w:szCs w:val="20"/>
          <w:color w:val="auto"/>
        </w:rPr>
      </w:pPr>
    </w:p>
    <w:p>
      <w:pPr>
        <w:spacing w:after="0" w:line="2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copy (which shall not constitute notice) to:</w:t>
      </w:r>
    </w:p>
    <w:p>
      <w:pPr>
        <w:ind w:left="2300"/>
        <w:spacing w:after="0" w:line="238" w:lineRule="auto"/>
        <w:rPr>
          <w:sz w:val="20"/>
          <w:szCs w:val="20"/>
          <w:color w:val="auto"/>
        </w:rPr>
      </w:pPr>
      <w:r>
        <w:rPr>
          <w:rFonts w:ascii="Arial" w:cs="Arial" w:eastAsia="Arial" w:hAnsi="Arial"/>
          <w:sz w:val="22"/>
          <w:szCs w:val="22"/>
          <w:color w:val="auto"/>
        </w:rPr>
        <w:t>Davis &amp; Polk Wardwell LLP</w:t>
      </w:r>
    </w:p>
    <w:p>
      <w:pPr>
        <w:ind w:left="2300"/>
        <w:spacing w:after="0" w:line="230" w:lineRule="auto"/>
        <w:rPr>
          <w:sz w:val="20"/>
          <w:szCs w:val="20"/>
          <w:color w:val="auto"/>
        </w:rPr>
      </w:pPr>
      <w:r>
        <w:rPr>
          <w:rFonts w:ascii="Arial" w:cs="Arial" w:eastAsia="Arial" w:hAnsi="Arial"/>
          <w:sz w:val="22"/>
          <w:szCs w:val="22"/>
          <w:color w:val="auto"/>
        </w:rPr>
        <w:t>450 Lexington Avenue</w:t>
      </w:r>
    </w:p>
    <w:p>
      <w:pPr>
        <w:ind w:left="2300"/>
        <w:spacing w:after="0" w:line="231" w:lineRule="auto"/>
        <w:rPr>
          <w:sz w:val="20"/>
          <w:szCs w:val="20"/>
          <w:color w:val="auto"/>
        </w:rPr>
      </w:pPr>
      <w:r>
        <w:rPr>
          <w:rFonts w:ascii="Arial" w:cs="Arial" w:eastAsia="Arial" w:hAnsi="Arial"/>
          <w:sz w:val="22"/>
          <w:szCs w:val="22"/>
          <w:color w:val="auto"/>
        </w:rPr>
        <w:t>New York, New York 10017</w:t>
      </w:r>
    </w:p>
    <w:p>
      <w:pPr>
        <w:ind w:left="2300"/>
        <w:spacing w:after="0" w:line="230" w:lineRule="auto"/>
        <w:rPr>
          <w:sz w:val="20"/>
          <w:szCs w:val="20"/>
          <w:color w:val="auto"/>
        </w:rPr>
      </w:pPr>
      <w:r>
        <w:rPr>
          <w:rFonts w:ascii="Arial" w:cs="Arial" w:eastAsia="Arial" w:hAnsi="Arial"/>
          <w:sz w:val="22"/>
          <w:szCs w:val="22"/>
          <w:color w:val="auto"/>
        </w:rPr>
        <w:t>Attention: William Aaronson</w:t>
      </w:r>
    </w:p>
    <w:p>
      <w:pPr>
        <w:ind w:left="2300"/>
        <w:spacing w:after="0" w:line="231" w:lineRule="auto"/>
        <w:rPr>
          <w:sz w:val="20"/>
          <w:szCs w:val="20"/>
          <w:color w:val="auto"/>
        </w:rPr>
      </w:pPr>
      <w:r>
        <w:rPr>
          <w:rFonts w:ascii="Arial" w:cs="Arial" w:eastAsia="Arial" w:hAnsi="Arial"/>
          <w:sz w:val="22"/>
          <w:szCs w:val="22"/>
          <w:color w:val="auto"/>
        </w:rPr>
        <w:t>Email: william.aaronson@davispolk.com</w:t>
      </w:r>
    </w:p>
    <w:p>
      <w:pPr>
        <w:ind w:left="2300"/>
        <w:spacing w:after="0" w:line="230" w:lineRule="auto"/>
        <w:rPr>
          <w:sz w:val="20"/>
          <w:szCs w:val="20"/>
          <w:color w:val="auto"/>
        </w:rPr>
      </w:pPr>
      <w:r>
        <w:rPr>
          <w:rFonts w:ascii="Arial" w:cs="Arial" w:eastAsia="Arial" w:hAnsi="Arial"/>
          <w:sz w:val="22"/>
          <w:szCs w:val="22"/>
          <w:color w:val="auto"/>
        </w:rPr>
        <w:t>Attention: Jacques Naquet-Radiguet</w:t>
      </w:r>
    </w:p>
    <w:p>
      <w:pPr>
        <w:spacing w:after="0" w:line="1" w:lineRule="exact"/>
        <w:rPr>
          <w:sz w:val="20"/>
          <w:szCs w:val="20"/>
          <w:color w:val="auto"/>
        </w:rPr>
      </w:pPr>
    </w:p>
    <w:p>
      <w:pPr>
        <w:ind w:left="2300"/>
        <w:spacing w:after="0"/>
        <w:rPr>
          <w:sz w:val="20"/>
          <w:szCs w:val="20"/>
          <w:color w:val="auto"/>
        </w:rPr>
      </w:pPr>
      <w:r>
        <w:rPr>
          <w:rFonts w:ascii="Arial" w:cs="Arial" w:eastAsia="Arial" w:hAnsi="Arial"/>
          <w:sz w:val="22"/>
          <w:szCs w:val="22"/>
          <w:color w:val="auto"/>
        </w:rPr>
        <w:t>Email: jacques.naquet@davispolk.com</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or to such other persons or addresses as may be designated in writing by the party to receive such notice as provided above.</w:t>
      </w:r>
    </w:p>
    <w:p>
      <w:pPr>
        <w:spacing w:after="0" w:line="268" w:lineRule="exact"/>
        <w:rPr>
          <w:sz w:val="20"/>
          <w:szCs w:val="20"/>
          <w:color w:val="auto"/>
        </w:rPr>
      </w:pPr>
    </w:p>
    <w:p>
      <w:pPr>
        <w:ind w:right="280" w:firstLine="648"/>
        <w:spacing w:after="0" w:line="297" w:lineRule="auto"/>
        <w:rPr>
          <w:sz w:val="20"/>
          <w:szCs w:val="20"/>
          <w:color w:val="auto"/>
        </w:rPr>
      </w:pPr>
      <w:r>
        <w:rPr>
          <w:rFonts w:ascii="Arial" w:cs="Arial" w:eastAsia="Arial" w:hAnsi="Arial"/>
          <w:sz w:val="19"/>
          <w:szCs w:val="19"/>
          <w:color w:val="auto"/>
        </w:rPr>
        <w:t xml:space="preserve">7.7 </w:t>
      </w: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(including any annexes hereto), together with the Separation Agreement and the other Ancillary Agreements constitutes the entire agreement, and supersedes all other prior agreements, understandings, representations and warranties both written and oral, among the Parties, with respect to the subject matter hereof.</w:t>
      </w:r>
    </w:p>
    <w:p>
      <w:pPr>
        <w:spacing w:after="0" w:line="161" w:lineRule="exact"/>
        <w:rPr>
          <w:sz w:val="20"/>
          <w:szCs w:val="20"/>
          <w:color w:val="auto"/>
        </w:rPr>
      </w:pPr>
    </w:p>
    <w:p>
      <w:pPr>
        <w:ind w:firstLine="648"/>
        <w:spacing w:after="0" w:line="282" w:lineRule="auto"/>
        <w:rPr>
          <w:sz w:val="20"/>
          <w:szCs w:val="20"/>
          <w:color w:val="auto"/>
        </w:rPr>
      </w:pPr>
      <w:r>
        <w:rPr>
          <w:rFonts w:ascii="Arial" w:cs="Arial" w:eastAsia="Arial" w:hAnsi="Arial"/>
          <w:sz w:val="19"/>
          <w:szCs w:val="19"/>
          <w:color w:val="auto"/>
        </w:rPr>
        <w:t xml:space="preserve">7.8 </w:t>
      </w:r>
      <w:r>
        <w:rPr>
          <w:rFonts w:ascii="Arial" w:cs="Arial" w:eastAsia="Arial" w:hAnsi="Arial"/>
          <w:sz w:val="19"/>
          <w:szCs w:val="19"/>
          <w:u w:val="single" w:color="auto"/>
          <w:color w:val="auto"/>
        </w:rPr>
        <w:t>No Third-Party Beneficiaries</w:t>
      </w:r>
      <w:r>
        <w:rPr>
          <w:rFonts w:ascii="Arial" w:cs="Arial" w:eastAsia="Arial" w:hAnsi="Arial"/>
          <w:sz w:val="19"/>
          <w:szCs w:val="19"/>
          <w:color w:val="auto"/>
        </w:rPr>
        <w:t>. The provisions of this Agreement are solely for the benefit of the Parties and are not intended to confer upon any Person (including, without limitation, any shareholders of TFMC or shareholders of TEN) except the Parties hereto any rights or remedies hereunder. There are no third-party beneficiaries of this Agreement, and this Agreement shall not provide any third Person (including, without limitation, any shareholders of TFMC or shareholders of TEN) with any remedy, claim, reimbursement, claim of action or other right in excess of those existing without reference to this Agreement.</w:t>
      </w: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70" w:name="page171"/>
    <w:bookmarkEnd w:id="170"/>
    <w:p>
      <w:pPr>
        <w:ind w:right="40" w:firstLine="648"/>
        <w:spacing w:after="0" w:line="277" w:lineRule="auto"/>
        <w:rPr>
          <w:sz w:val="20"/>
          <w:szCs w:val="20"/>
          <w:color w:val="auto"/>
        </w:rPr>
      </w:pPr>
      <w:r>
        <w:rPr>
          <w:rFonts w:ascii="Arial" w:cs="Arial" w:eastAsia="Arial" w:hAnsi="Arial"/>
          <w:sz w:val="19"/>
          <w:szCs w:val="19"/>
          <w:color w:val="auto"/>
        </w:rPr>
        <w:t xml:space="preserve">7.9 </w:t>
      </w:r>
      <w:r>
        <w:rPr>
          <w:rFonts w:ascii="Arial" w:cs="Arial" w:eastAsia="Arial" w:hAnsi="Arial"/>
          <w:sz w:val="19"/>
          <w:szCs w:val="19"/>
          <w:u w:val="single" w:color="auto"/>
          <w:color w:val="auto"/>
        </w:rPr>
        <w:t>Severability</w:t>
      </w:r>
      <w:r>
        <w:rPr>
          <w:rFonts w:ascii="Arial" w:cs="Arial" w:eastAsia="Arial" w:hAnsi="Arial"/>
          <w:sz w:val="19"/>
          <w:szCs w:val="19"/>
          <w:color w:val="auto"/>
        </w:rPr>
        <w:t>. The provisions of this Agreement shall be deemed severable, and the invalidity or unenforceability of any provision shall not affect the validity or enforceability or the other provisions hereof. If any provision of this Agreement, or the application thereof to any Person or any circumstance, is invalid or unenforceable, (a) a suitable and equitable provision shall be substituted therefor in order to carry out, so far as may be valid and enforceable, the intent and purpose of such invalid or unenforceable provision and (b)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thereof, in any other jurisdiction.</w:t>
      </w:r>
    </w:p>
    <w:p>
      <w:pPr>
        <w:spacing w:after="0" w:line="179" w:lineRule="exact"/>
        <w:rPr>
          <w:sz w:val="20"/>
          <w:szCs w:val="20"/>
          <w:color w:val="auto"/>
        </w:rPr>
      </w:pPr>
    </w:p>
    <w:p>
      <w:pPr>
        <w:ind w:right="20" w:firstLine="648"/>
        <w:spacing w:after="0" w:line="245" w:lineRule="auto"/>
        <w:rPr>
          <w:sz w:val="20"/>
          <w:szCs w:val="20"/>
          <w:color w:val="auto"/>
        </w:rPr>
      </w:pPr>
      <w:r>
        <w:rPr>
          <w:rFonts w:ascii="Arial" w:cs="Arial" w:eastAsia="Arial" w:hAnsi="Arial"/>
          <w:sz w:val="21"/>
          <w:szCs w:val="21"/>
          <w:color w:val="auto"/>
        </w:rPr>
        <w:t xml:space="preserve">7.10 </w:t>
      </w:r>
      <w:r>
        <w:rPr>
          <w:rFonts w:ascii="Arial" w:cs="Arial" w:eastAsia="Arial" w:hAnsi="Arial"/>
          <w:sz w:val="21"/>
          <w:szCs w:val="21"/>
          <w:u w:val="single" w:color="auto"/>
          <w:color w:val="auto"/>
        </w:rPr>
        <w:t>Interpretation</w:t>
      </w:r>
      <w:r>
        <w:rPr>
          <w:rFonts w:ascii="Arial" w:cs="Arial" w:eastAsia="Arial" w:hAnsi="Arial"/>
          <w:sz w:val="21"/>
          <w:szCs w:val="21"/>
          <w:color w:val="auto"/>
        </w:rPr>
        <w:t>. The table of contents and headings herein are for convenience of reference only, do not constitute part of this Agreement and shall not be deemed to limit or otherwise affect any of the provisions hereof. Where a reference in this Agreement is made to a Section, Schedule, Annex or Exhibit, such reference shall be to a Section of, Schedule to, Annex to or Exhibit to this Agreement unless otherwise indicated. Whenever the words “include,” “includes” or “including” are used in this Agreement, they shall be deemed to be followed by the words “without limitation.” For purposes of this Agreement, whenever the context requires the singular number shall include the plural, and vice versa. All references in this Agreement to “$” are intended to refer to United States dollars and all references to “EUR” are to the lawful currency of the European Union. Any reference to a particular Law or Contract means such Law or Contract as amended, modified or supplemented (including, with respect to any such Law, all rules and regulations promulgated thereunder) and, unless otherwise provided, as in effect from time to time.</w:t>
      </w:r>
    </w:p>
    <w:p>
      <w:pPr>
        <w:spacing w:after="0" w:line="208" w:lineRule="exact"/>
        <w:rPr>
          <w:sz w:val="20"/>
          <w:szCs w:val="20"/>
          <w:color w:val="auto"/>
        </w:rPr>
      </w:pPr>
    </w:p>
    <w:p>
      <w:pPr>
        <w:ind w:right="440" w:firstLine="648"/>
        <w:spacing w:after="0" w:line="250" w:lineRule="auto"/>
        <w:rPr>
          <w:sz w:val="20"/>
          <w:szCs w:val="20"/>
          <w:color w:val="auto"/>
        </w:rPr>
      </w:pPr>
      <w:r>
        <w:rPr>
          <w:rFonts w:ascii="Arial" w:cs="Arial" w:eastAsia="Arial" w:hAnsi="Arial"/>
          <w:sz w:val="22"/>
          <w:szCs w:val="22"/>
          <w:color w:val="auto"/>
        </w:rPr>
        <w:t xml:space="preserve">7.11 </w:t>
      </w:r>
      <w:r>
        <w:rPr>
          <w:rFonts w:ascii="Arial" w:cs="Arial" w:eastAsia="Arial" w:hAnsi="Arial"/>
          <w:sz w:val="22"/>
          <w:szCs w:val="22"/>
          <w:u w:val="single" w:color="auto"/>
          <w:color w:val="auto"/>
        </w:rPr>
        <w:t>Defined Terms</w:t>
      </w:r>
      <w:r>
        <w:rPr>
          <w:rFonts w:ascii="Arial" w:cs="Arial" w:eastAsia="Arial" w:hAnsi="Arial"/>
          <w:sz w:val="22"/>
          <w:szCs w:val="22"/>
          <w:color w:val="auto"/>
        </w:rPr>
        <w:t xml:space="preserve">. Capitalized terms used and not otherwise defined herein shall have the meanings specified or referred to in </w:t>
      </w:r>
      <w:r>
        <w:rPr>
          <w:rFonts w:ascii="Arial" w:cs="Arial" w:eastAsia="Arial" w:hAnsi="Arial"/>
          <w:sz w:val="22"/>
          <w:szCs w:val="22"/>
          <w:u w:val="single" w:color="auto"/>
          <w:color w:val="auto"/>
        </w:rPr>
        <w:t>Annex I</w:t>
      </w:r>
      <w:r>
        <w:rPr>
          <w:rFonts w:ascii="Arial" w:cs="Arial" w:eastAsia="Arial" w:hAnsi="Arial"/>
          <w:sz w:val="22"/>
          <w:szCs w:val="22"/>
          <w:color w:val="auto"/>
        </w:rPr>
        <w:t>, or if not defined therein, in the Separation Agreement.</w:t>
      </w:r>
    </w:p>
    <w:p>
      <w:pPr>
        <w:spacing w:after="0" w:line="20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7.12</w:t>
      </w:r>
      <w:r>
        <w:rPr>
          <w:sz w:val="20"/>
          <w:szCs w:val="20"/>
          <w:color w:val="auto"/>
        </w:rPr>
        <w:tab/>
      </w:r>
      <w:r>
        <w:rPr>
          <w:rFonts w:ascii="Arial" w:cs="Arial" w:eastAsia="Arial" w:hAnsi="Arial"/>
          <w:sz w:val="19"/>
          <w:szCs w:val="19"/>
          <w:u w:val="single" w:color="auto"/>
          <w:color w:val="auto"/>
        </w:rPr>
        <w:t>Assignment</w:t>
      </w:r>
      <w:r>
        <w:rPr>
          <w:rFonts w:ascii="Arial" w:cs="Arial" w:eastAsia="Arial" w:hAnsi="Arial"/>
          <w:sz w:val="19"/>
          <w:szCs w:val="19"/>
          <w:color w:val="auto"/>
        </w:rPr>
        <w:t>.</w:t>
      </w:r>
    </w:p>
    <w:p>
      <w:pPr>
        <w:spacing w:after="0" w:line="233" w:lineRule="exact"/>
        <w:rPr>
          <w:sz w:val="20"/>
          <w:szCs w:val="20"/>
          <w:color w:val="auto"/>
        </w:rPr>
      </w:pPr>
    </w:p>
    <w:p>
      <w:pPr>
        <w:ind w:firstLine="656"/>
        <w:spacing w:after="0" w:line="235" w:lineRule="auto"/>
        <w:tabs>
          <w:tab w:leader="none" w:pos="1536" w:val="left"/>
        </w:tabs>
        <w:numPr>
          <w:ilvl w:val="0"/>
          <w:numId w:val="99"/>
        </w:numPr>
        <w:rPr>
          <w:rFonts w:ascii="Arial" w:cs="Arial" w:eastAsia="Arial" w:hAnsi="Arial"/>
          <w:sz w:val="22"/>
          <w:szCs w:val="22"/>
          <w:color w:val="auto"/>
        </w:rPr>
      </w:pPr>
      <w:r>
        <w:rPr>
          <w:rFonts w:ascii="Arial" w:cs="Arial" w:eastAsia="Arial" w:hAnsi="Arial"/>
          <w:sz w:val="22"/>
          <w:szCs w:val="22"/>
          <w:color w:val="auto"/>
        </w:rPr>
        <w:t>TEN shall not assign or transfer any of the TEN Marks to any Competitor of TFMC without TFMC’s prior written consent, and TFMC shall not assign or transfer any of the TFMC Marks to any Competitor of TEN without TEN’s prior written consent. Subject to the foregoing, nothing herein shall restrict a Party from assigning or transferring any Marks it owns (whether by Contract, by operation of Law, by virtue of a merger or consolidation with any surviving entity, or otherwise); provided that the assigned or transferred Marks shall remain subject to, and the applicable assignee or transferee agrees in writing to be bound by the terms and conditions of, this Agreement.</w:t>
      </w:r>
    </w:p>
    <w:p>
      <w:pPr>
        <w:spacing w:after="0" w:line="214" w:lineRule="exact"/>
        <w:rPr>
          <w:rFonts w:ascii="Arial" w:cs="Arial" w:eastAsia="Arial" w:hAnsi="Arial"/>
          <w:sz w:val="22"/>
          <w:szCs w:val="22"/>
          <w:color w:val="auto"/>
        </w:rPr>
      </w:pPr>
    </w:p>
    <w:p>
      <w:pPr>
        <w:ind w:right="20" w:firstLine="656"/>
        <w:spacing w:after="0" w:line="270" w:lineRule="auto"/>
        <w:tabs>
          <w:tab w:leader="none" w:pos="1548" w:val="left"/>
        </w:tabs>
        <w:numPr>
          <w:ilvl w:val="0"/>
          <w:numId w:val="99"/>
        </w:numPr>
        <w:rPr>
          <w:rFonts w:ascii="Arial" w:cs="Arial" w:eastAsia="Arial" w:hAnsi="Arial"/>
          <w:sz w:val="19"/>
          <w:szCs w:val="19"/>
          <w:color w:val="auto"/>
        </w:rPr>
      </w:pPr>
      <w:r>
        <w:rPr>
          <w:rFonts w:ascii="Arial" w:cs="Arial" w:eastAsia="Arial" w:hAnsi="Arial"/>
          <w:sz w:val="19"/>
          <w:szCs w:val="19"/>
          <w:color w:val="auto"/>
        </w:rPr>
        <w:t>Subject to and without limiting subsection (a) above, neither Party may assign this Agreement to any Person and any attempt to do so shall be void. Notwithstanding the foregoing, either Party may (i) transfer all or a part of their respective rights and obligations under this Agreement to their respective Affiliates; (ii) transfer all or part of their respective rights and obligations under this Agreement to any third party in connection with an acquisition of such Party (whether by merger, consolidation, sale of assets, sale or exchange of stock, by operation of Law or otherwise and whether in a single or multiple transactions); and (iii) transfer all or part of its respective rights and obligations under this Agreement to any third party in connection with an acquisition of a discrete business unit or division of such Party (whether by merger, consolidation, sale of assets, sale or exchange of stock, or otherwise), provided that business unit or division is capable of being operated on a standalone basis, and provided that the coexistence terms hereunder shall not extend beyond the business unit or division being sold; and provided that, in each of the above cases, such transferee, assignee or successor agrees to be bound by the terms of this Agreement. This Agreement shall not be assigned or otherwise transferred in whole or in part by either Party to any Competitor of the other Party without the other Party’s prior written consent, which may not be unreasonably withheld, delayed or conditioned. Further, each Party may collaterally assign its rights under this Agreement to its lenders or other financing sources, provided that, upon foreclosure, (A) any assignee or transferee of all or part of this Agreement agrees to be bound by the terms of this Agreement, and (B) this Agreement shall not be assigned or otherwise transferred in whole or in part in connection with such foreclosure to any Competitor of the other Party without the other Party’s prior written consent, which may not be unreasonably withheld, delayed or conditioned.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71" w:name="page172"/>
    <w:bookmarkEnd w:id="171"/>
    <w:p>
      <w:pPr>
        <w:ind w:right="100" w:firstLine="656"/>
        <w:spacing w:after="0" w:line="329" w:lineRule="auto"/>
        <w:tabs>
          <w:tab w:leader="none" w:pos="1536" w:val="left"/>
        </w:tabs>
        <w:numPr>
          <w:ilvl w:val="0"/>
          <w:numId w:val="100"/>
        </w:numPr>
        <w:rPr>
          <w:rFonts w:ascii="Arial" w:cs="Arial" w:eastAsia="Arial" w:hAnsi="Arial"/>
          <w:sz w:val="19"/>
          <w:szCs w:val="19"/>
          <w:color w:val="auto"/>
        </w:rPr>
      </w:pPr>
      <w:r>
        <w:rPr>
          <w:rFonts w:ascii="Arial" w:cs="Arial" w:eastAsia="Arial" w:hAnsi="Arial"/>
          <w:sz w:val="19"/>
          <w:szCs w:val="19"/>
          <w:color w:val="auto"/>
        </w:rPr>
        <w:t>Subject to subparagraphs (a) and (b) above, this Agreement shall be binding upon and shall inure to the benefit of the Parties and their respective successors (whether by Contract, operation of Law or otherwise) and permitted assigns.</w:t>
      </w:r>
    </w:p>
    <w:p>
      <w:pPr>
        <w:spacing w:after="0" w:line="131" w:lineRule="exact"/>
        <w:rPr>
          <w:sz w:val="20"/>
          <w:szCs w:val="20"/>
          <w:color w:val="auto"/>
        </w:rPr>
      </w:pPr>
    </w:p>
    <w:p>
      <w:pPr>
        <w:ind w:firstLine="648"/>
        <w:spacing w:after="0" w:line="269" w:lineRule="auto"/>
        <w:rPr>
          <w:sz w:val="20"/>
          <w:szCs w:val="20"/>
          <w:color w:val="auto"/>
        </w:rPr>
      </w:pPr>
      <w:r>
        <w:rPr>
          <w:rFonts w:ascii="Arial" w:cs="Arial" w:eastAsia="Arial" w:hAnsi="Arial"/>
          <w:sz w:val="19"/>
          <w:szCs w:val="19"/>
          <w:color w:val="auto"/>
        </w:rPr>
        <w:t xml:space="preserve">7.13 </w:t>
      </w:r>
      <w:r>
        <w:rPr>
          <w:rFonts w:ascii="Arial" w:cs="Arial" w:eastAsia="Arial" w:hAnsi="Arial"/>
          <w:sz w:val="19"/>
          <w:szCs w:val="19"/>
          <w:u w:val="single" w:color="auto"/>
          <w:color w:val="auto"/>
        </w:rPr>
        <w:t>Specific Performance; Other Equitable Relief</w:t>
      </w:r>
      <w:r>
        <w:rPr>
          <w:rFonts w:ascii="Arial" w:cs="Arial" w:eastAsia="Arial" w:hAnsi="Arial"/>
          <w:sz w:val="19"/>
          <w:szCs w:val="19"/>
          <w:color w:val="auto"/>
        </w:rPr>
        <w:t>. Each Party hereby acknowledges and agrees that (i) irreparable damage would occur if any provision of this Agreement were not performed in accordance with the specific terms hereof or were otherwise breached, and (ii) remedies at Law for any breach or threatened breach of this Agreement, including monetary damages, are inadequate compensation for any loss that any other Party would suffer as a result. It is accordingly agreed that the Parties shall be entitled to an injunction or injunctions to prevent breaches of this Agreement and to enforce specifically the terms and provisions of this Agreement (without necessity of posting bond or other security (any requirements therefor being expressly waived)), this being in addition to any other remedy to which they are entitled at Law or in equity. Each of the Parties agrees that it will not oppose the granting of an injunction, specific performance or other equitable relief as provided herein on the basis that</w:t>
      </w:r>
    </w:p>
    <w:p>
      <w:pPr>
        <w:spacing w:after="0" w:line="3" w:lineRule="exact"/>
        <w:rPr>
          <w:sz w:val="20"/>
          <w:szCs w:val="20"/>
          <w:color w:val="auto"/>
        </w:rPr>
      </w:pPr>
    </w:p>
    <w:p>
      <w:pPr>
        <w:ind w:right="120" w:firstLine="8"/>
        <w:spacing w:after="0" w:line="233" w:lineRule="auto"/>
        <w:tabs>
          <w:tab w:leader="none" w:pos="258"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the other Party has an adequate remedy at Law or (ii) an award of specific performance is not an appropriate remedy for any reason at Law or equity. Any party seeking an injunction or injunctions to prevent breaches of the Agreement and to enforce specifically the terms and provisions of this Agreement shall not be required to provide any bond or other security in connection with any such order or injunction.</w:t>
      </w:r>
    </w:p>
    <w:p>
      <w:pPr>
        <w:spacing w:after="0" w:line="215" w:lineRule="exact"/>
        <w:rPr>
          <w:sz w:val="20"/>
          <w:szCs w:val="20"/>
          <w:color w:val="auto"/>
        </w:rPr>
      </w:pPr>
    </w:p>
    <w:p>
      <w:pPr>
        <w:ind w:right="80" w:firstLine="648"/>
        <w:spacing w:after="0" w:line="273" w:lineRule="auto"/>
        <w:rPr>
          <w:sz w:val="20"/>
          <w:szCs w:val="20"/>
          <w:color w:val="auto"/>
        </w:rPr>
      </w:pPr>
      <w:r>
        <w:rPr>
          <w:rFonts w:ascii="Arial" w:cs="Arial" w:eastAsia="Arial" w:hAnsi="Arial"/>
          <w:sz w:val="19"/>
          <w:szCs w:val="19"/>
          <w:color w:val="auto"/>
        </w:rPr>
        <w:t xml:space="preserve">7.14 </w:t>
      </w:r>
      <w:r>
        <w:rPr>
          <w:rFonts w:ascii="Arial" w:cs="Arial" w:eastAsia="Arial" w:hAnsi="Arial"/>
          <w:sz w:val="19"/>
          <w:szCs w:val="19"/>
          <w:u w:val="single" w:color="auto"/>
          <w:color w:val="auto"/>
        </w:rPr>
        <w:t>Construction</w:t>
      </w:r>
      <w:r>
        <w:rPr>
          <w:rFonts w:ascii="Arial" w:cs="Arial" w:eastAsia="Arial" w:hAnsi="Arial"/>
          <w:sz w:val="19"/>
          <w:szCs w:val="19"/>
          <w:color w:val="auto"/>
        </w:rPr>
        <w:t>. This Agreement shall be construed as if jointly drafted by the Parties and no rule of construction or strict interpretation shall be applied against either Party. The Parties represent that this Agreement is entered into with full consideration of any and all rights which the Parties may have. The Parties have conducted such investigations they thought appropriate, and have consulted with such advisors as they deemed appropriate regarding this Agreement and their rights and asserted rights in connection therewith. The Parties are not relying upon any representations or statements made by the other Party, or such other Party’s employees, agents, representatives or attorneys, regarding this Agreement, except to the extent such representations are expressly set forth or incorporated in this Agreement, the Separation Agreement or any of the other Ancillary Agreements. The Parties are not relying upon a legal duty, if one exists, on the part of the other Party (or such other Party’s employees, agents, representatives or attorneys) to disclose any information in connection with the execution of this Agreement or their preparation, it being expressly understood that neither Party shall ever assert any failure to disclose information on the part of the other Party as a ground for challenging this Agreement.</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72" w:name="page173"/>
    <w:bookmarkEnd w:id="172"/>
    <w:p>
      <w:pPr>
        <w:ind w:right="460" w:firstLine="648"/>
        <w:spacing w:after="0" w:line="274" w:lineRule="auto"/>
        <w:rPr>
          <w:sz w:val="20"/>
          <w:szCs w:val="20"/>
          <w:color w:val="auto"/>
        </w:rPr>
      </w:pPr>
      <w:r>
        <w:rPr>
          <w:rFonts w:ascii="Arial" w:cs="Arial" w:eastAsia="Arial" w:hAnsi="Arial"/>
          <w:sz w:val="21"/>
          <w:szCs w:val="21"/>
          <w:color w:val="auto"/>
        </w:rPr>
        <w:t xml:space="preserve">7.15 </w:t>
      </w:r>
      <w:r>
        <w:rPr>
          <w:rFonts w:ascii="Arial" w:cs="Arial" w:eastAsia="Arial" w:hAnsi="Arial"/>
          <w:sz w:val="21"/>
          <w:szCs w:val="21"/>
          <w:u w:val="single" w:color="auto"/>
          <w:color w:val="auto"/>
        </w:rPr>
        <w:t>Performance</w:t>
      </w:r>
      <w:r>
        <w:rPr>
          <w:rFonts w:ascii="Arial" w:cs="Arial" w:eastAsia="Arial" w:hAnsi="Arial"/>
          <w:sz w:val="21"/>
          <w:szCs w:val="21"/>
          <w:color w:val="auto"/>
        </w:rPr>
        <w:t>. Each Party shall cause to be performed, and hereby guarantees the performance of, all actions, agreements and obligations set forth herein to be performed by any Subsidiary or Affiliate of such Party.</w:t>
      </w:r>
    </w:p>
    <w:p>
      <w:pPr>
        <w:spacing w:after="0" w:line="178"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 xml:space="preserve">7.16 </w:t>
      </w:r>
      <w:r>
        <w:rPr>
          <w:rFonts w:ascii="Arial" w:cs="Arial" w:eastAsia="Arial" w:hAnsi="Arial"/>
          <w:sz w:val="22"/>
          <w:szCs w:val="22"/>
          <w:u w:val="single" w:color="auto"/>
          <w:color w:val="auto"/>
        </w:rPr>
        <w:t>Other Agreements</w:t>
      </w:r>
      <w:r>
        <w:rPr>
          <w:rFonts w:ascii="Arial" w:cs="Arial" w:eastAsia="Arial" w:hAnsi="Arial"/>
          <w:sz w:val="22"/>
          <w:szCs w:val="22"/>
          <w:color w:val="auto"/>
        </w:rPr>
        <w:t>. Except as expressly set forth herein, this Agreement is not intended to address, and should not be interpreted to address, the matters specifically and expressly covered by the Separation Agreement or the other Ancillary Agreements.</w:t>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22"/>
          <w:szCs w:val="22"/>
          <w:i w:val="1"/>
          <w:iCs w:val="1"/>
          <w:color w:val="auto"/>
        </w:rPr>
        <w:t>[Signature Page to Follow.]</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73" w:name="page174"/>
    <w:bookmarkEnd w:id="173"/>
    <w:p>
      <w:pPr>
        <w:ind w:right="279" w:firstLine="648"/>
        <w:spacing w:after="0" w:line="251" w:lineRule="auto"/>
        <w:rPr>
          <w:sz w:val="20"/>
          <w:szCs w:val="20"/>
          <w:color w:val="auto"/>
        </w:rPr>
      </w:pPr>
      <w:r>
        <w:rPr>
          <w:rFonts w:ascii="Arial" w:cs="Arial" w:eastAsia="Arial" w:hAnsi="Arial"/>
          <w:sz w:val="22"/>
          <w:szCs w:val="22"/>
          <w:color w:val="auto"/>
        </w:rPr>
        <w:t>IN WITNESS WHEREOF, the parties have caused this Agreement to be executed by their duly authorized representatives.</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TECHNIPFMC PLC</w:t>
      </w:r>
    </w:p>
    <w:p>
      <w:pPr>
        <w:spacing w:after="0" w:line="26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Alf Melin</w:t>
      </w:r>
    </w:p>
    <w:p>
      <w:pPr>
        <w:spacing w:after="0" w:line="7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Alf Melin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jc w:val="right"/>
        <w:ind w:right="119"/>
        <w:spacing w:after="0"/>
        <w:tabs>
          <w:tab w:leader="none" w:pos="3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174" w:name="page175"/>
    <w:bookmarkEnd w:id="174"/>
    <w:p>
      <w:pPr>
        <w:ind w:right="279" w:firstLine="648"/>
        <w:spacing w:after="0" w:line="251" w:lineRule="auto"/>
        <w:rPr>
          <w:sz w:val="20"/>
          <w:szCs w:val="20"/>
          <w:color w:val="auto"/>
        </w:rPr>
      </w:pPr>
      <w:r>
        <w:rPr>
          <w:rFonts w:ascii="Arial" w:cs="Arial" w:eastAsia="Arial" w:hAnsi="Arial"/>
          <w:sz w:val="22"/>
          <w:szCs w:val="22"/>
          <w:color w:val="auto"/>
        </w:rPr>
        <w:t>IN WITNESS WHEREOF, the parties have caused this Agreement to be executed by their duly authorized representatives.</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TECHNIP ENERGIES N.V.</w:t>
      </w:r>
    </w:p>
    <w:p>
      <w:pPr>
        <w:spacing w:after="0" w:line="26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Bruno Vibert</w:t>
      </w:r>
    </w:p>
    <w:p>
      <w:pPr>
        <w:spacing w:after="0" w:line="7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Bruno Vibert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175" w:name="page176"/>
    <w:bookmarkEnd w:id="175"/>
    <w:p>
      <w:pPr>
        <w:jc w:val="center"/>
        <w:ind w:right="-79"/>
        <w:spacing w:after="0"/>
        <w:rPr>
          <w:sz w:val="20"/>
          <w:szCs w:val="20"/>
          <w:color w:val="auto"/>
        </w:rPr>
      </w:pPr>
      <w:r>
        <w:rPr>
          <w:rFonts w:ascii="Arial" w:cs="Arial" w:eastAsia="Arial" w:hAnsi="Arial"/>
          <w:sz w:val="18"/>
          <w:szCs w:val="18"/>
          <w:b w:val="1"/>
          <w:bCs w:val="1"/>
          <w:color w:val="auto"/>
        </w:rPr>
        <w:t>Annex I</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Defined Terms</w:t>
      </w:r>
    </w:p>
    <w:p>
      <w:pPr>
        <w:spacing w:after="0" w:line="262"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Competitor</w:t>
      </w:r>
      <w:r>
        <w:rPr>
          <w:rFonts w:ascii="Arial" w:cs="Arial" w:eastAsia="Arial" w:hAnsi="Arial"/>
          <w:sz w:val="22"/>
          <w:szCs w:val="22"/>
          <w:color w:val="auto"/>
        </w:rPr>
        <w:t>” means (a) in respect of TFMC, any Person identified as a competitor to TFMC or any of its Affiliates in the most recent annual report or proxy of TFMC; and (b) in respect of TEN, any Person identified as a competitor to TEN or any of its Affiliates in the most recent annual report or proxy of TEN.</w:t>
      </w:r>
    </w:p>
    <w:p>
      <w:pPr>
        <w:spacing w:after="0" w:line="213" w:lineRule="exact"/>
        <w:rPr>
          <w:sz w:val="20"/>
          <w:szCs w:val="20"/>
          <w:color w:val="auto"/>
        </w:rPr>
      </w:pPr>
    </w:p>
    <w:p>
      <w:pPr>
        <w:ind w:right="80" w:firstLine="70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Loading Arms Marks</w:t>
      </w:r>
      <w:r>
        <w:rPr>
          <w:rFonts w:ascii="Arial" w:cs="Arial" w:eastAsia="Arial" w:hAnsi="Arial"/>
          <w:sz w:val="22"/>
          <w:szCs w:val="22"/>
          <w:color w:val="auto"/>
        </w:rPr>
        <w:t>” means the “FMC”, “WECO” and “CHIKSAN” Marks that are owned or licensed by TFMC and that are used in connection with the marketing and sale of the Loading Arms Products as of the Effective Date, including the Marks listed on Schedule C of the Tokyo Boeki License Agreement.</w:t>
      </w:r>
    </w:p>
    <w:p>
      <w:pPr>
        <w:spacing w:after="0" w:line="213" w:lineRule="exact"/>
        <w:rPr>
          <w:sz w:val="20"/>
          <w:szCs w:val="20"/>
          <w:color w:val="auto"/>
        </w:rPr>
      </w:pPr>
    </w:p>
    <w:p>
      <w:pPr>
        <w:ind w:right="6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Loading Arms Products</w:t>
      </w:r>
      <w:r>
        <w:rPr>
          <w:rFonts w:ascii="Arial" w:cs="Arial" w:eastAsia="Arial" w:hAnsi="Arial"/>
          <w:sz w:val="22"/>
          <w:szCs w:val="22"/>
          <w:color w:val="auto"/>
        </w:rPr>
        <w:t>” means the products (or components thereof) of the TEN Business that were marketed and sold by TFMC and its Affiliates prior to the Effective Date under the Loading Arms Marks.</w:t>
      </w:r>
    </w:p>
    <w:p>
      <w:pPr>
        <w:spacing w:after="0" w:line="202" w:lineRule="exact"/>
        <w:rPr>
          <w:sz w:val="20"/>
          <w:szCs w:val="20"/>
          <w:color w:val="auto"/>
        </w:rPr>
      </w:pPr>
    </w:p>
    <w:p>
      <w:pPr>
        <w:ind w:right="30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Marks</w:t>
      </w:r>
      <w:r>
        <w:rPr>
          <w:rFonts w:ascii="Arial" w:cs="Arial" w:eastAsia="Arial" w:hAnsi="Arial"/>
          <w:sz w:val="19"/>
          <w:szCs w:val="19"/>
          <w:color w:val="auto"/>
        </w:rPr>
        <w:t>” means all trademarks, service marks, trade names, trade dress, logos and other source or business identifiers, including all goodwill associated with any of the foregoing and any and all common law rights in and to any of the foregoing, registrations and applications for registration of any of the foregoing, all rights in and to any of the foregoing provided by international treaties or conventions, and all reissues, extensions and renewals of any of the foregoing.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Technip-Formative Marks</w:t>
      </w:r>
      <w:r>
        <w:rPr>
          <w:rFonts w:ascii="Arial" w:cs="Arial" w:eastAsia="Arial" w:hAnsi="Arial"/>
          <w:sz w:val="22"/>
          <w:szCs w:val="22"/>
          <w:color w:val="auto"/>
        </w:rPr>
        <w:t>” means any Marks that are comprised of or include TECHNIP as an element.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Technip Standalone Mark</w:t>
      </w:r>
      <w:r>
        <w:rPr>
          <w:rFonts w:ascii="Arial" w:cs="Arial" w:eastAsia="Arial" w:hAnsi="Arial"/>
          <w:sz w:val="22"/>
          <w:szCs w:val="22"/>
          <w:color w:val="auto"/>
        </w:rPr>
        <w:t>” means the Mark “TECHNIP” on a standalone basis.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Tokyo Boeki</w:t>
      </w:r>
      <w:r>
        <w:rPr>
          <w:rFonts w:ascii="Arial" w:cs="Arial" w:eastAsia="Arial" w:hAnsi="Arial"/>
          <w:sz w:val="22"/>
          <w:szCs w:val="22"/>
          <w:color w:val="auto"/>
        </w:rPr>
        <w:t>” means Tokyo Boeki Machinery Ltd;</w:t>
      </w:r>
    </w:p>
    <w:p>
      <w:pPr>
        <w:spacing w:after="0" w:line="233" w:lineRule="exact"/>
        <w:rPr>
          <w:sz w:val="20"/>
          <w:szCs w:val="20"/>
          <w:color w:val="auto"/>
        </w:rPr>
      </w:pPr>
    </w:p>
    <w:p>
      <w:pPr>
        <w:ind w:right="16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Tokyo Boeki License Agreement</w:t>
      </w:r>
      <w:r>
        <w:rPr>
          <w:rFonts w:ascii="Arial" w:cs="Arial" w:eastAsia="Arial" w:hAnsi="Arial"/>
          <w:sz w:val="22"/>
          <w:szCs w:val="22"/>
          <w:color w:val="auto"/>
        </w:rPr>
        <w:t>” means the Exclusive License Agreement for Onshore Equipment, executed by FMC Technologies SA and Tokyo Boeki September 9, 2013, which as a result of an assignment and novation, is as of the Effective Date, by and between TEN and Tokyo Boeki.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35" w:right="399" w:bottom="1440" w:gutter="0" w:footer="0" w:header="0"/>
        </w:sectPr>
      </w:pPr>
    </w:p>
    <w:bookmarkStart w:id="176" w:name="page177"/>
    <w:bookmarkEnd w:id="176"/>
    <w:tbl>
      <w:tblPr>
        <w:tblLayout w:type="fixed"/>
        <w:tblInd w:w="10" w:type="dxa"/>
        <w:tblCellMar>
          <w:top w:w="0" w:type="dxa"/>
          <w:left w:w="0" w:type="dxa"/>
          <w:bottom w:w="0" w:type="dxa"/>
          <w:right w:w="0" w:type="dxa"/>
        </w:tblCellMar>
      </w:tblPr>
      <w:tr>
        <w:trPr>
          <w:trHeight w:val="278"/>
        </w:trPr>
        <w:tc>
          <w:tcPr>
            <w:tcW w:w="11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8140" w:type="dxa"/>
            <w:vAlign w:val="bottom"/>
            <w:tcBorders>
              <w:bottom w:val="single" w:sz="8" w:color="auto"/>
            </w:tcBorders>
            <w:gridSpan w:val="4"/>
          </w:tcPr>
          <w:p>
            <w:pPr>
              <w:jc w:val="right"/>
              <w:ind w:right="4140"/>
              <w:spacing w:after="0"/>
              <w:rPr>
                <w:sz w:val="20"/>
                <w:szCs w:val="20"/>
                <w:color w:val="auto"/>
              </w:rPr>
            </w:pPr>
            <w:r>
              <w:rPr>
                <w:rFonts w:ascii="Arial" w:cs="Arial" w:eastAsia="Arial" w:hAnsi="Arial"/>
                <w:sz w:val="22"/>
                <w:szCs w:val="22"/>
                <w:b w:val="1"/>
                <w:bCs w:val="1"/>
                <w:color w:val="auto"/>
              </w:rPr>
              <w:t>Other Defined Term References</w:t>
            </w:r>
          </w:p>
        </w:tc>
      </w:tr>
      <w:tr>
        <w:trPr>
          <w:trHeight w:val="189"/>
        </w:trPr>
        <w:tc>
          <w:tcPr>
            <w:tcW w:w="3100" w:type="dxa"/>
            <w:vAlign w:val="bottom"/>
            <w:tcBorders>
              <w:left w:val="single" w:sz="8" w:color="auto"/>
            </w:tcBorders>
            <w:gridSpan w:val="2"/>
          </w:tcPr>
          <w:p>
            <w:pPr>
              <w:ind w:left="40"/>
              <w:spacing w:after="0" w:line="189" w:lineRule="exact"/>
              <w:rPr>
                <w:sz w:val="20"/>
                <w:szCs w:val="20"/>
                <w:color w:val="auto"/>
              </w:rPr>
            </w:pPr>
            <w:r>
              <w:rPr>
                <w:rFonts w:ascii="Arial" w:cs="Arial" w:eastAsia="Arial" w:hAnsi="Arial"/>
                <w:sz w:val="18"/>
                <w:szCs w:val="18"/>
                <w:b w:val="1"/>
                <w:bCs w:val="1"/>
                <w:color w:val="auto"/>
              </w:rPr>
              <w:t>Defined Term</w:t>
            </w:r>
          </w:p>
        </w:tc>
        <w:tc>
          <w:tcPr>
            <w:tcW w:w="2540" w:type="dxa"/>
            <w:vAlign w:val="bottom"/>
            <w:tcBorders>
              <w:right w:val="single" w:sz="8" w:color="auto"/>
            </w:tcBorders>
          </w:tcPr>
          <w:p>
            <w:pPr>
              <w:spacing w:after="0"/>
              <w:rPr>
                <w:sz w:val="16"/>
                <w:szCs w:val="16"/>
                <w:color w:val="auto"/>
              </w:rPr>
            </w:pPr>
          </w:p>
        </w:tc>
        <w:tc>
          <w:tcPr>
            <w:tcW w:w="5020" w:type="dxa"/>
            <w:vAlign w:val="bottom"/>
          </w:tcPr>
          <w:p>
            <w:pPr>
              <w:spacing w:after="0"/>
              <w:rPr>
                <w:sz w:val="16"/>
                <w:szCs w:val="16"/>
                <w:color w:val="auto"/>
              </w:rPr>
            </w:pPr>
          </w:p>
        </w:tc>
        <w:tc>
          <w:tcPr>
            <w:tcW w:w="580" w:type="dxa"/>
            <w:vAlign w:val="bottom"/>
            <w:tcBorders>
              <w:right w:val="single" w:sz="8" w:color="auto"/>
            </w:tcBorders>
            <w:gridSpan w:val="2"/>
          </w:tcPr>
          <w:p>
            <w:pPr>
              <w:jc w:val="right"/>
              <w:ind w:right="20"/>
              <w:spacing w:after="0" w:line="189" w:lineRule="exact"/>
              <w:rPr>
                <w:sz w:val="20"/>
                <w:szCs w:val="20"/>
                <w:color w:val="auto"/>
              </w:rPr>
            </w:pPr>
            <w:r>
              <w:rPr>
                <w:rFonts w:ascii="Arial" w:cs="Arial" w:eastAsia="Arial" w:hAnsi="Arial"/>
                <w:sz w:val="18"/>
                <w:szCs w:val="18"/>
                <w:b w:val="1"/>
                <w:bCs w:val="1"/>
                <w:color w:val="auto"/>
                <w:w w:val="82"/>
              </w:rPr>
              <w:t>Section</w:t>
            </w:r>
          </w:p>
        </w:tc>
      </w:tr>
      <w:tr>
        <w:trPr>
          <w:trHeight w:val="41"/>
        </w:trPr>
        <w:tc>
          <w:tcPr>
            <w:tcW w:w="1100" w:type="dxa"/>
            <w:vAlign w:val="bottom"/>
            <w:tcBorders>
              <w:top w:val="single" w:sz="8" w:color="auto"/>
              <w:left w:val="single" w:sz="8" w:color="auto"/>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2540" w:type="dxa"/>
            <w:vAlign w:val="bottom"/>
            <w:tcBorders>
              <w:bottom w:val="single" w:sz="8" w:color="auto"/>
              <w:right w:val="single" w:sz="8" w:color="auto"/>
            </w:tcBorders>
          </w:tcPr>
          <w:p>
            <w:pPr>
              <w:spacing w:after="0"/>
              <w:rPr>
                <w:sz w:val="3"/>
                <w:szCs w:val="3"/>
                <w:color w:val="auto"/>
              </w:rPr>
            </w:pPr>
          </w:p>
        </w:tc>
        <w:tc>
          <w:tcPr>
            <w:tcW w:w="5020" w:type="dxa"/>
            <w:vAlign w:val="bottom"/>
            <w:tcBorders>
              <w:bottom w:val="single" w:sz="8" w:color="auto"/>
            </w:tcBorders>
          </w:tcPr>
          <w:p>
            <w:pPr>
              <w:spacing w:after="0"/>
              <w:rPr>
                <w:sz w:val="3"/>
                <w:szCs w:val="3"/>
                <w:color w:val="auto"/>
              </w:rPr>
            </w:pPr>
          </w:p>
        </w:tc>
        <w:tc>
          <w:tcPr>
            <w:tcW w:w="320" w:type="dxa"/>
            <w:vAlign w:val="bottom"/>
            <w:tcBorders>
              <w:top w:val="single" w:sz="8" w:color="auto"/>
              <w:bottom w:val="single" w:sz="8" w:color="auto"/>
            </w:tcBorders>
          </w:tcPr>
          <w:p>
            <w:pPr>
              <w:spacing w:after="0"/>
              <w:rPr>
                <w:sz w:val="3"/>
                <w:szCs w:val="3"/>
                <w:color w:val="auto"/>
              </w:rPr>
            </w:pPr>
          </w:p>
        </w:tc>
        <w:tc>
          <w:tcPr>
            <w:tcW w:w="260" w:type="dxa"/>
            <w:vAlign w:val="bottom"/>
            <w:tcBorders>
              <w:top w:val="single" w:sz="8" w:color="auto"/>
              <w:bottom w:val="single" w:sz="8" w:color="auto"/>
              <w:right w:val="single" w:sz="8" w:color="auto"/>
            </w:tcBorders>
          </w:tcPr>
          <w:p>
            <w:pPr>
              <w:spacing w:after="0"/>
              <w:rPr>
                <w:sz w:val="3"/>
                <w:szCs w:val="3"/>
                <w:color w:val="auto"/>
              </w:rPr>
            </w:pPr>
          </w:p>
        </w:tc>
      </w:tr>
      <w:tr>
        <w:trPr>
          <w:trHeight w:val="250"/>
        </w:trPr>
        <w:tc>
          <w:tcPr>
            <w:tcW w:w="310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Affiliate</w:t>
            </w:r>
          </w:p>
        </w:tc>
        <w:tc>
          <w:tcPr>
            <w:tcW w:w="2540" w:type="dxa"/>
            <w:vAlign w:val="bottom"/>
            <w:tcBorders>
              <w:bottom w:val="single" w:sz="8" w:color="auto"/>
              <w:right w:val="single" w:sz="8" w:color="auto"/>
            </w:tcBorders>
          </w:tcPr>
          <w:p>
            <w:pPr>
              <w:spacing w:after="0"/>
              <w:rPr>
                <w:sz w:val="21"/>
                <w:szCs w:val="21"/>
                <w:color w:val="auto"/>
              </w:rPr>
            </w:pPr>
          </w:p>
        </w:tc>
        <w:tc>
          <w:tcPr>
            <w:tcW w:w="5600" w:type="dxa"/>
            <w:vAlign w:val="bottom"/>
            <w:tcBorders>
              <w:bottom w:val="single" w:sz="8" w:color="auto"/>
              <w:right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Separation Agreement</w:t>
            </w:r>
          </w:p>
        </w:tc>
      </w:tr>
      <w:tr>
        <w:trPr>
          <w:trHeight w:val="250"/>
        </w:trPr>
        <w:tc>
          <w:tcPr>
            <w:tcW w:w="310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Agreement</w:t>
            </w:r>
          </w:p>
        </w:tc>
        <w:tc>
          <w:tcPr>
            <w:tcW w:w="2540" w:type="dxa"/>
            <w:vAlign w:val="bottom"/>
            <w:tcBorders>
              <w:bottom w:val="single" w:sz="8" w:color="auto"/>
              <w:right w:val="single" w:sz="8" w:color="auto"/>
            </w:tcBorders>
          </w:tcPr>
          <w:p>
            <w:pPr>
              <w:spacing w:after="0"/>
              <w:rPr>
                <w:sz w:val="21"/>
                <w:szCs w:val="21"/>
                <w:color w:val="auto"/>
              </w:rPr>
            </w:pPr>
          </w:p>
        </w:tc>
        <w:tc>
          <w:tcPr>
            <w:tcW w:w="5600" w:type="dxa"/>
            <w:vAlign w:val="bottom"/>
            <w:tcBorders>
              <w:bottom w:val="single" w:sz="8" w:color="auto"/>
              <w:right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Preamble</w:t>
            </w:r>
          </w:p>
        </w:tc>
      </w:tr>
      <w:tr>
        <w:trPr>
          <w:trHeight w:val="250"/>
        </w:trPr>
        <w:tc>
          <w:tcPr>
            <w:tcW w:w="310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Ancillary Agreements</w:t>
            </w:r>
          </w:p>
        </w:tc>
        <w:tc>
          <w:tcPr>
            <w:tcW w:w="2540" w:type="dxa"/>
            <w:vAlign w:val="bottom"/>
            <w:tcBorders>
              <w:bottom w:val="single" w:sz="8" w:color="auto"/>
              <w:right w:val="single" w:sz="8" w:color="auto"/>
            </w:tcBorders>
          </w:tcPr>
          <w:p>
            <w:pPr>
              <w:spacing w:after="0"/>
              <w:rPr>
                <w:sz w:val="21"/>
                <w:szCs w:val="21"/>
                <w:color w:val="auto"/>
              </w:rPr>
            </w:pPr>
          </w:p>
        </w:tc>
        <w:tc>
          <w:tcPr>
            <w:tcW w:w="5600" w:type="dxa"/>
            <w:vAlign w:val="bottom"/>
            <w:tcBorders>
              <w:bottom w:val="single" w:sz="8" w:color="auto"/>
              <w:right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Separation Agreement</w:t>
            </w:r>
          </w:p>
        </w:tc>
      </w:tr>
      <w:tr>
        <w:trPr>
          <w:trHeight w:val="250"/>
        </w:trPr>
        <w:tc>
          <w:tcPr>
            <w:tcW w:w="310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Contract</w:t>
            </w:r>
          </w:p>
        </w:tc>
        <w:tc>
          <w:tcPr>
            <w:tcW w:w="2540" w:type="dxa"/>
            <w:vAlign w:val="bottom"/>
            <w:tcBorders>
              <w:bottom w:val="single" w:sz="8" w:color="auto"/>
              <w:right w:val="single" w:sz="8" w:color="auto"/>
            </w:tcBorders>
          </w:tcPr>
          <w:p>
            <w:pPr>
              <w:spacing w:after="0"/>
              <w:rPr>
                <w:sz w:val="21"/>
                <w:szCs w:val="21"/>
                <w:color w:val="auto"/>
              </w:rPr>
            </w:pPr>
          </w:p>
        </w:tc>
        <w:tc>
          <w:tcPr>
            <w:tcW w:w="5600" w:type="dxa"/>
            <w:vAlign w:val="bottom"/>
            <w:tcBorders>
              <w:bottom w:val="single" w:sz="8" w:color="auto"/>
              <w:right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Separation Agreement</w:t>
            </w:r>
          </w:p>
        </w:tc>
      </w:tr>
      <w:tr>
        <w:trPr>
          <w:trHeight w:val="250"/>
        </w:trPr>
        <w:tc>
          <w:tcPr>
            <w:tcW w:w="310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Distribution Date</w:t>
            </w:r>
          </w:p>
        </w:tc>
        <w:tc>
          <w:tcPr>
            <w:tcW w:w="2540" w:type="dxa"/>
            <w:vAlign w:val="bottom"/>
            <w:tcBorders>
              <w:bottom w:val="single" w:sz="8" w:color="auto"/>
              <w:right w:val="single" w:sz="8" w:color="auto"/>
            </w:tcBorders>
          </w:tcPr>
          <w:p>
            <w:pPr>
              <w:spacing w:after="0"/>
              <w:rPr>
                <w:sz w:val="21"/>
                <w:szCs w:val="21"/>
                <w:color w:val="auto"/>
              </w:rPr>
            </w:pPr>
          </w:p>
        </w:tc>
        <w:tc>
          <w:tcPr>
            <w:tcW w:w="5600" w:type="dxa"/>
            <w:vAlign w:val="bottom"/>
            <w:tcBorders>
              <w:bottom w:val="single" w:sz="8" w:color="auto"/>
              <w:right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Separation Agreement</w:t>
            </w:r>
          </w:p>
        </w:tc>
      </w:tr>
      <w:tr>
        <w:trPr>
          <w:trHeight w:val="250"/>
        </w:trPr>
        <w:tc>
          <w:tcPr>
            <w:tcW w:w="310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Effective Date</w:t>
            </w:r>
          </w:p>
        </w:tc>
        <w:tc>
          <w:tcPr>
            <w:tcW w:w="2540" w:type="dxa"/>
            <w:vAlign w:val="bottom"/>
            <w:tcBorders>
              <w:bottom w:val="single" w:sz="8" w:color="auto"/>
              <w:right w:val="single" w:sz="8" w:color="auto"/>
            </w:tcBorders>
          </w:tcPr>
          <w:p>
            <w:pPr>
              <w:spacing w:after="0"/>
              <w:rPr>
                <w:sz w:val="21"/>
                <w:szCs w:val="21"/>
                <w:color w:val="auto"/>
              </w:rPr>
            </w:pPr>
          </w:p>
        </w:tc>
        <w:tc>
          <w:tcPr>
            <w:tcW w:w="5600" w:type="dxa"/>
            <w:vAlign w:val="bottom"/>
            <w:tcBorders>
              <w:bottom w:val="single" w:sz="8" w:color="auto"/>
              <w:right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Preamble</w:t>
            </w:r>
          </w:p>
        </w:tc>
      </w:tr>
      <w:tr>
        <w:trPr>
          <w:trHeight w:val="250"/>
        </w:trPr>
        <w:tc>
          <w:tcPr>
            <w:tcW w:w="310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Effective Time</w:t>
            </w:r>
          </w:p>
        </w:tc>
        <w:tc>
          <w:tcPr>
            <w:tcW w:w="2540" w:type="dxa"/>
            <w:vAlign w:val="bottom"/>
            <w:tcBorders>
              <w:bottom w:val="single" w:sz="8" w:color="auto"/>
              <w:right w:val="single" w:sz="8" w:color="auto"/>
            </w:tcBorders>
          </w:tcPr>
          <w:p>
            <w:pPr>
              <w:spacing w:after="0"/>
              <w:rPr>
                <w:sz w:val="21"/>
                <w:szCs w:val="21"/>
                <w:color w:val="auto"/>
              </w:rPr>
            </w:pPr>
          </w:p>
        </w:tc>
        <w:tc>
          <w:tcPr>
            <w:tcW w:w="5600" w:type="dxa"/>
            <w:vAlign w:val="bottom"/>
            <w:tcBorders>
              <w:bottom w:val="single" w:sz="8" w:color="auto"/>
              <w:right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Separation Agreement</w:t>
            </w:r>
          </w:p>
        </w:tc>
      </w:tr>
      <w:tr>
        <w:trPr>
          <w:trHeight w:val="250"/>
        </w:trPr>
        <w:tc>
          <w:tcPr>
            <w:tcW w:w="310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Governmental Entity</w:t>
            </w:r>
          </w:p>
        </w:tc>
        <w:tc>
          <w:tcPr>
            <w:tcW w:w="2540" w:type="dxa"/>
            <w:vAlign w:val="bottom"/>
            <w:tcBorders>
              <w:bottom w:val="single" w:sz="8" w:color="auto"/>
              <w:right w:val="single" w:sz="8" w:color="auto"/>
            </w:tcBorders>
          </w:tcPr>
          <w:p>
            <w:pPr>
              <w:spacing w:after="0"/>
              <w:rPr>
                <w:sz w:val="21"/>
                <w:szCs w:val="21"/>
                <w:color w:val="auto"/>
              </w:rPr>
            </w:pPr>
          </w:p>
        </w:tc>
        <w:tc>
          <w:tcPr>
            <w:tcW w:w="5600" w:type="dxa"/>
            <w:vAlign w:val="bottom"/>
            <w:tcBorders>
              <w:bottom w:val="single" w:sz="8" w:color="auto"/>
              <w:right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Separation Agreement</w:t>
            </w:r>
          </w:p>
        </w:tc>
      </w:tr>
      <w:tr>
        <w:trPr>
          <w:trHeight w:val="250"/>
        </w:trPr>
        <w:tc>
          <w:tcPr>
            <w:tcW w:w="310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Law</w:t>
            </w:r>
          </w:p>
        </w:tc>
        <w:tc>
          <w:tcPr>
            <w:tcW w:w="2540" w:type="dxa"/>
            <w:vAlign w:val="bottom"/>
            <w:tcBorders>
              <w:bottom w:val="single" w:sz="8" w:color="auto"/>
              <w:right w:val="single" w:sz="8" w:color="auto"/>
            </w:tcBorders>
          </w:tcPr>
          <w:p>
            <w:pPr>
              <w:spacing w:after="0"/>
              <w:rPr>
                <w:sz w:val="21"/>
                <w:szCs w:val="21"/>
                <w:color w:val="auto"/>
              </w:rPr>
            </w:pPr>
          </w:p>
        </w:tc>
        <w:tc>
          <w:tcPr>
            <w:tcW w:w="5600" w:type="dxa"/>
            <w:vAlign w:val="bottom"/>
            <w:tcBorders>
              <w:bottom w:val="single" w:sz="8" w:color="auto"/>
              <w:right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Separation Agreement</w:t>
            </w:r>
          </w:p>
        </w:tc>
      </w:tr>
      <w:tr>
        <w:trPr>
          <w:trHeight w:val="250"/>
        </w:trPr>
        <w:tc>
          <w:tcPr>
            <w:tcW w:w="310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Liabilities</w:t>
            </w:r>
          </w:p>
        </w:tc>
        <w:tc>
          <w:tcPr>
            <w:tcW w:w="2540" w:type="dxa"/>
            <w:vAlign w:val="bottom"/>
            <w:tcBorders>
              <w:bottom w:val="single" w:sz="8" w:color="auto"/>
              <w:right w:val="single" w:sz="8" w:color="auto"/>
            </w:tcBorders>
          </w:tcPr>
          <w:p>
            <w:pPr>
              <w:spacing w:after="0"/>
              <w:rPr>
                <w:sz w:val="21"/>
                <w:szCs w:val="21"/>
                <w:color w:val="auto"/>
              </w:rPr>
            </w:pPr>
          </w:p>
        </w:tc>
        <w:tc>
          <w:tcPr>
            <w:tcW w:w="5600" w:type="dxa"/>
            <w:vAlign w:val="bottom"/>
            <w:tcBorders>
              <w:bottom w:val="single" w:sz="8" w:color="auto"/>
              <w:right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Separation Agreement</w:t>
            </w:r>
          </w:p>
        </w:tc>
      </w:tr>
      <w:tr>
        <w:trPr>
          <w:trHeight w:val="250"/>
        </w:trPr>
        <w:tc>
          <w:tcPr>
            <w:tcW w:w="310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Party(ies)</w:t>
            </w:r>
          </w:p>
        </w:tc>
        <w:tc>
          <w:tcPr>
            <w:tcW w:w="2540" w:type="dxa"/>
            <w:vAlign w:val="bottom"/>
            <w:tcBorders>
              <w:bottom w:val="single" w:sz="8" w:color="auto"/>
              <w:right w:val="single" w:sz="8" w:color="auto"/>
            </w:tcBorders>
          </w:tcPr>
          <w:p>
            <w:pPr>
              <w:spacing w:after="0"/>
              <w:rPr>
                <w:sz w:val="21"/>
                <w:szCs w:val="21"/>
                <w:color w:val="auto"/>
              </w:rPr>
            </w:pPr>
          </w:p>
        </w:tc>
        <w:tc>
          <w:tcPr>
            <w:tcW w:w="5600" w:type="dxa"/>
            <w:vAlign w:val="bottom"/>
            <w:tcBorders>
              <w:bottom w:val="single" w:sz="8" w:color="auto"/>
              <w:right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Preamble</w:t>
            </w:r>
          </w:p>
        </w:tc>
      </w:tr>
      <w:tr>
        <w:trPr>
          <w:trHeight w:val="250"/>
        </w:trPr>
        <w:tc>
          <w:tcPr>
            <w:tcW w:w="310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Person</w:t>
            </w:r>
          </w:p>
        </w:tc>
        <w:tc>
          <w:tcPr>
            <w:tcW w:w="2540" w:type="dxa"/>
            <w:vAlign w:val="bottom"/>
            <w:tcBorders>
              <w:bottom w:val="single" w:sz="8" w:color="auto"/>
              <w:right w:val="single" w:sz="8" w:color="auto"/>
            </w:tcBorders>
          </w:tcPr>
          <w:p>
            <w:pPr>
              <w:spacing w:after="0"/>
              <w:rPr>
                <w:sz w:val="21"/>
                <w:szCs w:val="21"/>
                <w:color w:val="auto"/>
              </w:rPr>
            </w:pPr>
          </w:p>
        </w:tc>
        <w:tc>
          <w:tcPr>
            <w:tcW w:w="5600" w:type="dxa"/>
            <w:vAlign w:val="bottom"/>
            <w:tcBorders>
              <w:bottom w:val="single" w:sz="8" w:color="auto"/>
              <w:right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Separation Agreement</w:t>
            </w:r>
          </w:p>
        </w:tc>
      </w:tr>
      <w:tr>
        <w:trPr>
          <w:trHeight w:val="250"/>
        </w:trPr>
        <w:tc>
          <w:tcPr>
            <w:tcW w:w="310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Separation</w:t>
            </w:r>
          </w:p>
        </w:tc>
        <w:tc>
          <w:tcPr>
            <w:tcW w:w="2540" w:type="dxa"/>
            <w:vAlign w:val="bottom"/>
            <w:tcBorders>
              <w:bottom w:val="single" w:sz="8" w:color="auto"/>
              <w:right w:val="single" w:sz="8" w:color="auto"/>
            </w:tcBorders>
          </w:tcPr>
          <w:p>
            <w:pPr>
              <w:spacing w:after="0"/>
              <w:rPr>
                <w:sz w:val="21"/>
                <w:szCs w:val="21"/>
                <w:color w:val="auto"/>
              </w:rPr>
            </w:pPr>
          </w:p>
        </w:tc>
        <w:tc>
          <w:tcPr>
            <w:tcW w:w="5600" w:type="dxa"/>
            <w:vAlign w:val="bottom"/>
            <w:tcBorders>
              <w:bottom w:val="single" w:sz="8" w:color="auto"/>
              <w:right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Recitals</w:t>
            </w:r>
          </w:p>
        </w:tc>
      </w:tr>
      <w:tr>
        <w:trPr>
          <w:trHeight w:val="250"/>
        </w:trPr>
        <w:tc>
          <w:tcPr>
            <w:tcW w:w="310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Separation Agreement</w:t>
            </w:r>
          </w:p>
        </w:tc>
        <w:tc>
          <w:tcPr>
            <w:tcW w:w="2540" w:type="dxa"/>
            <w:vAlign w:val="bottom"/>
            <w:tcBorders>
              <w:bottom w:val="single" w:sz="8" w:color="auto"/>
              <w:right w:val="single" w:sz="8" w:color="auto"/>
            </w:tcBorders>
          </w:tcPr>
          <w:p>
            <w:pPr>
              <w:spacing w:after="0"/>
              <w:rPr>
                <w:sz w:val="21"/>
                <w:szCs w:val="21"/>
                <w:color w:val="auto"/>
              </w:rPr>
            </w:pPr>
          </w:p>
        </w:tc>
        <w:tc>
          <w:tcPr>
            <w:tcW w:w="5600" w:type="dxa"/>
            <w:vAlign w:val="bottom"/>
            <w:tcBorders>
              <w:bottom w:val="single" w:sz="8" w:color="auto"/>
              <w:right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Recitals</w:t>
            </w:r>
          </w:p>
        </w:tc>
      </w:tr>
      <w:tr>
        <w:trPr>
          <w:trHeight w:val="250"/>
        </w:trPr>
        <w:tc>
          <w:tcPr>
            <w:tcW w:w="310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Spin-Off</w:t>
            </w:r>
          </w:p>
        </w:tc>
        <w:tc>
          <w:tcPr>
            <w:tcW w:w="2540" w:type="dxa"/>
            <w:vAlign w:val="bottom"/>
            <w:tcBorders>
              <w:bottom w:val="single" w:sz="8" w:color="auto"/>
              <w:right w:val="single" w:sz="8" w:color="auto"/>
            </w:tcBorders>
          </w:tcPr>
          <w:p>
            <w:pPr>
              <w:spacing w:after="0"/>
              <w:rPr>
                <w:sz w:val="21"/>
                <w:szCs w:val="21"/>
                <w:color w:val="auto"/>
              </w:rPr>
            </w:pPr>
          </w:p>
        </w:tc>
        <w:tc>
          <w:tcPr>
            <w:tcW w:w="5600" w:type="dxa"/>
            <w:vAlign w:val="bottom"/>
            <w:tcBorders>
              <w:bottom w:val="single" w:sz="8" w:color="auto"/>
              <w:right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Recitals</w:t>
            </w:r>
          </w:p>
        </w:tc>
      </w:tr>
      <w:tr>
        <w:trPr>
          <w:trHeight w:val="250"/>
        </w:trPr>
        <w:tc>
          <w:tcPr>
            <w:tcW w:w="310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Subsidiary</w:t>
            </w:r>
          </w:p>
        </w:tc>
        <w:tc>
          <w:tcPr>
            <w:tcW w:w="2540" w:type="dxa"/>
            <w:vAlign w:val="bottom"/>
            <w:tcBorders>
              <w:bottom w:val="single" w:sz="8" w:color="auto"/>
              <w:right w:val="single" w:sz="8" w:color="auto"/>
            </w:tcBorders>
          </w:tcPr>
          <w:p>
            <w:pPr>
              <w:spacing w:after="0"/>
              <w:rPr>
                <w:sz w:val="21"/>
                <w:szCs w:val="21"/>
                <w:color w:val="auto"/>
              </w:rPr>
            </w:pPr>
          </w:p>
        </w:tc>
        <w:tc>
          <w:tcPr>
            <w:tcW w:w="5600" w:type="dxa"/>
            <w:vAlign w:val="bottom"/>
            <w:tcBorders>
              <w:bottom w:val="single" w:sz="8" w:color="auto"/>
              <w:right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Separation Agreement</w:t>
            </w:r>
          </w:p>
        </w:tc>
      </w:tr>
      <w:tr>
        <w:trPr>
          <w:trHeight w:val="250"/>
        </w:trPr>
        <w:tc>
          <w:tcPr>
            <w:tcW w:w="310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TEN</w:t>
            </w:r>
          </w:p>
        </w:tc>
        <w:tc>
          <w:tcPr>
            <w:tcW w:w="2540" w:type="dxa"/>
            <w:vAlign w:val="bottom"/>
            <w:tcBorders>
              <w:bottom w:val="single" w:sz="8" w:color="auto"/>
              <w:right w:val="single" w:sz="8" w:color="auto"/>
            </w:tcBorders>
          </w:tcPr>
          <w:p>
            <w:pPr>
              <w:spacing w:after="0"/>
              <w:rPr>
                <w:sz w:val="21"/>
                <w:szCs w:val="21"/>
                <w:color w:val="auto"/>
              </w:rPr>
            </w:pPr>
          </w:p>
        </w:tc>
        <w:tc>
          <w:tcPr>
            <w:tcW w:w="5600" w:type="dxa"/>
            <w:vAlign w:val="bottom"/>
            <w:tcBorders>
              <w:bottom w:val="single" w:sz="8" w:color="auto"/>
              <w:right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Preamble</w:t>
            </w:r>
          </w:p>
        </w:tc>
      </w:tr>
      <w:tr>
        <w:trPr>
          <w:trHeight w:val="250"/>
        </w:trPr>
        <w:tc>
          <w:tcPr>
            <w:tcW w:w="310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TEN Business</w:t>
            </w:r>
          </w:p>
        </w:tc>
        <w:tc>
          <w:tcPr>
            <w:tcW w:w="2540" w:type="dxa"/>
            <w:vAlign w:val="bottom"/>
            <w:tcBorders>
              <w:bottom w:val="single" w:sz="8" w:color="auto"/>
              <w:right w:val="single" w:sz="8" w:color="auto"/>
            </w:tcBorders>
          </w:tcPr>
          <w:p>
            <w:pPr>
              <w:spacing w:after="0"/>
              <w:rPr>
                <w:sz w:val="21"/>
                <w:szCs w:val="21"/>
                <w:color w:val="auto"/>
              </w:rPr>
            </w:pPr>
          </w:p>
        </w:tc>
        <w:tc>
          <w:tcPr>
            <w:tcW w:w="5600" w:type="dxa"/>
            <w:vAlign w:val="bottom"/>
            <w:tcBorders>
              <w:bottom w:val="single" w:sz="8" w:color="auto"/>
              <w:right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Separation Agreement</w:t>
            </w:r>
          </w:p>
        </w:tc>
      </w:tr>
      <w:tr>
        <w:trPr>
          <w:trHeight w:val="250"/>
        </w:trPr>
        <w:tc>
          <w:tcPr>
            <w:tcW w:w="310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TEN Marks</w:t>
            </w:r>
          </w:p>
        </w:tc>
        <w:tc>
          <w:tcPr>
            <w:tcW w:w="2540" w:type="dxa"/>
            <w:vAlign w:val="bottom"/>
            <w:tcBorders>
              <w:bottom w:val="single" w:sz="8" w:color="auto"/>
              <w:right w:val="single" w:sz="8" w:color="auto"/>
            </w:tcBorders>
          </w:tcPr>
          <w:p>
            <w:pPr>
              <w:spacing w:after="0"/>
              <w:rPr>
                <w:sz w:val="21"/>
                <w:szCs w:val="21"/>
                <w:color w:val="auto"/>
              </w:rPr>
            </w:pPr>
          </w:p>
        </w:tc>
        <w:tc>
          <w:tcPr>
            <w:tcW w:w="5600" w:type="dxa"/>
            <w:vAlign w:val="bottom"/>
            <w:tcBorders>
              <w:bottom w:val="single" w:sz="8" w:color="auto"/>
              <w:right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Separation Agreement</w:t>
            </w:r>
          </w:p>
        </w:tc>
      </w:tr>
      <w:tr>
        <w:trPr>
          <w:trHeight w:val="250"/>
        </w:trPr>
        <w:tc>
          <w:tcPr>
            <w:tcW w:w="310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TEN Restricted Activities</w:t>
            </w:r>
          </w:p>
        </w:tc>
        <w:tc>
          <w:tcPr>
            <w:tcW w:w="2540" w:type="dxa"/>
            <w:vAlign w:val="bottom"/>
            <w:tcBorders>
              <w:bottom w:val="single" w:sz="8" w:color="auto"/>
              <w:right w:val="single" w:sz="8" w:color="auto"/>
            </w:tcBorders>
          </w:tcPr>
          <w:p>
            <w:pPr>
              <w:spacing w:after="0"/>
              <w:rPr>
                <w:sz w:val="21"/>
                <w:szCs w:val="21"/>
                <w:color w:val="auto"/>
              </w:rPr>
            </w:pPr>
          </w:p>
        </w:tc>
        <w:tc>
          <w:tcPr>
            <w:tcW w:w="5600" w:type="dxa"/>
            <w:vAlign w:val="bottom"/>
            <w:tcBorders>
              <w:bottom w:val="single" w:sz="8" w:color="auto"/>
              <w:right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Separation Agreement</w:t>
            </w:r>
          </w:p>
        </w:tc>
      </w:tr>
      <w:tr>
        <w:trPr>
          <w:trHeight w:val="250"/>
        </w:trPr>
        <w:tc>
          <w:tcPr>
            <w:tcW w:w="310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TFMC Business</w:t>
            </w:r>
          </w:p>
        </w:tc>
        <w:tc>
          <w:tcPr>
            <w:tcW w:w="2540" w:type="dxa"/>
            <w:vAlign w:val="bottom"/>
            <w:tcBorders>
              <w:bottom w:val="single" w:sz="8" w:color="auto"/>
              <w:right w:val="single" w:sz="8" w:color="auto"/>
            </w:tcBorders>
          </w:tcPr>
          <w:p>
            <w:pPr>
              <w:spacing w:after="0"/>
              <w:rPr>
                <w:sz w:val="21"/>
                <w:szCs w:val="21"/>
                <w:color w:val="auto"/>
              </w:rPr>
            </w:pPr>
          </w:p>
        </w:tc>
        <w:tc>
          <w:tcPr>
            <w:tcW w:w="5600" w:type="dxa"/>
            <w:vAlign w:val="bottom"/>
            <w:tcBorders>
              <w:bottom w:val="single" w:sz="8" w:color="auto"/>
              <w:right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Separation Agreement</w:t>
            </w:r>
          </w:p>
        </w:tc>
      </w:tr>
      <w:tr>
        <w:trPr>
          <w:trHeight w:val="189"/>
        </w:trPr>
        <w:tc>
          <w:tcPr>
            <w:tcW w:w="3100" w:type="dxa"/>
            <w:vAlign w:val="bottom"/>
            <w:tcBorders>
              <w:left w:val="single" w:sz="8" w:color="auto"/>
            </w:tcBorders>
            <w:gridSpan w:val="2"/>
          </w:tcPr>
          <w:p>
            <w:pPr>
              <w:ind w:left="40"/>
              <w:spacing w:after="0" w:line="189" w:lineRule="exact"/>
              <w:rPr>
                <w:sz w:val="20"/>
                <w:szCs w:val="20"/>
                <w:color w:val="auto"/>
              </w:rPr>
            </w:pPr>
            <w:r>
              <w:rPr>
                <w:rFonts w:ascii="Arial" w:cs="Arial" w:eastAsia="Arial" w:hAnsi="Arial"/>
                <w:sz w:val="18"/>
                <w:szCs w:val="18"/>
                <w:color w:val="auto"/>
              </w:rPr>
              <w:t>TFMC Indemnitees</w:t>
            </w:r>
          </w:p>
        </w:tc>
        <w:tc>
          <w:tcPr>
            <w:tcW w:w="254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gridSpan w:val="3"/>
          </w:tcPr>
          <w:p>
            <w:pPr>
              <w:jc w:val="right"/>
              <w:ind w:right="20"/>
              <w:spacing w:after="0" w:line="189" w:lineRule="exact"/>
              <w:rPr>
                <w:sz w:val="20"/>
                <w:szCs w:val="20"/>
                <w:color w:val="auto"/>
              </w:rPr>
            </w:pPr>
            <w:r>
              <w:rPr>
                <w:rFonts w:ascii="Arial" w:cs="Arial" w:eastAsia="Arial" w:hAnsi="Arial"/>
                <w:sz w:val="18"/>
                <w:szCs w:val="18"/>
                <w:color w:val="auto"/>
              </w:rPr>
              <w:t xml:space="preserve">Section </w:t>
            </w:r>
            <w:r>
              <w:rPr>
                <w:rFonts w:ascii="Arial" w:cs="Arial" w:eastAsia="Arial" w:hAnsi="Arial"/>
                <w:sz w:val="18"/>
                <w:szCs w:val="18"/>
                <w:color w:val="0000EE"/>
              </w:rPr>
              <w:t>4.3</w:t>
            </w:r>
          </w:p>
        </w:tc>
      </w:tr>
      <w:tr>
        <w:trPr>
          <w:trHeight w:val="41"/>
        </w:trPr>
        <w:tc>
          <w:tcPr>
            <w:tcW w:w="1100" w:type="dxa"/>
            <w:vAlign w:val="bottom"/>
            <w:tcBorders>
              <w:left w:val="single" w:sz="8" w:color="auto"/>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2540" w:type="dxa"/>
            <w:vAlign w:val="bottom"/>
            <w:tcBorders>
              <w:bottom w:val="single" w:sz="8" w:color="auto"/>
              <w:right w:val="single" w:sz="8" w:color="auto"/>
            </w:tcBorders>
          </w:tcPr>
          <w:p>
            <w:pPr>
              <w:spacing w:after="0"/>
              <w:rPr>
                <w:sz w:val="3"/>
                <w:szCs w:val="3"/>
                <w:color w:val="auto"/>
              </w:rPr>
            </w:pPr>
          </w:p>
        </w:tc>
        <w:tc>
          <w:tcPr>
            <w:tcW w:w="50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60" w:type="dxa"/>
            <w:vAlign w:val="bottom"/>
            <w:tcBorders>
              <w:top w:val="single" w:sz="8" w:color="0000EE"/>
              <w:bottom w:val="single" w:sz="8" w:color="auto"/>
              <w:right w:val="single" w:sz="8" w:color="auto"/>
            </w:tcBorders>
          </w:tcPr>
          <w:p>
            <w:pPr>
              <w:spacing w:after="0"/>
              <w:rPr>
                <w:sz w:val="3"/>
                <w:szCs w:val="3"/>
                <w:color w:val="auto"/>
              </w:rPr>
            </w:pPr>
          </w:p>
        </w:tc>
      </w:tr>
      <w:tr>
        <w:trPr>
          <w:trHeight w:val="250"/>
        </w:trPr>
        <w:tc>
          <w:tcPr>
            <w:tcW w:w="310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TFMC Marks</w:t>
            </w:r>
          </w:p>
        </w:tc>
        <w:tc>
          <w:tcPr>
            <w:tcW w:w="2540" w:type="dxa"/>
            <w:vAlign w:val="bottom"/>
            <w:tcBorders>
              <w:bottom w:val="single" w:sz="8" w:color="auto"/>
              <w:right w:val="single" w:sz="8" w:color="auto"/>
            </w:tcBorders>
          </w:tcPr>
          <w:p>
            <w:pPr>
              <w:spacing w:after="0"/>
              <w:rPr>
                <w:sz w:val="21"/>
                <w:szCs w:val="21"/>
                <w:color w:val="auto"/>
              </w:rPr>
            </w:pPr>
          </w:p>
        </w:tc>
        <w:tc>
          <w:tcPr>
            <w:tcW w:w="5600" w:type="dxa"/>
            <w:vAlign w:val="bottom"/>
            <w:tcBorders>
              <w:bottom w:val="single" w:sz="8" w:color="auto"/>
              <w:right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Recitals</w:t>
            </w:r>
          </w:p>
        </w:tc>
      </w:tr>
      <w:tr>
        <w:trPr>
          <w:trHeight w:val="250"/>
        </w:trPr>
        <w:tc>
          <w:tcPr>
            <w:tcW w:w="310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TFMC Restricted Activities</w:t>
            </w:r>
          </w:p>
        </w:tc>
        <w:tc>
          <w:tcPr>
            <w:tcW w:w="2540" w:type="dxa"/>
            <w:vAlign w:val="bottom"/>
            <w:tcBorders>
              <w:bottom w:val="single" w:sz="8" w:color="auto"/>
              <w:right w:val="single" w:sz="8" w:color="auto"/>
            </w:tcBorders>
          </w:tcPr>
          <w:p>
            <w:pPr>
              <w:spacing w:after="0"/>
              <w:rPr>
                <w:sz w:val="21"/>
                <w:szCs w:val="21"/>
                <w:color w:val="auto"/>
              </w:rPr>
            </w:pPr>
          </w:p>
        </w:tc>
        <w:tc>
          <w:tcPr>
            <w:tcW w:w="5600" w:type="dxa"/>
            <w:vAlign w:val="bottom"/>
            <w:tcBorders>
              <w:bottom w:val="single" w:sz="8" w:color="auto"/>
              <w:right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Separation Agreement</w:t>
            </w:r>
          </w:p>
        </w:tc>
      </w:tr>
      <w:tr>
        <w:trPr>
          <w:trHeight w:val="189"/>
        </w:trPr>
        <w:tc>
          <w:tcPr>
            <w:tcW w:w="3100" w:type="dxa"/>
            <w:vAlign w:val="bottom"/>
            <w:tcBorders>
              <w:left w:val="single" w:sz="8" w:color="auto"/>
            </w:tcBorders>
            <w:gridSpan w:val="2"/>
          </w:tcPr>
          <w:p>
            <w:pPr>
              <w:ind w:left="40"/>
              <w:spacing w:after="0" w:line="189" w:lineRule="exact"/>
              <w:rPr>
                <w:sz w:val="20"/>
                <w:szCs w:val="20"/>
                <w:color w:val="auto"/>
              </w:rPr>
            </w:pPr>
            <w:r>
              <w:rPr>
                <w:rFonts w:ascii="Arial" w:cs="Arial" w:eastAsia="Arial" w:hAnsi="Arial"/>
                <w:sz w:val="18"/>
                <w:szCs w:val="18"/>
                <w:color w:val="auto"/>
              </w:rPr>
              <w:t>Term</w:t>
            </w:r>
          </w:p>
        </w:tc>
        <w:tc>
          <w:tcPr>
            <w:tcW w:w="254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gridSpan w:val="3"/>
          </w:tcPr>
          <w:p>
            <w:pPr>
              <w:jc w:val="right"/>
              <w:ind w:right="20"/>
              <w:spacing w:after="0" w:line="189" w:lineRule="exact"/>
              <w:rPr>
                <w:sz w:val="20"/>
                <w:szCs w:val="20"/>
                <w:color w:val="auto"/>
              </w:rPr>
            </w:pPr>
            <w:r>
              <w:rPr>
                <w:rFonts w:ascii="Arial" w:cs="Arial" w:eastAsia="Arial" w:hAnsi="Arial"/>
                <w:sz w:val="18"/>
                <w:szCs w:val="18"/>
                <w:color w:val="auto"/>
              </w:rPr>
              <w:t xml:space="preserve">Section </w:t>
            </w:r>
            <w:r>
              <w:rPr>
                <w:rFonts w:ascii="Arial" w:cs="Arial" w:eastAsia="Arial" w:hAnsi="Arial"/>
                <w:sz w:val="18"/>
                <w:szCs w:val="18"/>
                <w:color w:val="0000EE"/>
              </w:rPr>
              <w:t>5.1</w:t>
            </w:r>
          </w:p>
        </w:tc>
      </w:tr>
      <w:tr>
        <w:trPr>
          <w:trHeight w:val="41"/>
        </w:trPr>
        <w:tc>
          <w:tcPr>
            <w:tcW w:w="1100" w:type="dxa"/>
            <w:vAlign w:val="bottom"/>
            <w:tcBorders>
              <w:left w:val="single" w:sz="8" w:color="auto"/>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2540" w:type="dxa"/>
            <w:vAlign w:val="bottom"/>
            <w:tcBorders>
              <w:bottom w:val="single" w:sz="8" w:color="auto"/>
              <w:right w:val="single" w:sz="8" w:color="auto"/>
            </w:tcBorders>
          </w:tcPr>
          <w:p>
            <w:pPr>
              <w:spacing w:after="0"/>
              <w:rPr>
                <w:sz w:val="3"/>
                <w:szCs w:val="3"/>
                <w:color w:val="auto"/>
              </w:rPr>
            </w:pPr>
          </w:p>
        </w:tc>
        <w:tc>
          <w:tcPr>
            <w:tcW w:w="50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60" w:type="dxa"/>
            <w:vAlign w:val="bottom"/>
            <w:tcBorders>
              <w:top w:val="single" w:sz="8" w:color="0000EE"/>
              <w:bottom w:val="single" w:sz="8" w:color="auto"/>
              <w:right w:val="single" w:sz="8" w:color="auto"/>
            </w:tcBorders>
          </w:tcPr>
          <w:p>
            <w:pPr>
              <w:spacing w:after="0"/>
              <w:rPr>
                <w:sz w:val="3"/>
                <w:szCs w:val="3"/>
                <w:color w:val="auto"/>
              </w:rPr>
            </w:pPr>
          </w:p>
        </w:tc>
      </w:tr>
      <w:tr>
        <w:trPr>
          <w:trHeight w:val="601"/>
        </w:trPr>
        <w:tc>
          <w:tcPr>
            <w:tcW w:w="11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2" w:right="339" w:bottom="1440" w:gutter="0" w:footer="0" w:header="0"/>
        </w:sectPr>
      </w:pPr>
    </w:p>
    <w:bookmarkStart w:id="177" w:name="page178"/>
    <w:bookmarkEnd w:id="177"/>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10.6</w:t>
      </w:r>
    </w:p>
    <w:p>
      <w:pPr>
        <w:spacing w:after="0" w:line="239"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CREDIT AGREEMENT</w:t>
      </w: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dated as of</w:t>
      </w: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February 16, 2021</w:t>
      </w: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among</w:t>
      </w: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TECHNIPFMC PLC</w:t>
      </w: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and</w:t>
      </w: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FMC TECHNOLOGIES, INC.,</w:t>
      </w:r>
    </w:p>
    <w:p>
      <w:pPr>
        <w:spacing w:after="0" w:line="8"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as the Borrowers,</w:t>
      </w:r>
    </w:p>
    <w:p>
      <w:pPr>
        <w:spacing w:after="0" w:line="215"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The Lenders and Issuing Banks Party Hereto,</w:t>
      </w: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and</w:t>
      </w: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JPMORGAN CHASE BANK, N.A.,</w:t>
      </w:r>
    </w:p>
    <w:p>
      <w:pPr>
        <w:spacing w:after="0" w:line="8"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149860</wp:posOffset>
            </wp:positionV>
            <wp:extent cx="214312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JPMORGAN CHASE BANK, N.A.,</w:t>
      </w:r>
    </w:p>
    <w:p>
      <w:pPr>
        <w:jc w:val="center"/>
        <w:ind w:right="1120"/>
        <w:spacing w:after="0" w:line="238" w:lineRule="auto"/>
        <w:rPr>
          <w:sz w:val="20"/>
          <w:szCs w:val="20"/>
          <w:color w:val="auto"/>
        </w:rPr>
      </w:pPr>
      <w:r>
        <w:rPr>
          <w:rFonts w:ascii="Arial" w:cs="Arial" w:eastAsia="Arial" w:hAnsi="Arial"/>
          <w:sz w:val="22"/>
          <w:szCs w:val="22"/>
          <w:color w:val="auto"/>
        </w:rPr>
        <w:t>CITIGROUP GLOBAL MARKETS INC.,</w:t>
      </w:r>
    </w:p>
    <w:p>
      <w:pPr>
        <w:jc w:val="center"/>
        <w:ind w:right="1120"/>
        <w:spacing w:after="0" w:line="230" w:lineRule="auto"/>
        <w:rPr>
          <w:sz w:val="20"/>
          <w:szCs w:val="20"/>
          <w:color w:val="auto"/>
        </w:rPr>
      </w:pPr>
      <w:r>
        <w:rPr>
          <w:rFonts w:ascii="Arial" w:cs="Arial" w:eastAsia="Arial" w:hAnsi="Arial"/>
          <w:sz w:val="22"/>
          <w:szCs w:val="22"/>
          <w:color w:val="auto"/>
        </w:rPr>
        <w:t>DNB MARKETS, INC.,</w:t>
      </w:r>
    </w:p>
    <w:p>
      <w:pPr>
        <w:jc w:val="center"/>
        <w:ind w:right="1120"/>
        <w:spacing w:after="0" w:line="231" w:lineRule="auto"/>
        <w:rPr>
          <w:sz w:val="20"/>
          <w:szCs w:val="20"/>
          <w:color w:val="auto"/>
        </w:rPr>
      </w:pPr>
      <w:r>
        <w:rPr>
          <w:rFonts w:ascii="Arial" w:cs="Arial" w:eastAsia="Arial" w:hAnsi="Arial"/>
          <w:sz w:val="22"/>
          <w:szCs w:val="22"/>
          <w:color w:val="auto"/>
        </w:rPr>
        <w:t>SOCIETE GENERALE,</w:t>
      </w:r>
    </w:p>
    <w:p>
      <w:pPr>
        <w:jc w:val="center"/>
        <w:ind w:right="1120"/>
        <w:spacing w:after="0"/>
        <w:rPr>
          <w:sz w:val="20"/>
          <w:szCs w:val="20"/>
          <w:color w:val="auto"/>
        </w:rPr>
      </w:pPr>
      <w:r>
        <w:rPr>
          <w:rFonts w:ascii="Arial" w:cs="Arial" w:eastAsia="Arial" w:hAnsi="Arial"/>
          <w:sz w:val="21"/>
          <w:szCs w:val="21"/>
          <w:color w:val="auto"/>
        </w:rPr>
        <w:t>SUMITOMO MITSUI BANKING CORPORATION,</w:t>
      </w:r>
    </w:p>
    <w:p>
      <w:pPr>
        <w:jc w:val="center"/>
        <w:ind w:right="1120"/>
        <w:spacing w:after="0" w:line="231" w:lineRule="auto"/>
        <w:rPr>
          <w:sz w:val="20"/>
          <w:szCs w:val="20"/>
          <w:color w:val="auto"/>
        </w:rPr>
      </w:pPr>
      <w:r>
        <w:rPr>
          <w:rFonts w:ascii="Arial" w:cs="Arial" w:eastAsia="Arial" w:hAnsi="Arial"/>
          <w:sz w:val="22"/>
          <w:szCs w:val="22"/>
          <w:color w:val="auto"/>
        </w:rPr>
        <w:t>WELLS FARGO SECURITIES, LLC, and</w:t>
      </w:r>
    </w:p>
    <w:p>
      <w:pPr>
        <w:jc w:val="center"/>
        <w:ind w:right="1120"/>
        <w:spacing w:after="0" w:line="231" w:lineRule="auto"/>
        <w:rPr>
          <w:sz w:val="20"/>
          <w:szCs w:val="20"/>
          <w:color w:val="auto"/>
        </w:rPr>
      </w:pPr>
      <w:r>
        <w:rPr>
          <w:rFonts w:ascii="Arial" w:cs="Arial" w:eastAsia="Arial" w:hAnsi="Arial"/>
          <w:sz w:val="22"/>
          <w:szCs w:val="22"/>
          <w:color w:val="auto"/>
        </w:rPr>
        <w:t>BOFA SECURITIES, INC.</w:t>
      </w:r>
    </w:p>
    <w:p>
      <w:pPr>
        <w:spacing w:after="0" w:line="1"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as Joint Lead Arrangers and Joint Bookrunners</w:t>
      </w:r>
    </w:p>
    <w:p>
      <w:pPr>
        <w:spacing w:after="0" w:line="215"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and</w:t>
      </w: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STANDARD CHARTERED BANK,</w:t>
      </w:r>
    </w:p>
    <w:p>
      <w:pPr>
        <w:spacing w:after="0" w:line="8"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as Documentation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261620</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74" w:right="339" w:bottom="1440" w:gutter="0" w:footer="0" w:header="0"/>
        </w:sectPr>
      </w:pPr>
    </w:p>
    <w:bookmarkStart w:id="178" w:name="page179"/>
    <w:bookmarkEnd w:id="178"/>
    <w:p>
      <w:pPr>
        <w:jc w:val="center"/>
        <w:spacing w:after="0"/>
        <w:rPr>
          <w:sz w:val="20"/>
          <w:szCs w:val="20"/>
          <w:color w:val="auto"/>
        </w:rPr>
      </w:pPr>
      <w:r>
        <w:rPr>
          <w:rFonts w:ascii="Arial" w:cs="Arial" w:eastAsia="Arial" w:hAnsi="Arial"/>
          <w:sz w:val="22"/>
          <w:szCs w:val="22"/>
          <w:u w:val="single" w:color="auto"/>
          <w:color w:val="auto"/>
        </w:rPr>
        <w:t>TABLE OF CONTENTS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p>
        </w:tc>
        <w:tc>
          <w:tcPr>
            <w:tcW w:w="7940" w:type="dxa"/>
            <w:vAlign w:val="bottom"/>
          </w:tcPr>
          <w:p>
            <w:pPr>
              <w:spacing w:after="0"/>
              <w:rPr>
                <w:sz w:val="20"/>
                <w:szCs w:val="20"/>
                <w:color w:val="auto"/>
              </w:rPr>
            </w:pPr>
          </w:p>
        </w:tc>
        <w:tc>
          <w:tcPr>
            <w:tcW w:w="1880" w:type="dxa"/>
            <w:vAlign w:val="bottom"/>
            <w:gridSpan w:val="2"/>
          </w:tcPr>
          <w:p>
            <w:pPr>
              <w:ind w:left="150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432"/>
        </w:trPr>
        <w:tc>
          <w:tcPr>
            <w:tcW w:w="1440" w:type="dxa"/>
            <w:vAlign w:val="bottom"/>
          </w:tcPr>
          <w:p>
            <w:pPr>
              <w:spacing w:after="0"/>
              <w:rPr>
                <w:sz w:val="24"/>
                <w:szCs w:val="24"/>
                <w:color w:val="auto"/>
              </w:rPr>
            </w:pPr>
          </w:p>
        </w:tc>
        <w:tc>
          <w:tcPr>
            <w:tcW w:w="7940" w:type="dxa"/>
            <w:vAlign w:val="bottom"/>
          </w:tcPr>
          <w:p>
            <w:pPr>
              <w:jc w:val="center"/>
              <w:ind w:left="350"/>
              <w:spacing w:after="0"/>
              <w:rPr>
                <w:sz w:val="20"/>
                <w:szCs w:val="20"/>
                <w:color w:val="auto"/>
              </w:rPr>
            </w:pPr>
            <w:r>
              <w:rPr>
                <w:rFonts w:ascii="Arial" w:cs="Arial" w:eastAsia="Arial" w:hAnsi="Arial"/>
                <w:sz w:val="18"/>
                <w:szCs w:val="18"/>
                <w:color w:val="auto"/>
                <w:w w:val="99"/>
              </w:rPr>
              <w:t>ARTICLE I</w:t>
            </w: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440" w:type="dxa"/>
            <w:vAlign w:val="bottom"/>
          </w:tcPr>
          <w:p>
            <w:pPr>
              <w:spacing w:after="0"/>
              <w:rPr>
                <w:sz w:val="24"/>
                <w:szCs w:val="24"/>
                <w:color w:val="auto"/>
              </w:rPr>
            </w:pPr>
          </w:p>
        </w:tc>
        <w:tc>
          <w:tcPr>
            <w:tcW w:w="7940" w:type="dxa"/>
            <w:vAlign w:val="bottom"/>
          </w:tcPr>
          <w:p>
            <w:pPr>
              <w:jc w:val="center"/>
              <w:ind w:left="330"/>
              <w:spacing w:after="0"/>
              <w:rPr>
                <w:sz w:val="20"/>
                <w:szCs w:val="20"/>
                <w:color w:val="auto"/>
              </w:rPr>
            </w:pPr>
            <w:r>
              <w:rPr>
                <w:rFonts w:ascii="Arial" w:cs="Arial" w:eastAsia="Arial" w:hAnsi="Arial"/>
                <w:sz w:val="18"/>
                <w:szCs w:val="18"/>
                <w:color w:val="auto"/>
                <w:w w:val="98"/>
              </w:rPr>
              <w:t>DEFINITIONS</w:t>
            </w: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SECTION 1.01.</w:t>
            </w:r>
          </w:p>
        </w:tc>
        <w:tc>
          <w:tcPr>
            <w:tcW w:w="7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Defined Terms</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1.02.</w:t>
            </w:r>
          </w:p>
        </w:tc>
        <w:tc>
          <w:tcPr>
            <w:tcW w:w="7940" w:type="dxa"/>
            <w:vAlign w:val="bottom"/>
          </w:tcPr>
          <w:p>
            <w:pPr>
              <w:ind w:left="260"/>
              <w:spacing w:after="0"/>
              <w:rPr>
                <w:sz w:val="20"/>
                <w:szCs w:val="20"/>
                <w:color w:val="auto"/>
              </w:rPr>
            </w:pPr>
            <w:r>
              <w:rPr>
                <w:rFonts w:ascii="Arial" w:cs="Arial" w:eastAsia="Arial" w:hAnsi="Arial"/>
                <w:sz w:val="18"/>
                <w:szCs w:val="18"/>
                <w:color w:val="auto"/>
              </w:rPr>
              <w:t>Classification of Loans and Borrowings</w:t>
            </w:r>
          </w:p>
        </w:tc>
        <w:tc>
          <w:tcPr>
            <w:tcW w:w="186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SECTION 1.03.</w:t>
            </w:r>
          </w:p>
        </w:tc>
        <w:tc>
          <w:tcPr>
            <w:tcW w:w="7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Terms Generally</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1.04.</w:t>
            </w:r>
          </w:p>
        </w:tc>
        <w:tc>
          <w:tcPr>
            <w:tcW w:w="7940" w:type="dxa"/>
            <w:vAlign w:val="bottom"/>
          </w:tcPr>
          <w:p>
            <w:pPr>
              <w:ind w:left="260"/>
              <w:spacing w:after="0"/>
              <w:rPr>
                <w:sz w:val="20"/>
                <w:szCs w:val="20"/>
                <w:color w:val="auto"/>
              </w:rPr>
            </w:pPr>
            <w:r>
              <w:rPr>
                <w:rFonts w:ascii="Arial" w:cs="Arial" w:eastAsia="Arial" w:hAnsi="Arial"/>
                <w:sz w:val="18"/>
                <w:szCs w:val="18"/>
                <w:color w:val="auto"/>
              </w:rPr>
              <w:t>Accounting Terms; GAAP</w:t>
            </w:r>
          </w:p>
        </w:tc>
        <w:tc>
          <w:tcPr>
            <w:tcW w:w="186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SECTION 1.05.</w:t>
            </w:r>
          </w:p>
        </w:tc>
        <w:tc>
          <w:tcPr>
            <w:tcW w:w="7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 Forma Calculations</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1.06.</w:t>
            </w:r>
          </w:p>
        </w:tc>
        <w:tc>
          <w:tcPr>
            <w:tcW w:w="7940" w:type="dxa"/>
            <w:vAlign w:val="bottom"/>
          </w:tcPr>
          <w:p>
            <w:pPr>
              <w:ind w:left="260"/>
              <w:spacing w:after="0"/>
              <w:rPr>
                <w:sz w:val="20"/>
                <w:szCs w:val="20"/>
                <w:color w:val="auto"/>
              </w:rPr>
            </w:pPr>
            <w:r>
              <w:rPr>
                <w:rFonts w:ascii="Arial" w:cs="Arial" w:eastAsia="Arial" w:hAnsi="Arial"/>
                <w:sz w:val="18"/>
                <w:szCs w:val="18"/>
                <w:color w:val="auto"/>
              </w:rPr>
              <w:t>Exchange Rates; Currency Equivalents</w:t>
            </w:r>
          </w:p>
        </w:tc>
        <w:tc>
          <w:tcPr>
            <w:tcW w:w="186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SECTION 1.07.</w:t>
            </w:r>
          </w:p>
        </w:tc>
        <w:tc>
          <w:tcPr>
            <w:tcW w:w="7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Divisions</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1.08.</w:t>
            </w:r>
          </w:p>
        </w:tc>
        <w:tc>
          <w:tcPr>
            <w:tcW w:w="7940" w:type="dxa"/>
            <w:vAlign w:val="bottom"/>
          </w:tcPr>
          <w:p>
            <w:pPr>
              <w:ind w:left="260"/>
              <w:spacing w:after="0"/>
              <w:rPr>
                <w:sz w:val="20"/>
                <w:szCs w:val="20"/>
                <w:color w:val="auto"/>
              </w:rPr>
            </w:pPr>
            <w:r>
              <w:rPr>
                <w:rFonts w:ascii="Arial" w:cs="Arial" w:eastAsia="Arial" w:hAnsi="Arial"/>
                <w:sz w:val="18"/>
                <w:szCs w:val="18"/>
                <w:color w:val="auto"/>
              </w:rPr>
              <w:t>Interest Rates; LIBOR Notification</w:t>
            </w:r>
          </w:p>
        </w:tc>
        <w:tc>
          <w:tcPr>
            <w:tcW w:w="186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SECTION 1.09.</w:t>
            </w:r>
          </w:p>
        </w:tc>
        <w:tc>
          <w:tcPr>
            <w:tcW w:w="7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Dutch Terms</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440" w:type="dxa"/>
            <w:vAlign w:val="bottom"/>
          </w:tcPr>
          <w:p>
            <w:pPr>
              <w:spacing w:after="0"/>
              <w:rPr>
                <w:sz w:val="24"/>
                <w:szCs w:val="24"/>
                <w:color w:val="auto"/>
              </w:rPr>
            </w:pPr>
          </w:p>
        </w:tc>
        <w:tc>
          <w:tcPr>
            <w:tcW w:w="7940" w:type="dxa"/>
            <w:vAlign w:val="bottom"/>
          </w:tcPr>
          <w:p>
            <w:pPr>
              <w:jc w:val="center"/>
              <w:ind w:left="330"/>
              <w:spacing w:after="0"/>
              <w:rPr>
                <w:sz w:val="20"/>
                <w:szCs w:val="20"/>
                <w:color w:val="auto"/>
              </w:rPr>
            </w:pPr>
            <w:r>
              <w:rPr>
                <w:rFonts w:ascii="Arial" w:cs="Arial" w:eastAsia="Arial" w:hAnsi="Arial"/>
                <w:sz w:val="18"/>
                <w:szCs w:val="18"/>
                <w:color w:val="auto"/>
              </w:rPr>
              <w:t>ARTICLE II</w:t>
            </w: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440" w:type="dxa"/>
            <w:vAlign w:val="bottom"/>
          </w:tcPr>
          <w:p>
            <w:pPr>
              <w:spacing w:after="0"/>
              <w:rPr>
                <w:sz w:val="24"/>
                <w:szCs w:val="24"/>
                <w:color w:val="auto"/>
              </w:rPr>
            </w:pPr>
          </w:p>
        </w:tc>
        <w:tc>
          <w:tcPr>
            <w:tcW w:w="7940" w:type="dxa"/>
            <w:vAlign w:val="bottom"/>
          </w:tcPr>
          <w:p>
            <w:pPr>
              <w:jc w:val="center"/>
              <w:ind w:left="350"/>
              <w:spacing w:after="0"/>
              <w:rPr>
                <w:sz w:val="20"/>
                <w:szCs w:val="20"/>
                <w:color w:val="auto"/>
              </w:rPr>
            </w:pPr>
            <w:r>
              <w:rPr>
                <w:rFonts w:ascii="Arial" w:cs="Arial" w:eastAsia="Arial" w:hAnsi="Arial"/>
                <w:sz w:val="18"/>
                <w:szCs w:val="18"/>
                <w:color w:val="auto"/>
                <w:w w:val="94"/>
              </w:rPr>
              <w:t>THE CREDITS</w:t>
            </w: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SECTION 2.01.</w:t>
            </w:r>
          </w:p>
        </w:tc>
        <w:tc>
          <w:tcPr>
            <w:tcW w:w="7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Commitments</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2.02.</w:t>
            </w:r>
          </w:p>
        </w:tc>
        <w:tc>
          <w:tcPr>
            <w:tcW w:w="7940" w:type="dxa"/>
            <w:vAlign w:val="bottom"/>
          </w:tcPr>
          <w:p>
            <w:pPr>
              <w:ind w:left="260"/>
              <w:spacing w:after="0"/>
              <w:rPr>
                <w:sz w:val="20"/>
                <w:szCs w:val="20"/>
                <w:color w:val="auto"/>
              </w:rPr>
            </w:pPr>
            <w:r>
              <w:rPr>
                <w:rFonts w:ascii="Arial" w:cs="Arial" w:eastAsia="Arial" w:hAnsi="Arial"/>
                <w:sz w:val="18"/>
                <w:szCs w:val="18"/>
                <w:color w:val="auto"/>
              </w:rPr>
              <w:t>Loans and Borrowings</w:t>
            </w:r>
          </w:p>
        </w:tc>
        <w:tc>
          <w:tcPr>
            <w:tcW w:w="1860" w:type="dxa"/>
            <w:vAlign w:val="bottom"/>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SECTION 2.03.</w:t>
            </w:r>
          </w:p>
        </w:tc>
        <w:tc>
          <w:tcPr>
            <w:tcW w:w="7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Requests for Borrowings</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2.04.</w:t>
            </w:r>
          </w:p>
        </w:tc>
        <w:tc>
          <w:tcPr>
            <w:tcW w:w="7940" w:type="dxa"/>
            <w:vAlign w:val="bottom"/>
          </w:tcPr>
          <w:p>
            <w:pPr>
              <w:ind w:left="260"/>
              <w:spacing w:after="0"/>
              <w:rPr>
                <w:sz w:val="20"/>
                <w:szCs w:val="20"/>
                <w:color w:val="auto"/>
              </w:rPr>
            </w:pPr>
            <w:r>
              <w:rPr>
                <w:rFonts w:ascii="Arial" w:cs="Arial" w:eastAsia="Arial" w:hAnsi="Arial"/>
                <w:sz w:val="18"/>
                <w:szCs w:val="18"/>
                <w:color w:val="auto"/>
              </w:rPr>
              <w:t>[Reserved]</w:t>
            </w:r>
          </w:p>
        </w:tc>
        <w:tc>
          <w:tcPr>
            <w:tcW w:w="186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SECTION 2.05.</w:t>
            </w:r>
          </w:p>
        </w:tc>
        <w:tc>
          <w:tcPr>
            <w:tcW w:w="7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Letters of Credit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2.06.</w:t>
            </w:r>
          </w:p>
        </w:tc>
        <w:tc>
          <w:tcPr>
            <w:tcW w:w="7940" w:type="dxa"/>
            <w:vAlign w:val="bottom"/>
          </w:tcPr>
          <w:p>
            <w:pPr>
              <w:ind w:left="260"/>
              <w:spacing w:after="0"/>
              <w:rPr>
                <w:sz w:val="20"/>
                <w:szCs w:val="20"/>
                <w:color w:val="auto"/>
              </w:rPr>
            </w:pPr>
            <w:r>
              <w:rPr>
                <w:rFonts w:ascii="Arial" w:cs="Arial" w:eastAsia="Arial" w:hAnsi="Arial"/>
                <w:sz w:val="18"/>
                <w:szCs w:val="18"/>
                <w:color w:val="auto"/>
              </w:rPr>
              <w:t>Funding of Borrowings</w:t>
            </w:r>
          </w:p>
        </w:tc>
        <w:tc>
          <w:tcPr>
            <w:tcW w:w="186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SECTION 2.07.</w:t>
            </w:r>
          </w:p>
        </w:tc>
        <w:tc>
          <w:tcPr>
            <w:tcW w:w="7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Elections</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2.08.</w:t>
            </w:r>
          </w:p>
        </w:tc>
        <w:tc>
          <w:tcPr>
            <w:tcW w:w="7940" w:type="dxa"/>
            <w:vAlign w:val="bottom"/>
          </w:tcPr>
          <w:p>
            <w:pPr>
              <w:ind w:left="260"/>
              <w:spacing w:after="0"/>
              <w:rPr>
                <w:sz w:val="20"/>
                <w:szCs w:val="20"/>
                <w:color w:val="auto"/>
              </w:rPr>
            </w:pPr>
            <w:r>
              <w:rPr>
                <w:rFonts w:ascii="Arial" w:cs="Arial" w:eastAsia="Arial" w:hAnsi="Arial"/>
                <w:sz w:val="18"/>
                <w:szCs w:val="18"/>
                <w:color w:val="auto"/>
              </w:rPr>
              <w:t>Termination and Reduction of Commitments</w:t>
            </w:r>
          </w:p>
        </w:tc>
        <w:tc>
          <w:tcPr>
            <w:tcW w:w="186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SECTION 2.09.</w:t>
            </w:r>
          </w:p>
        </w:tc>
        <w:tc>
          <w:tcPr>
            <w:tcW w:w="7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Repayment of Loans; Evidence of Debt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2.10.</w:t>
            </w:r>
          </w:p>
        </w:tc>
        <w:tc>
          <w:tcPr>
            <w:tcW w:w="7940" w:type="dxa"/>
            <w:vAlign w:val="bottom"/>
          </w:tcPr>
          <w:p>
            <w:pPr>
              <w:ind w:left="260"/>
              <w:spacing w:after="0"/>
              <w:rPr>
                <w:sz w:val="20"/>
                <w:szCs w:val="20"/>
                <w:color w:val="auto"/>
              </w:rPr>
            </w:pPr>
            <w:r>
              <w:rPr>
                <w:rFonts w:ascii="Arial" w:cs="Arial" w:eastAsia="Arial" w:hAnsi="Arial"/>
                <w:sz w:val="18"/>
                <w:szCs w:val="18"/>
                <w:color w:val="auto"/>
              </w:rPr>
              <w:t>[Reserved]</w:t>
            </w:r>
          </w:p>
        </w:tc>
        <w:tc>
          <w:tcPr>
            <w:tcW w:w="186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SECTION 2.11.</w:t>
            </w:r>
          </w:p>
        </w:tc>
        <w:tc>
          <w:tcPr>
            <w:tcW w:w="7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Prepayment of Loans</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2.12.</w:t>
            </w:r>
          </w:p>
        </w:tc>
        <w:tc>
          <w:tcPr>
            <w:tcW w:w="7940" w:type="dxa"/>
            <w:vAlign w:val="bottom"/>
          </w:tcPr>
          <w:p>
            <w:pPr>
              <w:ind w:left="260"/>
              <w:spacing w:after="0"/>
              <w:rPr>
                <w:sz w:val="20"/>
                <w:szCs w:val="20"/>
                <w:color w:val="auto"/>
              </w:rPr>
            </w:pPr>
            <w:r>
              <w:rPr>
                <w:rFonts w:ascii="Arial" w:cs="Arial" w:eastAsia="Arial" w:hAnsi="Arial"/>
                <w:sz w:val="18"/>
                <w:szCs w:val="18"/>
                <w:color w:val="auto"/>
              </w:rPr>
              <w:t>Fees</w:t>
            </w:r>
          </w:p>
        </w:tc>
        <w:tc>
          <w:tcPr>
            <w:tcW w:w="186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SECTION 2.13.</w:t>
            </w:r>
          </w:p>
        </w:tc>
        <w:tc>
          <w:tcPr>
            <w:tcW w:w="7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2.14.</w:t>
            </w:r>
          </w:p>
        </w:tc>
        <w:tc>
          <w:tcPr>
            <w:tcW w:w="7940" w:type="dxa"/>
            <w:vAlign w:val="bottom"/>
          </w:tcPr>
          <w:p>
            <w:pPr>
              <w:ind w:left="260"/>
              <w:spacing w:after="0"/>
              <w:rPr>
                <w:sz w:val="20"/>
                <w:szCs w:val="20"/>
                <w:color w:val="auto"/>
              </w:rPr>
            </w:pPr>
            <w:r>
              <w:rPr>
                <w:rFonts w:ascii="Arial" w:cs="Arial" w:eastAsia="Arial" w:hAnsi="Arial"/>
                <w:sz w:val="18"/>
                <w:szCs w:val="18"/>
                <w:color w:val="auto"/>
              </w:rPr>
              <w:t>Alternate Rate of Interest</w:t>
            </w:r>
          </w:p>
        </w:tc>
        <w:tc>
          <w:tcPr>
            <w:tcW w:w="186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SECTION 2.15.</w:t>
            </w:r>
          </w:p>
        </w:tc>
        <w:tc>
          <w:tcPr>
            <w:tcW w:w="7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Increased Costs</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2.16.</w:t>
            </w:r>
          </w:p>
        </w:tc>
        <w:tc>
          <w:tcPr>
            <w:tcW w:w="7940" w:type="dxa"/>
            <w:vAlign w:val="bottom"/>
          </w:tcPr>
          <w:p>
            <w:pPr>
              <w:ind w:left="260"/>
              <w:spacing w:after="0"/>
              <w:rPr>
                <w:sz w:val="20"/>
                <w:szCs w:val="20"/>
                <w:color w:val="auto"/>
              </w:rPr>
            </w:pPr>
            <w:r>
              <w:rPr>
                <w:rFonts w:ascii="Arial" w:cs="Arial" w:eastAsia="Arial" w:hAnsi="Arial"/>
                <w:sz w:val="18"/>
                <w:szCs w:val="18"/>
                <w:color w:val="auto"/>
              </w:rPr>
              <w:t>Break Funding Payments</w:t>
            </w:r>
          </w:p>
        </w:tc>
        <w:tc>
          <w:tcPr>
            <w:tcW w:w="1860" w:type="dxa"/>
            <w:vAlign w:val="bottom"/>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SECTION 2.17.</w:t>
            </w:r>
          </w:p>
        </w:tc>
        <w:tc>
          <w:tcPr>
            <w:tcW w:w="7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Taxes</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2.18.</w:t>
            </w:r>
          </w:p>
        </w:tc>
        <w:tc>
          <w:tcPr>
            <w:tcW w:w="7940" w:type="dxa"/>
            <w:vAlign w:val="bottom"/>
          </w:tcPr>
          <w:p>
            <w:pPr>
              <w:ind w:left="260"/>
              <w:spacing w:after="0"/>
              <w:rPr>
                <w:sz w:val="20"/>
                <w:szCs w:val="20"/>
                <w:color w:val="auto"/>
              </w:rPr>
            </w:pPr>
            <w:r>
              <w:rPr>
                <w:rFonts w:ascii="Arial" w:cs="Arial" w:eastAsia="Arial" w:hAnsi="Arial"/>
                <w:sz w:val="18"/>
                <w:szCs w:val="18"/>
                <w:color w:val="auto"/>
              </w:rPr>
              <w:t>Payments Generally; Pro Rata Treatment; Sharing of Setoffs; Application of Proceeds</w:t>
            </w:r>
          </w:p>
        </w:tc>
        <w:tc>
          <w:tcPr>
            <w:tcW w:w="1860" w:type="dxa"/>
            <w:vAlign w:val="bottom"/>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SECTION 2.19.</w:t>
            </w:r>
          </w:p>
        </w:tc>
        <w:tc>
          <w:tcPr>
            <w:tcW w:w="7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Mitigation Obligations; Replacement of Lenders</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SECTION 2.20.</w:t>
            </w:r>
          </w:p>
        </w:tc>
        <w:tc>
          <w:tcPr>
            <w:tcW w:w="7940" w:type="dxa"/>
            <w:vAlign w:val="bottom"/>
          </w:tcPr>
          <w:p>
            <w:pPr>
              <w:ind w:left="260"/>
              <w:spacing w:after="0"/>
              <w:rPr>
                <w:sz w:val="20"/>
                <w:szCs w:val="20"/>
                <w:color w:val="auto"/>
              </w:rPr>
            </w:pPr>
            <w:r>
              <w:rPr>
                <w:rFonts w:ascii="Arial" w:cs="Arial" w:eastAsia="Arial" w:hAnsi="Arial"/>
                <w:sz w:val="18"/>
                <w:szCs w:val="18"/>
                <w:color w:val="auto"/>
              </w:rPr>
              <w:t>Defaulting Lenders</w:t>
            </w:r>
          </w:p>
        </w:tc>
        <w:tc>
          <w:tcPr>
            <w:tcW w:w="1860" w:type="dxa"/>
            <w:vAlign w:val="bottom"/>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9" w:name="page180"/>
    <w:bookmarkEnd w:id="179"/>
    <w:tbl>
      <w:tblPr>
        <w:tblLayout w:type="fixed"/>
        <w:tblInd w:w="0" w:type="dxa"/>
        <w:tblCellMar>
          <w:top w:w="0" w:type="dxa"/>
          <w:left w:w="0" w:type="dxa"/>
          <w:bottom w:w="0" w:type="dxa"/>
          <w:right w:w="0" w:type="dxa"/>
        </w:tblCellMar>
      </w:tblPr>
      <w:tr>
        <w:trPr>
          <w:trHeight w:val="230"/>
        </w:trPr>
        <w:tc>
          <w:tcPr>
            <w:tcW w:w="1440" w:type="dxa"/>
            <w:vAlign w:val="bottom"/>
          </w:tcPr>
          <w:p>
            <w:pPr>
              <w:spacing w:after="0"/>
              <w:rPr>
                <w:sz w:val="20"/>
                <w:szCs w:val="20"/>
                <w:color w:val="auto"/>
              </w:rPr>
            </w:pPr>
          </w:p>
        </w:tc>
        <w:tc>
          <w:tcPr>
            <w:tcW w:w="7680" w:type="dxa"/>
            <w:vAlign w:val="bottom"/>
          </w:tcPr>
          <w:p>
            <w:pPr>
              <w:jc w:val="center"/>
              <w:ind w:left="610"/>
              <w:spacing w:after="0"/>
              <w:rPr>
                <w:sz w:val="20"/>
                <w:szCs w:val="20"/>
                <w:color w:val="auto"/>
              </w:rPr>
            </w:pPr>
            <w:r>
              <w:rPr>
                <w:rFonts w:ascii="Arial" w:cs="Arial" w:eastAsia="Arial" w:hAnsi="Arial"/>
                <w:sz w:val="18"/>
                <w:szCs w:val="18"/>
                <w:color w:val="auto"/>
              </w:rPr>
              <w:t>ARTICLE III</w:t>
            </w:r>
          </w:p>
        </w:tc>
        <w:tc>
          <w:tcPr>
            <w:tcW w:w="2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440" w:type="dxa"/>
            <w:vAlign w:val="bottom"/>
          </w:tcPr>
          <w:p>
            <w:pPr>
              <w:spacing w:after="0"/>
              <w:rPr>
                <w:sz w:val="24"/>
                <w:szCs w:val="24"/>
                <w:color w:val="auto"/>
              </w:rPr>
            </w:pPr>
          </w:p>
        </w:tc>
        <w:tc>
          <w:tcPr>
            <w:tcW w:w="7680" w:type="dxa"/>
            <w:vAlign w:val="bottom"/>
          </w:tcPr>
          <w:p>
            <w:pPr>
              <w:jc w:val="center"/>
              <w:ind w:left="590"/>
              <w:spacing w:after="0"/>
              <w:rPr>
                <w:sz w:val="20"/>
                <w:szCs w:val="20"/>
                <w:color w:val="auto"/>
              </w:rPr>
            </w:pPr>
            <w:r>
              <w:rPr>
                <w:rFonts w:ascii="Arial" w:cs="Arial" w:eastAsia="Arial" w:hAnsi="Arial"/>
                <w:sz w:val="18"/>
                <w:szCs w:val="18"/>
                <w:color w:val="auto"/>
                <w:w w:val="95"/>
              </w:rPr>
              <w:t>REPRESENTATIONS AND WARRANTIES</w:t>
            </w: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SECTION 3.01.</w:t>
            </w:r>
          </w:p>
        </w:tc>
        <w:tc>
          <w:tcPr>
            <w:tcW w:w="7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Organization; Powers</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3.02.</w:t>
            </w:r>
          </w:p>
        </w:tc>
        <w:tc>
          <w:tcPr>
            <w:tcW w:w="7680" w:type="dxa"/>
            <w:vAlign w:val="bottom"/>
          </w:tcPr>
          <w:p>
            <w:pPr>
              <w:ind w:left="260"/>
              <w:spacing w:after="0"/>
              <w:rPr>
                <w:sz w:val="20"/>
                <w:szCs w:val="20"/>
                <w:color w:val="auto"/>
              </w:rPr>
            </w:pPr>
            <w:r>
              <w:rPr>
                <w:rFonts w:ascii="Arial" w:cs="Arial" w:eastAsia="Arial" w:hAnsi="Arial"/>
                <w:sz w:val="18"/>
                <w:szCs w:val="18"/>
                <w:color w:val="auto"/>
              </w:rPr>
              <w:t>Authorization; Due Execution and Delivery; Enforceability</w:t>
            </w:r>
          </w:p>
        </w:tc>
        <w:tc>
          <w:tcPr>
            <w:tcW w:w="2120" w:type="dxa"/>
            <w:vAlign w:val="bottom"/>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SECTION 3.03.</w:t>
            </w:r>
          </w:p>
        </w:tc>
        <w:tc>
          <w:tcPr>
            <w:tcW w:w="7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Governmental Approvals; No Conflicts</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3.04.</w:t>
            </w:r>
          </w:p>
        </w:tc>
        <w:tc>
          <w:tcPr>
            <w:tcW w:w="7680" w:type="dxa"/>
            <w:vAlign w:val="bottom"/>
          </w:tcPr>
          <w:p>
            <w:pPr>
              <w:ind w:left="260"/>
              <w:spacing w:after="0"/>
              <w:rPr>
                <w:sz w:val="20"/>
                <w:szCs w:val="20"/>
                <w:color w:val="auto"/>
              </w:rPr>
            </w:pPr>
            <w:r>
              <w:rPr>
                <w:rFonts w:ascii="Arial" w:cs="Arial" w:eastAsia="Arial" w:hAnsi="Arial"/>
                <w:sz w:val="18"/>
                <w:szCs w:val="18"/>
                <w:color w:val="auto"/>
              </w:rPr>
              <w:t>Financial Condition; No Material Adverse Change</w:t>
            </w:r>
          </w:p>
        </w:tc>
        <w:tc>
          <w:tcPr>
            <w:tcW w:w="2120" w:type="dxa"/>
            <w:vAlign w:val="bottom"/>
          </w:tcPr>
          <w:p>
            <w:pPr>
              <w:jc w:val="right"/>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SECTION 3.05.</w:t>
            </w:r>
          </w:p>
        </w:tc>
        <w:tc>
          <w:tcPr>
            <w:tcW w:w="7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Properties</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3.06.</w:t>
            </w:r>
          </w:p>
        </w:tc>
        <w:tc>
          <w:tcPr>
            <w:tcW w:w="7680" w:type="dxa"/>
            <w:vAlign w:val="bottom"/>
          </w:tcPr>
          <w:p>
            <w:pPr>
              <w:ind w:left="260"/>
              <w:spacing w:after="0"/>
              <w:rPr>
                <w:sz w:val="20"/>
                <w:szCs w:val="20"/>
                <w:color w:val="auto"/>
              </w:rPr>
            </w:pPr>
            <w:r>
              <w:rPr>
                <w:rFonts w:ascii="Arial" w:cs="Arial" w:eastAsia="Arial" w:hAnsi="Arial"/>
                <w:sz w:val="18"/>
                <w:szCs w:val="18"/>
                <w:color w:val="auto"/>
              </w:rPr>
              <w:t>Litigation and Environmental Matters</w:t>
            </w:r>
          </w:p>
        </w:tc>
        <w:tc>
          <w:tcPr>
            <w:tcW w:w="2120" w:type="dxa"/>
            <w:vAlign w:val="bottom"/>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SECTION 3.07.</w:t>
            </w:r>
          </w:p>
        </w:tc>
        <w:tc>
          <w:tcPr>
            <w:tcW w:w="7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Compliance with Laws</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3.08.</w:t>
            </w:r>
          </w:p>
        </w:tc>
        <w:tc>
          <w:tcPr>
            <w:tcW w:w="7680" w:type="dxa"/>
            <w:vAlign w:val="bottom"/>
          </w:tcPr>
          <w:p>
            <w:pPr>
              <w:ind w:left="260"/>
              <w:spacing w:after="0"/>
              <w:rPr>
                <w:sz w:val="20"/>
                <w:szCs w:val="20"/>
                <w:color w:val="auto"/>
              </w:rPr>
            </w:pPr>
            <w:r>
              <w:rPr>
                <w:rFonts w:ascii="Arial" w:cs="Arial" w:eastAsia="Arial" w:hAnsi="Arial"/>
                <w:sz w:val="18"/>
                <w:szCs w:val="18"/>
                <w:color w:val="auto"/>
              </w:rPr>
              <w:t>Anti-Terrorism Laws; Anti-Corruption Laws</w:t>
            </w:r>
          </w:p>
        </w:tc>
        <w:tc>
          <w:tcPr>
            <w:tcW w:w="2120" w:type="dxa"/>
            <w:vAlign w:val="bottom"/>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SECTION 3.09.</w:t>
            </w:r>
          </w:p>
        </w:tc>
        <w:tc>
          <w:tcPr>
            <w:tcW w:w="7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Investment Company Status</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3.10.</w:t>
            </w:r>
          </w:p>
        </w:tc>
        <w:tc>
          <w:tcPr>
            <w:tcW w:w="7680" w:type="dxa"/>
            <w:vAlign w:val="bottom"/>
          </w:tcPr>
          <w:p>
            <w:pPr>
              <w:ind w:left="260"/>
              <w:spacing w:after="0"/>
              <w:rPr>
                <w:sz w:val="20"/>
                <w:szCs w:val="20"/>
                <w:color w:val="auto"/>
              </w:rPr>
            </w:pPr>
            <w:r>
              <w:rPr>
                <w:rFonts w:ascii="Arial" w:cs="Arial" w:eastAsia="Arial" w:hAnsi="Arial"/>
                <w:sz w:val="18"/>
                <w:szCs w:val="18"/>
                <w:color w:val="auto"/>
              </w:rPr>
              <w:t>Federal Reserve Regulations</w:t>
            </w:r>
          </w:p>
        </w:tc>
        <w:tc>
          <w:tcPr>
            <w:tcW w:w="2120" w:type="dxa"/>
            <w:vAlign w:val="bottom"/>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SECTION 3.11.</w:t>
            </w:r>
          </w:p>
        </w:tc>
        <w:tc>
          <w:tcPr>
            <w:tcW w:w="7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Taxes</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3.12.</w:t>
            </w:r>
          </w:p>
        </w:tc>
        <w:tc>
          <w:tcPr>
            <w:tcW w:w="7680" w:type="dxa"/>
            <w:vAlign w:val="bottom"/>
          </w:tcPr>
          <w:p>
            <w:pPr>
              <w:ind w:left="260"/>
              <w:spacing w:after="0"/>
              <w:rPr>
                <w:sz w:val="20"/>
                <w:szCs w:val="20"/>
                <w:color w:val="auto"/>
              </w:rPr>
            </w:pPr>
            <w:r>
              <w:rPr>
                <w:rFonts w:ascii="Arial" w:cs="Arial" w:eastAsia="Arial" w:hAnsi="Arial"/>
                <w:sz w:val="18"/>
                <w:szCs w:val="18"/>
                <w:color w:val="auto"/>
              </w:rPr>
              <w:t>ERISA</w:t>
            </w:r>
          </w:p>
        </w:tc>
        <w:tc>
          <w:tcPr>
            <w:tcW w:w="2120" w:type="dxa"/>
            <w:vAlign w:val="bottom"/>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SECTION 3.13.</w:t>
            </w:r>
          </w:p>
        </w:tc>
        <w:tc>
          <w:tcPr>
            <w:tcW w:w="7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Disclosure.</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3.14.</w:t>
            </w:r>
          </w:p>
        </w:tc>
        <w:tc>
          <w:tcPr>
            <w:tcW w:w="7680" w:type="dxa"/>
            <w:vAlign w:val="bottom"/>
          </w:tcPr>
          <w:p>
            <w:pPr>
              <w:ind w:left="260"/>
              <w:spacing w:after="0"/>
              <w:rPr>
                <w:sz w:val="20"/>
                <w:szCs w:val="20"/>
                <w:color w:val="auto"/>
              </w:rPr>
            </w:pPr>
            <w:r>
              <w:rPr>
                <w:rFonts w:ascii="Arial" w:cs="Arial" w:eastAsia="Arial" w:hAnsi="Arial"/>
                <w:sz w:val="18"/>
                <w:szCs w:val="18"/>
                <w:color w:val="auto"/>
              </w:rPr>
              <w:t>Subsidiaries</w:t>
            </w:r>
          </w:p>
        </w:tc>
        <w:tc>
          <w:tcPr>
            <w:tcW w:w="212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SECTION 3.15.</w:t>
            </w:r>
          </w:p>
        </w:tc>
        <w:tc>
          <w:tcPr>
            <w:tcW w:w="7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Use of Proceeds</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3.16.</w:t>
            </w:r>
          </w:p>
        </w:tc>
        <w:tc>
          <w:tcPr>
            <w:tcW w:w="7680" w:type="dxa"/>
            <w:vAlign w:val="bottom"/>
          </w:tcPr>
          <w:p>
            <w:pPr>
              <w:ind w:left="260"/>
              <w:spacing w:after="0"/>
              <w:rPr>
                <w:sz w:val="20"/>
                <w:szCs w:val="20"/>
                <w:color w:val="auto"/>
              </w:rPr>
            </w:pPr>
            <w:r>
              <w:rPr>
                <w:rFonts w:ascii="Arial" w:cs="Arial" w:eastAsia="Arial" w:hAnsi="Arial"/>
                <w:sz w:val="18"/>
                <w:szCs w:val="18"/>
                <w:color w:val="auto"/>
              </w:rPr>
              <w:t>Labor Matters</w:t>
            </w:r>
          </w:p>
        </w:tc>
        <w:tc>
          <w:tcPr>
            <w:tcW w:w="212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SECTION 3.17.</w:t>
            </w:r>
          </w:p>
        </w:tc>
        <w:tc>
          <w:tcPr>
            <w:tcW w:w="7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Solvency</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3.18.</w:t>
            </w:r>
          </w:p>
        </w:tc>
        <w:tc>
          <w:tcPr>
            <w:tcW w:w="7680" w:type="dxa"/>
            <w:vAlign w:val="bottom"/>
          </w:tcPr>
          <w:p>
            <w:pPr>
              <w:ind w:left="260"/>
              <w:spacing w:after="0"/>
              <w:rPr>
                <w:sz w:val="20"/>
                <w:szCs w:val="20"/>
                <w:color w:val="auto"/>
              </w:rPr>
            </w:pPr>
            <w:r>
              <w:rPr>
                <w:rFonts w:ascii="Arial" w:cs="Arial" w:eastAsia="Arial" w:hAnsi="Arial"/>
                <w:sz w:val="18"/>
                <w:szCs w:val="18"/>
                <w:color w:val="auto"/>
              </w:rPr>
              <w:t>Collateral Matters</w:t>
            </w:r>
          </w:p>
        </w:tc>
        <w:tc>
          <w:tcPr>
            <w:tcW w:w="212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SECTION 3.19.</w:t>
            </w:r>
          </w:p>
        </w:tc>
        <w:tc>
          <w:tcPr>
            <w:tcW w:w="7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EEA Financial Institutions</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3.20.</w:t>
            </w:r>
          </w:p>
        </w:tc>
        <w:tc>
          <w:tcPr>
            <w:tcW w:w="7680" w:type="dxa"/>
            <w:vAlign w:val="bottom"/>
          </w:tcPr>
          <w:p>
            <w:pPr>
              <w:ind w:left="260"/>
              <w:spacing w:after="0"/>
              <w:rPr>
                <w:sz w:val="20"/>
                <w:szCs w:val="20"/>
                <w:color w:val="auto"/>
              </w:rPr>
            </w:pPr>
            <w:r>
              <w:rPr>
                <w:rFonts w:ascii="Arial" w:cs="Arial" w:eastAsia="Arial" w:hAnsi="Arial"/>
                <w:sz w:val="18"/>
                <w:szCs w:val="18"/>
                <w:color w:val="auto"/>
              </w:rPr>
              <w:t>No Default or Event of Default</w:t>
            </w:r>
          </w:p>
        </w:tc>
        <w:tc>
          <w:tcPr>
            <w:tcW w:w="2120" w:type="dxa"/>
            <w:vAlign w:val="bottom"/>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SECTION 3.21.</w:t>
            </w:r>
          </w:p>
        </w:tc>
        <w:tc>
          <w:tcPr>
            <w:tcW w:w="7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Insurance</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3.22.</w:t>
            </w:r>
          </w:p>
        </w:tc>
        <w:tc>
          <w:tcPr>
            <w:tcW w:w="7680" w:type="dxa"/>
            <w:vAlign w:val="bottom"/>
          </w:tcPr>
          <w:p>
            <w:pPr>
              <w:ind w:left="260"/>
              <w:spacing w:after="0"/>
              <w:rPr>
                <w:sz w:val="20"/>
                <w:szCs w:val="20"/>
                <w:color w:val="auto"/>
              </w:rPr>
            </w:pPr>
            <w:r>
              <w:rPr>
                <w:rFonts w:ascii="Arial" w:cs="Arial" w:eastAsia="Arial" w:hAnsi="Arial"/>
                <w:sz w:val="18"/>
                <w:szCs w:val="18"/>
                <w:color w:val="auto"/>
              </w:rPr>
              <w:t>Senior Indebtedness</w:t>
            </w:r>
          </w:p>
        </w:tc>
        <w:tc>
          <w:tcPr>
            <w:tcW w:w="212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SECTION 3.23.</w:t>
            </w:r>
          </w:p>
        </w:tc>
        <w:tc>
          <w:tcPr>
            <w:tcW w:w="7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Dutch Works Council</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440" w:type="dxa"/>
            <w:vAlign w:val="bottom"/>
          </w:tcPr>
          <w:p>
            <w:pPr>
              <w:spacing w:after="0"/>
              <w:rPr>
                <w:sz w:val="24"/>
                <w:szCs w:val="24"/>
                <w:color w:val="auto"/>
              </w:rPr>
            </w:pPr>
          </w:p>
        </w:tc>
        <w:tc>
          <w:tcPr>
            <w:tcW w:w="7680" w:type="dxa"/>
            <w:vAlign w:val="bottom"/>
          </w:tcPr>
          <w:p>
            <w:pPr>
              <w:jc w:val="center"/>
              <w:ind w:left="610"/>
              <w:spacing w:after="0"/>
              <w:rPr>
                <w:sz w:val="20"/>
                <w:szCs w:val="20"/>
                <w:color w:val="auto"/>
              </w:rPr>
            </w:pPr>
            <w:r>
              <w:rPr>
                <w:rFonts w:ascii="Arial" w:cs="Arial" w:eastAsia="Arial" w:hAnsi="Arial"/>
                <w:sz w:val="18"/>
                <w:szCs w:val="18"/>
                <w:color w:val="auto"/>
                <w:w w:val="99"/>
              </w:rPr>
              <w:t>ARTICLE IV</w:t>
            </w: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440" w:type="dxa"/>
            <w:vAlign w:val="bottom"/>
          </w:tcPr>
          <w:p>
            <w:pPr>
              <w:spacing w:after="0"/>
              <w:rPr>
                <w:sz w:val="24"/>
                <w:szCs w:val="24"/>
                <w:color w:val="auto"/>
              </w:rPr>
            </w:pPr>
          </w:p>
        </w:tc>
        <w:tc>
          <w:tcPr>
            <w:tcW w:w="7680" w:type="dxa"/>
            <w:vAlign w:val="bottom"/>
          </w:tcPr>
          <w:p>
            <w:pPr>
              <w:jc w:val="center"/>
              <w:ind w:left="610"/>
              <w:spacing w:after="0"/>
              <w:rPr>
                <w:sz w:val="20"/>
                <w:szCs w:val="20"/>
                <w:color w:val="auto"/>
              </w:rPr>
            </w:pPr>
            <w:r>
              <w:rPr>
                <w:rFonts w:ascii="Arial" w:cs="Arial" w:eastAsia="Arial" w:hAnsi="Arial"/>
                <w:sz w:val="18"/>
                <w:szCs w:val="18"/>
                <w:color w:val="auto"/>
                <w:w w:val="97"/>
              </w:rPr>
              <w:t>CONDITIONS</w:t>
            </w: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SECTION 4.01.</w:t>
            </w:r>
          </w:p>
        </w:tc>
        <w:tc>
          <w:tcPr>
            <w:tcW w:w="7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Effective Date</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SECTION 4.02.</w:t>
            </w:r>
          </w:p>
        </w:tc>
        <w:tc>
          <w:tcPr>
            <w:tcW w:w="7680" w:type="dxa"/>
            <w:vAlign w:val="bottom"/>
          </w:tcPr>
          <w:p>
            <w:pPr>
              <w:ind w:left="260"/>
              <w:spacing w:after="0"/>
              <w:rPr>
                <w:sz w:val="20"/>
                <w:szCs w:val="20"/>
                <w:color w:val="auto"/>
              </w:rPr>
            </w:pPr>
            <w:r>
              <w:rPr>
                <w:rFonts w:ascii="Arial" w:cs="Arial" w:eastAsia="Arial" w:hAnsi="Arial"/>
                <w:sz w:val="18"/>
                <w:szCs w:val="18"/>
                <w:color w:val="auto"/>
              </w:rPr>
              <w:t>Each Post-Effective Date Credit Event</w:t>
            </w:r>
          </w:p>
        </w:tc>
        <w:tc>
          <w:tcPr>
            <w:tcW w:w="2120" w:type="dxa"/>
            <w:vAlign w:val="bottom"/>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440" w:type="dxa"/>
            <w:vAlign w:val="bottom"/>
          </w:tcPr>
          <w:p>
            <w:pPr>
              <w:spacing w:after="0"/>
              <w:rPr>
                <w:sz w:val="24"/>
                <w:szCs w:val="24"/>
                <w:color w:val="auto"/>
              </w:rPr>
            </w:pPr>
          </w:p>
        </w:tc>
        <w:tc>
          <w:tcPr>
            <w:tcW w:w="7680" w:type="dxa"/>
            <w:vAlign w:val="bottom"/>
          </w:tcPr>
          <w:p>
            <w:pPr>
              <w:jc w:val="center"/>
              <w:ind w:left="590"/>
              <w:spacing w:after="0"/>
              <w:rPr>
                <w:sz w:val="20"/>
                <w:szCs w:val="20"/>
                <w:color w:val="auto"/>
              </w:rPr>
            </w:pPr>
            <w:r>
              <w:rPr>
                <w:rFonts w:ascii="Arial" w:cs="Arial" w:eastAsia="Arial" w:hAnsi="Arial"/>
                <w:sz w:val="18"/>
                <w:szCs w:val="18"/>
                <w:color w:val="auto"/>
                <w:w w:val="98"/>
              </w:rPr>
              <w:t>ARTICLE V</w:t>
            </w: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440" w:type="dxa"/>
            <w:vAlign w:val="bottom"/>
          </w:tcPr>
          <w:p>
            <w:pPr>
              <w:spacing w:after="0"/>
              <w:rPr>
                <w:sz w:val="24"/>
                <w:szCs w:val="24"/>
                <w:color w:val="auto"/>
              </w:rPr>
            </w:pPr>
          </w:p>
        </w:tc>
        <w:tc>
          <w:tcPr>
            <w:tcW w:w="7680" w:type="dxa"/>
            <w:vAlign w:val="bottom"/>
          </w:tcPr>
          <w:p>
            <w:pPr>
              <w:jc w:val="center"/>
              <w:ind w:left="590"/>
              <w:spacing w:after="0"/>
              <w:rPr>
                <w:sz w:val="20"/>
                <w:szCs w:val="20"/>
                <w:color w:val="auto"/>
              </w:rPr>
            </w:pPr>
            <w:r>
              <w:rPr>
                <w:rFonts w:ascii="Arial" w:cs="Arial" w:eastAsia="Arial" w:hAnsi="Arial"/>
                <w:sz w:val="18"/>
                <w:szCs w:val="18"/>
                <w:color w:val="auto"/>
                <w:w w:val="98"/>
              </w:rPr>
              <w:t>AFFIRMATIVE COVENANTS</w:t>
            </w: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SECTION 5.01.</w:t>
            </w:r>
          </w:p>
        </w:tc>
        <w:tc>
          <w:tcPr>
            <w:tcW w:w="7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Financial Statements and Other Information</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5.02.</w:t>
            </w:r>
          </w:p>
        </w:tc>
        <w:tc>
          <w:tcPr>
            <w:tcW w:w="7680" w:type="dxa"/>
            <w:vAlign w:val="bottom"/>
          </w:tcPr>
          <w:p>
            <w:pPr>
              <w:ind w:left="260"/>
              <w:spacing w:after="0"/>
              <w:rPr>
                <w:sz w:val="20"/>
                <w:szCs w:val="20"/>
                <w:color w:val="auto"/>
              </w:rPr>
            </w:pPr>
            <w:r>
              <w:rPr>
                <w:rFonts w:ascii="Arial" w:cs="Arial" w:eastAsia="Arial" w:hAnsi="Arial"/>
                <w:sz w:val="18"/>
                <w:szCs w:val="18"/>
                <w:color w:val="auto"/>
              </w:rPr>
              <w:t>Notices of Material Events</w:t>
            </w:r>
          </w:p>
        </w:tc>
        <w:tc>
          <w:tcPr>
            <w:tcW w:w="2120" w:type="dxa"/>
            <w:vAlign w:val="bottom"/>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SECTION 5.03.</w:t>
            </w:r>
          </w:p>
        </w:tc>
        <w:tc>
          <w:tcPr>
            <w:tcW w:w="7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Information Regarding Collateral</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5.04.</w:t>
            </w:r>
          </w:p>
        </w:tc>
        <w:tc>
          <w:tcPr>
            <w:tcW w:w="7680" w:type="dxa"/>
            <w:vAlign w:val="bottom"/>
          </w:tcPr>
          <w:p>
            <w:pPr>
              <w:ind w:left="260"/>
              <w:spacing w:after="0"/>
              <w:rPr>
                <w:sz w:val="20"/>
                <w:szCs w:val="20"/>
                <w:color w:val="auto"/>
              </w:rPr>
            </w:pPr>
            <w:r>
              <w:rPr>
                <w:rFonts w:ascii="Arial" w:cs="Arial" w:eastAsia="Arial" w:hAnsi="Arial"/>
                <w:sz w:val="18"/>
                <w:szCs w:val="18"/>
                <w:color w:val="auto"/>
              </w:rPr>
              <w:t>Existence; Conduct of Business</w:t>
            </w:r>
          </w:p>
        </w:tc>
        <w:tc>
          <w:tcPr>
            <w:tcW w:w="2120" w:type="dxa"/>
            <w:vAlign w:val="bottom"/>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SECTION 5.05.</w:t>
            </w:r>
          </w:p>
        </w:tc>
        <w:tc>
          <w:tcPr>
            <w:tcW w:w="7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Payment of Taxes</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5.06.</w:t>
            </w:r>
          </w:p>
        </w:tc>
        <w:tc>
          <w:tcPr>
            <w:tcW w:w="7680" w:type="dxa"/>
            <w:vAlign w:val="bottom"/>
          </w:tcPr>
          <w:p>
            <w:pPr>
              <w:ind w:left="260"/>
              <w:spacing w:after="0"/>
              <w:rPr>
                <w:sz w:val="20"/>
                <w:szCs w:val="20"/>
                <w:color w:val="auto"/>
              </w:rPr>
            </w:pPr>
            <w:r>
              <w:rPr>
                <w:rFonts w:ascii="Arial" w:cs="Arial" w:eastAsia="Arial" w:hAnsi="Arial"/>
                <w:sz w:val="18"/>
                <w:szCs w:val="18"/>
                <w:color w:val="auto"/>
              </w:rPr>
              <w:t>Maintenance of Properties</w:t>
            </w:r>
          </w:p>
        </w:tc>
        <w:tc>
          <w:tcPr>
            <w:tcW w:w="2120" w:type="dxa"/>
            <w:vAlign w:val="bottom"/>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SECTION 5.07.</w:t>
            </w:r>
          </w:p>
        </w:tc>
        <w:tc>
          <w:tcPr>
            <w:tcW w:w="7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Insurance</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5.08.</w:t>
            </w:r>
          </w:p>
        </w:tc>
        <w:tc>
          <w:tcPr>
            <w:tcW w:w="7680" w:type="dxa"/>
            <w:vAlign w:val="bottom"/>
          </w:tcPr>
          <w:p>
            <w:pPr>
              <w:ind w:left="260"/>
              <w:spacing w:after="0"/>
              <w:rPr>
                <w:sz w:val="20"/>
                <w:szCs w:val="20"/>
                <w:color w:val="auto"/>
              </w:rPr>
            </w:pPr>
            <w:r>
              <w:rPr>
                <w:rFonts w:ascii="Arial" w:cs="Arial" w:eastAsia="Arial" w:hAnsi="Arial"/>
                <w:sz w:val="18"/>
                <w:szCs w:val="18"/>
                <w:color w:val="auto"/>
              </w:rPr>
              <w:t>Environmental</w:t>
            </w:r>
          </w:p>
        </w:tc>
        <w:tc>
          <w:tcPr>
            <w:tcW w:w="2120" w:type="dxa"/>
            <w:vAlign w:val="bottom"/>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SECTION 5.09.</w:t>
            </w:r>
          </w:p>
        </w:tc>
        <w:tc>
          <w:tcPr>
            <w:tcW w:w="7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Books and Records; Inspection and Audit Rights</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5.10.</w:t>
            </w:r>
          </w:p>
        </w:tc>
        <w:tc>
          <w:tcPr>
            <w:tcW w:w="7680" w:type="dxa"/>
            <w:vAlign w:val="bottom"/>
          </w:tcPr>
          <w:p>
            <w:pPr>
              <w:ind w:left="260"/>
              <w:spacing w:after="0"/>
              <w:rPr>
                <w:sz w:val="20"/>
                <w:szCs w:val="20"/>
                <w:color w:val="auto"/>
              </w:rPr>
            </w:pPr>
            <w:r>
              <w:rPr>
                <w:rFonts w:ascii="Arial" w:cs="Arial" w:eastAsia="Arial" w:hAnsi="Arial"/>
                <w:sz w:val="18"/>
                <w:szCs w:val="18"/>
                <w:color w:val="auto"/>
              </w:rPr>
              <w:t>Compliance with Laws</w:t>
            </w:r>
          </w:p>
        </w:tc>
        <w:tc>
          <w:tcPr>
            <w:tcW w:w="2120" w:type="dxa"/>
            <w:vAlign w:val="bottom"/>
          </w:tcPr>
          <w:p>
            <w:pPr>
              <w:jc w:val="right"/>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SECTION 5.11.</w:t>
            </w:r>
          </w:p>
        </w:tc>
        <w:tc>
          <w:tcPr>
            <w:tcW w:w="7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Use of Proceeds and Letters of Credit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5.12.</w:t>
            </w:r>
          </w:p>
        </w:tc>
        <w:tc>
          <w:tcPr>
            <w:tcW w:w="7680" w:type="dxa"/>
            <w:vAlign w:val="bottom"/>
          </w:tcPr>
          <w:p>
            <w:pPr>
              <w:ind w:left="260"/>
              <w:spacing w:after="0"/>
              <w:rPr>
                <w:sz w:val="20"/>
                <w:szCs w:val="20"/>
                <w:color w:val="auto"/>
              </w:rPr>
            </w:pPr>
            <w:r>
              <w:rPr>
                <w:rFonts w:ascii="Arial" w:cs="Arial" w:eastAsia="Arial" w:hAnsi="Arial"/>
                <w:sz w:val="18"/>
                <w:szCs w:val="18"/>
                <w:color w:val="auto"/>
              </w:rPr>
              <w:t>Additional Subsidiaries</w:t>
            </w:r>
          </w:p>
        </w:tc>
        <w:tc>
          <w:tcPr>
            <w:tcW w:w="2120" w:type="dxa"/>
            <w:vAlign w:val="bottom"/>
          </w:tcPr>
          <w:p>
            <w:pPr>
              <w:jc w:val="right"/>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SECTION 5.13.</w:t>
            </w:r>
          </w:p>
        </w:tc>
        <w:tc>
          <w:tcPr>
            <w:tcW w:w="7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Further Assurances</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5.14.</w:t>
            </w:r>
          </w:p>
        </w:tc>
        <w:tc>
          <w:tcPr>
            <w:tcW w:w="7680" w:type="dxa"/>
            <w:vAlign w:val="bottom"/>
          </w:tcPr>
          <w:p>
            <w:pPr>
              <w:ind w:left="260"/>
              <w:spacing w:after="0"/>
              <w:rPr>
                <w:sz w:val="20"/>
                <w:szCs w:val="20"/>
                <w:color w:val="auto"/>
              </w:rPr>
            </w:pPr>
            <w:r>
              <w:rPr>
                <w:rFonts w:ascii="Arial" w:cs="Arial" w:eastAsia="Arial" w:hAnsi="Arial"/>
                <w:sz w:val="18"/>
                <w:szCs w:val="18"/>
                <w:color w:val="auto"/>
              </w:rPr>
              <w:t>Vessel Appraisals</w:t>
            </w:r>
          </w:p>
        </w:tc>
        <w:tc>
          <w:tcPr>
            <w:tcW w:w="2120" w:type="dxa"/>
            <w:vAlign w:val="bottom"/>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SECTION 5.15.</w:t>
            </w:r>
          </w:p>
        </w:tc>
        <w:tc>
          <w:tcPr>
            <w:tcW w:w="7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Post-Effective Date Matters</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SECTION 5.16.</w:t>
            </w:r>
          </w:p>
        </w:tc>
        <w:tc>
          <w:tcPr>
            <w:tcW w:w="7680" w:type="dxa"/>
            <w:vAlign w:val="bottom"/>
          </w:tcPr>
          <w:p>
            <w:pPr>
              <w:ind w:left="260"/>
              <w:spacing w:after="0"/>
              <w:rPr>
                <w:sz w:val="20"/>
                <w:szCs w:val="20"/>
                <w:color w:val="auto"/>
              </w:rPr>
            </w:pPr>
            <w:r>
              <w:rPr>
                <w:rFonts w:ascii="Arial" w:cs="Arial" w:eastAsia="Arial" w:hAnsi="Arial"/>
                <w:sz w:val="18"/>
                <w:szCs w:val="18"/>
                <w:color w:val="auto"/>
              </w:rPr>
              <w:t>Designation of Subsidiaries</w:t>
            </w:r>
          </w:p>
        </w:tc>
        <w:tc>
          <w:tcPr>
            <w:tcW w:w="2120" w:type="dxa"/>
            <w:vAlign w:val="bottom"/>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0" w:name="page181"/>
    <w:bookmarkEnd w:id="180"/>
    <w:tbl>
      <w:tblPr>
        <w:tblLayout w:type="fixed"/>
        <w:tblInd w:w="0" w:type="dxa"/>
        <w:tblCellMar>
          <w:top w:w="0" w:type="dxa"/>
          <w:left w:w="0" w:type="dxa"/>
          <w:bottom w:w="0" w:type="dxa"/>
          <w:right w:w="0" w:type="dxa"/>
        </w:tblCellMar>
      </w:tblPr>
      <w:tr>
        <w:trPr>
          <w:trHeight w:val="230"/>
        </w:trPr>
        <w:tc>
          <w:tcPr>
            <w:tcW w:w="1440" w:type="dxa"/>
            <w:vAlign w:val="bottom"/>
          </w:tcPr>
          <w:p>
            <w:pPr>
              <w:spacing w:after="0"/>
              <w:rPr>
                <w:sz w:val="20"/>
                <w:szCs w:val="20"/>
                <w:color w:val="auto"/>
              </w:rPr>
            </w:pPr>
          </w:p>
        </w:tc>
        <w:tc>
          <w:tcPr>
            <w:tcW w:w="7500" w:type="dxa"/>
            <w:vAlign w:val="bottom"/>
          </w:tcPr>
          <w:p>
            <w:pPr>
              <w:jc w:val="center"/>
              <w:ind w:left="790"/>
              <w:spacing w:after="0"/>
              <w:rPr>
                <w:sz w:val="20"/>
                <w:szCs w:val="20"/>
                <w:color w:val="auto"/>
              </w:rPr>
            </w:pPr>
            <w:r>
              <w:rPr>
                <w:rFonts w:ascii="Arial" w:cs="Arial" w:eastAsia="Arial" w:hAnsi="Arial"/>
                <w:sz w:val="18"/>
                <w:szCs w:val="18"/>
                <w:color w:val="auto"/>
                <w:w w:val="99"/>
              </w:rPr>
              <w:t>ARTICLE VI</w:t>
            </w:r>
          </w:p>
        </w:tc>
        <w:tc>
          <w:tcPr>
            <w:tcW w:w="2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440" w:type="dxa"/>
            <w:vAlign w:val="bottom"/>
          </w:tcPr>
          <w:p>
            <w:pPr>
              <w:spacing w:after="0"/>
              <w:rPr>
                <w:sz w:val="24"/>
                <w:szCs w:val="24"/>
                <w:color w:val="auto"/>
              </w:rPr>
            </w:pPr>
          </w:p>
        </w:tc>
        <w:tc>
          <w:tcPr>
            <w:tcW w:w="7500" w:type="dxa"/>
            <w:vAlign w:val="bottom"/>
          </w:tcPr>
          <w:p>
            <w:pPr>
              <w:jc w:val="center"/>
              <w:ind w:left="790"/>
              <w:spacing w:after="0"/>
              <w:rPr>
                <w:sz w:val="20"/>
                <w:szCs w:val="20"/>
                <w:color w:val="auto"/>
              </w:rPr>
            </w:pPr>
            <w:r>
              <w:rPr>
                <w:rFonts w:ascii="Arial" w:cs="Arial" w:eastAsia="Arial" w:hAnsi="Arial"/>
                <w:sz w:val="18"/>
                <w:szCs w:val="18"/>
                <w:color w:val="auto"/>
                <w:w w:val="97"/>
              </w:rPr>
              <w:t>NEGATIVE COVENANTS</w:t>
            </w: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SECTION 6.01.</w:t>
            </w:r>
          </w:p>
        </w:tc>
        <w:tc>
          <w:tcPr>
            <w:tcW w:w="7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Indebtedness</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6.02.</w:t>
            </w:r>
          </w:p>
        </w:tc>
        <w:tc>
          <w:tcPr>
            <w:tcW w:w="7500" w:type="dxa"/>
            <w:vAlign w:val="bottom"/>
          </w:tcPr>
          <w:p>
            <w:pPr>
              <w:ind w:left="260"/>
              <w:spacing w:after="0"/>
              <w:rPr>
                <w:sz w:val="20"/>
                <w:szCs w:val="20"/>
                <w:color w:val="auto"/>
              </w:rPr>
            </w:pPr>
            <w:r>
              <w:rPr>
                <w:rFonts w:ascii="Arial" w:cs="Arial" w:eastAsia="Arial" w:hAnsi="Arial"/>
                <w:sz w:val="18"/>
                <w:szCs w:val="18"/>
                <w:color w:val="auto"/>
              </w:rPr>
              <w:t>Liens</w:t>
            </w:r>
          </w:p>
        </w:tc>
        <w:tc>
          <w:tcPr>
            <w:tcW w:w="2300" w:type="dxa"/>
            <w:vAlign w:val="bottom"/>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SECTION 6.03.</w:t>
            </w:r>
          </w:p>
        </w:tc>
        <w:tc>
          <w:tcPr>
            <w:tcW w:w="7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Fundamental Changes</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6.04.</w:t>
            </w:r>
          </w:p>
        </w:tc>
        <w:tc>
          <w:tcPr>
            <w:tcW w:w="7500" w:type="dxa"/>
            <w:vAlign w:val="bottom"/>
          </w:tcPr>
          <w:p>
            <w:pPr>
              <w:ind w:left="260"/>
              <w:spacing w:after="0"/>
              <w:rPr>
                <w:sz w:val="20"/>
                <w:szCs w:val="20"/>
                <w:color w:val="auto"/>
              </w:rPr>
            </w:pPr>
            <w:r>
              <w:rPr>
                <w:rFonts w:ascii="Arial" w:cs="Arial" w:eastAsia="Arial" w:hAnsi="Arial"/>
                <w:sz w:val="18"/>
                <w:szCs w:val="18"/>
                <w:color w:val="auto"/>
              </w:rPr>
              <w:t>Investments, Loans, Advances, Guarantees and Acquisitions</w:t>
            </w:r>
          </w:p>
        </w:tc>
        <w:tc>
          <w:tcPr>
            <w:tcW w:w="2300" w:type="dxa"/>
            <w:vAlign w:val="bottom"/>
          </w:tcPr>
          <w:p>
            <w:pPr>
              <w:jc w:val="right"/>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SECTION 6.05.</w:t>
            </w:r>
          </w:p>
        </w:tc>
        <w:tc>
          <w:tcPr>
            <w:tcW w:w="7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Asset Sales</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6.06.</w:t>
            </w:r>
          </w:p>
        </w:tc>
        <w:tc>
          <w:tcPr>
            <w:tcW w:w="7500" w:type="dxa"/>
            <w:vAlign w:val="bottom"/>
          </w:tcPr>
          <w:p>
            <w:pPr>
              <w:ind w:left="260"/>
              <w:spacing w:after="0"/>
              <w:rPr>
                <w:sz w:val="20"/>
                <w:szCs w:val="20"/>
                <w:color w:val="auto"/>
              </w:rPr>
            </w:pPr>
            <w:r>
              <w:rPr>
                <w:rFonts w:ascii="Arial" w:cs="Arial" w:eastAsia="Arial" w:hAnsi="Arial"/>
                <w:sz w:val="18"/>
                <w:szCs w:val="18"/>
                <w:color w:val="auto"/>
              </w:rPr>
              <w:t>[Reserved]</w:t>
            </w:r>
          </w:p>
        </w:tc>
        <w:tc>
          <w:tcPr>
            <w:tcW w:w="2300" w:type="dxa"/>
            <w:vAlign w:val="bottom"/>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SECTION 6.07.</w:t>
            </w:r>
          </w:p>
        </w:tc>
        <w:tc>
          <w:tcPr>
            <w:tcW w:w="7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Use of Proceeds and Letters of Credit</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6.08.</w:t>
            </w:r>
          </w:p>
        </w:tc>
        <w:tc>
          <w:tcPr>
            <w:tcW w:w="7500" w:type="dxa"/>
            <w:vAlign w:val="bottom"/>
          </w:tcPr>
          <w:p>
            <w:pPr>
              <w:ind w:left="260"/>
              <w:spacing w:after="0"/>
              <w:rPr>
                <w:sz w:val="20"/>
                <w:szCs w:val="20"/>
                <w:color w:val="auto"/>
              </w:rPr>
            </w:pPr>
            <w:r>
              <w:rPr>
                <w:rFonts w:ascii="Arial" w:cs="Arial" w:eastAsia="Arial" w:hAnsi="Arial"/>
                <w:sz w:val="18"/>
                <w:szCs w:val="18"/>
                <w:color w:val="auto"/>
              </w:rPr>
              <w:t>Restricted Payments; Certain Payments of Junior Indebtedness</w:t>
            </w:r>
          </w:p>
        </w:tc>
        <w:tc>
          <w:tcPr>
            <w:tcW w:w="2300" w:type="dxa"/>
            <w:vAlign w:val="bottom"/>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SECTION 6.09.</w:t>
            </w:r>
          </w:p>
        </w:tc>
        <w:tc>
          <w:tcPr>
            <w:tcW w:w="7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Transactions with Affiliates</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6.10.</w:t>
            </w:r>
          </w:p>
        </w:tc>
        <w:tc>
          <w:tcPr>
            <w:tcW w:w="7500" w:type="dxa"/>
            <w:vAlign w:val="bottom"/>
          </w:tcPr>
          <w:p>
            <w:pPr>
              <w:ind w:left="260"/>
              <w:spacing w:after="0"/>
              <w:rPr>
                <w:sz w:val="20"/>
                <w:szCs w:val="20"/>
                <w:color w:val="auto"/>
              </w:rPr>
            </w:pPr>
            <w:r>
              <w:rPr>
                <w:rFonts w:ascii="Arial" w:cs="Arial" w:eastAsia="Arial" w:hAnsi="Arial"/>
                <w:sz w:val="18"/>
                <w:szCs w:val="18"/>
                <w:color w:val="auto"/>
              </w:rPr>
              <w:t>Restrictive Agreements</w:t>
            </w:r>
          </w:p>
        </w:tc>
        <w:tc>
          <w:tcPr>
            <w:tcW w:w="2300" w:type="dxa"/>
            <w:vAlign w:val="bottom"/>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SECTION 6.11.</w:t>
            </w:r>
          </w:p>
        </w:tc>
        <w:tc>
          <w:tcPr>
            <w:tcW w:w="7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Amendment of Material Documents</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6.12.</w:t>
            </w:r>
          </w:p>
        </w:tc>
        <w:tc>
          <w:tcPr>
            <w:tcW w:w="7500" w:type="dxa"/>
            <w:vAlign w:val="bottom"/>
          </w:tcPr>
          <w:p>
            <w:pPr>
              <w:ind w:left="260"/>
              <w:spacing w:after="0"/>
              <w:rPr>
                <w:sz w:val="20"/>
                <w:szCs w:val="20"/>
                <w:color w:val="auto"/>
              </w:rPr>
            </w:pPr>
            <w:r>
              <w:rPr>
                <w:rFonts w:ascii="Arial" w:cs="Arial" w:eastAsia="Arial" w:hAnsi="Arial"/>
                <w:sz w:val="18"/>
                <w:szCs w:val="18"/>
                <w:color w:val="auto"/>
              </w:rPr>
              <w:t>Interest Coverage Ratio</w:t>
            </w:r>
          </w:p>
        </w:tc>
        <w:tc>
          <w:tcPr>
            <w:tcW w:w="2300" w:type="dxa"/>
            <w:vAlign w:val="bottom"/>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SECTION 6.13.</w:t>
            </w:r>
          </w:p>
        </w:tc>
        <w:tc>
          <w:tcPr>
            <w:tcW w:w="7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Leverage Ratio</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6.14.</w:t>
            </w:r>
          </w:p>
        </w:tc>
        <w:tc>
          <w:tcPr>
            <w:tcW w:w="7500" w:type="dxa"/>
            <w:vAlign w:val="bottom"/>
          </w:tcPr>
          <w:p>
            <w:pPr>
              <w:ind w:left="260"/>
              <w:spacing w:after="0"/>
              <w:rPr>
                <w:sz w:val="20"/>
                <w:szCs w:val="20"/>
                <w:color w:val="auto"/>
              </w:rPr>
            </w:pPr>
            <w:r>
              <w:rPr>
                <w:rFonts w:ascii="Arial" w:cs="Arial" w:eastAsia="Arial" w:hAnsi="Arial"/>
                <w:sz w:val="18"/>
                <w:szCs w:val="18"/>
                <w:color w:val="auto"/>
              </w:rPr>
              <w:t>First Lien Leverage Ratio</w:t>
            </w:r>
          </w:p>
        </w:tc>
        <w:tc>
          <w:tcPr>
            <w:tcW w:w="2300" w:type="dxa"/>
            <w:vAlign w:val="bottom"/>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SECTION 6.15.</w:t>
            </w:r>
          </w:p>
        </w:tc>
        <w:tc>
          <w:tcPr>
            <w:tcW w:w="7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Changes in Fiscal Periods</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440" w:type="dxa"/>
            <w:vAlign w:val="bottom"/>
          </w:tcPr>
          <w:p>
            <w:pPr>
              <w:spacing w:after="0"/>
              <w:rPr>
                <w:sz w:val="24"/>
                <w:szCs w:val="24"/>
                <w:color w:val="auto"/>
              </w:rPr>
            </w:pPr>
          </w:p>
        </w:tc>
        <w:tc>
          <w:tcPr>
            <w:tcW w:w="7500" w:type="dxa"/>
            <w:vAlign w:val="bottom"/>
          </w:tcPr>
          <w:p>
            <w:pPr>
              <w:jc w:val="center"/>
              <w:ind w:left="770"/>
              <w:spacing w:after="0"/>
              <w:rPr>
                <w:sz w:val="20"/>
                <w:szCs w:val="20"/>
                <w:color w:val="auto"/>
              </w:rPr>
            </w:pPr>
            <w:r>
              <w:rPr>
                <w:rFonts w:ascii="Arial" w:cs="Arial" w:eastAsia="Arial" w:hAnsi="Arial"/>
                <w:sz w:val="18"/>
                <w:szCs w:val="18"/>
                <w:color w:val="auto"/>
              </w:rPr>
              <w:t>ARTICLE VII</w:t>
            </w: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440" w:type="dxa"/>
            <w:vAlign w:val="bottom"/>
          </w:tcPr>
          <w:p>
            <w:pPr>
              <w:spacing w:after="0"/>
              <w:rPr>
                <w:sz w:val="24"/>
                <w:szCs w:val="24"/>
                <w:color w:val="auto"/>
              </w:rPr>
            </w:pPr>
          </w:p>
        </w:tc>
        <w:tc>
          <w:tcPr>
            <w:tcW w:w="7500" w:type="dxa"/>
            <w:vAlign w:val="bottom"/>
          </w:tcPr>
          <w:p>
            <w:pPr>
              <w:jc w:val="center"/>
              <w:ind w:left="770"/>
              <w:spacing w:after="0"/>
              <w:rPr>
                <w:sz w:val="20"/>
                <w:szCs w:val="20"/>
                <w:color w:val="auto"/>
              </w:rPr>
            </w:pPr>
            <w:r>
              <w:rPr>
                <w:rFonts w:ascii="Arial" w:cs="Arial" w:eastAsia="Arial" w:hAnsi="Arial"/>
                <w:sz w:val="18"/>
                <w:szCs w:val="18"/>
                <w:color w:val="auto"/>
                <w:w w:val="95"/>
              </w:rPr>
              <w:t>EVENTS OF DEFAULT</w:t>
            </w: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SECTION 7.01.</w:t>
            </w:r>
          </w:p>
        </w:tc>
        <w:tc>
          <w:tcPr>
            <w:tcW w:w="7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Events of Default</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440" w:type="dxa"/>
            <w:vAlign w:val="bottom"/>
          </w:tcPr>
          <w:p>
            <w:pPr>
              <w:spacing w:after="0"/>
              <w:rPr>
                <w:sz w:val="24"/>
                <w:szCs w:val="24"/>
                <w:color w:val="auto"/>
              </w:rPr>
            </w:pPr>
          </w:p>
        </w:tc>
        <w:tc>
          <w:tcPr>
            <w:tcW w:w="7500" w:type="dxa"/>
            <w:vAlign w:val="bottom"/>
          </w:tcPr>
          <w:p>
            <w:pPr>
              <w:jc w:val="center"/>
              <w:ind w:left="790"/>
              <w:spacing w:after="0"/>
              <w:rPr>
                <w:sz w:val="20"/>
                <w:szCs w:val="20"/>
                <w:color w:val="auto"/>
              </w:rPr>
            </w:pPr>
            <w:r>
              <w:rPr>
                <w:rFonts w:ascii="Arial" w:cs="Arial" w:eastAsia="Arial" w:hAnsi="Arial"/>
                <w:sz w:val="18"/>
                <w:szCs w:val="18"/>
                <w:color w:val="auto"/>
              </w:rPr>
              <w:t>ARTICLE VIII</w:t>
            </w: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440" w:type="dxa"/>
            <w:vAlign w:val="bottom"/>
          </w:tcPr>
          <w:p>
            <w:pPr>
              <w:spacing w:after="0"/>
              <w:rPr>
                <w:sz w:val="24"/>
                <w:szCs w:val="24"/>
                <w:color w:val="auto"/>
              </w:rPr>
            </w:pPr>
          </w:p>
        </w:tc>
        <w:tc>
          <w:tcPr>
            <w:tcW w:w="7500" w:type="dxa"/>
            <w:vAlign w:val="bottom"/>
          </w:tcPr>
          <w:p>
            <w:pPr>
              <w:jc w:val="center"/>
              <w:ind w:left="770"/>
              <w:spacing w:after="0"/>
              <w:rPr>
                <w:sz w:val="20"/>
                <w:szCs w:val="20"/>
                <w:color w:val="auto"/>
              </w:rPr>
            </w:pPr>
            <w:r>
              <w:rPr>
                <w:rFonts w:ascii="Arial" w:cs="Arial" w:eastAsia="Arial" w:hAnsi="Arial"/>
                <w:sz w:val="18"/>
                <w:szCs w:val="18"/>
                <w:color w:val="auto"/>
                <w:w w:val="98"/>
              </w:rPr>
              <w:t>THE ADMINISTRATIVE AGENT</w:t>
            </w: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SECTION 8.01.</w:t>
            </w:r>
          </w:p>
        </w:tc>
        <w:tc>
          <w:tcPr>
            <w:tcW w:w="7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Administrative Agent Matters</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SECTION 8.02.</w:t>
            </w:r>
          </w:p>
        </w:tc>
        <w:tc>
          <w:tcPr>
            <w:tcW w:w="7500" w:type="dxa"/>
            <w:vAlign w:val="bottom"/>
          </w:tcPr>
          <w:p>
            <w:pPr>
              <w:ind w:left="260"/>
              <w:spacing w:after="0"/>
              <w:rPr>
                <w:sz w:val="20"/>
                <w:szCs w:val="20"/>
                <w:color w:val="auto"/>
              </w:rPr>
            </w:pPr>
            <w:r>
              <w:rPr>
                <w:rFonts w:ascii="Arial" w:cs="Arial" w:eastAsia="Arial" w:hAnsi="Arial"/>
                <w:sz w:val="18"/>
                <w:szCs w:val="18"/>
                <w:color w:val="auto"/>
              </w:rPr>
              <w:t>Certain ERISA Matters</w:t>
            </w:r>
          </w:p>
        </w:tc>
        <w:tc>
          <w:tcPr>
            <w:tcW w:w="2300" w:type="dxa"/>
            <w:vAlign w:val="bottom"/>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180" w:type="dxa"/>
            <w:vAlign w:val="bottom"/>
          </w:tcPr>
          <w:p>
            <w:pPr>
              <w:ind w:left="3460"/>
              <w:spacing w:after="0"/>
              <w:rPr>
                <w:sz w:val="20"/>
                <w:szCs w:val="20"/>
                <w:color w:val="auto"/>
              </w:rPr>
            </w:pPr>
            <w:r>
              <w:rPr>
                <w:rFonts w:ascii="Arial" w:cs="Arial" w:eastAsia="Arial" w:hAnsi="Arial"/>
                <w:sz w:val="18"/>
                <w:szCs w:val="18"/>
                <w:color w:val="auto"/>
              </w:rPr>
              <w:t>ARTICLE IX</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180" w:type="dxa"/>
            <w:vAlign w:val="bottom"/>
          </w:tcPr>
          <w:p>
            <w:pPr>
              <w:ind w:left="3200"/>
              <w:spacing w:after="0"/>
              <w:rPr>
                <w:sz w:val="20"/>
                <w:szCs w:val="20"/>
                <w:color w:val="auto"/>
              </w:rPr>
            </w:pPr>
            <w:r>
              <w:rPr>
                <w:rFonts w:ascii="Arial" w:cs="Arial" w:eastAsia="Arial" w:hAnsi="Arial"/>
                <w:sz w:val="18"/>
                <w:szCs w:val="18"/>
                <w:color w:val="auto"/>
              </w:rPr>
              <w:t>MISCELLANEOUS</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SECTION 9.01.</w:t>
            </w:r>
          </w:p>
        </w:tc>
        <w:tc>
          <w:tcPr>
            <w:tcW w:w="320" w:type="dxa"/>
            <w:vAlign w:val="bottom"/>
            <w:shd w:val="clear" w:color="auto" w:fill="CCEEFF"/>
          </w:tcPr>
          <w:p>
            <w:pPr>
              <w:spacing w:after="0"/>
              <w:rPr>
                <w:sz w:val="18"/>
                <w:szCs w:val="18"/>
                <w:color w:val="auto"/>
              </w:rPr>
            </w:pPr>
          </w:p>
        </w:tc>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Notices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SECTION 9.02.</w:t>
            </w:r>
          </w:p>
        </w:tc>
        <w:tc>
          <w:tcPr>
            <w:tcW w:w="320" w:type="dxa"/>
            <w:vAlign w:val="bottom"/>
          </w:tcPr>
          <w:p>
            <w:pPr>
              <w:spacing w:after="0"/>
              <w:rPr>
                <w:sz w:val="18"/>
                <w:szCs w:val="18"/>
                <w:color w:val="auto"/>
              </w:rPr>
            </w:pPr>
          </w:p>
        </w:tc>
        <w:tc>
          <w:tcPr>
            <w:tcW w:w="9180" w:type="dxa"/>
            <w:vAlign w:val="bottom"/>
          </w:tcPr>
          <w:p>
            <w:pPr>
              <w:ind w:left="20"/>
              <w:spacing w:after="0"/>
              <w:rPr>
                <w:sz w:val="20"/>
                <w:szCs w:val="20"/>
                <w:color w:val="auto"/>
              </w:rPr>
            </w:pPr>
            <w:r>
              <w:rPr>
                <w:rFonts w:ascii="Arial" w:cs="Arial" w:eastAsia="Arial" w:hAnsi="Arial"/>
                <w:sz w:val="18"/>
                <w:szCs w:val="18"/>
                <w:color w:val="auto"/>
              </w:rPr>
              <w:t>Waivers; Amendments</w:t>
            </w:r>
          </w:p>
        </w:tc>
        <w:tc>
          <w:tcPr>
            <w:tcW w:w="380" w:type="dxa"/>
            <w:vAlign w:val="bottom"/>
          </w:tcPr>
          <w:p>
            <w:pPr>
              <w:jc w:val="right"/>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SECTION 9.03.</w:t>
            </w:r>
          </w:p>
        </w:tc>
        <w:tc>
          <w:tcPr>
            <w:tcW w:w="320" w:type="dxa"/>
            <w:vAlign w:val="bottom"/>
            <w:shd w:val="clear" w:color="auto" w:fill="CCEEFF"/>
          </w:tcPr>
          <w:p>
            <w:pPr>
              <w:spacing w:after="0"/>
              <w:rPr>
                <w:sz w:val="18"/>
                <w:szCs w:val="18"/>
                <w:color w:val="auto"/>
              </w:rPr>
            </w:pPr>
          </w:p>
        </w:tc>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 Limitation of Liability; Indemnity, Etc</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SECTION 9.04.</w:t>
            </w:r>
          </w:p>
        </w:tc>
        <w:tc>
          <w:tcPr>
            <w:tcW w:w="320" w:type="dxa"/>
            <w:vAlign w:val="bottom"/>
          </w:tcPr>
          <w:p>
            <w:pPr>
              <w:spacing w:after="0"/>
              <w:rPr>
                <w:sz w:val="18"/>
                <w:szCs w:val="18"/>
                <w:color w:val="auto"/>
              </w:rPr>
            </w:pPr>
          </w:p>
        </w:tc>
        <w:tc>
          <w:tcPr>
            <w:tcW w:w="9180" w:type="dxa"/>
            <w:vAlign w:val="bottom"/>
          </w:tcPr>
          <w:p>
            <w:pPr>
              <w:ind w:left="20"/>
              <w:spacing w:after="0"/>
              <w:rPr>
                <w:sz w:val="20"/>
                <w:szCs w:val="20"/>
                <w:color w:val="auto"/>
              </w:rPr>
            </w:pPr>
            <w:r>
              <w:rPr>
                <w:rFonts w:ascii="Arial" w:cs="Arial" w:eastAsia="Arial" w:hAnsi="Arial"/>
                <w:sz w:val="18"/>
                <w:szCs w:val="18"/>
                <w:color w:val="auto"/>
              </w:rPr>
              <w:t>Successors and Assigns</w:t>
            </w:r>
          </w:p>
        </w:tc>
        <w:tc>
          <w:tcPr>
            <w:tcW w:w="380" w:type="dxa"/>
            <w:vAlign w:val="bottom"/>
          </w:tcPr>
          <w:p>
            <w:pPr>
              <w:jc w:val="right"/>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SECTION 9.05.</w:t>
            </w:r>
          </w:p>
        </w:tc>
        <w:tc>
          <w:tcPr>
            <w:tcW w:w="320" w:type="dxa"/>
            <w:vAlign w:val="bottom"/>
            <w:shd w:val="clear" w:color="auto" w:fill="CCEEFF"/>
          </w:tcPr>
          <w:p>
            <w:pPr>
              <w:spacing w:after="0"/>
              <w:rPr>
                <w:sz w:val="18"/>
                <w:szCs w:val="18"/>
                <w:color w:val="auto"/>
              </w:rPr>
            </w:pPr>
          </w:p>
        </w:tc>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Survival</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SECTION 9.06.</w:t>
            </w:r>
          </w:p>
        </w:tc>
        <w:tc>
          <w:tcPr>
            <w:tcW w:w="320" w:type="dxa"/>
            <w:vAlign w:val="bottom"/>
          </w:tcPr>
          <w:p>
            <w:pPr>
              <w:spacing w:after="0"/>
              <w:rPr>
                <w:sz w:val="18"/>
                <w:szCs w:val="18"/>
                <w:color w:val="auto"/>
              </w:rPr>
            </w:pPr>
          </w:p>
        </w:tc>
        <w:tc>
          <w:tcPr>
            <w:tcW w:w="9180" w:type="dxa"/>
            <w:vAlign w:val="bottom"/>
          </w:tcPr>
          <w:p>
            <w:pPr>
              <w:ind w:left="20"/>
              <w:spacing w:after="0"/>
              <w:rPr>
                <w:sz w:val="20"/>
                <w:szCs w:val="20"/>
                <w:color w:val="auto"/>
              </w:rPr>
            </w:pPr>
            <w:r>
              <w:rPr>
                <w:rFonts w:ascii="Arial" w:cs="Arial" w:eastAsia="Arial" w:hAnsi="Arial"/>
                <w:sz w:val="18"/>
                <w:szCs w:val="18"/>
                <w:color w:val="auto"/>
              </w:rPr>
              <w:t>Counterparts; Integration; Effectiveness</w:t>
            </w:r>
          </w:p>
        </w:tc>
        <w:tc>
          <w:tcPr>
            <w:tcW w:w="380" w:type="dxa"/>
            <w:vAlign w:val="bottom"/>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SECTION 9.07.</w:t>
            </w:r>
          </w:p>
        </w:tc>
        <w:tc>
          <w:tcPr>
            <w:tcW w:w="320" w:type="dxa"/>
            <w:vAlign w:val="bottom"/>
            <w:shd w:val="clear" w:color="auto" w:fill="CCEEFF"/>
          </w:tcPr>
          <w:p>
            <w:pPr>
              <w:spacing w:after="0"/>
              <w:rPr>
                <w:sz w:val="18"/>
                <w:szCs w:val="18"/>
                <w:color w:val="auto"/>
              </w:rPr>
            </w:pPr>
          </w:p>
        </w:tc>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Severability</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SECTION 9.08.</w:t>
            </w:r>
          </w:p>
        </w:tc>
        <w:tc>
          <w:tcPr>
            <w:tcW w:w="320" w:type="dxa"/>
            <w:vAlign w:val="bottom"/>
          </w:tcPr>
          <w:p>
            <w:pPr>
              <w:spacing w:after="0"/>
              <w:rPr>
                <w:sz w:val="18"/>
                <w:szCs w:val="18"/>
                <w:color w:val="auto"/>
              </w:rPr>
            </w:pPr>
          </w:p>
        </w:tc>
        <w:tc>
          <w:tcPr>
            <w:tcW w:w="9180" w:type="dxa"/>
            <w:vAlign w:val="bottom"/>
          </w:tcPr>
          <w:p>
            <w:pPr>
              <w:ind w:left="20"/>
              <w:spacing w:after="0"/>
              <w:rPr>
                <w:sz w:val="20"/>
                <w:szCs w:val="20"/>
                <w:color w:val="auto"/>
              </w:rPr>
            </w:pPr>
            <w:r>
              <w:rPr>
                <w:rFonts w:ascii="Arial" w:cs="Arial" w:eastAsia="Arial" w:hAnsi="Arial"/>
                <w:sz w:val="18"/>
                <w:szCs w:val="18"/>
                <w:color w:val="auto"/>
              </w:rPr>
              <w:t>Right of Setoff</w:t>
            </w:r>
          </w:p>
        </w:tc>
        <w:tc>
          <w:tcPr>
            <w:tcW w:w="380" w:type="dxa"/>
            <w:vAlign w:val="bottom"/>
          </w:tcPr>
          <w:p>
            <w:pPr>
              <w:jc w:val="right"/>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SECTION 9.09.</w:t>
            </w:r>
          </w:p>
        </w:tc>
        <w:tc>
          <w:tcPr>
            <w:tcW w:w="320" w:type="dxa"/>
            <w:vAlign w:val="bottom"/>
            <w:shd w:val="clear" w:color="auto" w:fill="CCEEFF"/>
          </w:tcPr>
          <w:p>
            <w:pPr>
              <w:spacing w:after="0"/>
              <w:rPr>
                <w:sz w:val="18"/>
                <w:szCs w:val="18"/>
                <w:color w:val="auto"/>
              </w:rPr>
            </w:pPr>
          </w:p>
        </w:tc>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Governing Law; Jurisdiction; Consent to Service of Process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SECTION 9.10.</w:t>
            </w:r>
          </w:p>
        </w:tc>
        <w:tc>
          <w:tcPr>
            <w:tcW w:w="320" w:type="dxa"/>
            <w:vAlign w:val="bottom"/>
          </w:tcPr>
          <w:p>
            <w:pPr>
              <w:spacing w:after="0"/>
              <w:rPr>
                <w:sz w:val="18"/>
                <w:szCs w:val="18"/>
                <w:color w:val="auto"/>
              </w:rPr>
            </w:pPr>
          </w:p>
        </w:tc>
        <w:tc>
          <w:tcPr>
            <w:tcW w:w="9180" w:type="dxa"/>
            <w:vAlign w:val="bottom"/>
          </w:tcPr>
          <w:p>
            <w:pPr>
              <w:ind w:left="20"/>
              <w:spacing w:after="0"/>
              <w:rPr>
                <w:sz w:val="20"/>
                <w:szCs w:val="20"/>
                <w:color w:val="auto"/>
              </w:rPr>
            </w:pPr>
            <w:r>
              <w:rPr>
                <w:rFonts w:ascii="Arial" w:cs="Arial" w:eastAsia="Arial" w:hAnsi="Arial"/>
                <w:sz w:val="18"/>
                <w:szCs w:val="18"/>
                <w:color w:val="auto"/>
              </w:rPr>
              <w:t>WAIVER OF JURY TRIAL</w:t>
            </w:r>
          </w:p>
        </w:tc>
        <w:tc>
          <w:tcPr>
            <w:tcW w:w="380" w:type="dxa"/>
            <w:vAlign w:val="bottom"/>
          </w:tcPr>
          <w:p>
            <w:pPr>
              <w:jc w:val="right"/>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SECTION 9.11.</w:t>
            </w:r>
          </w:p>
        </w:tc>
        <w:tc>
          <w:tcPr>
            <w:tcW w:w="320" w:type="dxa"/>
            <w:vAlign w:val="bottom"/>
            <w:shd w:val="clear" w:color="auto" w:fill="CCEEFF"/>
          </w:tcPr>
          <w:p>
            <w:pPr>
              <w:spacing w:after="0"/>
              <w:rPr>
                <w:sz w:val="18"/>
                <w:szCs w:val="18"/>
                <w:color w:val="auto"/>
              </w:rPr>
            </w:pPr>
          </w:p>
        </w:tc>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Headings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SECTION 9.12.</w:t>
            </w:r>
          </w:p>
        </w:tc>
        <w:tc>
          <w:tcPr>
            <w:tcW w:w="320" w:type="dxa"/>
            <w:vAlign w:val="bottom"/>
          </w:tcPr>
          <w:p>
            <w:pPr>
              <w:spacing w:after="0"/>
              <w:rPr>
                <w:sz w:val="18"/>
                <w:szCs w:val="18"/>
                <w:color w:val="auto"/>
              </w:rPr>
            </w:pPr>
          </w:p>
        </w:tc>
        <w:tc>
          <w:tcPr>
            <w:tcW w:w="9180" w:type="dxa"/>
            <w:vAlign w:val="bottom"/>
          </w:tcPr>
          <w:p>
            <w:pPr>
              <w:ind w:left="20"/>
              <w:spacing w:after="0"/>
              <w:rPr>
                <w:sz w:val="20"/>
                <w:szCs w:val="20"/>
                <w:color w:val="auto"/>
              </w:rPr>
            </w:pPr>
            <w:r>
              <w:rPr>
                <w:rFonts w:ascii="Arial" w:cs="Arial" w:eastAsia="Arial" w:hAnsi="Arial"/>
                <w:sz w:val="18"/>
                <w:szCs w:val="18"/>
                <w:color w:val="auto"/>
              </w:rPr>
              <w:t>Confidentiality</w:t>
            </w:r>
          </w:p>
        </w:tc>
        <w:tc>
          <w:tcPr>
            <w:tcW w:w="380" w:type="dxa"/>
            <w:vAlign w:val="bottom"/>
          </w:tcPr>
          <w:p>
            <w:pPr>
              <w:jc w:val="right"/>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SECTION 9.13.</w:t>
            </w:r>
          </w:p>
        </w:tc>
        <w:tc>
          <w:tcPr>
            <w:tcW w:w="320" w:type="dxa"/>
            <w:vAlign w:val="bottom"/>
            <w:shd w:val="clear" w:color="auto" w:fill="CCEEFF"/>
          </w:tcPr>
          <w:p>
            <w:pPr>
              <w:spacing w:after="0"/>
              <w:rPr>
                <w:sz w:val="18"/>
                <w:szCs w:val="18"/>
                <w:color w:val="auto"/>
              </w:rPr>
            </w:pPr>
          </w:p>
        </w:tc>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Limitation</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SECTION 9.14.</w:t>
            </w:r>
          </w:p>
        </w:tc>
        <w:tc>
          <w:tcPr>
            <w:tcW w:w="320" w:type="dxa"/>
            <w:vAlign w:val="bottom"/>
          </w:tcPr>
          <w:p>
            <w:pPr>
              <w:spacing w:after="0"/>
              <w:rPr>
                <w:sz w:val="18"/>
                <w:szCs w:val="18"/>
                <w:color w:val="auto"/>
              </w:rPr>
            </w:pPr>
          </w:p>
        </w:tc>
        <w:tc>
          <w:tcPr>
            <w:tcW w:w="9180" w:type="dxa"/>
            <w:vAlign w:val="bottom"/>
          </w:tcPr>
          <w:p>
            <w:pPr>
              <w:ind w:left="20"/>
              <w:spacing w:after="0"/>
              <w:rPr>
                <w:sz w:val="20"/>
                <w:szCs w:val="20"/>
                <w:color w:val="auto"/>
              </w:rPr>
            </w:pPr>
            <w:r>
              <w:rPr>
                <w:rFonts w:ascii="Arial" w:cs="Arial" w:eastAsia="Arial" w:hAnsi="Arial"/>
                <w:sz w:val="18"/>
                <w:szCs w:val="18"/>
                <w:color w:val="auto"/>
              </w:rPr>
              <w:t>Release of Liens and Guarantees</w:t>
            </w:r>
          </w:p>
        </w:tc>
        <w:tc>
          <w:tcPr>
            <w:tcW w:w="380" w:type="dxa"/>
            <w:vAlign w:val="bottom"/>
          </w:tcPr>
          <w:p>
            <w:pPr>
              <w:jc w:val="right"/>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SECTION 9.15.</w:t>
            </w:r>
          </w:p>
        </w:tc>
        <w:tc>
          <w:tcPr>
            <w:tcW w:w="320" w:type="dxa"/>
            <w:vAlign w:val="bottom"/>
            <w:shd w:val="clear" w:color="auto" w:fill="CCEEFF"/>
          </w:tcPr>
          <w:p>
            <w:pPr>
              <w:spacing w:after="0"/>
              <w:rPr>
                <w:sz w:val="18"/>
                <w:szCs w:val="18"/>
                <w:color w:val="auto"/>
              </w:rPr>
            </w:pPr>
          </w:p>
        </w:tc>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USA PATRIOT Act Notice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SECTION 9.16.</w:t>
            </w:r>
          </w:p>
        </w:tc>
        <w:tc>
          <w:tcPr>
            <w:tcW w:w="320" w:type="dxa"/>
            <w:vAlign w:val="bottom"/>
          </w:tcPr>
          <w:p>
            <w:pPr>
              <w:spacing w:after="0"/>
              <w:rPr>
                <w:sz w:val="18"/>
                <w:szCs w:val="18"/>
                <w:color w:val="auto"/>
              </w:rPr>
            </w:pPr>
          </w:p>
        </w:tc>
        <w:tc>
          <w:tcPr>
            <w:tcW w:w="9180" w:type="dxa"/>
            <w:vAlign w:val="bottom"/>
          </w:tcPr>
          <w:p>
            <w:pPr>
              <w:ind w:left="20"/>
              <w:spacing w:after="0"/>
              <w:rPr>
                <w:sz w:val="20"/>
                <w:szCs w:val="20"/>
                <w:color w:val="auto"/>
              </w:rPr>
            </w:pPr>
            <w:r>
              <w:rPr>
                <w:rFonts w:ascii="Arial" w:cs="Arial" w:eastAsia="Arial" w:hAnsi="Arial"/>
                <w:sz w:val="18"/>
                <w:szCs w:val="18"/>
                <w:color w:val="auto"/>
              </w:rPr>
              <w:t>No Fiduciary Relationship</w:t>
            </w:r>
          </w:p>
        </w:tc>
        <w:tc>
          <w:tcPr>
            <w:tcW w:w="380" w:type="dxa"/>
            <w:vAlign w:val="bottom"/>
          </w:tcPr>
          <w:p>
            <w:pPr>
              <w:jc w:val="right"/>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SECTION 9.17.</w:t>
            </w:r>
          </w:p>
        </w:tc>
        <w:tc>
          <w:tcPr>
            <w:tcW w:w="320" w:type="dxa"/>
            <w:vAlign w:val="bottom"/>
            <w:shd w:val="clear" w:color="auto" w:fill="CCEEFF"/>
          </w:tcPr>
          <w:p>
            <w:pPr>
              <w:spacing w:after="0"/>
              <w:rPr>
                <w:sz w:val="18"/>
                <w:szCs w:val="18"/>
                <w:color w:val="auto"/>
              </w:rPr>
            </w:pPr>
          </w:p>
        </w:tc>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Non-Public Information</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SECTION 9.18.</w:t>
            </w:r>
          </w:p>
        </w:tc>
        <w:tc>
          <w:tcPr>
            <w:tcW w:w="320" w:type="dxa"/>
            <w:vAlign w:val="bottom"/>
          </w:tcPr>
          <w:p>
            <w:pPr>
              <w:spacing w:after="0"/>
              <w:rPr>
                <w:sz w:val="18"/>
                <w:szCs w:val="18"/>
                <w:color w:val="auto"/>
              </w:rPr>
            </w:pPr>
          </w:p>
        </w:tc>
        <w:tc>
          <w:tcPr>
            <w:tcW w:w="9180" w:type="dxa"/>
            <w:vAlign w:val="bottom"/>
          </w:tcPr>
          <w:p>
            <w:pPr>
              <w:ind w:left="20"/>
              <w:spacing w:after="0"/>
              <w:rPr>
                <w:sz w:val="20"/>
                <w:szCs w:val="20"/>
                <w:color w:val="auto"/>
              </w:rPr>
            </w:pPr>
            <w:r>
              <w:rPr>
                <w:rFonts w:ascii="Arial" w:cs="Arial" w:eastAsia="Arial" w:hAnsi="Arial"/>
                <w:sz w:val="18"/>
                <w:szCs w:val="18"/>
                <w:color w:val="auto"/>
              </w:rPr>
              <w:t>Acknowledgement and Consent to Bail-In of Affected Financial Institutions</w:t>
            </w:r>
          </w:p>
        </w:tc>
        <w:tc>
          <w:tcPr>
            <w:tcW w:w="380" w:type="dxa"/>
            <w:vAlign w:val="bottom"/>
          </w:tcPr>
          <w:p>
            <w:pPr>
              <w:jc w:val="right"/>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SECTION 9.19.</w:t>
            </w:r>
          </w:p>
        </w:tc>
        <w:tc>
          <w:tcPr>
            <w:tcW w:w="320" w:type="dxa"/>
            <w:vAlign w:val="bottom"/>
            <w:shd w:val="clear" w:color="auto" w:fill="CCEEFF"/>
          </w:tcPr>
          <w:p>
            <w:pPr>
              <w:spacing w:after="0"/>
              <w:rPr>
                <w:sz w:val="18"/>
                <w:szCs w:val="18"/>
                <w:color w:val="auto"/>
              </w:rPr>
            </w:pPr>
          </w:p>
        </w:tc>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Acknowledgement Regarding Any Supported QFCs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SECTION 9.20.</w:t>
            </w:r>
          </w:p>
        </w:tc>
        <w:tc>
          <w:tcPr>
            <w:tcW w:w="320" w:type="dxa"/>
            <w:vAlign w:val="bottom"/>
          </w:tcPr>
          <w:p>
            <w:pPr>
              <w:spacing w:after="0"/>
              <w:rPr>
                <w:sz w:val="18"/>
                <w:szCs w:val="18"/>
                <w:color w:val="auto"/>
              </w:rPr>
            </w:pPr>
          </w:p>
        </w:tc>
        <w:tc>
          <w:tcPr>
            <w:tcW w:w="9180" w:type="dxa"/>
            <w:vAlign w:val="bottom"/>
          </w:tcPr>
          <w:p>
            <w:pPr>
              <w:ind w:left="20"/>
              <w:spacing w:after="0"/>
              <w:rPr>
                <w:sz w:val="20"/>
                <w:szCs w:val="20"/>
                <w:color w:val="auto"/>
              </w:rPr>
            </w:pPr>
            <w:r>
              <w:rPr>
                <w:rFonts w:ascii="Arial" w:cs="Arial" w:eastAsia="Arial" w:hAnsi="Arial"/>
                <w:sz w:val="18"/>
                <w:szCs w:val="18"/>
                <w:color w:val="auto"/>
              </w:rPr>
              <w:t>Judgment Currency</w:t>
            </w:r>
          </w:p>
        </w:tc>
        <w:tc>
          <w:tcPr>
            <w:tcW w:w="380" w:type="dxa"/>
            <w:vAlign w:val="bottom"/>
          </w:tcPr>
          <w:p>
            <w:pPr>
              <w:jc w:val="right"/>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SECTION 9.21.</w:t>
            </w:r>
          </w:p>
        </w:tc>
        <w:tc>
          <w:tcPr>
            <w:tcW w:w="320" w:type="dxa"/>
            <w:vAlign w:val="bottom"/>
            <w:shd w:val="clear" w:color="auto" w:fill="CCEEFF"/>
          </w:tcPr>
          <w:p>
            <w:pPr>
              <w:spacing w:after="0"/>
              <w:rPr>
                <w:sz w:val="18"/>
                <w:szCs w:val="18"/>
                <w:color w:val="auto"/>
              </w:rPr>
            </w:pPr>
          </w:p>
        </w:tc>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Borrower Representative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SCHEDULES:</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360" w:type="dxa"/>
            <w:vAlign w:val="bottom"/>
            <w:gridSpan w:val="3"/>
          </w:tcPr>
          <w:p>
            <w:pPr>
              <w:spacing w:after="0"/>
              <w:rPr>
                <w:sz w:val="20"/>
                <w:szCs w:val="20"/>
                <w:color w:val="auto"/>
              </w:rPr>
            </w:pPr>
            <w:r>
              <w:rPr>
                <w:rFonts w:ascii="Arial" w:cs="Arial" w:eastAsia="Arial" w:hAnsi="Arial"/>
                <w:sz w:val="18"/>
                <w:szCs w:val="18"/>
                <w:color w:val="auto"/>
                <w:w w:val="97"/>
              </w:rPr>
              <w:t>Schedule 1.01(a)</w:t>
            </w:r>
          </w:p>
        </w:tc>
        <w:tc>
          <w:tcPr>
            <w:tcW w:w="32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9180" w:type="dxa"/>
            <w:vAlign w:val="bottom"/>
          </w:tcPr>
          <w:p>
            <w:pPr>
              <w:ind w:left="280"/>
              <w:spacing w:after="0"/>
              <w:rPr>
                <w:sz w:val="20"/>
                <w:szCs w:val="20"/>
                <w:color w:val="auto"/>
              </w:rPr>
            </w:pPr>
            <w:r>
              <w:rPr>
                <w:rFonts w:ascii="Arial" w:cs="Arial" w:eastAsia="Arial" w:hAnsi="Arial"/>
                <w:sz w:val="18"/>
                <w:szCs w:val="18"/>
                <w:color w:val="auto"/>
              </w:rPr>
              <w:t>Collateral Vessels</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w w:val="97"/>
              </w:rPr>
              <w:t>Schedule 1.01(b)</w:t>
            </w:r>
          </w:p>
        </w:tc>
        <w:tc>
          <w:tcPr>
            <w:tcW w:w="32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9180" w:type="dxa"/>
            <w:vAlign w:val="bottom"/>
          </w:tcPr>
          <w:p>
            <w:pPr>
              <w:ind w:left="280"/>
              <w:spacing w:after="0"/>
              <w:rPr>
                <w:sz w:val="20"/>
                <w:szCs w:val="20"/>
                <w:color w:val="auto"/>
              </w:rPr>
            </w:pPr>
            <w:r>
              <w:rPr>
                <w:rFonts w:ascii="Arial" w:cs="Arial" w:eastAsia="Arial" w:hAnsi="Arial"/>
                <w:sz w:val="18"/>
                <w:szCs w:val="18"/>
                <w:color w:val="auto"/>
              </w:rPr>
              <w:t>Mortgaged Property</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Schedule 2.01</w:t>
            </w:r>
          </w:p>
        </w:tc>
        <w:tc>
          <w:tcPr>
            <w:tcW w:w="32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9180" w:type="dxa"/>
            <w:vAlign w:val="bottom"/>
          </w:tcPr>
          <w:p>
            <w:pPr>
              <w:ind w:left="280"/>
              <w:spacing w:after="0"/>
              <w:rPr>
                <w:sz w:val="20"/>
                <w:szCs w:val="20"/>
                <w:color w:val="auto"/>
              </w:rPr>
            </w:pPr>
            <w:r>
              <w:rPr>
                <w:rFonts w:ascii="Arial" w:cs="Arial" w:eastAsia="Arial" w:hAnsi="Arial"/>
                <w:sz w:val="18"/>
                <w:szCs w:val="18"/>
                <w:color w:val="auto"/>
              </w:rPr>
              <w:t>Commitments</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Schedule 2.05</w:t>
            </w:r>
          </w:p>
        </w:tc>
        <w:tc>
          <w:tcPr>
            <w:tcW w:w="9500" w:type="dxa"/>
            <w:vAlign w:val="bottom"/>
            <w:gridSpan w:val="2"/>
          </w:tcPr>
          <w:p>
            <w:pPr>
              <w:ind w:left="120"/>
              <w:spacing w:after="0"/>
              <w:rPr>
                <w:sz w:val="20"/>
                <w:szCs w:val="20"/>
                <w:color w:val="auto"/>
              </w:rPr>
            </w:pPr>
            <w:r>
              <w:rPr>
                <w:rFonts w:ascii="Arial" w:cs="Arial" w:eastAsia="Arial" w:hAnsi="Arial"/>
                <w:sz w:val="18"/>
                <w:szCs w:val="18"/>
                <w:color w:val="auto"/>
              </w:rPr>
              <w:t>—    Existing Letters of Credit</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Schedule 3.14</w:t>
            </w:r>
          </w:p>
        </w:tc>
        <w:tc>
          <w:tcPr>
            <w:tcW w:w="32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9180" w:type="dxa"/>
            <w:vAlign w:val="bottom"/>
          </w:tcPr>
          <w:p>
            <w:pPr>
              <w:ind w:left="280"/>
              <w:spacing w:after="0"/>
              <w:rPr>
                <w:sz w:val="20"/>
                <w:szCs w:val="20"/>
                <w:color w:val="auto"/>
              </w:rPr>
            </w:pPr>
            <w:r>
              <w:rPr>
                <w:rFonts w:ascii="Arial" w:cs="Arial" w:eastAsia="Arial" w:hAnsi="Arial"/>
                <w:sz w:val="18"/>
                <w:szCs w:val="18"/>
                <w:color w:val="auto"/>
              </w:rPr>
              <w:t>Subsidiaries</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Schedule 6.01</w:t>
            </w:r>
          </w:p>
        </w:tc>
        <w:tc>
          <w:tcPr>
            <w:tcW w:w="32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9180" w:type="dxa"/>
            <w:vAlign w:val="bottom"/>
          </w:tcPr>
          <w:p>
            <w:pPr>
              <w:ind w:left="280"/>
              <w:spacing w:after="0"/>
              <w:rPr>
                <w:sz w:val="20"/>
                <w:szCs w:val="20"/>
                <w:color w:val="auto"/>
              </w:rPr>
            </w:pPr>
            <w:r>
              <w:rPr>
                <w:rFonts w:ascii="Arial" w:cs="Arial" w:eastAsia="Arial" w:hAnsi="Arial"/>
                <w:sz w:val="18"/>
                <w:szCs w:val="18"/>
                <w:color w:val="auto"/>
              </w:rPr>
              <w:t>Existing Indebtedness</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Schedule 6.02</w:t>
            </w:r>
          </w:p>
        </w:tc>
        <w:tc>
          <w:tcPr>
            <w:tcW w:w="32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9180" w:type="dxa"/>
            <w:vAlign w:val="bottom"/>
          </w:tcPr>
          <w:p>
            <w:pPr>
              <w:ind w:left="280"/>
              <w:spacing w:after="0"/>
              <w:rPr>
                <w:sz w:val="20"/>
                <w:szCs w:val="20"/>
                <w:color w:val="auto"/>
              </w:rPr>
            </w:pPr>
            <w:r>
              <w:rPr>
                <w:rFonts w:ascii="Arial" w:cs="Arial" w:eastAsia="Arial" w:hAnsi="Arial"/>
                <w:sz w:val="18"/>
                <w:szCs w:val="18"/>
                <w:color w:val="auto"/>
              </w:rPr>
              <w:t>Existing Liens</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Schedule 6.04</w:t>
            </w:r>
          </w:p>
        </w:tc>
        <w:tc>
          <w:tcPr>
            <w:tcW w:w="32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9180" w:type="dxa"/>
            <w:vAlign w:val="bottom"/>
          </w:tcPr>
          <w:p>
            <w:pPr>
              <w:ind w:left="280"/>
              <w:spacing w:after="0"/>
              <w:rPr>
                <w:sz w:val="20"/>
                <w:szCs w:val="20"/>
                <w:color w:val="auto"/>
              </w:rPr>
            </w:pPr>
            <w:r>
              <w:rPr>
                <w:rFonts w:ascii="Arial" w:cs="Arial" w:eastAsia="Arial" w:hAnsi="Arial"/>
                <w:sz w:val="18"/>
                <w:szCs w:val="18"/>
                <w:color w:val="auto"/>
              </w:rPr>
              <w:t>Existing Investments</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gridSpan w:val="3"/>
          </w:tcPr>
          <w:p>
            <w:pPr>
              <w:spacing w:after="0"/>
              <w:rPr>
                <w:sz w:val="20"/>
                <w:szCs w:val="20"/>
                <w:color w:val="auto"/>
              </w:rPr>
            </w:pPr>
            <w:r>
              <w:rPr>
                <w:rFonts w:ascii="Arial" w:cs="Arial" w:eastAsia="Arial" w:hAnsi="Arial"/>
                <w:sz w:val="18"/>
                <w:szCs w:val="18"/>
                <w:color w:val="auto"/>
              </w:rPr>
              <w:t>Schedule 6.10</w:t>
            </w:r>
          </w:p>
        </w:tc>
        <w:tc>
          <w:tcPr>
            <w:tcW w:w="32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9180" w:type="dxa"/>
            <w:vAlign w:val="bottom"/>
          </w:tcPr>
          <w:p>
            <w:pPr>
              <w:ind w:left="280"/>
              <w:spacing w:after="0"/>
              <w:rPr>
                <w:sz w:val="20"/>
                <w:szCs w:val="20"/>
                <w:color w:val="auto"/>
              </w:rPr>
            </w:pPr>
            <w:r>
              <w:rPr>
                <w:rFonts w:ascii="Arial" w:cs="Arial" w:eastAsia="Arial" w:hAnsi="Arial"/>
                <w:sz w:val="18"/>
                <w:szCs w:val="18"/>
                <w:color w:val="auto"/>
              </w:rPr>
              <w:t>Existing Restrictions</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EXHIBITS:</w:t>
            </w:r>
          </w:p>
        </w:tc>
        <w:tc>
          <w:tcPr>
            <w:tcW w:w="48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9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360" w:type="dxa"/>
            <w:vAlign w:val="bottom"/>
            <w:gridSpan w:val="3"/>
          </w:tcPr>
          <w:p>
            <w:pPr>
              <w:spacing w:after="0"/>
              <w:rPr>
                <w:sz w:val="20"/>
                <w:szCs w:val="20"/>
                <w:color w:val="auto"/>
              </w:rPr>
            </w:pPr>
            <w:r>
              <w:rPr>
                <w:rFonts w:ascii="Arial" w:cs="Arial" w:eastAsia="Arial" w:hAnsi="Arial"/>
                <w:sz w:val="18"/>
                <w:szCs w:val="18"/>
                <w:color w:val="auto"/>
              </w:rPr>
              <w:t>Exhibit A</w:t>
            </w:r>
          </w:p>
        </w:tc>
        <w:tc>
          <w:tcPr>
            <w:tcW w:w="9500" w:type="dxa"/>
            <w:vAlign w:val="bottom"/>
            <w:gridSpan w:val="2"/>
          </w:tcPr>
          <w:p>
            <w:pPr>
              <w:ind w:left="120"/>
              <w:spacing w:after="0"/>
              <w:rPr>
                <w:sz w:val="20"/>
                <w:szCs w:val="20"/>
                <w:color w:val="auto"/>
              </w:rPr>
            </w:pPr>
            <w:r>
              <w:rPr>
                <w:rFonts w:ascii="Arial" w:cs="Arial" w:eastAsia="Arial" w:hAnsi="Arial"/>
                <w:sz w:val="18"/>
                <w:szCs w:val="18"/>
                <w:color w:val="auto"/>
              </w:rPr>
              <w:t>—    Form of Assignment and Assumption</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Exhibit B</w:t>
            </w:r>
          </w:p>
        </w:tc>
        <w:tc>
          <w:tcPr>
            <w:tcW w:w="9500" w:type="dxa"/>
            <w:vAlign w:val="bottom"/>
            <w:gridSpan w:val="2"/>
          </w:tcPr>
          <w:p>
            <w:pPr>
              <w:ind w:left="120"/>
              <w:spacing w:after="0"/>
              <w:rPr>
                <w:sz w:val="20"/>
                <w:szCs w:val="20"/>
                <w:color w:val="auto"/>
              </w:rPr>
            </w:pPr>
            <w:r>
              <w:rPr>
                <w:rFonts w:ascii="Arial" w:cs="Arial" w:eastAsia="Arial" w:hAnsi="Arial"/>
                <w:sz w:val="18"/>
                <w:szCs w:val="18"/>
                <w:color w:val="auto"/>
              </w:rPr>
              <w:t>—    Form of Borrowing Request</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Exhibit C</w:t>
            </w:r>
          </w:p>
        </w:tc>
        <w:tc>
          <w:tcPr>
            <w:tcW w:w="9500" w:type="dxa"/>
            <w:vAlign w:val="bottom"/>
            <w:gridSpan w:val="2"/>
          </w:tcPr>
          <w:p>
            <w:pPr>
              <w:ind w:left="120"/>
              <w:spacing w:after="0"/>
              <w:rPr>
                <w:sz w:val="20"/>
                <w:szCs w:val="20"/>
                <w:color w:val="auto"/>
              </w:rPr>
            </w:pPr>
            <w:r>
              <w:rPr>
                <w:rFonts w:ascii="Arial" w:cs="Arial" w:eastAsia="Arial" w:hAnsi="Arial"/>
                <w:sz w:val="18"/>
                <w:szCs w:val="18"/>
                <w:color w:val="auto"/>
              </w:rPr>
              <w:t>—    Form of New York-Law Guarantee</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Exhibit D</w:t>
            </w:r>
          </w:p>
        </w:tc>
        <w:tc>
          <w:tcPr>
            <w:tcW w:w="9500" w:type="dxa"/>
            <w:vAlign w:val="bottom"/>
            <w:gridSpan w:val="2"/>
          </w:tcPr>
          <w:p>
            <w:pPr>
              <w:ind w:left="120"/>
              <w:spacing w:after="0"/>
              <w:rPr>
                <w:sz w:val="20"/>
                <w:szCs w:val="20"/>
                <w:color w:val="auto"/>
              </w:rPr>
            </w:pPr>
            <w:r>
              <w:rPr>
                <w:rFonts w:ascii="Arial" w:cs="Arial" w:eastAsia="Arial" w:hAnsi="Arial"/>
                <w:sz w:val="18"/>
                <w:szCs w:val="18"/>
                <w:color w:val="auto"/>
              </w:rPr>
              <w:t>—    Form of New York-Law Pledge Agreement</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Exhibit E</w:t>
            </w:r>
          </w:p>
        </w:tc>
        <w:tc>
          <w:tcPr>
            <w:tcW w:w="9500" w:type="dxa"/>
            <w:vAlign w:val="bottom"/>
            <w:gridSpan w:val="2"/>
          </w:tcPr>
          <w:p>
            <w:pPr>
              <w:ind w:left="120"/>
              <w:spacing w:after="0"/>
              <w:rPr>
                <w:sz w:val="20"/>
                <w:szCs w:val="20"/>
                <w:color w:val="auto"/>
              </w:rPr>
            </w:pPr>
            <w:r>
              <w:rPr>
                <w:rFonts w:ascii="Arial" w:cs="Arial" w:eastAsia="Arial" w:hAnsi="Arial"/>
                <w:sz w:val="18"/>
                <w:szCs w:val="18"/>
                <w:color w:val="auto"/>
              </w:rPr>
              <w:t>—    Form of New York-Law Security Agreement</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Exhibit F</w:t>
            </w:r>
          </w:p>
        </w:tc>
        <w:tc>
          <w:tcPr>
            <w:tcW w:w="9500" w:type="dxa"/>
            <w:vAlign w:val="bottom"/>
            <w:gridSpan w:val="2"/>
          </w:tcPr>
          <w:p>
            <w:pPr>
              <w:ind w:left="120"/>
              <w:spacing w:after="0"/>
              <w:rPr>
                <w:sz w:val="20"/>
                <w:szCs w:val="20"/>
                <w:color w:val="auto"/>
              </w:rPr>
            </w:pPr>
            <w:r>
              <w:rPr>
                <w:rFonts w:ascii="Arial" w:cs="Arial" w:eastAsia="Arial" w:hAnsi="Arial"/>
                <w:sz w:val="18"/>
                <w:szCs w:val="18"/>
                <w:color w:val="auto"/>
              </w:rPr>
              <w:t>—    Form of Perfection Certificate</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Exhibit G</w:t>
            </w:r>
          </w:p>
        </w:tc>
        <w:tc>
          <w:tcPr>
            <w:tcW w:w="9500" w:type="dxa"/>
            <w:vAlign w:val="bottom"/>
            <w:gridSpan w:val="2"/>
          </w:tcPr>
          <w:p>
            <w:pPr>
              <w:ind w:left="120"/>
              <w:spacing w:after="0"/>
              <w:rPr>
                <w:sz w:val="20"/>
                <w:szCs w:val="20"/>
                <w:color w:val="auto"/>
              </w:rPr>
            </w:pPr>
            <w:r>
              <w:rPr>
                <w:rFonts w:ascii="Arial" w:cs="Arial" w:eastAsia="Arial" w:hAnsi="Arial"/>
                <w:sz w:val="18"/>
                <w:szCs w:val="18"/>
                <w:color w:val="auto"/>
              </w:rPr>
              <w:t>—    Form of Secured Supply Chain Financing Designation</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Exhibit H</w:t>
            </w:r>
          </w:p>
        </w:tc>
        <w:tc>
          <w:tcPr>
            <w:tcW w:w="9500" w:type="dxa"/>
            <w:vAlign w:val="bottom"/>
            <w:gridSpan w:val="2"/>
          </w:tcPr>
          <w:p>
            <w:pPr>
              <w:ind w:left="120"/>
              <w:spacing w:after="0"/>
              <w:rPr>
                <w:sz w:val="20"/>
                <w:szCs w:val="20"/>
                <w:color w:val="auto"/>
              </w:rPr>
            </w:pPr>
            <w:r>
              <w:rPr>
                <w:rFonts w:ascii="Arial" w:cs="Arial" w:eastAsia="Arial" w:hAnsi="Arial"/>
                <w:sz w:val="18"/>
                <w:szCs w:val="18"/>
                <w:color w:val="auto"/>
              </w:rPr>
              <w:t>—    Form of Global Intercompany Note</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Exhibit I-1</w:t>
            </w:r>
          </w:p>
        </w:tc>
        <w:tc>
          <w:tcPr>
            <w:tcW w:w="9900" w:type="dxa"/>
            <w:vAlign w:val="bottom"/>
            <w:gridSpan w:val="4"/>
          </w:tcPr>
          <w:p>
            <w:pPr>
              <w:ind w:left="120"/>
              <w:spacing w:after="0"/>
              <w:rPr>
                <w:sz w:val="20"/>
                <w:szCs w:val="20"/>
                <w:color w:val="auto"/>
              </w:rPr>
            </w:pPr>
            <w:r>
              <w:rPr>
                <w:rFonts w:ascii="Arial" w:cs="Arial" w:eastAsia="Arial" w:hAnsi="Arial"/>
                <w:sz w:val="18"/>
                <w:szCs w:val="18"/>
                <w:color w:val="auto"/>
                <w:w w:val="94"/>
              </w:rPr>
              <w:t>—    Form of U.S. Tax Compliance Certificate for Foreign Lenders that are not Partnerships for U.S. Federal Income Tax Purposes</w:t>
            </w:r>
          </w:p>
        </w:tc>
        <w:tc>
          <w:tcPr>
            <w:tcW w:w="0" w:type="dxa"/>
            <w:vAlign w:val="bottom"/>
          </w:tcPr>
          <w:p>
            <w:pPr>
              <w:spacing w:after="0"/>
              <w:rPr>
                <w:sz w:val="1"/>
                <w:szCs w:val="1"/>
                <w:color w:val="auto"/>
              </w:rPr>
            </w:pP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Exhibit I-2</w:t>
            </w:r>
          </w:p>
        </w:tc>
        <w:tc>
          <w:tcPr>
            <w:tcW w:w="9900" w:type="dxa"/>
            <w:vAlign w:val="bottom"/>
            <w:gridSpan w:val="4"/>
          </w:tcPr>
          <w:p>
            <w:pPr>
              <w:ind w:left="120"/>
              <w:spacing w:after="0"/>
              <w:rPr>
                <w:sz w:val="20"/>
                <w:szCs w:val="20"/>
                <w:color w:val="auto"/>
              </w:rPr>
            </w:pPr>
            <w:r>
              <w:rPr>
                <w:rFonts w:ascii="Arial" w:cs="Arial" w:eastAsia="Arial" w:hAnsi="Arial"/>
                <w:sz w:val="18"/>
                <w:szCs w:val="18"/>
                <w:color w:val="auto"/>
                <w:w w:val="93"/>
              </w:rPr>
              <w:t>—    Form of U.S. Tax Compliance Certificate for Non-U.S. Participants that are Partnerships for U.S. Federal Income Tax Purposes</w:t>
            </w:r>
          </w:p>
        </w:tc>
        <w:tc>
          <w:tcPr>
            <w:tcW w:w="0" w:type="dxa"/>
            <w:vAlign w:val="bottom"/>
          </w:tcPr>
          <w:p>
            <w:pPr>
              <w:spacing w:after="0"/>
              <w:rPr>
                <w:sz w:val="1"/>
                <w:szCs w:val="1"/>
                <w:color w:val="auto"/>
              </w:rPr>
            </w:pP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Exhibit I-3</w:t>
            </w:r>
          </w:p>
        </w:tc>
        <w:tc>
          <w:tcPr>
            <w:tcW w:w="9900" w:type="dxa"/>
            <w:vAlign w:val="bottom"/>
            <w:gridSpan w:val="4"/>
          </w:tcPr>
          <w:p>
            <w:pPr>
              <w:ind w:left="120"/>
              <w:spacing w:after="0"/>
              <w:rPr>
                <w:sz w:val="20"/>
                <w:szCs w:val="20"/>
                <w:color w:val="auto"/>
              </w:rPr>
            </w:pPr>
            <w:r>
              <w:rPr>
                <w:rFonts w:ascii="Arial" w:cs="Arial" w:eastAsia="Arial" w:hAnsi="Arial"/>
                <w:sz w:val="18"/>
                <w:szCs w:val="18"/>
                <w:color w:val="auto"/>
                <w:w w:val="97"/>
              </w:rPr>
              <w:t>—    Form of U.S. Tax Compliance Certificate for Non-U.S. Participants that are not Partnerships for U.S. Federal Income Tax</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180" w:type="dxa"/>
            <w:vAlign w:val="bottom"/>
          </w:tcPr>
          <w:p>
            <w:pPr>
              <w:ind w:left="280"/>
              <w:spacing w:after="0"/>
              <w:rPr>
                <w:sz w:val="20"/>
                <w:szCs w:val="20"/>
                <w:color w:val="auto"/>
              </w:rPr>
            </w:pPr>
            <w:r>
              <w:rPr>
                <w:rFonts w:ascii="Arial" w:cs="Arial" w:eastAsia="Arial" w:hAnsi="Arial"/>
                <w:sz w:val="18"/>
                <w:szCs w:val="18"/>
                <w:color w:val="auto"/>
              </w:rPr>
              <w:t>Purposes</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Exhibit I-4</w:t>
            </w:r>
          </w:p>
        </w:tc>
        <w:tc>
          <w:tcPr>
            <w:tcW w:w="9500" w:type="dxa"/>
            <w:vAlign w:val="bottom"/>
            <w:gridSpan w:val="2"/>
          </w:tcPr>
          <w:p>
            <w:pPr>
              <w:ind w:left="120"/>
              <w:spacing w:after="0"/>
              <w:rPr>
                <w:sz w:val="20"/>
                <w:szCs w:val="20"/>
                <w:color w:val="auto"/>
              </w:rPr>
            </w:pPr>
            <w:r>
              <w:rPr>
                <w:rFonts w:ascii="Arial" w:cs="Arial" w:eastAsia="Arial" w:hAnsi="Arial"/>
                <w:sz w:val="18"/>
                <w:szCs w:val="18"/>
                <w:color w:val="auto"/>
                <w:w w:val="92"/>
              </w:rPr>
              <w:t>—    Form of U.S. Tax Compliance Certificate for Foreign Lenders that are Partnerships for U.S. Federal Income Tax Purposes</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Exhibit J</w:t>
            </w:r>
          </w:p>
        </w:tc>
        <w:tc>
          <w:tcPr>
            <w:tcW w:w="32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9180" w:type="dxa"/>
            <w:vAlign w:val="bottom"/>
          </w:tcPr>
          <w:p>
            <w:pPr>
              <w:ind w:left="280"/>
              <w:spacing w:after="0"/>
              <w:rPr>
                <w:sz w:val="20"/>
                <w:szCs w:val="20"/>
                <w:color w:val="auto"/>
              </w:rPr>
            </w:pPr>
            <w:r>
              <w:rPr>
                <w:rFonts w:ascii="Arial" w:cs="Arial" w:eastAsia="Arial" w:hAnsi="Arial"/>
                <w:sz w:val="18"/>
                <w:szCs w:val="18"/>
                <w:color w:val="auto"/>
              </w:rPr>
              <w:t>Form of Note</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gridSpan w:val="3"/>
          </w:tcPr>
          <w:p>
            <w:pPr>
              <w:spacing w:after="0"/>
              <w:rPr>
                <w:sz w:val="20"/>
                <w:szCs w:val="20"/>
                <w:color w:val="auto"/>
              </w:rPr>
            </w:pPr>
            <w:r>
              <w:rPr>
                <w:rFonts w:ascii="Arial" w:cs="Arial" w:eastAsia="Arial" w:hAnsi="Arial"/>
                <w:sz w:val="18"/>
                <w:szCs w:val="18"/>
                <w:color w:val="auto"/>
              </w:rPr>
              <w:t>Exhibit K</w:t>
            </w:r>
          </w:p>
        </w:tc>
        <w:tc>
          <w:tcPr>
            <w:tcW w:w="9500" w:type="dxa"/>
            <w:vAlign w:val="bottom"/>
            <w:gridSpan w:val="2"/>
          </w:tcPr>
          <w:p>
            <w:pPr>
              <w:ind w:left="120"/>
              <w:spacing w:after="0"/>
              <w:rPr>
                <w:sz w:val="20"/>
                <w:szCs w:val="20"/>
                <w:color w:val="auto"/>
              </w:rPr>
            </w:pPr>
            <w:r>
              <w:rPr>
                <w:rFonts w:ascii="Arial" w:cs="Arial" w:eastAsia="Arial" w:hAnsi="Arial"/>
                <w:sz w:val="18"/>
                <w:szCs w:val="18"/>
                <w:color w:val="auto"/>
              </w:rPr>
              <w:t>—    Form of Solvency Certificate</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2" w:name="page183"/>
    <w:bookmarkEnd w:id="182"/>
    <w:p>
      <w:pPr>
        <w:jc w:val="both"/>
        <w:ind w:firstLine="648"/>
        <w:spacing w:after="0" w:line="252" w:lineRule="auto"/>
        <w:rPr>
          <w:sz w:val="20"/>
          <w:szCs w:val="20"/>
          <w:color w:val="auto"/>
        </w:rPr>
      </w:pPr>
      <w:r>
        <w:rPr>
          <w:rFonts w:ascii="Arial" w:cs="Arial" w:eastAsia="Arial" w:hAnsi="Arial"/>
          <w:sz w:val="21"/>
          <w:szCs w:val="21"/>
          <w:color w:val="auto"/>
        </w:rPr>
        <w:t>CREDIT AGREEMENT dated as of February 16, 2021 (this “</w:t>
      </w:r>
      <w:r>
        <w:rPr>
          <w:rFonts w:ascii="Arial" w:cs="Arial" w:eastAsia="Arial" w:hAnsi="Arial"/>
          <w:sz w:val="21"/>
          <w:szCs w:val="21"/>
          <w:u w:val="single" w:color="auto"/>
          <w:color w:val="auto"/>
        </w:rPr>
        <w:t>Agreement</w:t>
      </w:r>
      <w:r>
        <w:rPr>
          <w:rFonts w:ascii="Arial" w:cs="Arial" w:eastAsia="Arial" w:hAnsi="Arial"/>
          <w:sz w:val="21"/>
          <w:szCs w:val="21"/>
          <w:color w:val="auto"/>
        </w:rPr>
        <w:t>”), among TECHNIPFMC PLC, a public limited company incorporated under the laws of England and Wales (the “</w:t>
      </w:r>
      <w:r>
        <w:rPr>
          <w:rFonts w:ascii="Arial" w:cs="Arial" w:eastAsia="Arial" w:hAnsi="Arial"/>
          <w:sz w:val="21"/>
          <w:szCs w:val="21"/>
          <w:u w:val="single" w:color="auto"/>
          <w:color w:val="auto"/>
        </w:rPr>
        <w:t>Company</w:t>
      </w:r>
      <w:r>
        <w:rPr>
          <w:rFonts w:ascii="Arial" w:cs="Arial" w:eastAsia="Arial" w:hAnsi="Arial"/>
          <w:sz w:val="21"/>
          <w:szCs w:val="21"/>
          <w:color w:val="auto"/>
        </w:rPr>
        <w:t>”), FMC TECHNOLOGIES, INC., a Delaware corporation (the “</w:t>
      </w:r>
      <w:r>
        <w:rPr>
          <w:rFonts w:ascii="Arial" w:cs="Arial" w:eastAsia="Arial" w:hAnsi="Arial"/>
          <w:sz w:val="21"/>
          <w:szCs w:val="21"/>
          <w:u w:val="single" w:color="auto"/>
          <w:color w:val="auto"/>
        </w:rPr>
        <w:t>U.S. Borrower</w:t>
      </w:r>
      <w:r>
        <w:rPr>
          <w:rFonts w:ascii="Arial" w:cs="Arial" w:eastAsia="Arial" w:hAnsi="Arial"/>
          <w:sz w:val="21"/>
          <w:szCs w:val="21"/>
          <w:color w:val="auto"/>
        </w:rPr>
        <w:t>” and, together with the Company, the “</w:t>
      </w:r>
      <w:r>
        <w:rPr>
          <w:rFonts w:ascii="Arial" w:cs="Arial" w:eastAsia="Arial" w:hAnsi="Arial"/>
          <w:sz w:val="21"/>
          <w:szCs w:val="21"/>
          <w:u w:val="single" w:color="auto"/>
          <w:color w:val="auto"/>
        </w:rPr>
        <w:t>Borrowers</w:t>
      </w:r>
      <w:r>
        <w:rPr>
          <w:rFonts w:ascii="Arial" w:cs="Arial" w:eastAsia="Arial" w:hAnsi="Arial"/>
          <w:sz w:val="21"/>
          <w:szCs w:val="21"/>
          <w:color w:val="auto"/>
        </w:rPr>
        <w:t>”), the LENDERS and ISSUING BANKS party hereto and JPMORGAN CHASE BANK, N.A., as Administrative Agent.</w:t>
      </w:r>
    </w:p>
    <w:p>
      <w:pPr>
        <w:spacing w:after="0" w:line="20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The Borrowers have requested that the Lenders extend credit in the form of Revolving Loans and the Issuing Banks issue Letters of Credit, in each case at any time and from time to time during the Availability Period such that the Total Revolving Exposure will not exceed $1,000,000,000 at any time. The proceeds of the Revolving Loans on and after the Effective Date will be used for working capital and general corporate purposes (including consummating the Transactions and paying Transaction Costs). Letters of Credit will be used by the Borrowers and the Restricted Subsidiaries for general corporate purposes.</w:t>
      </w:r>
    </w:p>
    <w:p>
      <w:pPr>
        <w:spacing w:after="0" w:line="17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Lenders are willing to extend such credit to the Borrowers, and the Issuing Banks are willing to issue Letters of Credit for the account of each Borrower, on the terms and subject to the conditions set forth herein. Accordingly, the parties hereto agree as follows: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Definitions</w:t>
      </w:r>
    </w:p>
    <w:p>
      <w:pPr>
        <w:spacing w:after="0" w:line="233"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22"/>
          <w:szCs w:val="22"/>
          <w:color w:val="auto"/>
        </w:rPr>
        <w:t>SECTION 1.01.</w:t>
      </w:r>
      <w:r>
        <w:rPr>
          <w:sz w:val="20"/>
          <w:szCs w:val="20"/>
          <w:color w:val="auto"/>
        </w:rPr>
        <w:tab/>
      </w:r>
      <w:r>
        <w:rPr>
          <w:rFonts w:ascii="Arial" w:cs="Arial" w:eastAsia="Arial" w:hAnsi="Arial"/>
          <w:sz w:val="19"/>
          <w:szCs w:val="19"/>
          <w:u w:val="single" w:color="auto"/>
          <w:color w:val="auto"/>
        </w:rPr>
        <w:t>Defined Terms</w:t>
      </w:r>
      <w:r>
        <w:rPr>
          <w:rFonts w:ascii="Arial" w:cs="Arial" w:eastAsia="Arial" w:hAnsi="Arial"/>
          <w:sz w:val="19"/>
          <w:szCs w:val="19"/>
          <w:color w:val="auto"/>
        </w:rPr>
        <w:t>. As used in this Agreement, the following terms have the meanings specified below:</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ABR</w:t>
      </w:r>
      <w:r>
        <w:rPr>
          <w:rFonts w:ascii="Arial" w:cs="Arial" w:eastAsia="Arial" w:hAnsi="Arial"/>
          <w:sz w:val="22"/>
          <w:szCs w:val="22"/>
          <w:color w:val="auto"/>
        </w:rPr>
        <w:t>,” when used in reference to any Loan or Borrowing, refers to whether such Loan, or the Loans comprising such Borrowing, are bearing interest at a rate determined by reference to the Alternate Base Rate.</w:t>
      </w:r>
    </w:p>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Adjusted EURIBOR Rate</w:t>
      </w:r>
      <w:r>
        <w:rPr>
          <w:rFonts w:ascii="Arial" w:cs="Arial" w:eastAsia="Arial" w:hAnsi="Arial"/>
          <w:sz w:val="22"/>
          <w:szCs w:val="22"/>
          <w:color w:val="auto"/>
        </w:rPr>
        <w:t>” means, with respect to any Eurocurrency Borrowing denominated in Euros for any Interest Period, an interest rate per annum equal to (a) the EURIBOR Rate for such Interest Period multiplied by (b) the Statutory Reserve Rate.</w:t>
      </w:r>
    </w:p>
    <w:p>
      <w:pPr>
        <w:spacing w:after="0" w:line="213" w:lineRule="exact"/>
        <w:rPr>
          <w:sz w:val="20"/>
          <w:szCs w:val="20"/>
          <w:color w:val="auto"/>
        </w:rPr>
      </w:pPr>
    </w:p>
    <w:p>
      <w:pPr>
        <w:jc w:val="both"/>
        <w:ind w:firstLine="71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Adjusted LIBO Rate</w:t>
      </w:r>
      <w:r>
        <w:rPr>
          <w:rFonts w:ascii="Arial" w:cs="Arial" w:eastAsia="Arial" w:hAnsi="Arial"/>
          <w:sz w:val="22"/>
          <w:szCs w:val="22"/>
          <w:color w:val="auto"/>
        </w:rPr>
        <w:t xml:space="preserve">” means, with respect to any Eurocurrency Borrowing denominated in dollars or Sterling for any Interest Period, an interest rate </w:t>
      </w:r>
      <w:r>
        <w:rPr>
          <w:rFonts w:ascii="Arial" w:cs="Arial" w:eastAsia="Arial" w:hAnsi="Arial"/>
          <w:sz w:val="22"/>
          <w:szCs w:val="22"/>
          <w:i w:val="1"/>
          <w:iCs w:val="1"/>
          <w:color w:val="auto"/>
        </w:rPr>
        <w:t>per annum</w:t>
      </w:r>
      <w:r>
        <w:rPr>
          <w:rFonts w:ascii="Arial" w:cs="Arial" w:eastAsia="Arial" w:hAnsi="Arial"/>
          <w:sz w:val="22"/>
          <w:szCs w:val="22"/>
          <w:color w:val="auto"/>
        </w:rPr>
        <w:t xml:space="preserve"> (rounded upwards, if necessary, to the next 1/16 of 1%) equal to (a) the LIBO Rate for such Interest Period multiplied by (b) the Statutory Reserve Rate.</w:t>
      </w:r>
    </w:p>
    <w:p>
      <w:pPr>
        <w:spacing w:after="0" w:line="213"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xml:space="preserve">” means JPMCB (including its branches and affiliates), in its capacity as administrative agent and as collateral agent hereunder and under the other Loan Documents, and its successors in such capacity as provided in </w:t>
      </w:r>
      <w:r>
        <w:rPr>
          <w:rFonts w:ascii="Arial" w:cs="Arial" w:eastAsia="Arial" w:hAnsi="Arial"/>
          <w:sz w:val="22"/>
          <w:szCs w:val="22"/>
          <w:u w:val="single" w:color="auto"/>
          <w:color w:val="auto"/>
        </w:rPr>
        <w:t>Article</w:t>
      </w:r>
      <w:r>
        <w:rPr>
          <w:rFonts w:ascii="Arial" w:cs="Arial" w:eastAsia="Arial" w:hAnsi="Arial"/>
          <w:sz w:val="22"/>
          <w:szCs w:val="22"/>
          <w:color w:val="auto"/>
        </w:rPr>
        <w:t xml:space="preserve"> </w:t>
      </w:r>
      <w:r>
        <w:rPr>
          <w:rFonts w:ascii="Arial" w:cs="Arial" w:eastAsia="Arial" w:hAnsi="Arial"/>
          <w:sz w:val="22"/>
          <w:szCs w:val="22"/>
          <w:u w:val="single" w:color="auto"/>
          <w:color w:val="auto"/>
        </w:rPr>
        <w:t>VIII</w:t>
      </w:r>
      <w:r>
        <w:rPr>
          <w:rFonts w:ascii="Arial" w:cs="Arial" w:eastAsia="Arial" w:hAnsi="Arial"/>
          <w:sz w:val="22"/>
          <w:szCs w:val="22"/>
          <w:color w:val="auto"/>
        </w:rPr>
        <w:t>.</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Questionnaire</w:t>
      </w:r>
      <w:r>
        <w:rPr>
          <w:rFonts w:ascii="Arial" w:cs="Arial" w:eastAsia="Arial" w:hAnsi="Arial"/>
          <w:sz w:val="19"/>
          <w:szCs w:val="19"/>
          <w:color w:val="auto"/>
        </w:rPr>
        <w:t>” means an administrative questionnaire in a form supplied by the Administrative Agent.</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Affected Financial Institution</w:t>
      </w:r>
      <w:r>
        <w:rPr>
          <w:rFonts w:ascii="Arial" w:cs="Arial" w:eastAsia="Arial" w:hAnsi="Arial"/>
          <w:sz w:val="22"/>
          <w:szCs w:val="22"/>
          <w:color w:val="auto"/>
        </w:rPr>
        <w:t>” means (a) any EEA Financial Institution or (b) any UK Financial Institution.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3" w:name="page184"/>
    <w:bookmarkEnd w:id="183"/>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with respect to a specified Person, another Person that directly, or indirectly through one or more intermediaries, Controls or is Controlled by or is under common Control with the Person specified.</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Agent-Related Person</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9.03(d)</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Agreed Currencies</w:t>
      </w:r>
      <w:r>
        <w:rPr>
          <w:rFonts w:ascii="Arial" w:cs="Arial" w:eastAsia="Arial" w:hAnsi="Arial"/>
          <w:sz w:val="22"/>
          <w:szCs w:val="22"/>
          <w:color w:val="auto"/>
        </w:rPr>
        <w:t>” means dollars and each Alternative Currency.</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has the meaning assigned to such term in the introductory statement to this Credit Agreement.</w:t>
      </w:r>
    </w:p>
    <w:p>
      <w:pPr>
        <w:spacing w:after="0" w:line="23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Alternate Base Rate</w:t>
      </w:r>
      <w:r>
        <w:rPr>
          <w:rFonts w:ascii="Arial" w:cs="Arial" w:eastAsia="Arial" w:hAnsi="Arial"/>
          <w:sz w:val="19"/>
          <w:szCs w:val="19"/>
          <w:color w:val="auto"/>
        </w:rPr>
        <w:t xml:space="preserve">” means, for any day, a rate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equal to the greatest of (a) the Prime Rate in effect on such day, (b) the NYFRB Rate in effect on such day plus 1⁄2 of 1% and (c) the Adjusted LIBO Rate for a one month Interest Period on such day (or if such day is not a Business Day, the immediately preceding Business Day) plus 1%;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purpose of this definition, the Adjusted LIBO Rate for any day shall be based on the LIBO Screen Rate (or if the LIBO Screen Rate is not available for such one month Interest Period, the LIBO Interpolated Rate) at approximately 11:00 a.m. London time on such day. Any change in the Alternate Base Rate due to a change in the Prime Rate, the NYFRB Rate or the Adjusted LIBO Rate shall be effective from and including the effective date of such change in the Prime Rate, the NYFRB Rate or the Adjusted LIBO Rate, respectively. If the Alternate Base Rate is being used as an alternate rate of interest pursuant to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(for the avoidance of doubt, only until the Benchmark Replacement has been determined pursuant to </w:t>
      </w:r>
      <w:r>
        <w:rPr>
          <w:rFonts w:ascii="Arial" w:cs="Arial" w:eastAsia="Arial" w:hAnsi="Arial"/>
          <w:sz w:val="19"/>
          <w:szCs w:val="19"/>
          <w:u w:val="single" w:color="auto"/>
          <w:color w:val="auto"/>
        </w:rPr>
        <w:t>Section 2.14(b)</w:t>
      </w:r>
      <w:r>
        <w:rPr>
          <w:rFonts w:ascii="Arial" w:cs="Arial" w:eastAsia="Arial" w:hAnsi="Arial"/>
          <w:sz w:val="19"/>
          <w:szCs w:val="19"/>
          <w:color w:val="auto"/>
        </w:rPr>
        <w:t>), then the Alternate Base Rate shall be the greater of clauses (a) and (b) above and shall be determined without reference to clause (c) above. For the avoidance of doubt, if the Alternate Base Rate as determined pursuant to the foregoing would be less than 1.75%, such rate shall be deemed to be 1.75% for purposes of this Agreement.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Alternative Currency</w:t>
      </w:r>
      <w:r>
        <w:rPr>
          <w:rFonts w:ascii="Arial" w:cs="Arial" w:eastAsia="Arial" w:hAnsi="Arial"/>
          <w:sz w:val="22"/>
          <w:szCs w:val="22"/>
          <w:color w:val="auto"/>
        </w:rPr>
        <w:t>” means Euros and Sterling.</w:t>
      </w:r>
    </w:p>
    <w:p>
      <w:pPr>
        <w:spacing w:after="0" w:line="23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Alternative Currency Equivalent</w:t>
      </w:r>
      <w:r>
        <w:rPr>
          <w:rFonts w:ascii="Arial" w:cs="Arial" w:eastAsia="Arial" w:hAnsi="Arial"/>
          <w:sz w:val="19"/>
          <w:szCs w:val="19"/>
          <w:color w:val="auto"/>
        </w:rPr>
        <w:t>” means, for any amount of any Alternative Currency, at the time of determination thereof, (a) if such amount is expressed in such Alternative Currency, such amount and (b) if such amount is expressed in dollars, the equivalent of such amount in such Alternative Currency determined by using the rate of exchange for the purchase of such Alternative Currency with dollars last provided (either by publication or otherwise provided to the Administrative Agent) by the applicable Reuters source on the Business Day (New York City time) immediately preceding the date of determination or if such service ceases to be available or ceases to provide a rate of exchange for the purchase of such Alternative Currency with dollars, as provided by such other publicly available information service which provides that rate of exchange at such time in place of Reuters chosen by the Administrative Agent in its sole discretion (or if such service ceases to be available or ceases to provide such rate of exchange, the equivalent of such amount in dollars as determined by the Administrative Agent using any method of determination it deems appropriate in its sole discretion).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Ancillary Document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9.06(b)</w:t>
      </w:r>
      <w:r>
        <w:rPr>
          <w:rFonts w:ascii="Arial" w:cs="Arial" w:eastAsia="Arial" w:hAnsi="Arial"/>
          <w:sz w:val="22"/>
          <w:szCs w:val="22"/>
          <w:color w:val="auto"/>
        </w:rPr>
        <w: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4" w:name="page185"/>
    <w:bookmarkEnd w:id="184"/>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Anti-Corruption Laws</w:t>
      </w:r>
      <w:r>
        <w:rPr>
          <w:rFonts w:ascii="Arial" w:cs="Arial" w:eastAsia="Arial" w:hAnsi="Arial"/>
          <w:sz w:val="22"/>
          <w:szCs w:val="22"/>
          <w:color w:val="auto"/>
        </w:rPr>
        <w:t>” means all laws, rules, and regulations of any jurisdiction applicable to the Borrowers or any of their Affiliates concerning or relating to bribery or corruption.</w:t>
      </w:r>
    </w:p>
    <w:p>
      <w:pPr>
        <w:spacing w:after="0" w:line="20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Applicable Percentage</w:t>
      </w:r>
      <w:r>
        <w:rPr>
          <w:rFonts w:ascii="Arial" w:cs="Arial" w:eastAsia="Arial" w:hAnsi="Arial"/>
          <w:sz w:val="21"/>
          <w:szCs w:val="21"/>
          <w:color w:val="auto"/>
        </w:rPr>
        <w:t>” means, at any time with respect to any Revolving Lender, the percentage of the Total Commitments represented by such Lender’s Commitment at such time. If the Commitments have terminated or expired, the Applicable Percentages shall be determined based upon the Commitments most recently in effect, giving effect to any assignments of Revolving Loans and LC Exposures that occur after such termination or expiration.</w:t>
      </w:r>
    </w:p>
    <w:p>
      <w:pPr>
        <w:spacing w:after="0" w:line="20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Applicable Rate</w:t>
      </w:r>
      <w:r>
        <w:rPr>
          <w:rFonts w:ascii="Arial" w:cs="Arial" w:eastAsia="Arial" w:hAnsi="Arial"/>
          <w:sz w:val="21"/>
          <w:szCs w:val="21"/>
          <w:color w:val="auto"/>
        </w:rPr>
        <w:t xml:space="preserve">” means, for any day, (a) with respect to any Revolving Loan that is an ABR Loan, (i) initially 2.50% per annum and (ii) from and after the date on which the Company delivers financial statements for the first full fiscal quarter ending after the Effective Date pursuant to </w:t>
      </w:r>
      <w:r>
        <w:rPr>
          <w:rFonts w:ascii="Arial" w:cs="Arial" w:eastAsia="Arial" w:hAnsi="Arial"/>
          <w:sz w:val="21"/>
          <w:szCs w:val="21"/>
          <w:u w:val="single" w:color="auto"/>
          <w:color w:val="auto"/>
        </w:rPr>
        <w:t>Section 5.01(b)</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Pricing Grid Date</w:t>
      </w:r>
      <w:r>
        <w:rPr>
          <w:rFonts w:ascii="Arial" w:cs="Arial" w:eastAsia="Arial" w:hAnsi="Arial"/>
          <w:sz w:val="21"/>
          <w:szCs w:val="21"/>
          <w:color w:val="auto"/>
        </w:rPr>
        <w:t xml:space="preserve">”), the applicable rate per annum set forth in the table below under the caption “ABR Loans” based upon the Total Leverage Ratio as of the end of the most recently ended fiscal quarter for which financial statements are available, (b) with respect to any Revolving Loan that is a Eurocurrency Loan, (i) initially 3.50% per annum and (ii) from and after the Pricing Grid Date, the applicable rate per annum set forth in the table below under the caption “Eurocurrency Loans” based upon the Total Leverage Ratio as of the end of the most recently ended fiscal quarter for which financial statements were delivered in accordance with </w:t>
      </w:r>
      <w:r>
        <w:rPr>
          <w:rFonts w:ascii="Arial" w:cs="Arial" w:eastAsia="Arial" w:hAnsi="Arial"/>
          <w:sz w:val="21"/>
          <w:szCs w:val="21"/>
          <w:u w:val="single" w:color="auto"/>
          <w:color w:val="auto"/>
        </w:rPr>
        <w:t>Section 5.01</w:t>
      </w:r>
      <w:r>
        <w:rPr>
          <w:rFonts w:ascii="Arial" w:cs="Arial" w:eastAsia="Arial" w:hAnsi="Arial"/>
          <w:sz w:val="21"/>
          <w:szCs w:val="21"/>
          <w:color w:val="auto"/>
        </w:rPr>
        <w:t xml:space="preserve">, and (c) with respect to the commitment fees payable hereunder in respect of Revolving Loans, (i) initially 0.50% and (ii) from and after the Pricing Grid Date, the applicable rate per annum set forth in the table below under the caption “Commitment Fee” based upon the Total Leverage Ratio as of the end of the most recently ended fiscal quarter for which financial statements were delivered in accordance with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5.01</w:t>
      </w:r>
      <w:r>
        <w:rPr>
          <w:rFonts w:ascii="Arial" w:cs="Arial" w:eastAsia="Arial" w:hAnsi="Arial"/>
          <w:sz w:val="21"/>
          <w:szCs w:val="21"/>
          <w:color w:val="auto"/>
        </w:rPr>
        <w:t>.</w:t>
      </w:r>
    </w:p>
    <w:p>
      <w:pPr>
        <w:spacing w:after="0" w:line="21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Eurocurrency</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ABR</w:t>
            </w:r>
          </w:p>
        </w:tc>
        <w:tc>
          <w:tcPr>
            <w:tcW w:w="13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Commitment</w:t>
            </w:r>
          </w:p>
        </w:tc>
      </w:tr>
      <w:tr>
        <w:trPr>
          <w:trHeight w:val="241"/>
        </w:trPr>
        <w:tc>
          <w:tcPr>
            <w:tcW w:w="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Level</w:t>
            </w:r>
          </w:p>
        </w:tc>
        <w:tc>
          <w:tcPr>
            <w:tcW w:w="80" w:type="dxa"/>
            <w:vAlign w:val="bottom"/>
          </w:tcPr>
          <w:p>
            <w:pPr>
              <w:spacing w:after="0"/>
              <w:rPr>
                <w:sz w:val="20"/>
                <w:szCs w:val="20"/>
                <w:color w:val="auto"/>
              </w:rPr>
            </w:pPr>
          </w:p>
        </w:tc>
        <w:tc>
          <w:tcPr>
            <w:tcW w:w="5060" w:type="dxa"/>
            <w:vAlign w:val="bottom"/>
            <w:tcBorders>
              <w:bottom w:val="single" w:sz="8" w:color="auto"/>
            </w:tcBorders>
          </w:tcPr>
          <w:p>
            <w:pPr>
              <w:ind w:left="1720"/>
              <w:spacing w:after="0"/>
              <w:rPr>
                <w:sz w:val="20"/>
                <w:szCs w:val="20"/>
                <w:color w:val="auto"/>
              </w:rPr>
            </w:pPr>
            <w:r>
              <w:rPr>
                <w:rFonts w:ascii="Arial" w:cs="Arial" w:eastAsia="Arial" w:hAnsi="Arial"/>
                <w:sz w:val="18"/>
                <w:szCs w:val="18"/>
                <w:b w:val="1"/>
                <w:bCs w:val="1"/>
                <w:color w:val="auto"/>
              </w:rPr>
              <w:t>Total Leverage Ratio</w:t>
            </w:r>
          </w:p>
        </w:tc>
        <w:tc>
          <w:tcPr>
            <w:tcW w:w="8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Loans</w:t>
            </w:r>
          </w:p>
        </w:tc>
        <w:tc>
          <w:tcPr>
            <w:tcW w:w="26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Loans</w:t>
            </w:r>
          </w:p>
        </w:tc>
        <w:tc>
          <w:tcPr>
            <w:tcW w:w="26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Fee</w:t>
            </w:r>
          </w:p>
        </w:tc>
        <w:tc>
          <w:tcPr>
            <w:tcW w:w="180" w:type="dxa"/>
            <w:vAlign w:val="bottom"/>
          </w:tcPr>
          <w:p>
            <w:pPr>
              <w:spacing w:after="0"/>
              <w:rPr>
                <w:sz w:val="20"/>
                <w:szCs w:val="20"/>
                <w:color w:val="auto"/>
              </w:rPr>
            </w:pP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I</w:t>
            </w:r>
          </w:p>
        </w:tc>
        <w:tc>
          <w:tcPr>
            <w:tcW w:w="8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&gt; 4.00 to 1.00</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0.500%</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II</w:t>
            </w:r>
          </w:p>
        </w:tc>
        <w:tc>
          <w:tcPr>
            <w:tcW w:w="5140" w:type="dxa"/>
            <w:vAlign w:val="bottom"/>
            <w:gridSpan w:val="2"/>
          </w:tcPr>
          <w:p>
            <w:pPr>
              <w:ind w:left="80"/>
              <w:spacing w:after="0"/>
              <w:rPr>
                <w:sz w:val="20"/>
                <w:szCs w:val="20"/>
                <w:color w:val="auto"/>
              </w:rPr>
            </w:pPr>
            <w:r>
              <w:rPr>
                <w:rFonts w:ascii="Arial" w:cs="Arial" w:eastAsia="Arial" w:hAnsi="Arial"/>
                <w:sz w:val="18"/>
                <w:szCs w:val="18"/>
                <w:color w:val="auto"/>
              </w:rPr>
              <w:t>≤ 4.00 to 1.00 but &gt; 3.00 to 1.00</w:t>
            </w: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3.00%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0.375%</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III</w:t>
            </w:r>
          </w:p>
        </w:tc>
        <w:tc>
          <w:tcPr>
            <w:tcW w:w="51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&lt; 3.00 to 1.00</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0.250%</w:t>
            </w:r>
          </w:p>
        </w:tc>
      </w:tr>
    </w:tbl>
    <w:p>
      <w:pPr>
        <w:spacing w:after="0" w:line="22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 xml:space="preserve">For purposes of this definition, each change in the Applicable Rate resulting from a change in the Total Leverage Ratio shall be effective during the period commencing on and including the date of delivery to the Administrative Agent pursuant to </w:t>
      </w:r>
      <w:r>
        <w:rPr>
          <w:rFonts w:ascii="Arial" w:cs="Arial" w:eastAsia="Arial" w:hAnsi="Arial"/>
          <w:sz w:val="19"/>
          <w:szCs w:val="19"/>
          <w:u w:val="single" w:color="auto"/>
          <w:color w:val="auto"/>
        </w:rPr>
        <w:t>Section 5.01(a)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5.01(b)</w:t>
      </w:r>
      <w:r>
        <w:rPr>
          <w:rFonts w:ascii="Arial" w:cs="Arial" w:eastAsia="Arial" w:hAnsi="Arial"/>
          <w:sz w:val="19"/>
          <w:szCs w:val="19"/>
          <w:color w:val="auto"/>
        </w:rPr>
        <w:t xml:space="preserve"> of the consolidated financial statements indicating such change and ending on the date immediately preceding the effective date of the next such change;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Total Leverage Ratio shall be deemed to be in Level I at the option of the Administrative Agent or at the request of the Required Lenders if the Company fails to deliver the consolidated financial statements required to be delivered by it pursuant to </w:t>
      </w:r>
      <w:r>
        <w:rPr>
          <w:rFonts w:ascii="Arial" w:cs="Arial" w:eastAsia="Arial" w:hAnsi="Arial"/>
          <w:sz w:val="19"/>
          <w:szCs w:val="19"/>
          <w:u w:val="single" w:color="auto"/>
          <w:color w:val="auto"/>
        </w:rPr>
        <w:t>Section 5.01(a)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5.01(b)</w:t>
      </w:r>
      <w:r>
        <w:rPr>
          <w:rFonts w:ascii="Arial" w:cs="Arial" w:eastAsia="Arial" w:hAnsi="Arial"/>
          <w:sz w:val="19"/>
          <w:szCs w:val="19"/>
          <w:color w:val="auto"/>
        </w:rPr>
        <w:t xml:space="preserve"> or the certificate of a Financial Officer required to be delivered by it pursuant to </w:t>
      </w:r>
      <w:r>
        <w:rPr>
          <w:rFonts w:ascii="Arial" w:cs="Arial" w:eastAsia="Arial" w:hAnsi="Arial"/>
          <w:sz w:val="19"/>
          <w:szCs w:val="19"/>
          <w:u w:val="single" w:color="auto"/>
          <w:color w:val="auto"/>
        </w:rPr>
        <w:t>Section 5.01(c)</w:t>
      </w:r>
      <w:r>
        <w:rPr>
          <w:rFonts w:ascii="Arial" w:cs="Arial" w:eastAsia="Arial" w:hAnsi="Arial"/>
          <w:sz w:val="19"/>
          <w:szCs w:val="19"/>
          <w:color w:val="auto"/>
        </w:rPr>
        <w:t xml:space="preserve"> during the period from the expiration of the time for delivery thereof until such consolidated financial statements and such certificate are delivered.</w:t>
      </w:r>
    </w:p>
    <w:p>
      <w:pPr>
        <w:spacing w:after="0" w:line="18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Fund</w:t>
      </w:r>
      <w:r>
        <w:rPr>
          <w:rFonts w:ascii="Arial" w:cs="Arial" w:eastAsia="Arial" w:hAnsi="Arial"/>
          <w:sz w:val="22"/>
          <w:szCs w:val="22"/>
          <w:color w:val="auto"/>
        </w:rPr>
        <w:t>” means, with respect to any Lender or Eligible Assignee, any Person (other than a natural person) that is engaged in making, purchasing, holding or investing in commercial loans and similar extensions of credit in the ordinary course of its activities and that is administered, advised or managed by (a) such Lender or Eligible Assignee, (b) an Affiliate of such Lender or Eligible Assignee or (c) an entity or an Affiliate of an entity that administers, advises or manages such Lender or Eligible Assignee.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5" w:name="page186"/>
    <w:bookmarkEnd w:id="185"/>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Arrangers</w:t>
      </w:r>
      <w:r>
        <w:rPr>
          <w:rFonts w:ascii="Arial" w:cs="Arial" w:eastAsia="Arial" w:hAnsi="Arial"/>
          <w:sz w:val="22"/>
          <w:szCs w:val="22"/>
          <w:color w:val="auto"/>
        </w:rPr>
        <w:t xml:space="preserve"> ” means, collectively, JPMorgan Chase Bank, N.A., Citigroup Global Markets Inc., DNB Markets, Inc., Société Générale, Sumitomo Mitsui Banking Corporation, Wells Fargo Securities, LLC and BofA Securities, Inc., in their capacities as joint lead arrangers and joint bookrunners for the credit facility provided for herein.</w:t>
      </w:r>
    </w:p>
    <w:p>
      <w:pPr>
        <w:spacing w:after="0" w:line="21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Assignment and Assumption</w:t>
      </w:r>
      <w:r>
        <w:rPr>
          <w:rFonts w:ascii="Arial" w:cs="Arial" w:eastAsia="Arial" w:hAnsi="Arial"/>
          <w:sz w:val="22"/>
          <w:szCs w:val="22"/>
          <w:color w:val="auto"/>
        </w:rPr>
        <w:t xml:space="preserve">” means an assignment and assumption entered into by a Lender and an Eligible Assignee (with the consent of any Person whose consent is required by </w:t>
      </w:r>
      <w:r>
        <w:rPr>
          <w:rFonts w:ascii="Arial" w:cs="Arial" w:eastAsia="Arial" w:hAnsi="Arial"/>
          <w:sz w:val="22"/>
          <w:szCs w:val="22"/>
          <w:u w:val="single" w:color="auto"/>
          <w:color w:val="auto"/>
        </w:rPr>
        <w:t>Section 9.04</w:t>
      </w:r>
      <w:r>
        <w:rPr>
          <w:rFonts w:ascii="Arial" w:cs="Arial" w:eastAsia="Arial" w:hAnsi="Arial"/>
          <w:sz w:val="22"/>
          <w:szCs w:val="22"/>
          <w:color w:val="auto"/>
        </w:rPr>
        <w:t xml:space="preserve">) and accepted by the Administrative Agent, substantially in the form of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or any other form approved by the Administrative Agent.</w:t>
      </w:r>
    </w:p>
    <w:p>
      <w:pPr>
        <w:spacing w:after="0" w:line="21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Available Tenor</w:t>
      </w:r>
      <w:r>
        <w:rPr>
          <w:rFonts w:ascii="Arial" w:cs="Arial" w:eastAsia="Arial" w:hAnsi="Arial"/>
          <w:sz w:val="22"/>
          <w:szCs w:val="22"/>
          <w:color w:val="auto"/>
        </w:rPr>
        <w:t xml:space="preserve">” means, as of any date of determination and with respect to the then-current Benchmark, as applicable, any tenor for such Benchmark or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then-removed from the definition of “Interest Period” pursuant to clause (f) of </w:t>
      </w:r>
      <w:r>
        <w:rPr>
          <w:rFonts w:ascii="Arial" w:cs="Arial" w:eastAsia="Arial" w:hAnsi="Arial"/>
          <w:sz w:val="22"/>
          <w:szCs w:val="22"/>
          <w:u w:val="single" w:color="auto"/>
          <w:color w:val="auto"/>
        </w:rPr>
        <w:t>Section 2.14</w:t>
      </w:r>
      <w:r>
        <w:rPr>
          <w:rFonts w:ascii="Arial" w:cs="Arial" w:eastAsia="Arial" w:hAnsi="Arial"/>
          <w:sz w:val="22"/>
          <w:szCs w:val="22"/>
          <w:color w:val="auto"/>
        </w:rPr>
        <w:t>.</w:t>
      </w:r>
    </w:p>
    <w:p>
      <w:pPr>
        <w:spacing w:after="0" w:line="21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Availability Period</w:t>
      </w:r>
      <w:r>
        <w:rPr>
          <w:rFonts w:ascii="Arial" w:cs="Arial" w:eastAsia="Arial" w:hAnsi="Arial"/>
          <w:sz w:val="22"/>
          <w:szCs w:val="22"/>
          <w:color w:val="auto"/>
        </w:rPr>
        <w:t>” means the period from and including the Effective Date to but excluding the earlier of the Maturity Date and the date of termination of all the Commitments.</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Action</w:t>
      </w:r>
      <w:r>
        <w:rPr>
          <w:rFonts w:ascii="Arial" w:cs="Arial" w:eastAsia="Arial" w:hAnsi="Arial"/>
          <w:sz w:val="22"/>
          <w:szCs w:val="22"/>
          <w:color w:val="auto"/>
        </w:rPr>
        <w:t>” means the exercise of any Write-Down and Conversion Powers by the applicable Resolution Authority in respect of any liability of an Affected Financial Institution.</w:t>
      </w:r>
    </w:p>
    <w:p>
      <w:pPr>
        <w:spacing w:after="0" w:line="202"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Legislation</w:t>
      </w:r>
      <w:r>
        <w:rPr>
          <w:rFonts w:ascii="Arial" w:cs="Arial" w:eastAsia="Arial" w:hAnsi="Arial"/>
          <w:sz w:val="22"/>
          <w:szCs w:val="22"/>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21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 Levy</w:t>
      </w:r>
      <w:r>
        <w:rPr>
          <w:rFonts w:ascii="Arial" w:cs="Arial" w:eastAsia="Arial" w:hAnsi="Arial"/>
          <w:sz w:val="19"/>
          <w:szCs w:val="19"/>
          <w:color w:val="auto"/>
        </w:rPr>
        <w:t xml:space="preserve">” means any amount payable by any Lender or any of its Affiliates on the basis of, or in relation to, its balance sheet or capital base or any part of that person or its liabilities or minimum regulatory capital or any combination thereof, including, without limitation, the UK bank levy contained in the Finance Act 2011, the French </w:t>
      </w:r>
      <w:r>
        <w:rPr>
          <w:rFonts w:ascii="Arial" w:cs="Arial" w:eastAsia="Arial" w:hAnsi="Arial"/>
          <w:sz w:val="19"/>
          <w:szCs w:val="19"/>
          <w:i w:val="1"/>
          <w:iCs w:val="1"/>
          <w:color w:val="auto"/>
        </w:rPr>
        <w:t>taxe pour le financement du fonds</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de soutien aux collectivités territoriales </w:t>
      </w:r>
      <w:r>
        <w:rPr>
          <w:rFonts w:ascii="Arial" w:cs="Arial" w:eastAsia="Arial" w:hAnsi="Arial"/>
          <w:sz w:val="19"/>
          <w:szCs w:val="19"/>
          <w:color w:val="auto"/>
        </w:rPr>
        <w:t>as set out in Article 235 ter ZE bis of the French Tax Code, the German bank levy as set</w:t>
      </w:r>
      <w:r>
        <w:rPr>
          <w:rFonts w:ascii="Arial" w:cs="Arial" w:eastAsia="Arial" w:hAnsi="Arial"/>
          <w:sz w:val="19"/>
          <w:szCs w:val="19"/>
          <w:i w:val="1"/>
          <w:iCs w:val="1"/>
          <w:color w:val="auto"/>
        </w:rPr>
        <w:t xml:space="preserve"> </w:t>
      </w:r>
      <w:r>
        <w:rPr>
          <w:rFonts w:ascii="Arial" w:cs="Arial" w:eastAsia="Arial" w:hAnsi="Arial"/>
          <w:sz w:val="19"/>
          <w:szCs w:val="19"/>
          <w:color w:val="auto"/>
        </w:rPr>
        <w:t>out in the German Restructuring Fund Act 2010 (</w:t>
      </w:r>
      <w:r>
        <w:rPr>
          <w:rFonts w:ascii="Arial" w:cs="Arial" w:eastAsia="Arial" w:hAnsi="Arial"/>
          <w:sz w:val="19"/>
          <w:szCs w:val="19"/>
          <w:i w:val="1"/>
          <w:iCs w:val="1"/>
          <w:color w:val="auto"/>
        </w:rPr>
        <w:t>Restrukturierungsfondsgesetz</w:t>
      </w:r>
      <w:r>
        <w:rPr>
          <w:rFonts w:ascii="Arial" w:cs="Arial" w:eastAsia="Arial" w:hAnsi="Arial"/>
          <w:sz w:val="19"/>
          <w:szCs w:val="19"/>
          <w:color w:val="auto"/>
        </w:rPr>
        <w:t>), the Spanish bank levy (</w:t>
      </w:r>
      <w:r>
        <w:rPr>
          <w:rFonts w:ascii="Arial" w:cs="Arial" w:eastAsia="Arial" w:hAnsi="Arial"/>
          <w:sz w:val="19"/>
          <w:szCs w:val="19"/>
          <w:i w:val="1"/>
          <w:iCs w:val="1"/>
          <w:color w:val="auto"/>
        </w:rPr>
        <w:t>Impuesto sobre los</w:t>
      </w:r>
      <w:r>
        <w:rPr>
          <w:rFonts w:ascii="Arial" w:cs="Arial" w:eastAsia="Arial" w:hAnsi="Arial"/>
          <w:sz w:val="19"/>
          <w:szCs w:val="19"/>
          <w:color w:val="auto"/>
        </w:rPr>
        <w:t xml:space="preserve"> </w:t>
      </w:r>
      <w:r>
        <w:rPr>
          <w:rFonts w:ascii="Arial" w:cs="Arial" w:eastAsia="Arial" w:hAnsi="Arial"/>
          <w:sz w:val="19"/>
          <w:szCs w:val="19"/>
          <w:i w:val="1"/>
          <w:iCs w:val="1"/>
          <w:color w:val="auto"/>
        </w:rPr>
        <w:t>Depósitos en las Entidades de Crédito</w:t>
      </w:r>
      <w:r>
        <w:rPr>
          <w:rFonts w:ascii="Arial" w:cs="Arial" w:eastAsia="Arial" w:hAnsi="Arial"/>
          <w:sz w:val="19"/>
          <w:szCs w:val="19"/>
          <w:color w:val="auto"/>
        </w:rPr>
        <w:t>) as set out in the Law 16/2012 of 27 December 2012, or any levy or tax with a similar</w:t>
      </w:r>
      <w:r>
        <w:rPr>
          <w:rFonts w:ascii="Arial" w:cs="Arial" w:eastAsia="Arial" w:hAnsi="Arial"/>
          <w:sz w:val="19"/>
          <w:szCs w:val="19"/>
          <w:i w:val="1"/>
          <w:iCs w:val="1"/>
          <w:color w:val="auto"/>
        </w:rPr>
        <w:t xml:space="preserve"> </w:t>
      </w:r>
      <w:r>
        <w:rPr>
          <w:rFonts w:ascii="Arial" w:cs="Arial" w:eastAsia="Arial" w:hAnsi="Arial"/>
          <w:sz w:val="19"/>
          <w:szCs w:val="19"/>
          <w:color w:val="auto"/>
        </w:rPr>
        <w:t>basis or a similar purpose or any financial activities taxes (or other levies) of a kind imposed by any jurisdiction in the form existing at the Effective Date and/or which has been formally announced as proposed as at the Effective Date, or (if applicable) as at the date the relevant Lender accedes as a Lender to this Agreement.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6" w:name="page187"/>
    <w:bookmarkEnd w:id="186"/>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Bankruptcy Code</w:t>
      </w:r>
      <w:r>
        <w:rPr>
          <w:rFonts w:ascii="Arial" w:cs="Arial" w:eastAsia="Arial" w:hAnsi="Arial"/>
          <w:sz w:val="22"/>
          <w:szCs w:val="22"/>
          <w:color w:val="auto"/>
        </w:rPr>
        <w:t>” means Title 11 of the United States Code entitled “Bankruptcy,” as now or hereafter in effect, or any successor thereto.</w:t>
      </w:r>
    </w:p>
    <w:p>
      <w:pPr>
        <w:spacing w:after="0" w:line="20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Bankruptcy Event</w:t>
      </w:r>
      <w:r>
        <w:rPr>
          <w:rFonts w:ascii="Arial" w:cs="Arial" w:eastAsia="Arial" w:hAnsi="Arial"/>
          <w:sz w:val="19"/>
          <w:szCs w:val="19"/>
          <w:color w:val="auto"/>
        </w:rPr>
        <w:t xml:space="preserve">” means, with respect to any Person, such Person becomes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or has had any order for relief in such proceeding entered in respect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United States or from the enforcement of judgments or writs of attachment on its assets or permits such Person (or such Governmental Authority or instrumentality) to reject, repudiate, disavow or disaffirm any contracts or agreements made by such Person.</w:t>
      </w:r>
    </w:p>
    <w:p>
      <w:pPr>
        <w:spacing w:after="0" w:line="18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w:t>
      </w:r>
      <w:r>
        <w:rPr>
          <w:rFonts w:ascii="Arial" w:cs="Arial" w:eastAsia="Arial" w:hAnsi="Arial"/>
          <w:sz w:val="22"/>
          <w:szCs w:val="22"/>
          <w:color w:val="auto"/>
        </w:rPr>
        <w:t xml:space="preserve">” means, initially, the Relevant Rate;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a Benchmark Transition Event, a Term SOFR Transition Event, a Term ESTR Transition Event or an Early Opt-in Election, as applicable, and its related Benchmark Replacement Date have occurred with respect to the Relevant Rate or the then-current Benchmark, then “Benchmark” means the applicable Benchmark Replacement to the extent that such Benchmark Replacement has replaced such prior benchmark rate pursuant to clause (b) or clause (c) of </w:t>
      </w:r>
      <w:r>
        <w:rPr>
          <w:rFonts w:ascii="Arial" w:cs="Arial" w:eastAsia="Arial" w:hAnsi="Arial"/>
          <w:sz w:val="22"/>
          <w:szCs w:val="22"/>
          <w:u w:val="single" w:color="auto"/>
          <w:color w:val="auto"/>
        </w:rPr>
        <w:t>Section 2.14</w:t>
      </w:r>
      <w:r>
        <w:rPr>
          <w:rFonts w:ascii="Arial" w:cs="Arial" w:eastAsia="Arial" w:hAnsi="Arial"/>
          <w:sz w:val="22"/>
          <w:szCs w:val="22"/>
          <w:color w:val="auto"/>
        </w:rPr>
        <w:t>.</w:t>
      </w:r>
    </w:p>
    <w:p>
      <w:pPr>
        <w:spacing w:after="0" w:line="21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w:t>
      </w:r>
      <w:r>
        <w:rPr>
          <w:rFonts w:ascii="Arial" w:cs="Arial" w:eastAsia="Arial" w:hAnsi="Arial"/>
          <w:sz w:val="19"/>
          <w:szCs w:val="19"/>
          <w:color w:val="auto"/>
        </w:rPr>
        <w:t>” means, for any Available Tenor, the first alternative set forth in the order below that can be determined by the Administrative Agent for the applicable Benchmark Replacement Date; provided that, in the case of any Loan denominated in an Other Agreed Currency, “Benchmark Replacement” shall mean the alternative set forth in (3) below:</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w:t>
      </w:r>
    </w:p>
    <w:p>
      <w:pPr>
        <w:spacing w:after="0" w:line="233" w:lineRule="exact"/>
        <w:rPr>
          <w:sz w:val="20"/>
          <w:szCs w:val="20"/>
          <w:color w:val="auto"/>
        </w:rPr>
      </w:pPr>
    </w:p>
    <w:p>
      <w:pPr>
        <w:ind w:left="660" w:firstLine="644"/>
        <w:spacing w:after="0" w:line="250" w:lineRule="auto"/>
        <w:tabs>
          <w:tab w:leader="none" w:pos="1681" w:val="left"/>
        </w:tabs>
        <w:numPr>
          <w:ilvl w:val="0"/>
          <w:numId w:val="102"/>
        </w:numPr>
        <w:rPr>
          <w:rFonts w:ascii="Arial" w:cs="Arial" w:eastAsia="Arial" w:hAnsi="Arial"/>
          <w:sz w:val="22"/>
          <w:szCs w:val="22"/>
          <w:color w:val="auto"/>
        </w:rPr>
      </w:pPr>
      <w:r>
        <w:rPr>
          <w:rFonts w:ascii="Arial" w:cs="Arial" w:eastAsia="Arial" w:hAnsi="Arial"/>
          <w:sz w:val="22"/>
          <w:szCs w:val="22"/>
          <w:color w:val="auto"/>
        </w:rPr>
        <w:t>in the case of any Loan denominated in dollars, the sum of: (a) Term SOFR and (b) the related Benchmark Replacement Adjustment,</w:t>
      </w:r>
    </w:p>
    <w:p>
      <w:pPr>
        <w:spacing w:after="0" w:line="201" w:lineRule="exact"/>
        <w:rPr>
          <w:rFonts w:ascii="Arial" w:cs="Arial" w:eastAsia="Arial" w:hAnsi="Arial"/>
          <w:sz w:val="22"/>
          <w:szCs w:val="22"/>
          <w:color w:val="auto"/>
        </w:rPr>
      </w:pPr>
    </w:p>
    <w:p>
      <w:pPr>
        <w:ind w:left="660" w:firstLine="644"/>
        <w:spacing w:after="0" w:line="250" w:lineRule="auto"/>
        <w:tabs>
          <w:tab w:leader="none" w:pos="168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in the case of any Loan denominated in Sterling, the sum of (a) Daily Simple SONIA and (b) the related Benchmark Replacement Adjustment,</w:t>
      </w:r>
    </w:p>
    <w:p>
      <w:pPr>
        <w:spacing w:after="0" w:line="201" w:lineRule="exact"/>
        <w:rPr>
          <w:rFonts w:ascii="Arial" w:cs="Arial" w:eastAsia="Arial" w:hAnsi="Arial"/>
          <w:sz w:val="22"/>
          <w:szCs w:val="22"/>
          <w:color w:val="auto"/>
        </w:rPr>
      </w:pPr>
    </w:p>
    <w:p>
      <w:pPr>
        <w:ind w:left="660" w:right="20" w:firstLine="644"/>
        <w:spacing w:after="0" w:line="250" w:lineRule="auto"/>
        <w:tabs>
          <w:tab w:leader="none" w:pos="1677" w:val="left"/>
        </w:tabs>
        <w:numPr>
          <w:ilvl w:val="0"/>
          <w:numId w:val="102"/>
        </w:numPr>
        <w:rPr>
          <w:rFonts w:ascii="Arial" w:cs="Arial" w:eastAsia="Arial" w:hAnsi="Arial"/>
          <w:sz w:val="22"/>
          <w:szCs w:val="22"/>
          <w:color w:val="auto"/>
        </w:rPr>
      </w:pPr>
      <w:r>
        <w:rPr>
          <w:rFonts w:ascii="Arial" w:cs="Arial" w:eastAsia="Arial" w:hAnsi="Arial"/>
          <w:sz w:val="22"/>
          <w:szCs w:val="22"/>
          <w:color w:val="auto"/>
        </w:rPr>
        <w:t>in the case of any Loan denominated in Euros, the sum of (a) Term ESTR and (b) the related Benchmark Replacement Adjustment;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w:t>
      </w:r>
    </w:p>
    <w:p>
      <w:pPr>
        <w:spacing w:after="0" w:line="233" w:lineRule="exact"/>
        <w:rPr>
          <w:sz w:val="20"/>
          <w:szCs w:val="20"/>
          <w:color w:val="auto"/>
        </w:rPr>
      </w:pPr>
    </w:p>
    <w:p>
      <w:pPr>
        <w:ind w:left="660" w:right="20" w:firstLine="644"/>
        <w:spacing w:after="0" w:line="250" w:lineRule="auto"/>
        <w:tabs>
          <w:tab w:leader="none" w:pos="1698" w:val="left"/>
        </w:tabs>
        <w:numPr>
          <w:ilvl w:val="0"/>
          <w:numId w:val="103"/>
        </w:numPr>
        <w:rPr>
          <w:rFonts w:ascii="Arial" w:cs="Arial" w:eastAsia="Arial" w:hAnsi="Arial"/>
          <w:sz w:val="22"/>
          <w:szCs w:val="22"/>
          <w:color w:val="auto"/>
        </w:rPr>
      </w:pPr>
      <w:r>
        <w:rPr>
          <w:rFonts w:ascii="Arial" w:cs="Arial" w:eastAsia="Arial" w:hAnsi="Arial"/>
          <w:sz w:val="22"/>
          <w:szCs w:val="22"/>
          <w:color w:val="auto"/>
        </w:rPr>
        <w:t>in the case of any Loan denominated in dollars, the sum of: (a) Daily Simple SOFR and (b) the related Benchmark Replacement Adjustment,</w:t>
      </w:r>
    </w:p>
    <w:p>
      <w:pPr>
        <w:spacing w:after="0" w:line="201" w:lineRule="exact"/>
        <w:rPr>
          <w:rFonts w:ascii="Arial" w:cs="Arial" w:eastAsia="Arial" w:hAnsi="Arial"/>
          <w:sz w:val="22"/>
          <w:szCs w:val="22"/>
          <w:color w:val="auto"/>
        </w:rPr>
      </w:pPr>
    </w:p>
    <w:p>
      <w:pPr>
        <w:ind w:left="660" w:firstLine="644"/>
        <w:spacing w:after="0" w:line="250" w:lineRule="auto"/>
        <w:tabs>
          <w:tab w:leader="none" w:pos="1695" w:val="left"/>
        </w:tabs>
        <w:numPr>
          <w:ilvl w:val="0"/>
          <w:numId w:val="103"/>
        </w:numPr>
        <w:rPr>
          <w:rFonts w:ascii="Arial" w:cs="Arial" w:eastAsia="Arial" w:hAnsi="Arial"/>
          <w:sz w:val="22"/>
          <w:szCs w:val="22"/>
          <w:color w:val="auto"/>
        </w:rPr>
      </w:pPr>
      <w:r>
        <w:rPr>
          <w:rFonts w:ascii="Arial" w:cs="Arial" w:eastAsia="Arial" w:hAnsi="Arial"/>
          <w:sz w:val="22"/>
          <w:szCs w:val="22"/>
          <w:color w:val="auto"/>
        </w:rPr>
        <w:t>in the case of any Loan denominated in Euros, the sum of (a) Daily Simple ESTR and (b) the related Benchmark Replacement Adjustment;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7" w:name="page188"/>
    <w:bookmarkEnd w:id="187"/>
    <w:p>
      <w:pPr>
        <w:jc w:val="both"/>
        <w:ind w:firstLine="656"/>
        <w:spacing w:after="0" w:line="271" w:lineRule="auto"/>
        <w:tabs>
          <w:tab w:leader="none" w:pos="966" w:val="left"/>
        </w:tabs>
        <w:numPr>
          <w:ilvl w:val="1"/>
          <w:numId w:val="104"/>
        </w:numPr>
        <w:rPr>
          <w:rFonts w:ascii="Arial" w:cs="Arial" w:eastAsia="Arial" w:hAnsi="Arial"/>
          <w:sz w:val="19"/>
          <w:szCs w:val="19"/>
          <w:color w:val="auto"/>
        </w:rPr>
      </w:pPr>
      <w:r>
        <w:rPr>
          <w:rFonts w:ascii="Arial" w:cs="Arial" w:eastAsia="Arial" w:hAnsi="Arial"/>
          <w:sz w:val="19"/>
          <w:szCs w:val="19"/>
          <w:color w:val="auto"/>
        </w:rPr>
        <w:t>the sum of: (a) the alternate benchmark rate that has been selected by the Administrative Agent and the Company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Agreed Currency at such time and</w:t>
      </w:r>
    </w:p>
    <w:p>
      <w:pPr>
        <w:ind w:left="320" w:hanging="312"/>
        <w:spacing w:after="0"/>
        <w:tabs>
          <w:tab w:leader="none" w:pos="32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the related Benchmark Replacement Adjustment;</w:t>
      </w:r>
    </w:p>
    <w:p>
      <w:pPr>
        <w:spacing w:after="0" w:line="21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clause (1)(A) or (1)(C), such Unadjusted Benchmark Replacement is displayed on a screen or other information service that publishes such rate from time to time as selected by the Administrative Agent in its reasonable discretion;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(x) with respect to a Loan denominated in dollars, notwithstanding anything to the contrary in this Agreement or in any other Loan Document, upon the occurrence of a Term SOFR Transition Event, and the delivery of a Term SOFR Notice, on the applicable Benchmark Replacement Date the “Benchmark Replacement” shall revert to and shall be deemed to be the sum of (a) Term SOFR and (b) the related Benchmark Replacement Adjustment, as set forth in clause (1)(A) of this definition (subject to the first proviso above) and (y) with respect to a Loan denominated in Euros, notwithstanding anything to the contrary in this Agreement or in any other Loan Document, upon the occurrence of a Term ESTR Transition Event, and the delivery of a Term ESTR Notice, on the applicable Benchmark Replacement Date the “Benchmark Replacement” shall revert to and shall be deemed to be the sum of (a) Term ESTR and (b) the related Benchmark Replacement Adjustment, as set forth in clause (1)(C) of this definition (subject to the first proviso above).</w:t>
      </w:r>
    </w:p>
    <w:p>
      <w:pPr>
        <w:spacing w:after="0" w:line="182"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If the Benchmark Replacement as determined pursuant to clause (1), (2) or (3) above would be less than the Floor, the Benchmark Replacement will be deemed to be the Floor for the purposes of this Agreement and the other Loan Documents.</w:t>
      </w:r>
    </w:p>
    <w:p>
      <w:pPr>
        <w:spacing w:after="0" w:line="13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Replacement Adjustment</w:t>
      </w:r>
      <w:r>
        <w:rPr>
          <w:rFonts w:ascii="Arial" w:cs="Arial" w:eastAsia="Arial" w:hAnsi="Arial"/>
          <w:sz w:val="22"/>
          <w:szCs w:val="22"/>
          <w:color w:val="auto"/>
        </w:rPr>
        <w:t>” means, with respect to any replacement of the then-current Benchmark with an Unadjusted Benchmark Replacement for any applicable Interest Period and Available Tenor for any setting of such Unadjusted Benchmark Replacement:</w:t>
      </w:r>
    </w:p>
    <w:p>
      <w:pPr>
        <w:spacing w:after="0" w:line="213" w:lineRule="exact"/>
        <w:rPr>
          <w:sz w:val="20"/>
          <w:szCs w:val="20"/>
          <w:color w:val="auto"/>
        </w:rPr>
      </w:pPr>
    </w:p>
    <w:p>
      <w:pPr>
        <w:ind w:firstLine="656"/>
        <w:spacing w:after="0" w:line="250" w:lineRule="auto"/>
        <w:tabs>
          <w:tab w:leader="none" w:pos="962" w:val="left"/>
        </w:tabs>
        <w:numPr>
          <w:ilvl w:val="0"/>
          <w:numId w:val="106"/>
        </w:numPr>
        <w:rPr>
          <w:rFonts w:ascii="Arial" w:cs="Arial" w:eastAsia="Arial" w:hAnsi="Arial"/>
          <w:sz w:val="22"/>
          <w:szCs w:val="22"/>
          <w:color w:val="auto"/>
        </w:rPr>
      </w:pPr>
      <w:r>
        <w:rPr>
          <w:rFonts w:ascii="Arial" w:cs="Arial" w:eastAsia="Arial" w:hAnsi="Arial"/>
          <w:sz w:val="22"/>
          <w:szCs w:val="22"/>
          <w:color w:val="auto"/>
        </w:rPr>
        <w:t>for purposes of clauses (1) and (2) of the definition of “Benchmark Replacement,” the first alternative set forth in the order below that can be determined by the Administrative Agent:</w:t>
      </w:r>
    </w:p>
    <w:p>
      <w:pPr>
        <w:spacing w:after="0" w:line="202" w:lineRule="exact"/>
        <w:rPr>
          <w:sz w:val="20"/>
          <w:szCs w:val="20"/>
          <w:color w:val="auto"/>
        </w:rPr>
      </w:pPr>
    </w:p>
    <w:p>
      <w:pPr>
        <w:jc w:val="both"/>
        <w:ind w:firstLine="656"/>
        <w:spacing w:after="0" w:line="238" w:lineRule="auto"/>
        <w:tabs>
          <w:tab w:leader="none" w:pos="952" w:val="left"/>
        </w:tabs>
        <w:numPr>
          <w:ilvl w:val="0"/>
          <w:numId w:val="107"/>
        </w:numPr>
        <w:rPr>
          <w:rFonts w:ascii="Arial" w:cs="Arial" w:eastAsia="Arial" w:hAnsi="Arial"/>
          <w:sz w:val="22"/>
          <w:szCs w:val="22"/>
          <w:color w:val="auto"/>
        </w:rPr>
      </w:pPr>
      <w:r>
        <w:rPr>
          <w:rFonts w:ascii="Arial" w:cs="Arial" w:eastAsia="Arial" w:hAnsi="Arial"/>
          <w:sz w:val="22"/>
          <w:szCs w:val="22"/>
          <w:color w:val="auto"/>
        </w:rPr>
        <w:t>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w:t>
      </w:r>
    </w:p>
    <w:p>
      <w:pPr>
        <w:spacing w:after="0" w:line="211" w:lineRule="exact"/>
        <w:rPr>
          <w:rFonts w:ascii="Arial" w:cs="Arial" w:eastAsia="Arial" w:hAnsi="Arial"/>
          <w:sz w:val="22"/>
          <w:szCs w:val="22"/>
          <w:color w:val="auto"/>
        </w:rPr>
      </w:pPr>
    </w:p>
    <w:p>
      <w:pPr>
        <w:jc w:val="both"/>
        <w:ind w:firstLine="656"/>
        <w:spacing w:after="0" w:line="238" w:lineRule="auto"/>
        <w:tabs>
          <w:tab w:leader="none" w:pos="963" w:val="left"/>
        </w:tabs>
        <w:numPr>
          <w:ilvl w:val="0"/>
          <w:numId w:val="107"/>
        </w:numPr>
        <w:rPr>
          <w:rFonts w:ascii="Arial" w:cs="Arial" w:eastAsia="Arial" w:hAnsi="Arial"/>
          <w:sz w:val="22"/>
          <w:szCs w:val="22"/>
          <w:color w:val="auto"/>
        </w:rPr>
      </w:pPr>
      <w:r>
        <w:rPr>
          <w:rFonts w:ascii="Arial" w:cs="Arial" w:eastAsia="Arial" w:hAnsi="Arial"/>
          <w:sz w:val="22"/>
          <w:szCs w:val="22"/>
          <w:color w:val="auto"/>
        </w:rPr>
        <w:t>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8" w:name="page189"/>
    <w:bookmarkEnd w:id="188"/>
    <w:p>
      <w:pPr>
        <w:jc w:val="both"/>
        <w:ind w:firstLine="656"/>
        <w:spacing w:after="0" w:line="245" w:lineRule="auto"/>
        <w:tabs>
          <w:tab w:leader="none" w:pos="994" w:val="left"/>
        </w:tabs>
        <w:numPr>
          <w:ilvl w:val="0"/>
          <w:numId w:val="108"/>
        </w:numPr>
        <w:rPr>
          <w:rFonts w:ascii="Arial" w:cs="Arial" w:eastAsia="Arial" w:hAnsi="Arial"/>
          <w:sz w:val="21"/>
          <w:szCs w:val="21"/>
          <w:color w:val="auto"/>
        </w:rPr>
      </w:pPr>
      <w:r>
        <w:rPr>
          <w:rFonts w:ascii="Arial" w:cs="Arial" w:eastAsia="Arial" w:hAnsi="Arial"/>
          <w:sz w:val="21"/>
          <w:szCs w:val="21"/>
          <w:color w:val="auto"/>
        </w:rPr>
        <w:t>for purposes of clause (3) of the definition of “Benchmark Replacement,” the spread adjustment, or method for calculating or determining such spread adjustment, (which may be a positive or negative value or zero) that has been selected by the Administrative Agent and the Company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the case of clause (1) above, such adjustment is displayed on a screen or other information service that publishes such Benchmark Replacement Adjustment from time to time as selected by the Administrative Agent in its reasonable discretion.</w:t>
      </w:r>
    </w:p>
    <w:p>
      <w:pPr>
        <w:spacing w:after="0" w:line="21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Benchmark Replacement Conforming Changes</w:t>
      </w:r>
      <w:r>
        <w:rPr>
          <w:rFonts w:ascii="Arial" w:cs="Arial" w:eastAsia="Arial" w:hAnsi="Arial"/>
          <w:sz w:val="21"/>
          <w:szCs w:val="21"/>
          <w:color w:val="auto"/>
        </w:rPr>
        <w:t>” means, with respect to any Benchmark Replacement, any technical, administrative or operational changes (including changes to the definition of “Alternate Base Rate,” the definition of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2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Replacement Date</w:t>
      </w:r>
      <w:r>
        <w:rPr>
          <w:rFonts w:ascii="Arial" w:cs="Arial" w:eastAsia="Arial" w:hAnsi="Arial"/>
          <w:sz w:val="22"/>
          <w:szCs w:val="22"/>
          <w:color w:val="auto"/>
        </w:rPr>
        <w:t>” means, with respect to any Benchmark, the earliest to occur of the following events with respect to such then-current Benchmark:</w:t>
      </w:r>
    </w:p>
    <w:p>
      <w:pPr>
        <w:spacing w:after="0" w:line="202" w:lineRule="exact"/>
        <w:rPr>
          <w:sz w:val="20"/>
          <w:szCs w:val="20"/>
          <w:color w:val="auto"/>
        </w:rPr>
      </w:pPr>
    </w:p>
    <w:p>
      <w:pPr>
        <w:jc w:val="both"/>
        <w:ind w:firstLine="656"/>
        <w:spacing w:after="0" w:line="238" w:lineRule="auto"/>
        <w:tabs>
          <w:tab w:leader="none" w:pos="956" w:val="left"/>
        </w:tabs>
        <w:numPr>
          <w:ilvl w:val="0"/>
          <w:numId w:val="109"/>
        </w:numPr>
        <w:rPr>
          <w:rFonts w:ascii="Arial" w:cs="Arial" w:eastAsia="Arial" w:hAnsi="Arial"/>
          <w:sz w:val="22"/>
          <w:szCs w:val="22"/>
          <w:color w:val="auto"/>
        </w:rPr>
      </w:pPr>
      <w:r>
        <w:rPr>
          <w:rFonts w:ascii="Arial" w:cs="Arial" w:eastAsia="Arial" w:hAnsi="Arial"/>
          <w:sz w:val="22"/>
          <w:szCs w:val="22"/>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p>
    <w:p>
      <w:pPr>
        <w:spacing w:after="0" w:line="211" w:lineRule="exact"/>
        <w:rPr>
          <w:rFonts w:ascii="Arial" w:cs="Arial" w:eastAsia="Arial" w:hAnsi="Arial"/>
          <w:sz w:val="22"/>
          <w:szCs w:val="22"/>
          <w:color w:val="auto"/>
        </w:rPr>
      </w:pPr>
    </w:p>
    <w:p>
      <w:pPr>
        <w:ind w:firstLine="656"/>
        <w:spacing w:after="0" w:line="250" w:lineRule="auto"/>
        <w:tabs>
          <w:tab w:leader="none" w:pos="992" w:val="left"/>
        </w:tabs>
        <w:numPr>
          <w:ilvl w:val="0"/>
          <w:numId w:val="109"/>
        </w:numPr>
        <w:rPr>
          <w:rFonts w:ascii="Arial" w:cs="Arial" w:eastAsia="Arial" w:hAnsi="Arial"/>
          <w:sz w:val="22"/>
          <w:szCs w:val="22"/>
          <w:color w:val="auto"/>
        </w:rPr>
      </w:pPr>
      <w:r>
        <w:rPr>
          <w:rFonts w:ascii="Arial" w:cs="Arial" w:eastAsia="Arial" w:hAnsi="Arial"/>
          <w:sz w:val="22"/>
          <w:szCs w:val="22"/>
          <w:color w:val="auto"/>
        </w:rPr>
        <w:t>in the case of clause (3) of the definition of “Benchmark Transition Event,” the date of the public statement or publication of information referenced therein;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9" w:name="page190"/>
    <w:bookmarkEnd w:id="189"/>
    <w:p>
      <w:pPr>
        <w:ind w:left="980" w:hanging="324"/>
        <w:spacing w:after="0"/>
        <w:tabs>
          <w:tab w:leader="none" w:pos="980" w:val="left"/>
        </w:tabs>
        <w:numPr>
          <w:ilvl w:val="1"/>
          <w:numId w:val="110"/>
        </w:numPr>
        <w:rPr>
          <w:rFonts w:ascii="Arial" w:cs="Arial" w:eastAsia="Arial" w:hAnsi="Arial"/>
          <w:sz w:val="19"/>
          <w:szCs w:val="19"/>
          <w:color w:val="auto"/>
        </w:rPr>
      </w:pPr>
      <w:r>
        <w:rPr>
          <w:rFonts w:ascii="Arial" w:cs="Arial" w:eastAsia="Arial" w:hAnsi="Arial"/>
          <w:sz w:val="19"/>
          <w:szCs w:val="19"/>
          <w:color w:val="auto"/>
        </w:rPr>
        <w:t>in the case of a Term SOFR Transition Event or a Term ESTR Transition Event, as applicable, the date that is thirty</w:t>
      </w:r>
    </w:p>
    <w:p>
      <w:pPr>
        <w:spacing w:after="0" w:line="43" w:lineRule="exact"/>
        <w:rPr>
          <w:rFonts w:ascii="Arial" w:cs="Arial" w:eastAsia="Arial" w:hAnsi="Arial"/>
          <w:sz w:val="19"/>
          <w:szCs w:val="19"/>
          <w:color w:val="auto"/>
        </w:rPr>
      </w:pPr>
    </w:p>
    <w:p>
      <w:pPr>
        <w:ind w:firstLine="8"/>
        <w:spacing w:after="0" w:line="236" w:lineRule="auto"/>
        <w:tabs>
          <w:tab w:leader="none" w:pos="417" w:val="left"/>
        </w:tabs>
        <w:numPr>
          <w:ilvl w:val="0"/>
          <w:numId w:val="111"/>
        </w:numPr>
        <w:rPr>
          <w:rFonts w:ascii="Arial" w:cs="Arial" w:eastAsia="Arial" w:hAnsi="Arial"/>
          <w:sz w:val="22"/>
          <w:szCs w:val="22"/>
          <w:color w:val="auto"/>
        </w:rPr>
      </w:pPr>
      <w:r>
        <w:rPr>
          <w:rFonts w:ascii="Arial" w:cs="Arial" w:eastAsia="Arial" w:hAnsi="Arial"/>
          <w:sz w:val="22"/>
          <w:szCs w:val="22"/>
          <w:color w:val="auto"/>
        </w:rPr>
        <w:t xml:space="preserve">days after the date a Term SOFR Notice or a Term ESTR Notice, as applicable, is provided to the Lenders and the Company pursuant to </w:t>
      </w:r>
      <w:r>
        <w:rPr>
          <w:rFonts w:ascii="Arial" w:cs="Arial" w:eastAsia="Arial" w:hAnsi="Arial"/>
          <w:sz w:val="22"/>
          <w:szCs w:val="22"/>
          <w:u w:val="single" w:color="auto"/>
          <w:color w:val="auto"/>
        </w:rPr>
        <w:t>Section 2.14(c)</w:t>
      </w:r>
      <w:r>
        <w:rPr>
          <w:rFonts w:ascii="Arial" w:cs="Arial" w:eastAsia="Arial" w:hAnsi="Arial"/>
          <w:sz w:val="22"/>
          <w:szCs w:val="22"/>
          <w:color w:val="auto"/>
        </w:rPr>
        <w:t>; or</w:t>
      </w:r>
    </w:p>
    <w:p>
      <w:pPr>
        <w:spacing w:after="0" w:line="213" w:lineRule="exact"/>
        <w:rPr>
          <w:rFonts w:ascii="Arial" w:cs="Arial" w:eastAsia="Arial" w:hAnsi="Arial"/>
          <w:sz w:val="22"/>
          <w:szCs w:val="22"/>
          <w:color w:val="auto"/>
        </w:rPr>
      </w:pPr>
    </w:p>
    <w:p>
      <w:pPr>
        <w:jc w:val="both"/>
        <w:ind w:firstLine="656"/>
        <w:spacing w:after="0" w:line="238" w:lineRule="auto"/>
        <w:tabs>
          <w:tab w:leader="none" w:pos="956" w:val="left"/>
        </w:tabs>
        <w:numPr>
          <w:ilvl w:val="1"/>
          <w:numId w:val="111"/>
        </w:numPr>
        <w:rPr>
          <w:rFonts w:ascii="Arial" w:cs="Arial" w:eastAsia="Arial" w:hAnsi="Arial"/>
          <w:sz w:val="22"/>
          <w:szCs w:val="22"/>
          <w:color w:val="auto"/>
        </w:rPr>
      </w:pPr>
      <w:r>
        <w:rPr>
          <w:rFonts w:ascii="Arial" w:cs="Arial" w:eastAsia="Arial" w:hAnsi="Arial"/>
          <w:sz w:val="22"/>
          <w:szCs w:val="22"/>
          <w:color w:val="auto"/>
        </w:rPr>
        <w:t>in the case of an Early Opt-in Election, the sixth (6th) Business Day after the date notice of 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Required Lenders.</w:t>
      </w:r>
    </w:p>
    <w:p>
      <w:pPr>
        <w:spacing w:after="0" w:line="21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2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Transition Event</w:t>
      </w:r>
      <w:r>
        <w:rPr>
          <w:rFonts w:ascii="Arial" w:cs="Arial" w:eastAsia="Arial" w:hAnsi="Arial"/>
          <w:sz w:val="22"/>
          <w:szCs w:val="22"/>
          <w:color w:val="auto"/>
        </w:rPr>
        <w:t>” means, with respect to any Benchmark, the occurrence of one or more of the following events with respect to such then-current Benchmark:</w:t>
      </w:r>
    </w:p>
    <w:p>
      <w:pPr>
        <w:spacing w:after="0" w:line="202" w:lineRule="exact"/>
        <w:rPr>
          <w:sz w:val="20"/>
          <w:szCs w:val="20"/>
          <w:color w:val="auto"/>
        </w:rPr>
      </w:pPr>
    </w:p>
    <w:p>
      <w:pPr>
        <w:jc w:val="both"/>
        <w:ind w:firstLine="656"/>
        <w:spacing w:after="0" w:line="236" w:lineRule="auto"/>
        <w:tabs>
          <w:tab w:leader="none" w:pos="988" w:val="left"/>
        </w:tabs>
        <w:numPr>
          <w:ilvl w:val="0"/>
          <w:numId w:val="112"/>
        </w:numPr>
        <w:rPr>
          <w:rFonts w:ascii="Arial" w:cs="Arial" w:eastAsia="Arial" w:hAnsi="Arial"/>
          <w:sz w:val="22"/>
          <w:szCs w:val="22"/>
          <w:color w:val="auto"/>
        </w:rPr>
      </w:pPr>
      <w:r>
        <w:rPr>
          <w:rFonts w:ascii="Arial" w:cs="Arial" w:eastAsia="Arial" w:hAnsi="Arial"/>
          <w:sz w:val="22"/>
          <w:szCs w:val="22"/>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at the time of such statement or publication, there is no successor administrator that will continue to provide any Available Tenor of such Benchmark (or such component thereof);</w:t>
      </w:r>
    </w:p>
    <w:p>
      <w:pPr>
        <w:spacing w:after="0" w:line="214" w:lineRule="exact"/>
        <w:rPr>
          <w:rFonts w:ascii="Arial" w:cs="Arial" w:eastAsia="Arial" w:hAnsi="Arial"/>
          <w:sz w:val="22"/>
          <w:szCs w:val="22"/>
          <w:color w:val="auto"/>
        </w:rPr>
      </w:pPr>
    </w:p>
    <w:p>
      <w:pPr>
        <w:jc w:val="both"/>
        <w:ind w:firstLine="656"/>
        <w:spacing w:after="0" w:line="275" w:lineRule="auto"/>
        <w:tabs>
          <w:tab w:leader="none" w:pos="959" w:val="left"/>
        </w:tabs>
        <w:numPr>
          <w:ilvl w:val="0"/>
          <w:numId w:val="112"/>
        </w:numPr>
        <w:rPr>
          <w:rFonts w:ascii="Arial" w:cs="Arial" w:eastAsia="Arial" w:hAnsi="Arial"/>
          <w:sz w:val="19"/>
          <w:szCs w:val="19"/>
          <w:color w:val="auto"/>
        </w:rPr>
      </w:pPr>
      <w:r>
        <w:rPr>
          <w:rFonts w:ascii="Arial" w:cs="Arial" w:eastAsia="Arial" w:hAnsi="Arial"/>
          <w:sz w:val="19"/>
          <w:szCs w:val="19"/>
          <w:color w:val="auto"/>
        </w:rPr>
        <w:t xml:space="preserve">a public statement or publication of information by the regulatory supervisor for the administrator of such Benchmark (or the published component used in the calculation thereof), the Federal Reserve Board, the NYFRB,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the time of such statement or publication, there is no successor administrator that will continue to provide any Available Tenor of such Benchmark (or such component thereof); or</w:t>
      </w:r>
    </w:p>
    <w:p>
      <w:pPr>
        <w:spacing w:after="0" w:line="184" w:lineRule="exact"/>
        <w:rPr>
          <w:rFonts w:ascii="Arial" w:cs="Arial" w:eastAsia="Arial" w:hAnsi="Arial"/>
          <w:sz w:val="19"/>
          <w:szCs w:val="19"/>
          <w:color w:val="auto"/>
        </w:rPr>
      </w:pPr>
    </w:p>
    <w:p>
      <w:pPr>
        <w:jc w:val="both"/>
        <w:ind w:firstLine="656"/>
        <w:spacing w:after="0"/>
        <w:tabs>
          <w:tab w:leader="none" w:pos="959" w:val="left"/>
        </w:tabs>
        <w:numPr>
          <w:ilvl w:val="0"/>
          <w:numId w:val="112"/>
        </w:numPr>
        <w:rPr>
          <w:rFonts w:ascii="Arial" w:cs="Arial" w:eastAsia="Arial" w:hAnsi="Arial"/>
          <w:sz w:val="22"/>
          <w:szCs w:val="22"/>
          <w:color w:val="auto"/>
        </w:rPr>
      </w:pPr>
      <w:r>
        <w:rPr>
          <w:rFonts w:ascii="Arial" w:cs="Arial" w:eastAsia="Arial" w:hAnsi="Arial"/>
          <w:sz w:val="22"/>
          <w:szCs w:val="22"/>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0" w:name="page191"/>
    <w:bookmarkEnd w:id="190"/>
    <w:p>
      <w:pPr>
        <w:ind w:left="660"/>
        <w:spacing w:after="0"/>
        <w:rPr>
          <w:sz w:val="20"/>
          <w:szCs w:val="20"/>
          <w:color w:val="auto"/>
        </w:rPr>
      </w:pPr>
      <w:r>
        <w:rPr>
          <w:rFonts w:ascii="Arial" w:cs="Arial" w:eastAsia="Arial" w:hAnsi="Arial"/>
          <w:sz w:val="21"/>
          <w:szCs w:val="21"/>
          <w:color w:val="auto"/>
        </w:rPr>
        <w:t>For the avoidance of doubt, a “Benchmark Transition Event” will be deemed to have occurred with respect to any</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Benchmark if a public statement or publication of information set forth above has occurred with respect to each then-current</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Available Tenor of such Benchmark (or the published component used in the calculation thereof).</w:t>
      </w:r>
    </w:p>
    <w:p>
      <w:pPr>
        <w:spacing w:after="0" w:line="21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Benchmark Unavailability Period</w:t>
      </w:r>
      <w:r>
        <w:rPr>
          <w:rFonts w:ascii="Arial" w:cs="Arial" w:eastAsia="Arial" w:hAnsi="Arial"/>
          <w:sz w:val="21"/>
          <w:szCs w:val="21"/>
          <w:color w:val="auto"/>
        </w:rPr>
        <w:t xml:space="preserve">”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w:t>
      </w:r>
      <w:r>
        <w:rPr>
          <w:rFonts w:ascii="Arial" w:cs="Arial" w:eastAsia="Arial" w:hAnsi="Arial"/>
          <w:sz w:val="21"/>
          <w:szCs w:val="21"/>
          <w:u w:val="single" w:color="auto"/>
          <w:color w:val="auto"/>
        </w:rPr>
        <w:t>Section 2.14</w:t>
      </w:r>
      <w:r>
        <w:rPr>
          <w:rFonts w:ascii="Arial" w:cs="Arial" w:eastAsia="Arial" w:hAnsi="Arial"/>
          <w:sz w:val="21"/>
          <w:szCs w:val="21"/>
          <w:color w:val="auto"/>
        </w:rPr>
        <w:t xml:space="preserve"> and (y) ending at the time that a Benchmark Replacement has replaced such then-current Benchmark for all purposes hereunder and under any Loan Document in accordance with </w:t>
      </w:r>
      <w:r>
        <w:rPr>
          <w:rFonts w:ascii="Arial" w:cs="Arial" w:eastAsia="Arial" w:hAnsi="Arial"/>
          <w:sz w:val="21"/>
          <w:szCs w:val="21"/>
          <w:u w:val="single" w:color="auto"/>
          <w:color w:val="auto"/>
        </w:rPr>
        <w:t>Section 2.14</w:t>
      </w:r>
      <w:r>
        <w:rPr>
          <w:rFonts w:ascii="Arial" w:cs="Arial" w:eastAsia="Arial" w:hAnsi="Arial"/>
          <w:sz w:val="21"/>
          <w:szCs w:val="21"/>
          <w:color w:val="auto"/>
        </w:rPr>
        <w:t>.</w:t>
      </w:r>
    </w:p>
    <w:p>
      <w:pPr>
        <w:spacing w:after="0" w:line="205"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 Certification</w:t>
      </w:r>
      <w:r>
        <w:rPr>
          <w:rFonts w:ascii="Arial" w:cs="Arial" w:eastAsia="Arial" w:hAnsi="Arial"/>
          <w:sz w:val="22"/>
          <w:szCs w:val="22"/>
          <w:color w:val="auto"/>
        </w:rPr>
        <w:t>” means a certification regarding beneficial ownership or control as required by the Beneficial Ownership Regulation.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 Regulation</w:t>
      </w:r>
      <w:r>
        <w:rPr>
          <w:rFonts w:ascii="Arial" w:cs="Arial" w:eastAsia="Arial" w:hAnsi="Arial"/>
          <w:sz w:val="22"/>
          <w:szCs w:val="22"/>
          <w:color w:val="auto"/>
        </w:rPr>
        <w:t>” means 31 C.F.R. § 1010.230.</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Benefit Plan</w:t>
      </w:r>
      <w:r>
        <w:rPr>
          <w:rFonts w:ascii="Arial" w:cs="Arial" w:eastAsia="Arial" w:hAnsi="Arial"/>
          <w:sz w:val="22"/>
          <w:szCs w:val="22"/>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Bilateral Facility</w:t>
      </w:r>
      <w:r>
        <w:rPr>
          <w:rFonts w:ascii="Arial" w:cs="Arial" w:eastAsia="Arial" w:hAnsi="Arial"/>
          <w:sz w:val="22"/>
          <w:szCs w:val="22"/>
          <w:color w:val="auto"/>
        </w:rPr>
        <w:t>” means any LC Facility or Supply Chain Financing.</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Bilateral Facility Intercreditor Agreement</w:t>
      </w:r>
      <w:r>
        <w:rPr>
          <w:rFonts w:ascii="Arial" w:cs="Arial" w:eastAsia="Arial" w:hAnsi="Arial"/>
          <w:sz w:val="22"/>
          <w:szCs w:val="22"/>
          <w:color w:val="auto"/>
        </w:rPr>
        <w:t>” means a customary intercreditor agreement, in form and substance reasonably satisfactory to the Administrative Agent and the Borrowers, between the Administrative Agent, the Loan Parties and any Secured LC Provider or Secured Supply Chain Bank.</w:t>
      </w:r>
    </w:p>
    <w:p>
      <w:pPr>
        <w:spacing w:after="0" w:line="213" w:lineRule="exact"/>
        <w:rPr>
          <w:sz w:val="20"/>
          <w:szCs w:val="20"/>
          <w:color w:val="auto"/>
        </w:rPr>
      </w:pPr>
    </w:p>
    <w:p>
      <w:pPr>
        <w:jc w:val="both"/>
        <w:ind w:firstLine="715"/>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Bona Fide Debt Fund</w:t>
      </w:r>
      <w:r>
        <w:rPr>
          <w:rFonts w:ascii="Arial" w:cs="Arial" w:eastAsia="Arial" w:hAnsi="Arial"/>
          <w:sz w:val="21"/>
          <w:szCs w:val="21"/>
          <w:color w:val="auto"/>
        </w:rPr>
        <w:t>” means any fund or investment vehicle that is engaged in the making, purchasing, holding or otherwise investing in commercial loans, bonds and other similar extensions of credit in the ordinary course.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Borrower DTTP Filing</w:t>
      </w:r>
      <w:r>
        <w:rPr>
          <w:rFonts w:ascii="Arial" w:cs="Arial" w:eastAsia="Arial" w:hAnsi="Arial"/>
          <w:sz w:val="19"/>
          <w:szCs w:val="19"/>
          <w:color w:val="auto"/>
        </w:rPr>
        <w:t>” means an HM Revenue &amp; Customs’ Form DTTP2 duly completed and filed by a UK Borrower,</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which:</w:t>
      </w:r>
    </w:p>
    <w:p>
      <w:pPr>
        <w:spacing w:after="0" w:line="215" w:lineRule="exact"/>
        <w:rPr>
          <w:sz w:val="20"/>
          <w:szCs w:val="20"/>
          <w:color w:val="auto"/>
        </w:rPr>
      </w:pPr>
    </w:p>
    <w:p>
      <w:pPr>
        <w:jc w:val="both"/>
        <w:ind w:firstLine="656"/>
        <w:spacing w:after="0"/>
        <w:tabs>
          <w:tab w:leader="none" w:pos="1577" w:val="left"/>
        </w:tabs>
        <w:numPr>
          <w:ilvl w:val="0"/>
          <w:numId w:val="113"/>
        </w:numPr>
        <w:rPr>
          <w:rFonts w:ascii="Arial" w:cs="Arial" w:eastAsia="Arial" w:hAnsi="Arial"/>
          <w:sz w:val="22"/>
          <w:szCs w:val="22"/>
          <w:color w:val="auto"/>
        </w:rPr>
      </w:pPr>
      <w:r>
        <w:rPr>
          <w:rFonts w:ascii="Arial" w:cs="Arial" w:eastAsia="Arial" w:hAnsi="Arial"/>
          <w:sz w:val="22"/>
          <w:szCs w:val="22"/>
          <w:color w:val="auto"/>
        </w:rPr>
        <w:t xml:space="preserve">where it relates to a UK Treaty Lender that becomes a Lender on the Effective Date, contains the scheme reference number and jurisdiction of tax residence stated opposite that Lender’s name in </w:t>
      </w:r>
      <w:r>
        <w:rPr>
          <w:rFonts w:ascii="Arial" w:cs="Arial" w:eastAsia="Arial" w:hAnsi="Arial"/>
          <w:sz w:val="22"/>
          <w:szCs w:val="22"/>
          <w:u w:val="single" w:color="auto"/>
          <w:color w:val="auto"/>
        </w:rPr>
        <w:t>Schedule 2.01</w:t>
      </w:r>
      <w:r>
        <w:rPr>
          <w:rFonts w:ascii="Arial" w:cs="Arial" w:eastAsia="Arial" w:hAnsi="Arial"/>
          <w:sz w:val="22"/>
          <w:szCs w:val="22"/>
          <w:color w:val="auto"/>
        </w:rPr>
        <w:t xml:space="preserve"> hereto and is filed with HM Revenue &amp; Customs within 30 days of the Effective Date; or</w:t>
      </w:r>
    </w:p>
    <w:p>
      <w:pPr>
        <w:spacing w:after="0" w:line="213" w:lineRule="exact"/>
        <w:rPr>
          <w:rFonts w:ascii="Arial" w:cs="Arial" w:eastAsia="Arial" w:hAnsi="Arial"/>
          <w:sz w:val="22"/>
          <w:szCs w:val="22"/>
          <w:color w:val="auto"/>
        </w:rPr>
      </w:pPr>
    </w:p>
    <w:p>
      <w:pPr>
        <w:jc w:val="both"/>
        <w:ind w:firstLine="656"/>
        <w:spacing w:after="0" w:line="238" w:lineRule="auto"/>
        <w:tabs>
          <w:tab w:leader="none" w:pos="1579" w:val="left"/>
        </w:tabs>
        <w:numPr>
          <w:ilvl w:val="0"/>
          <w:numId w:val="113"/>
        </w:numPr>
        <w:rPr>
          <w:rFonts w:ascii="Arial" w:cs="Arial" w:eastAsia="Arial" w:hAnsi="Arial"/>
          <w:sz w:val="22"/>
          <w:szCs w:val="22"/>
          <w:color w:val="auto"/>
        </w:rPr>
      </w:pPr>
      <w:r>
        <w:rPr>
          <w:rFonts w:ascii="Arial" w:cs="Arial" w:eastAsia="Arial" w:hAnsi="Arial"/>
          <w:sz w:val="22"/>
          <w:szCs w:val="22"/>
          <w:color w:val="auto"/>
        </w:rPr>
        <w:t>where it relates to a UK Treaty Lender that becomes a Lender after the Effective Date, contains the scheme reference number and jurisdiction of tax residence stated in respect of that Lender in the documentation which it executes on becoming a party to this Agreement as a Lender and is filed with HM Revenue &amp; Customs within 30 days of the UK Treaty Lender becoming a Lender hereunder.</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Borrowers</w:t>
      </w:r>
      <w:r>
        <w:rPr>
          <w:rFonts w:ascii="Arial" w:cs="Arial" w:eastAsia="Arial" w:hAnsi="Arial"/>
          <w:sz w:val="22"/>
          <w:szCs w:val="22"/>
          <w:color w:val="auto"/>
        </w:rPr>
        <w:t>” has the meaning assigned to it in the preamble hereto.</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1" w:name="page192"/>
    <w:bookmarkEnd w:id="191"/>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w:t>
      </w:r>
      <w:r>
        <w:rPr>
          <w:rFonts w:ascii="Arial" w:cs="Arial" w:eastAsia="Arial" w:hAnsi="Arial"/>
          <w:sz w:val="22"/>
          <w:szCs w:val="22"/>
          <w:color w:val="auto"/>
        </w:rPr>
        <w:t>” means Loans of the same Type and currency, made, converted or continued on the same date and, in the case of Eurocurrency Loans, as to which a single Interest Period is in effect.</w:t>
      </w:r>
    </w:p>
    <w:p>
      <w:pPr>
        <w:spacing w:after="0" w:line="20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Minimum</w:t>
      </w:r>
      <w:r>
        <w:rPr>
          <w:rFonts w:ascii="Arial" w:cs="Arial" w:eastAsia="Arial" w:hAnsi="Arial"/>
          <w:sz w:val="22"/>
          <w:szCs w:val="22"/>
          <w:color w:val="auto"/>
        </w:rPr>
        <w:t>” means (a) in the case of a Eurocurrency Borrowing denominated in dollars, $1,000,000, (b) in the case of a Eurocurrency Borrowing denominated in any Alternative Currency, the smallest amount of such Alternative Currency that is an integral multiple of 100,000 units of such currency and that has a Dollar Equivalent in excess of $1,000,000 and (c) in the case of an ABR Borrowing, $1,000,000.</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Multiple</w:t>
      </w:r>
      <w:r>
        <w:rPr>
          <w:rFonts w:ascii="Arial" w:cs="Arial" w:eastAsia="Arial" w:hAnsi="Arial"/>
          <w:sz w:val="22"/>
          <w:szCs w:val="22"/>
          <w:color w:val="auto"/>
        </w:rPr>
        <w:t>” means (a) in the case of a Eurocurrency Borrowing denominated in dollars, $500,000, (b) in the case of a Eurocurrency Borrowing denominated in any Alternative Currency, the smallest amount of such Alternative Currency that is an integral multiple of 100,000 units of such currency and that has a Dollar Equivalent in excess of $500,000 and (c) in the case of an ABR Borrowing, $500,000.</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Request</w:t>
      </w:r>
      <w:r>
        <w:rPr>
          <w:rFonts w:ascii="Arial" w:cs="Arial" w:eastAsia="Arial" w:hAnsi="Arial"/>
          <w:sz w:val="22"/>
          <w:szCs w:val="22"/>
          <w:color w:val="auto"/>
        </w:rPr>
        <w:t xml:space="preserve">” means a request by a Borrower for a Borrowing in accordance with </w:t>
      </w:r>
      <w:r>
        <w:rPr>
          <w:rFonts w:ascii="Arial" w:cs="Arial" w:eastAsia="Arial" w:hAnsi="Arial"/>
          <w:sz w:val="22"/>
          <w:szCs w:val="22"/>
          <w:u w:val="single" w:color="auto"/>
          <w:color w:val="auto"/>
        </w:rPr>
        <w:t>Section 2.03</w:t>
      </w:r>
      <w:r>
        <w:rPr>
          <w:rFonts w:ascii="Arial" w:cs="Arial" w:eastAsia="Arial" w:hAnsi="Arial"/>
          <w:sz w:val="22"/>
          <w:szCs w:val="22"/>
          <w:color w:val="auto"/>
        </w:rPr>
        <w:t xml:space="preserve"> which shall be, in the case of a written Borrowing Request,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or any other form approved by the Administrative Agent and otherwise consistent with the requirements of </w:t>
      </w:r>
      <w:r>
        <w:rPr>
          <w:rFonts w:ascii="Arial" w:cs="Arial" w:eastAsia="Arial" w:hAnsi="Arial"/>
          <w:sz w:val="22"/>
          <w:szCs w:val="22"/>
          <w:u w:val="single" w:color="auto"/>
          <w:color w:val="auto"/>
        </w:rPr>
        <w:t>Section 2.03</w:t>
      </w:r>
      <w:r>
        <w:rPr>
          <w:rFonts w:ascii="Arial" w:cs="Arial" w:eastAsia="Arial" w:hAnsi="Arial"/>
          <w:sz w:val="22"/>
          <w:szCs w:val="22"/>
          <w:color w:val="auto"/>
        </w:rPr>
        <w:t>.</w:t>
      </w:r>
    </w:p>
    <w:p>
      <w:pPr>
        <w:spacing w:after="0" w:line="21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as applicable, (a) any day (other than a Saturday or a Sunday) on which banks are open for business in New York City, (b) in relation to Loans denominated in Sterling and in relation to the calculation or computation of LIBOR, any day (other than a Saturday or a Sunday) on which banks are open for business in London and (c) any day which is a TARGET Day.</w:t>
      </w:r>
    </w:p>
    <w:p>
      <w:pPr>
        <w:spacing w:after="0" w:line="21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Capital Lease Obligations</w:t>
      </w:r>
      <w:r>
        <w:rPr>
          <w:rFonts w:ascii="Arial" w:cs="Arial" w:eastAsia="Arial" w:hAnsi="Arial"/>
          <w:sz w:val="21"/>
          <w:szCs w:val="21"/>
          <w:color w:val="auto"/>
        </w:rPr>
        <w:t xml:space="preserve">”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For purposes of </w:t>
      </w:r>
      <w:r>
        <w:rPr>
          <w:rFonts w:ascii="Arial" w:cs="Arial" w:eastAsia="Arial" w:hAnsi="Arial"/>
          <w:sz w:val="21"/>
          <w:szCs w:val="21"/>
          <w:u w:val="single" w:color="auto"/>
          <w:color w:val="auto"/>
        </w:rPr>
        <w:t>Section 6.02</w:t>
      </w:r>
      <w:r>
        <w:rPr>
          <w:rFonts w:ascii="Arial" w:cs="Arial" w:eastAsia="Arial" w:hAnsi="Arial"/>
          <w:sz w:val="21"/>
          <w:szCs w:val="21"/>
          <w:color w:val="auto"/>
        </w:rPr>
        <w:t>, a Capital Lease Obligation shall be deemed to be secured by a Lien on the property being leased and such property shall be deemed to be owned by the lessee.</w:t>
      </w:r>
    </w:p>
    <w:p>
      <w:pPr>
        <w:spacing w:after="0" w:line="20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Management Services</w:t>
      </w:r>
      <w:r>
        <w:rPr>
          <w:rFonts w:ascii="Arial" w:cs="Arial" w:eastAsia="Arial" w:hAnsi="Arial"/>
          <w:sz w:val="19"/>
          <w:szCs w:val="19"/>
          <w:color w:val="auto"/>
        </w:rPr>
        <w:t>” means cash management services for collections, treasury management services (including controlled disbursement, overdraft, automated clearing house fund transfer services, return items and interstate depository network services), any demand deposit, payroll, trust or operating account relationships, commercial credit cards, merchant card, purchase or debit cards, non-card e-payables services, and other cash management services, including electronic funds transfer services, lockbox services, stop payment services and wire transfer services.</w:t>
      </w:r>
    </w:p>
    <w:p>
      <w:pPr>
        <w:spacing w:after="0" w:line="17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CFC</w:t>
      </w:r>
      <w:r>
        <w:rPr>
          <w:rFonts w:ascii="Arial" w:cs="Arial" w:eastAsia="Arial" w:hAnsi="Arial"/>
          <w:sz w:val="22"/>
          <w:szCs w:val="22"/>
          <w:color w:val="auto"/>
        </w:rPr>
        <w:t>” means a “controlled foreign corporation” within the meaning of Section 957(a) of the Code, the equity of which is owned, within the meaning of Section 958(a) of the Code, by any subsidiary of the Company that is organized in the United States and treated as a corporation for U.S. federal income tax purposes.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2" w:name="page193"/>
    <w:bookmarkEnd w:id="192"/>
    <w:p>
      <w:pPr>
        <w:jc w:val="both"/>
        <w:ind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Control</w:t>
      </w:r>
      <w:r>
        <w:rPr>
          <w:rFonts w:ascii="Arial" w:cs="Arial" w:eastAsia="Arial" w:hAnsi="Arial"/>
          <w:sz w:val="19"/>
          <w:szCs w:val="19"/>
          <w:color w:val="auto"/>
        </w:rPr>
        <w:t xml:space="preserve">” means (a) the acquisition of ownership, directly or indirectly, beneficially or of record, by any Person or group (within the meaning of the Exchange Act and the rules of the SEC thereunder) of 50% or more on a fully diluted basis of the Voting Equity Interests of the Company or (b) any “change in control”, “change of control”, “fundamental change” or the functional equivalent of the foregoing shall occur under any Material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however, that the Spinoff Transactions shall not constitute a Change in Control under any of the preceding clauses of this definition.</w:t>
      </w:r>
    </w:p>
    <w:p>
      <w:pPr>
        <w:spacing w:after="0" w:line="17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Law</w:t>
      </w:r>
      <w:r>
        <w:rPr>
          <w:rFonts w:ascii="Arial" w:cs="Arial" w:eastAsia="Arial" w:hAnsi="Arial"/>
          <w:sz w:val="19"/>
          <w:szCs w:val="19"/>
          <w:color w:val="auto"/>
        </w:rPr>
        <w:t xml:space="preserve">” means the occurrence after the date of this Agreement of (a) the adoption of or taking effect of any law, rule, regulation or treaty, (b) any change in any law, rule, regulation or treaty or in the administration, interpretation, implementation or application thereof by any Governmental Authority or (c) compliance by any Lender or Issuing Bank (or, for purposes of </w:t>
      </w:r>
      <w:r>
        <w:rPr>
          <w:rFonts w:ascii="Arial" w:cs="Arial" w:eastAsia="Arial" w:hAnsi="Arial"/>
          <w:sz w:val="19"/>
          <w:szCs w:val="19"/>
          <w:u w:val="single" w:color="auto"/>
          <w:color w:val="auto"/>
        </w:rPr>
        <w:t>Section 2.15(b)</w:t>
      </w:r>
      <w:r>
        <w:rPr>
          <w:rFonts w:ascii="Arial" w:cs="Arial" w:eastAsia="Arial" w:hAnsi="Arial"/>
          <w:sz w:val="19"/>
          <w:szCs w:val="19"/>
          <w:color w:val="auto"/>
        </w:rPr>
        <w:t xml:space="preserve">, by any lending office of such Lender or by such Lender’s or Issuing Bank’s holding company, if any) with any request, guideline or directive (whether or not having the force of law) of any Governmental Authority made or issued after the date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herein to the contrary, (x) the Dodd-Frank Wall Street Reform and Consumer Protection Act and all requests, rules, guidelines or directives thereunder or issued in connection therewith or in the implementation thereof and (y) all requests, rules, guidelines or directives promulgated by the Bank for International Settlements, the Basel Committee on Banking Supervision (or any successor or similar authority) or the U.S. or foreign regulatory authorities, in each case pursuant to Basel III, shall, in each case, be deemed to be a “Change in Law,” regardless of the date enacted, adopted, issued or implemented.</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Charges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9.13</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w:t>
      </w:r>
      <w:r>
        <w:rPr>
          <w:rFonts w:ascii="Arial" w:cs="Arial" w:eastAsia="Arial" w:hAnsi="Arial"/>
          <w:sz w:val="22"/>
          <w:szCs w:val="22"/>
          <w:color w:val="auto"/>
        </w:rPr>
        <w:t>” means all “Collateral” (or equivalent term) as defined in any Security Document, all Mortgaged Property, all Collateral Vessels and any and all other assets, whether real or personal, tangible or intangible, on which Liens are or are purported to be granted pursuant to the Security Documents as security for the Obligations.</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 Agency Agreement</w:t>
      </w:r>
      <w:r>
        <w:rPr>
          <w:rFonts w:ascii="Arial" w:cs="Arial" w:eastAsia="Arial" w:hAnsi="Arial"/>
          <w:sz w:val="22"/>
          <w:szCs w:val="22"/>
          <w:color w:val="auto"/>
        </w:rPr>
        <w:t>” mean a collateral agency agreement among the Borrowers, the Administrative Agent and any sub-agent, co-agent or trustee designated by JPMCB to serve as collateral agent or security trustee under the Security Documents or otherwise with respect to any Collateral.</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 Agent</w:t>
      </w:r>
      <w:r>
        <w:rPr>
          <w:rFonts w:ascii="Arial" w:cs="Arial" w:eastAsia="Arial" w:hAnsi="Arial"/>
          <w:sz w:val="22"/>
          <w:szCs w:val="22"/>
          <w:color w:val="auto"/>
        </w:rPr>
        <w:t>” means JPMCB, in its role as collateral agent hereunder and under the other Loan Documents, or any sub-agent, co-agent or trustee designated by JPMCB to serve as collateral agent or security trustee under the Security Documents or otherwise with respect to any Collateral.</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 and Guarantee Principles</w:t>
      </w:r>
      <w:r>
        <w:rPr>
          <w:rFonts w:ascii="Arial" w:cs="Arial" w:eastAsia="Arial" w:hAnsi="Arial"/>
          <w:sz w:val="22"/>
          <w:szCs w:val="22"/>
          <w:color w:val="auto"/>
        </w:rPr>
        <w:t xml:space="preserve">” means (a) for the Guarantees and Security Documents to be entered into on the Effective Date or otherwise within the time periods specified in </w:t>
      </w:r>
      <w:r>
        <w:rPr>
          <w:rFonts w:ascii="Arial" w:cs="Arial" w:eastAsia="Arial" w:hAnsi="Arial"/>
          <w:sz w:val="22"/>
          <w:szCs w:val="22"/>
          <w:u w:val="single" w:color="auto"/>
          <w:color w:val="auto"/>
        </w:rPr>
        <w:t>Section 5.15</w:t>
      </w:r>
      <w:r>
        <w:rPr>
          <w:rFonts w:ascii="Arial" w:cs="Arial" w:eastAsia="Arial" w:hAnsi="Arial"/>
          <w:sz w:val="22"/>
          <w:szCs w:val="22"/>
          <w:color w:val="auto"/>
        </w:rPr>
        <w:t>, the limitations and qualifications of the Collateral and Guarantee Requirement set forth below:</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3" w:name="page194"/>
    <w:bookmarkEnd w:id="193"/>
    <w:p>
      <w:pPr>
        <w:jc w:val="both"/>
        <w:ind w:left="4" w:firstLine="644"/>
        <w:spacing w:after="0" w:line="236" w:lineRule="auto"/>
        <w:tabs>
          <w:tab w:leader="none" w:pos="1739" w:val="left"/>
        </w:tabs>
        <w:numPr>
          <w:ilvl w:val="0"/>
          <w:numId w:val="114"/>
        </w:numPr>
        <w:rPr>
          <w:rFonts w:ascii="Arial" w:cs="Arial" w:eastAsia="Arial" w:hAnsi="Arial"/>
          <w:sz w:val="22"/>
          <w:szCs w:val="22"/>
          <w:color w:val="auto"/>
        </w:rPr>
      </w:pPr>
      <w:r>
        <w:rPr>
          <w:rFonts w:ascii="Arial" w:cs="Arial" w:eastAsia="Arial" w:hAnsi="Arial"/>
          <w:sz w:val="22"/>
          <w:szCs w:val="22"/>
          <w:color w:val="auto"/>
        </w:rPr>
        <w:t xml:space="preserve">general statutory limitations, financial assistance, capital maintenance, corporate benefit, fraudulent preference, “thin capitalization” rules, earnings stripping, retention of title claims and similar principles may prohibit or limit the ability of a Loan Party to provide a Guarantee or grant a Lien or require that the relevant Guarantee or Lien be limited by an amount or otherwise;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applicable Loan Parties will use their commercially reasonable efforts to mitigate any such impediment or obstacle;</w:t>
      </w:r>
    </w:p>
    <w:p>
      <w:pPr>
        <w:spacing w:after="0" w:line="214" w:lineRule="exact"/>
        <w:rPr>
          <w:rFonts w:ascii="Arial" w:cs="Arial" w:eastAsia="Arial" w:hAnsi="Arial"/>
          <w:sz w:val="22"/>
          <w:szCs w:val="22"/>
          <w:color w:val="auto"/>
        </w:rPr>
      </w:pPr>
    </w:p>
    <w:p>
      <w:pPr>
        <w:jc w:val="both"/>
        <w:ind w:left="4" w:firstLine="644"/>
        <w:spacing w:after="0"/>
        <w:tabs>
          <w:tab w:leader="none" w:pos="1757" w:val="left"/>
        </w:tabs>
        <w:numPr>
          <w:ilvl w:val="0"/>
          <w:numId w:val="114"/>
        </w:numPr>
        <w:rPr>
          <w:rFonts w:ascii="Arial" w:cs="Arial" w:eastAsia="Arial" w:hAnsi="Arial"/>
          <w:sz w:val="22"/>
          <w:szCs w:val="22"/>
          <w:color w:val="auto"/>
        </w:rPr>
      </w:pPr>
      <w:r>
        <w:rPr>
          <w:rFonts w:ascii="Arial" w:cs="Arial" w:eastAsia="Arial" w:hAnsi="Arial"/>
          <w:sz w:val="22"/>
          <w:szCs w:val="22"/>
          <w:color w:val="auto"/>
        </w:rPr>
        <w:t>no Loan Party will be required to provide a Guarantee or grant a Lien to the extent doing so would conflict with the fiduciary duties of such Loan Party’s directors or contravene any legal prohibition or result in a material risk of personal or criminal liability on the part of any officer or director thereof;</w:t>
      </w:r>
    </w:p>
    <w:p>
      <w:pPr>
        <w:spacing w:after="0" w:line="213" w:lineRule="exact"/>
        <w:rPr>
          <w:sz w:val="20"/>
          <w:szCs w:val="20"/>
          <w:color w:val="auto"/>
        </w:rPr>
      </w:pPr>
    </w:p>
    <w:p>
      <w:pPr>
        <w:ind w:left="4"/>
        <w:spacing w:after="0" w:line="276"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that any of the limitations, rules and/or principles referred to in </w:t>
      </w:r>
      <w:r>
        <w:rPr>
          <w:rFonts w:ascii="Arial" w:cs="Arial" w:eastAsia="Arial" w:hAnsi="Arial"/>
          <w:sz w:val="19"/>
          <w:szCs w:val="19"/>
          <w:u w:val="single" w:color="auto"/>
          <w:color w:val="auto"/>
        </w:rPr>
        <w:t>paragraph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require that the Guarantee provided and/or the Liens granted by any Loan Party be limited in an amount or otherwise in order to</w:t>
      </w:r>
    </w:p>
    <w:p>
      <w:pPr>
        <w:spacing w:after="0" w:line="1" w:lineRule="exact"/>
        <w:rPr>
          <w:sz w:val="20"/>
          <w:szCs w:val="20"/>
          <w:color w:val="auto"/>
        </w:rPr>
      </w:pPr>
    </w:p>
    <w:p>
      <w:pPr>
        <w:jc w:val="both"/>
        <w:ind w:left="4" w:hanging="4"/>
        <w:spacing w:after="0" w:line="233" w:lineRule="auto"/>
        <w:tabs>
          <w:tab w:leader="none" w:pos="285" w:val="left"/>
        </w:tabs>
        <w:numPr>
          <w:ilvl w:val="0"/>
          <w:numId w:val="115"/>
        </w:numPr>
        <w:rPr>
          <w:rFonts w:ascii="Arial" w:cs="Arial" w:eastAsia="Arial" w:hAnsi="Arial"/>
          <w:sz w:val="22"/>
          <w:szCs w:val="22"/>
          <w:color w:val="auto"/>
        </w:rPr>
      </w:pPr>
      <w:r>
        <w:rPr>
          <w:rFonts w:ascii="Arial" w:cs="Arial" w:eastAsia="Arial" w:hAnsi="Arial"/>
          <w:sz w:val="22"/>
          <w:szCs w:val="22"/>
          <w:color w:val="auto"/>
        </w:rPr>
        <w:t>make the provision of such Guarantee or the grant of such Liens legal, valid, binding or enforceable, (ii) avoid the relevant Loan Party from breaching any applicable law or (iii) avoid personal or criminal liability of the officers or directors (or equivalent) of any Loan Party, such limit shall be no more than the minimum limit required by such limitations, rules and/or principles;</w:t>
      </w:r>
    </w:p>
    <w:p>
      <w:pPr>
        <w:spacing w:after="0" w:line="214" w:lineRule="exact"/>
        <w:rPr>
          <w:rFonts w:ascii="Arial" w:cs="Arial" w:eastAsia="Arial" w:hAnsi="Arial"/>
          <w:sz w:val="22"/>
          <w:szCs w:val="22"/>
          <w:color w:val="auto"/>
        </w:rPr>
      </w:pPr>
    </w:p>
    <w:p>
      <w:pPr>
        <w:jc w:val="both"/>
        <w:ind w:left="4" w:firstLine="644"/>
        <w:spacing w:after="0"/>
        <w:tabs>
          <w:tab w:leader="none" w:pos="1579" w:val="left"/>
        </w:tabs>
        <w:numPr>
          <w:ilvl w:val="1"/>
          <w:numId w:val="115"/>
        </w:numPr>
        <w:rPr>
          <w:rFonts w:ascii="Arial" w:cs="Arial" w:eastAsia="Arial" w:hAnsi="Arial"/>
          <w:sz w:val="22"/>
          <w:szCs w:val="22"/>
          <w:color w:val="auto"/>
        </w:rPr>
      </w:pPr>
      <w:r>
        <w:rPr>
          <w:rFonts w:ascii="Arial" w:cs="Arial" w:eastAsia="Arial" w:hAnsi="Arial"/>
          <w:sz w:val="22"/>
          <w:szCs w:val="22"/>
          <w:color w:val="auto"/>
        </w:rPr>
        <w:t>the giving of a Guarantee or granting of a Lien or the perfection of a Lien (including any registration) will be agreed taking into account the cost to the Loan Parties of providing such Guarantee or granting such Lien, which must not be disproportionately greater than the benefit accruing to the Lenders;</w:t>
      </w:r>
    </w:p>
    <w:p>
      <w:pPr>
        <w:spacing w:after="0" w:line="213" w:lineRule="exact"/>
        <w:rPr>
          <w:rFonts w:ascii="Arial" w:cs="Arial" w:eastAsia="Arial" w:hAnsi="Arial"/>
          <w:sz w:val="22"/>
          <w:szCs w:val="22"/>
          <w:color w:val="auto"/>
        </w:rPr>
      </w:pPr>
    </w:p>
    <w:p>
      <w:pPr>
        <w:jc w:val="both"/>
        <w:ind w:left="4" w:firstLine="644"/>
        <w:spacing w:after="0" w:line="287" w:lineRule="auto"/>
        <w:tabs>
          <w:tab w:leader="none" w:pos="1571" w:val="left"/>
        </w:tabs>
        <w:numPr>
          <w:ilvl w:val="1"/>
          <w:numId w:val="115"/>
        </w:numPr>
        <w:rPr>
          <w:rFonts w:ascii="Arial" w:cs="Arial" w:eastAsia="Arial" w:hAnsi="Arial"/>
          <w:sz w:val="19"/>
          <w:szCs w:val="19"/>
          <w:color w:val="auto"/>
        </w:rPr>
      </w:pPr>
      <w:r>
        <w:rPr>
          <w:rFonts w:ascii="Arial" w:cs="Arial" w:eastAsia="Arial" w:hAnsi="Arial"/>
          <w:sz w:val="19"/>
          <w:szCs w:val="19"/>
          <w:color w:val="auto"/>
        </w:rPr>
        <w:t>no Restricted Subsidiary other than those organized or incorporated in a Collateral Jurisdiction will be required to provide Guarantees or grant any Lien and, except with respect to (A) the pledge of Equity Interests in any French Restricted Subsidiary owned by a Loan Party and (B) any Vessel Mortgages, no Restricted Subsidiary will be required to grant any Lien under local law in any jurisdiction that is not a Collateral Jurisdiction;</w:t>
      </w:r>
    </w:p>
    <w:p>
      <w:pPr>
        <w:spacing w:after="0" w:line="169" w:lineRule="exact"/>
        <w:rPr>
          <w:rFonts w:ascii="Arial" w:cs="Arial" w:eastAsia="Arial" w:hAnsi="Arial"/>
          <w:sz w:val="19"/>
          <w:szCs w:val="19"/>
          <w:color w:val="auto"/>
        </w:rPr>
      </w:pPr>
    </w:p>
    <w:p>
      <w:pPr>
        <w:jc w:val="both"/>
        <w:ind w:left="4" w:firstLine="644"/>
        <w:spacing w:after="0" w:line="279" w:lineRule="auto"/>
        <w:tabs>
          <w:tab w:leader="none" w:pos="1818" w:val="left"/>
        </w:tabs>
        <w:numPr>
          <w:ilvl w:val="1"/>
          <w:numId w:val="115"/>
        </w:numPr>
        <w:rPr>
          <w:rFonts w:ascii="Arial" w:cs="Arial" w:eastAsia="Arial" w:hAnsi="Arial"/>
          <w:sz w:val="19"/>
          <w:szCs w:val="19"/>
          <w:color w:val="auto"/>
        </w:rPr>
      </w:pPr>
      <w:r>
        <w:rPr>
          <w:rFonts w:ascii="Arial" w:cs="Arial" w:eastAsia="Arial" w:hAnsi="Arial"/>
          <w:sz w:val="19"/>
          <w:szCs w:val="19"/>
          <w:color w:val="auto"/>
        </w:rPr>
        <w:t xml:space="preserve">the maximum guaranteed or secured amount may be limited to minimize stamp duty, notarization, registration or other applicable fees, Taxes and duties where the benefit of increasing the Guaranteed or secured amount is disproportionate to the level of such fees, Taxes and duties;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that any such fees, Taxes or duties may be reduced by actions or omissions on the part of the Loan Parties, each Loan Party shall use its commercially reasonable efforts to take such actions or not take actions (as appropriate) in order to reduce the limitations on the maximum guaranteed or secured amount attributable to such fees, Taxes or duties;</w:t>
      </w:r>
    </w:p>
    <w:p>
      <w:pPr>
        <w:spacing w:after="0" w:line="177" w:lineRule="exact"/>
        <w:rPr>
          <w:rFonts w:ascii="Arial" w:cs="Arial" w:eastAsia="Arial" w:hAnsi="Arial"/>
          <w:sz w:val="19"/>
          <w:szCs w:val="19"/>
          <w:color w:val="auto"/>
        </w:rPr>
      </w:pPr>
    </w:p>
    <w:p>
      <w:pPr>
        <w:jc w:val="both"/>
        <w:ind w:left="4" w:firstLine="644"/>
        <w:spacing w:after="0" w:line="238" w:lineRule="auto"/>
        <w:tabs>
          <w:tab w:leader="none" w:pos="1501" w:val="left"/>
        </w:tabs>
        <w:numPr>
          <w:ilvl w:val="1"/>
          <w:numId w:val="115"/>
        </w:numPr>
        <w:rPr>
          <w:rFonts w:ascii="Arial" w:cs="Arial" w:eastAsia="Arial" w:hAnsi="Arial"/>
          <w:sz w:val="22"/>
          <w:szCs w:val="22"/>
          <w:color w:val="auto"/>
        </w:rPr>
      </w:pPr>
      <w:r>
        <w:rPr>
          <w:rFonts w:ascii="Arial" w:cs="Arial" w:eastAsia="Arial" w:hAnsi="Arial"/>
          <w:sz w:val="22"/>
          <w:szCs w:val="22"/>
          <w:color w:val="auto"/>
        </w:rPr>
        <w:t xml:space="preserve">to the extent that any Guarantee or Lien requires the consent of any supervisory board, works council or other external body, such Guarantee and/or Lien shall not be required until such consent has been received;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each Loan Party shall use its commercially reasonable efforts to take such actions as appropriate in order to obtain the relevant consent(s);</w:t>
      </w:r>
    </w:p>
    <w:p>
      <w:pPr>
        <w:spacing w:after="0" w:line="390" w:lineRule="exact"/>
        <w:rPr>
          <w:sz w:val="20"/>
          <w:szCs w:val="20"/>
          <w:color w:val="auto"/>
        </w:rPr>
      </w:pPr>
    </w:p>
    <w:p>
      <w:pPr>
        <w:ind w:left="4904"/>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8" w:right="339" w:bottom="1440" w:gutter="0" w:footer="0" w:header="0"/>
        </w:sectPr>
      </w:pPr>
    </w:p>
    <w:bookmarkStart w:id="194" w:name="page195"/>
    <w:bookmarkEnd w:id="194"/>
    <w:p>
      <w:pPr>
        <w:ind w:left="2320" w:hanging="1016"/>
        <w:spacing w:after="0"/>
        <w:tabs>
          <w:tab w:leader="none" w:pos="232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no Liens will be granted and no Guarantees will be provided by any non-wholly owned Subsidiary of</w:t>
      </w:r>
    </w:p>
    <w:p>
      <w:pPr>
        <w:spacing w:after="0" w:line="43"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the Company;</w:t>
      </w:r>
    </w:p>
    <w:p>
      <w:pPr>
        <w:spacing w:after="0" w:line="215" w:lineRule="exact"/>
        <w:rPr>
          <w:rFonts w:ascii="Arial" w:cs="Arial" w:eastAsia="Arial" w:hAnsi="Arial"/>
          <w:sz w:val="19"/>
          <w:szCs w:val="19"/>
          <w:color w:val="auto"/>
        </w:rPr>
      </w:pPr>
    </w:p>
    <w:p>
      <w:pPr>
        <w:jc w:val="both"/>
        <w:ind w:left="660" w:firstLine="644"/>
        <w:spacing w:after="0" w:line="297" w:lineRule="auto"/>
        <w:tabs>
          <w:tab w:leader="none" w:pos="2254" w:val="left"/>
        </w:tabs>
        <w:numPr>
          <w:ilvl w:val="0"/>
          <w:numId w:val="116"/>
        </w:numPr>
        <w:rPr>
          <w:rFonts w:ascii="Arial" w:cs="Arial" w:eastAsia="Arial" w:hAnsi="Arial"/>
          <w:sz w:val="19"/>
          <w:szCs w:val="19"/>
          <w:color w:val="auto"/>
        </w:rPr>
      </w:pPr>
      <w:r>
        <w:rPr>
          <w:rFonts w:ascii="Arial" w:cs="Arial" w:eastAsia="Arial" w:hAnsi="Arial"/>
          <w:sz w:val="19"/>
          <w:szCs w:val="19"/>
          <w:color w:val="auto"/>
        </w:rPr>
        <w:t>no pledge or other security interest shall be granted on (a) with respect to the obligations of the U.S. Borrower only, any assets of a CFC, FSHCO, or a subsidiary of a CFC or FSHCO, or (b) those assets a pledge or other security interest in which would result in a material adverse tax consequence as reasonably determined by the Company;</w:t>
      </w:r>
    </w:p>
    <w:p>
      <w:pPr>
        <w:spacing w:after="0" w:line="160" w:lineRule="exact"/>
        <w:rPr>
          <w:rFonts w:ascii="Arial" w:cs="Arial" w:eastAsia="Arial" w:hAnsi="Arial"/>
          <w:sz w:val="19"/>
          <w:szCs w:val="19"/>
          <w:color w:val="auto"/>
        </w:rPr>
      </w:pPr>
    </w:p>
    <w:p>
      <w:pPr>
        <w:jc w:val="both"/>
        <w:ind w:left="660" w:firstLine="644"/>
        <w:spacing w:after="0" w:line="287" w:lineRule="auto"/>
        <w:tabs>
          <w:tab w:leader="none" w:pos="2227" w:val="left"/>
        </w:tabs>
        <w:numPr>
          <w:ilvl w:val="0"/>
          <w:numId w:val="116"/>
        </w:numPr>
        <w:rPr>
          <w:rFonts w:ascii="Arial" w:cs="Arial" w:eastAsia="Arial" w:hAnsi="Arial"/>
          <w:sz w:val="19"/>
          <w:szCs w:val="19"/>
          <w:color w:val="auto"/>
        </w:rPr>
      </w:pPr>
      <w:r>
        <w:rPr>
          <w:rFonts w:ascii="Arial" w:cs="Arial" w:eastAsia="Arial" w:hAnsi="Arial"/>
          <w:sz w:val="19"/>
          <w:szCs w:val="19"/>
          <w:color w:val="auto"/>
        </w:rPr>
        <w:t>the Security Documents shall include those documents agreed among counsel for the Company and the Administrative Agent, which documentation shall, in each case, be (i) in form and substance consistent with these Collateral and Guarantee Principles, (ii) customary for the form of Collateral in the applicable jurisdiction and (iii) as mutually agreed between the Administrative Agent (or other applicable agent) and the Company;</w:t>
      </w:r>
    </w:p>
    <w:p>
      <w:pPr>
        <w:spacing w:after="0" w:line="169" w:lineRule="exact"/>
        <w:rPr>
          <w:rFonts w:ascii="Arial" w:cs="Arial" w:eastAsia="Arial" w:hAnsi="Arial"/>
          <w:sz w:val="19"/>
          <w:szCs w:val="19"/>
          <w:color w:val="auto"/>
        </w:rPr>
      </w:pPr>
    </w:p>
    <w:p>
      <w:pPr>
        <w:jc w:val="both"/>
        <w:ind w:left="660" w:firstLine="644"/>
        <w:spacing w:after="0" w:line="252" w:lineRule="auto"/>
        <w:tabs>
          <w:tab w:leader="none" w:pos="2170" w:val="left"/>
        </w:tabs>
        <w:numPr>
          <w:ilvl w:val="0"/>
          <w:numId w:val="116"/>
        </w:numPr>
        <w:rPr>
          <w:rFonts w:ascii="Arial" w:cs="Arial" w:eastAsia="Arial" w:hAnsi="Arial"/>
          <w:sz w:val="21"/>
          <w:szCs w:val="21"/>
          <w:color w:val="auto"/>
        </w:rPr>
      </w:pPr>
      <w:r>
        <w:rPr>
          <w:rFonts w:ascii="Arial" w:cs="Arial" w:eastAsia="Arial" w:hAnsi="Arial"/>
          <w:sz w:val="21"/>
          <w:szCs w:val="21"/>
          <w:color w:val="auto"/>
        </w:rPr>
        <w:t>the Security Documents will, where possible and practical, automatically create Liens over future assets of the same type as those already secured, including by means of first-ranking floating charges and general business charges, where available, and where local law requires, supplemental pledges will be delivered in respect of future acquired assets in order for an effective Lien to be created over that class of asset;</w:t>
      </w:r>
    </w:p>
    <w:p>
      <w:pPr>
        <w:spacing w:after="0" w:line="200" w:lineRule="exact"/>
        <w:rPr>
          <w:rFonts w:ascii="Arial" w:cs="Arial" w:eastAsia="Arial" w:hAnsi="Arial"/>
          <w:sz w:val="21"/>
          <w:szCs w:val="21"/>
          <w:color w:val="auto"/>
        </w:rPr>
      </w:pPr>
    </w:p>
    <w:p>
      <w:pPr>
        <w:jc w:val="both"/>
        <w:ind w:left="660" w:firstLine="644"/>
        <w:spacing w:after="0" w:line="236" w:lineRule="auto"/>
        <w:tabs>
          <w:tab w:leader="none" w:pos="2098" w:val="left"/>
        </w:tabs>
        <w:numPr>
          <w:ilvl w:val="0"/>
          <w:numId w:val="116"/>
        </w:numPr>
        <w:rPr>
          <w:rFonts w:ascii="Arial" w:cs="Arial" w:eastAsia="Arial" w:hAnsi="Arial"/>
          <w:sz w:val="22"/>
          <w:szCs w:val="22"/>
          <w:color w:val="auto"/>
        </w:rPr>
      </w:pPr>
      <w:r>
        <w:rPr>
          <w:rFonts w:ascii="Arial" w:cs="Arial" w:eastAsia="Arial" w:hAnsi="Arial"/>
          <w:sz w:val="22"/>
          <w:szCs w:val="22"/>
          <w:color w:val="auto"/>
        </w:rPr>
        <w:t>the Security Documents will be drafted so as to minimize repetition or extension of clauses set out in the other Loan Documents, including any intercreditor agreement, such as those relating to notices, cost and expenses, indemnities, tax gross up, distribution of proceeds and release of Liens or Collateral, in each case, except to the extent specifically required by local law or for the perfection of Liens or to accord with standard market practice in the relevant jurisdiction;</w:t>
      </w:r>
    </w:p>
    <w:p>
      <w:pPr>
        <w:spacing w:after="0" w:line="214" w:lineRule="exact"/>
        <w:rPr>
          <w:rFonts w:ascii="Arial" w:cs="Arial" w:eastAsia="Arial" w:hAnsi="Arial"/>
          <w:sz w:val="22"/>
          <w:szCs w:val="22"/>
          <w:color w:val="auto"/>
        </w:rPr>
      </w:pPr>
    </w:p>
    <w:p>
      <w:pPr>
        <w:ind w:left="660" w:firstLine="644"/>
        <w:spacing w:after="0" w:line="250" w:lineRule="auto"/>
        <w:tabs>
          <w:tab w:leader="none" w:pos="2206" w:val="left"/>
        </w:tabs>
        <w:numPr>
          <w:ilvl w:val="0"/>
          <w:numId w:val="116"/>
        </w:numPr>
        <w:rPr>
          <w:rFonts w:ascii="Arial" w:cs="Arial" w:eastAsia="Arial" w:hAnsi="Arial"/>
          <w:sz w:val="22"/>
          <w:szCs w:val="22"/>
          <w:color w:val="auto"/>
        </w:rPr>
      </w:pPr>
      <w:r>
        <w:rPr>
          <w:rFonts w:ascii="Arial" w:cs="Arial" w:eastAsia="Arial" w:hAnsi="Arial"/>
          <w:sz w:val="22"/>
          <w:szCs w:val="22"/>
          <w:color w:val="auto"/>
        </w:rPr>
        <w:t>the Security Documents should not operate so as to prevent transactions which are permitted under the other Loan Documents or require additional consents or authorizations; and</w:t>
      </w:r>
    </w:p>
    <w:p>
      <w:pPr>
        <w:spacing w:after="0" w:line="201" w:lineRule="exact"/>
        <w:rPr>
          <w:rFonts w:ascii="Arial" w:cs="Arial" w:eastAsia="Arial" w:hAnsi="Arial"/>
          <w:sz w:val="22"/>
          <w:szCs w:val="22"/>
          <w:color w:val="auto"/>
        </w:rPr>
      </w:pPr>
    </w:p>
    <w:p>
      <w:pPr>
        <w:jc w:val="both"/>
        <w:ind w:left="660" w:firstLine="644"/>
        <w:spacing w:after="0" w:line="279" w:lineRule="auto"/>
        <w:tabs>
          <w:tab w:leader="none" w:pos="2368" w:val="left"/>
        </w:tabs>
        <w:numPr>
          <w:ilvl w:val="0"/>
          <w:numId w:val="116"/>
        </w:numPr>
        <w:rPr>
          <w:rFonts w:ascii="Arial" w:cs="Arial" w:eastAsia="Arial" w:hAnsi="Arial"/>
          <w:sz w:val="19"/>
          <w:szCs w:val="19"/>
          <w:color w:val="auto"/>
        </w:rPr>
      </w:pPr>
      <w:r>
        <w:rPr>
          <w:rFonts w:ascii="Arial" w:cs="Arial" w:eastAsia="Arial" w:hAnsi="Arial"/>
          <w:sz w:val="19"/>
          <w:szCs w:val="19"/>
          <w:color w:val="auto"/>
        </w:rPr>
        <w:t>the registration of any Liens created under any Security Documents and other legal formalities and perfection steps, if required under applicable law or regulation or where customary or consistent with market practice, will be completed by each Loan Party in the relevant Collateral Jurisdiction as soon as reasonably practicable in line with applicable market practice after such Liens are granted and, in any event, within the time periods specified in the relevant Loan Documents or within the time periods specified by applicable law or regulation, in order to ensure due priority, perfection and enforceability of the Liens on the Collateral required to be created by the relevant Security Documents.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Collateral and Guarantee Requirement</w:t>
      </w:r>
      <w:r>
        <w:rPr>
          <w:rFonts w:ascii="Arial" w:cs="Arial" w:eastAsia="Arial" w:hAnsi="Arial"/>
          <w:sz w:val="21"/>
          <w:szCs w:val="21"/>
          <w:color w:val="auto"/>
        </w:rPr>
        <w:t>” means, subject to Section 5.15 hereof, at any time, the requirement that:</w:t>
      </w:r>
    </w:p>
    <w:p>
      <w:pPr>
        <w:spacing w:after="0" w:line="245" w:lineRule="exact"/>
        <w:rPr>
          <w:sz w:val="20"/>
          <w:szCs w:val="20"/>
          <w:color w:val="auto"/>
        </w:rPr>
      </w:pPr>
    </w:p>
    <w:p>
      <w:pPr>
        <w:jc w:val="both"/>
        <w:ind w:firstLine="656"/>
        <w:spacing w:after="0" w:line="245" w:lineRule="auto"/>
        <w:tabs>
          <w:tab w:leader="none" w:pos="1348" w:val="left"/>
        </w:tabs>
        <w:numPr>
          <w:ilvl w:val="0"/>
          <w:numId w:val="117"/>
        </w:numPr>
        <w:rPr>
          <w:rFonts w:ascii="Arial" w:cs="Arial" w:eastAsia="Arial" w:hAnsi="Arial"/>
          <w:sz w:val="21"/>
          <w:szCs w:val="21"/>
          <w:color w:val="auto"/>
        </w:rPr>
      </w:pPr>
      <w:r>
        <w:rPr>
          <w:rFonts w:ascii="Arial" w:cs="Arial" w:eastAsia="Arial" w:hAnsi="Arial"/>
          <w:sz w:val="21"/>
          <w:szCs w:val="21"/>
          <w:color w:val="auto"/>
        </w:rPr>
        <w:t xml:space="preserve">the Administrative Agent shall have received from the Borrowers and each Guarantor Subsidiary (i) either (A) a counterpart of the New York-Law Guarantee duly executed and delivered on behalf of such Person or (B) in the case of any Person that becomes a Guarantor Subsidiary after the Effective Date, a supplement to the New York-Law Guarantee, in the form specified therein, duly executed and delivered on behalf of such Person, together with opinions and documents of the type referred to in </w:t>
      </w:r>
      <w:r>
        <w:rPr>
          <w:rFonts w:ascii="Arial" w:cs="Arial" w:eastAsia="Arial" w:hAnsi="Arial"/>
          <w:sz w:val="21"/>
          <w:szCs w:val="21"/>
          <w:u w:val="single" w:color="auto"/>
          <w:color w:val="auto"/>
        </w:rPr>
        <w:t>Sections 4.01(b)</w:t>
      </w:r>
      <w:r>
        <w:rPr>
          <w:rFonts w:ascii="Arial" w:cs="Arial" w:eastAsia="Arial" w:hAnsi="Arial"/>
          <w:sz w:val="21"/>
          <w:szCs w:val="21"/>
          <w:color w:val="auto"/>
        </w:rPr>
        <w:t xml:space="preserve">, </w:t>
      </w:r>
      <w:r>
        <w:rPr>
          <w:rFonts w:ascii="Arial" w:cs="Arial" w:eastAsia="Arial" w:hAnsi="Arial"/>
          <w:sz w:val="21"/>
          <w:szCs w:val="21"/>
          <w:u w:val="single" w:color="auto"/>
          <w:color w:val="auto"/>
        </w:rPr>
        <w:t>(c)</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(i)</w:t>
      </w:r>
      <w:r>
        <w:rPr>
          <w:rFonts w:ascii="Arial" w:cs="Arial" w:eastAsia="Arial" w:hAnsi="Arial"/>
          <w:sz w:val="21"/>
          <w:szCs w:val="21"/>
          <w:color w:val="auto"/>
        </w:rPr>
        <w:t xml:space="preserve"> with respect to such Person and (ii) the New York-Law Security Agreement (in the case of U.S. Loan Parties only), the New York-Law Pledge Agreement, if applicable, and/or such other Security Documents, or counterparts or supplements thereto, together with opinions and documents of the type referred to in </w:t>
      </w:r>
      <w:r>
        <w:rPr>
          <w:rFonts w:ascii="Arial" w:cs="Arial" w:eastAsia="Arial" w:hAnsi="Arial"/>
          <w:sz w:val="21"/>
          <w:szCs w:val="21"/>
          <w:u w:val="single" w:color="auto"/>
          <w:color w:val="auto"/>
        </w:rPr>
        <w:t>Sections 4.01(b)</w:t>
      </w:r>
      <w:r>
        <w:rPr>
          <w:rFonts w:ascii="Arial" w:cs="Arial" w:eastAsia="Arial" w:hAnsi="Arial"/>
          <w:sz w:val="21"/>
          <w:szCs w:val="21"/>
          <w:color w:val="auto"/>
        </w:rPr>
        <w:t xml:space="preserve">, </w:t>
      </w:r>
      <w:r>
        <w:rPr>
          <w:rFonts w:ascii="Arial" w:cs="Arial" w:eastAsia="Arial" w:hAnsi="Arial"/>
          <w:sz w:val="21"/>
          <w:szCs w:val="21"/>
          <w:u w:val="single" w:color="auto"/>
          <w:color w:val="auto"/>
        </w:rPr>
        <w:t>(c)</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(i)</w:t>
      </w:r>
      <w:r>
        <w:rPr>
          <w:rFonts w:ascii="Arial" w:cs="Arial" w:eastAsia="Arial" w:hAnsi="Arial"/>
          <w:sz w:val="21"/>
          <w:szCs w:val="21"/>
          <w:color w:val="auto"/>
        </w:rPr>
        <w:t>, in each case, as are customary for the form of Collateral in the applicable jurisdiction or otherwise reasonably requested by the Administrative Agent;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5" w:name="page196"/>
    <w:bookmarkEnd w:id="195"/>
    <w:p>
      <w:pPr>
        <w:jc w:val="both"/>
        <w:ind w:firstLine="656"/>
        <w:spacing w:after="0" w:line="271" w:lineRule="auto"/>
        <w:tabs>
          <w:tab w:leader="none" w:pos="1413" w:val="left"/>
        </w:tabs>
        <w:numPr>
          <w:ilvl w:val="0"/>
          <w:numId w:val="118"/>
        </w:numPr>
        <w:rPr>
          <w:rFonts w:ascii="Arial" w:cs="Arial" w:eastAsia="Arial" w:hAnsi="Arial"/>
          <w:sz w:val="19"/>
          <w:szCs w:val="19"/>
          <w:color w:val="auto"/>
        </w:rPr>
      </w:pPr>
      <w:r>
        <w:rPr>
          <w:rFonts w:ascii="Arial" w:cs="Arial" w:eastAsia="Arial" w:hAnsi="Arial"/>
          <w:sz w:val="19"/>
          <w:szCs w:val="19"/>
          <w:color w:val="auto"/>
        </w:rPr>
        <w:t xml:space="preserve">(i) all outstanding Equity Interests, in each case owned by any Loan Party (including, for the avoidance of doubt, any Equity Interests of Technip Energies or any French Subsidiary owned by a Loan Party), shall have been pledged or charged pursuant to the Security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Loan Parties shall not be required to pledge or charge (x) with respect to the obligations of the U.S. Borrower, only more than 65% of the outstanding Equity Interests of (1) any first-tier Foreign Subsidiary of a Loan Party that is a CFC, or (2) any FSHCO, (y) those Equity Interests a pledge or other security interest in which would result in a material adverse tax consequences as reasonably determined by the Company or (z) any Equity Interests to the extent that a pledge of other security over such Equity Interests is prohibited by any requirements of law binding on such Equity Interests at the time of acquisition thereof, after giving effect to the applicable anti-assignment provisions of the Uniform Commercial Code of any applicable jurisdiction and other applicable law (the Equity Interests described in clauses (x), (y) and (z), collectively, “</w:t>
      </w:r>
      <w:r>
        <w:rPr>
          <w:rFonts w:ascii="Arial" w:cs="Arial" w:eastAsia="Arial" w:hAnsi="Arial"/>
          <w:sz w:val="19"/>
          <w:szCs w:val="19"/>
          <w:u w:val="single" w:color="auto"/>
          <w:color w:val="auto"/>
        </w:rPr>
        <w:t>Excluded Equity</w:t>
      </w:r>
      <w:r>
        <w:rPr>
          <w:rFonts w:ascii="Arial" w:cs="Arial" w:eastAsia="Arial" w:hAnsi="Arial"/>
          <w:sz w:val="19"/>
          <w:szCs w:val="19"/>
          <w:color w:val="auto"/>
        </w:rPr>
        <w:t>”) and (ii) the Administrative Agent shall have received, to the extent applicable and required by the Security Documents, certificates or other instruments representing all such Equity Interests, together with undated stock powers or other instruments of transfer with respect thereto endorsed in blank (provided that no Loan Party shall have any obligation to deliver a certificate or other instrument representing any such Equity Interest if such Equity Interest is (x) uncertificated unless such Equity Interest is a “security” under the Uniform Commercial Code or (y) of a Person that is not a wholly owned Restricted Subsidiary that is a Material Subsidiary);</w:t>
      </w:r>
    </w:p>
    <w:p>
      <w:pPr>
        <w:spacing w:after="0" w:line="200" w:lineRule="exact"/>
        <w:rPr>
          <w:rFonts w:ascii="Arial" w:cs="Arial" w:eastAsia="Arial" w:hAnsi="Arial"/>
          <w:sz w:val="19"/>
          <w:szCs w:val="19"/>
          <w:color w:val="auto"/>
        </w:rPr>
      </w:pPr>
    </w:p>
    <w:p>
      <w:pPr>
        <w:spacing w:after="0" w:line="234" w:lineRule="exact"/>
        <w:rPr>
          <w:rFonts w:ascii="Arial" w:cs="Arial" w:eastAsia="Arial" w:hAnsi="Arial"/>
          <w:sz w:val="19"/>
          <w:szCs w:val="19"/>
          <w:color w:val="auto"/>
        </w:rPr>
      </w:pPr>
    </w:p>
    <w:p>
      <w:pPr>
        <w:jc w:val="both"/>
        <w:ind w:firstLine="656"/>
        <w:spacing w:after="0" w:line="282" w:lineRule="auto"/>
        <w:tabs>
          <w:tab w:leader="none" w:pos="1400" w:val="left"/>
        </w:tabs>
        <w:numPr>
          <w:ilvl w:val="0"/>
          <w:numId w:val="118"/>
        </w:numPr>
        <w:rPr>
          <w:rFonts w:ascii="Arial" w:cs="Arial" w:eastAsia="Arial" w:hAnsi="Arial"/>
          <w:sz w:val="19"/>
          <w:szCs w:val="19"/>
          <w:color w:val="auto"/>
        </w:rPr>
      </w:pPr>
      <w:r>
        <w:rPr>
          <w:rFonts w:ascii="Arial" w:cs="Arial" w:eastAsia="Arial" w:hAnsi="Arial"/>
          <w:sz w:val="19"/>
          <w:szCs w:val="19"/>
          <w:color w:val="auto"/>
        </w:rPr>
        <w:t>all Indebtedness of the Borrowers and each Subsidiary, and all other Indebtedness of any Person in a principal amount individually of $25,000,000 or more, in each case, that is owing to any Loan Party shall have been pledged, assigned or charged pursuant to the Security Documents, and the Administrative Agent shall have received all such promissory notes (or, in the case of any Indebtedness of the Borrowers and each Subsidiary that is owing to any Loan Party, in lieu thereof, the Global Intercompany Note) together with undated instruments of transfer with respect thereto endorsed in blank;</w:t>
      </w:r>
    </w:p>
    <w:p>
      <w:pPr>
        <w:spacing w:after="0" w:line="174" w:lineRule="exact"/>
        <w:rPr>
          <w:rFonts w:ascii="Arial" w:cs="Arial" w:eastAsia="Arial" w:hAnsi="Arial"/>
          <w:sz w:val="19"/>
          <w:szCs w:val="19"/>
          <w:color w:val="auto"/>
        </w:rPr>
      </w:pPr>
    </w:p>
    <w:p>
      <w:pPr>
        <w:jc w:val="both"/>
        <w:ind w:firstLine="656"/>
        <w:spacing w:after="0" w:line="275" w:lineRule="auto"/>
        <w:tabs>
          <w:tab w:leader="none" w:pos="1556" w:val="left"/>
        </w:tabs>
        <w:numPr>
          <w:ilvl w:val="0"/>
          <w:numId w:val="118"/>
        </w:numPr>
        <w:rPr>
          <w:rFonts w:ascii="Arial" w:cs="Arial" w:eastAsia="Arial" w:hAnsi="Arial"/>
          <w:sz w:val="19"/>
          <w:szCs w:val="19"/>
          <w:color w:val="auto"/>
        </w:rPr>
      </w:pPr>
      <w:r>
        <w:rPr>
          <w:rFonts w:ascii="Arial" w:cs="Arial" w:eastAsia="Arial" w:hAnsi="Arial"/>
          <w:sz w:val="19"/>
          <w:szCs w:val="19"/>
          <w:color w:val="auto"/>
        </w:rPr>
        <w:t>all documents, notices, acknowledgments, stamping and instruments, including Uniform Commercial Code financing statements (or their equivalent) and filings with the United States Copyright Office and the United States Patent and Trademark Office, United Kingdom Companies House filings, HM Land Registry filings, filings with the Accounting and Corporate Regulatory Authority of Singapore, payment of stamp duty to the Inland Revenue Authority of Singapore and all other actions required by law or reasonably requested by the Administrative Agent to be filed, registered, delivered, performed or recorded to create the Liens intended to be created by the Security Documents and perfect such Liens to the extent required by, and with the priority required by, the Security Documents shall have been filed, registered, delivered, performed or recorded or delivered to the Administrative Agent or its counsel for filing, registration or recording;</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6" w:name="page197"/>
    <w:bookmarkEnd w:id="196"/>
    <w:p>
      <w:pPr>
        <w:jc w:val="both"/>
        <w:ind w:firstLine="656"/>
        <w:spacing w:after="0" w:line="269" w:lineRule="auto"/>
        <w:tabs>
          <w:tab w:leader="none" w:pos="1424" w:val="left"/>
        </w:tabs>
        <w:numPr>
          <w:ilvl w:val="0"/>
          <w:numId w:val="119"/>
        </w:numPr>
        <w:rPr>
          <w:rFonts w:ascii="Arial" w:cs="Arial" w:eastAsia="Arial" w:hAnsi="Arial"/>
          <w:sz w:val="19"/>
          <w:szCs w:val="19"/>
          <w:color w:val="auto"/>
        </w:rPr>
      </w:pPr>
      <w:r>
        <w:rPr>
          <w:rFonts w:ascii="Arial" w:cs="Arial" w:eastAsia="Arial" w:hAnsi="Arial"/>
          <w:sz w:val="19"/>
          <w:szCs w:val="19"/>
          <w:color w:val="auto"/>
        </w:rPr>
        <w:t xml:space="preserve">the Administrative Agent shall have received, to the extent applicable in each relevant Collateral Jurisdiction, (i) counterparts of a Real Property Mortgage with respect to each Mortgaged Property duly executed and delivered by the record owner of such Mortgaged Property; (ii) a policy or policies of title insurance (or marked up title insurance commitment having the effect of a policy of title insurance) issued by a nationally recognized title insurance company insuring the Lien of each such Real Property Mortgage as a valid and enforceable first Lien on the Mortgaged Property described therein, free of any other Liens except as expressly permitted by </w:t>
      </w:r>
      <w:r>
        <w:rPr>
          <w:rFonts w:ascii="Arial" w:cs="Arial" w:eastAsia="Arial" w:hAnsi="Arial"/>
          <w:sz w:val="19"/>
          <w:szCs w:val="19"/>
          <w:u w:val="single" w:color="auto"/>
          <w:color w:val="auto"/>
        </w:rPr>
        <w:t>Section 6.02</w:t>
      </w:r>
      <w:r>
        <w:rPr>
          <w:rFonts w:ascii="Arial" w:cs="Arial" w:eastAsia="Arial" w:hAnsi="Arial"/>
          <w:sz w:val="19"/>
          <w:szCs w:val="19"/>
          <w:color w:val="auto"/>
        </w:rPr>
        <w:t xml:space="preserve">, in an amount not less than the fair market value of such Mortgaged Property, together with such endorsements, coinsurance and reinsurance as the Administrative Agent may reasonably request, and in form and substance reasonably acceptable to the Administrative Agent, or in the case of any Mortgaged Property within England a City of London Law Society Certificate of Title prepared by the Company’s solicitors in respect of the Mortgaged Property, such Certificate of Title to be in a form that is satisfactory to the Administrative Agent; (iii) a completed “Life-of-Loan” Federal Emergency Management Agency Standard Flood Hazard Determination with respect to each Mortgaged Property and, to the extent a Mortgaged Property is located in a special flood hazard area, a notice about special flood hazard area status and flood disaster assistance duly executed by each Loan Party relating thereto and evidence of flood insurance as required under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5.07</w:t>
      </w:r>
      <w:r>
        <w:rPr>
          <w:rFonts w:ascii="Arial" w:cs="Arial" w:eastAsia="Arial" w:hAnsi="Arial"/>
          <w:sz w:val="19"/>
          <w:szCs w:val="19"/>
          <w:color w:val="auto"/>
        </w:rPr>
        <w:t xml:space="preserve"> hereof, or in the case of any Mortgaged Property within England a policy of insurance covering flood risk, such policy to be in a form that is satisfactory to the Administrative Agent; and (iv) such new surveys, valuation reports, environmental reports, building survey reports (or existing surveys together with affidavits of no-change sufficient for the title company to remove all standard survey exceptions from the mortgage title policy relating to such Mortgaged Property and issue the survey-related endorsements), abstracts, appraisals, legal opinions (with respect to enforceability and perfection of the Real Property Mortgages and the due authorization, execution and delivery of the Real Property Mortgages) and other documents as the Administrative Agent or the Required Lenders may reasonably request with respect to any such Real Property Mortgage or Mortgaged Property, in each case, in form and substance reasonably acceptable to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that evidence of compliance with Flood Insurance Laws (including but not limited to identity of to-be-mortgaged properties, appraisals, flood determinations, notice to the Loan Parties and flood insurance, if applicable) (“</w:t>
      </w:r>
      <w:r>
        <w:rPr>
          <w:rFonts w:ascii="Arial" w:cs="Arial" w:eastAsia="Arial" w:hAnsi="Arial"/>
          <w:sz w:val="19"/>
          <w:szCs w:val="19"/>
          <w:u w:val="single" w:color="auto"/>
          <w:color w:val="auto"/>
        </w:rPr>
        <w:t>Flood Due Diligence</w:t>
      </w:r>
      <w:r>
        <w:rPr>
          <w:rFonts w:ascii="Arial" w:cs="Arial" w:eastAsia="Arial" w:hAnsi="Arial"/>
          <w:sz w:val="19"/>
          <w:szCs w:val="19"/>
          <w:color w:val="auto"/>
        </w:rPr>
        <w:t xml:space="preserve">”) shall be provided reasonably in advance of execution and delivery of Real Property Mortgages to enable each Lender to complete its flood insurance regulatory compliance;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notwithstanding anything to the contrary contained herein, the Administrative Agent shall not accept executed Real Property Mortgages from any Loan Party until the earlier of (x) notification from each Lender that it is satisfied with the Flood Due Diligence and (y) 45 days from the date the Administrative Agent provided the Flood Due Diligence to the Lenders; provided, further, that in the event Administrative Agent declines to accept any Real Property Mortgages, the time period for the delivery of such Real Property Mortgages required hereunder shall automatically be extended until such time that Administrative Agent accepts such Real Property Mortgages;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7" w:name="page198"/>
    <w:bookmarkEnd w:id="197"/>
    <w:p>
      <w:pPr>
        <w:jc w:val="both"/>
        <w:ind w:firstLine="656"/>
        <w:spacing w:after="0" w:line="247" w:lineRule="auto"/>
        <w:tabs>
          <w:tab w:leader="none" w:pos="1429" w:val="left"/>
        </w:tabs>
        <w:numPr>
          <w:ilvl w:val="0"/>
          <w:numId w:val="120"/>
        </w:numPr>
        <w:rPr>
          <w:rFonts w:ascii="Arial" w:cs="Arial" w:eastAsia="Arial" w:hAnsi="Arial"/>
          <w:sz w:val="21"/>
          <w:szCs w:val="21"/>
          <w:color w:val="auto"/>
        </w:rPr>
      </w:pPr>
      <w:r>
        <w:rPr>
          <w:rFonts w:ascii="Arial" w:cs="Arial" w:eastAsia="Arial" w:hAnsi="Arial"/>
          <w:sz w:val="21"/>
          <w:szCs w:val="21"/>
          <w:color w:val="auto"/>
        </w:rPr>
        <w:t>the Administrative Agent shall have received (i) a Vessel Mortgage with respect to each Collateral Vessel, duly executed and delivered by the record owner of such Collateral Vessel, (ii) in respect of each Collateral Vessel evidence that the Vessel Mortgage in respect of that Collateral Vessel has been duly registered in the vessel or ship registry appropriate for such Collateral Vessel in favor of the Collateral Agent and (iii) such other instruments, certificates and documents as the Administrative Agent may reasonably request, including, a customary legal opinion relating to matters governed by the laws of the jurisdiction of the flag under which the applicable Collateral Vessel is registered and in form and substance reasonably satisfactory to the Administrative Agent;</w:t>
      </w:r>
    </w:p>
    <w:p>
      <w:pPr>
        <w:spacing w:after="0" w:line="204" w:lineRule="exact"/>
        <w:rPr>
          <w:rFonts w:ascii="Arial" w:cs="Arial" w:eastAsia="Arial" w:hAnsi="Arial"/>
          <w:sz w:val="21"/>
          <w:szCs w:val="21"/>
          <w:color w:val="auto"/>
        </w:rPr>
      </w:pPr>
    </w:p>
    <w:p>
      <w:pPr>
        <w:jc w:val="both"/>
        <w:ind w:firstLine="656"/>
        <w:spacing w:after="0"/>
        <w:tabs>
          <w:tab w:leader="none" w:pos="1462" w:val="left"/>
        </w:tabs>
        <w:numPr>
          <w:ilvl w:val="0"/>
          <w:numId w:val="120"/>
        </w:numPr>
        <w:rPr>
          <w:rFonts w:ascii="Arial" w:cs="Arial" w:eastAsia="Arial" w:hAnsi="Arial"/>
          <w:sz w:val="22"/>
          <w:szCs w:val="22"/>
          <w:color w:val="auto"/>
        </w:rPr>
      </w:pPr>
      <w:r>
        <w:rPr>
          <w:rFonts w:ascii="Arial" w:cs="Arial" w:eastAsia="Arial" w:hAnsi="Arial"/>
          <w:sz w:val="22"/>
          <w:szCs w:val="22"/>
          <w:color w:val="auto"/>
        </w:rPr>
        <w:t>each Loan Party shall have obtained all consents and approvals required to be obtained by it in connection with the execution and delivery of all Security Documents to which it is a party, the performance of its obligations thereunder and the granting by it of the Liens thereunder; and</w:t>
      </w:r>
    </w:p>
    <w:p>
      <w:pPr>
        <w:spacing w:after="0" w:line="213" w:lineRule="exact"/>
        <w:rPr>
          <w:rFonts w:ascii="Arial" w:cs="Arial" w:eastAsia="Arial" w:hAnsi="Arial"/>
          <w:sz w:val="22"/>
          <w:szCs w:val="22"/>
          <w:color w:val="auto"/>
        </w:rPr>
      </w:pPr>
    </w:p>
    <w:p>
      <w:pPr>
        <w:ind w:firstLine="656"/>
        <w:spacing w:after="0" w:line="250" w:lineRule="auto"/>
        <w:tabs>
          <w:tab w:leader="none" w:pos="1412" w:val="left"/>
        </w:tabs>
        <w:numPr>
          <w:ilvl w:val="0"/>
          <w:numId w:val="120"/>
        </w:numPr>
        <w:rPr>
          <w:rFonts w:ascii="Arial" w:cs="Arial" w:eastAsia="Arial" w:hAnsi="Arial"/>
          <w:sz w:val="22"/>
          <w:szCs w:val="22"/>
          <w:color w:val="auto"/>
        </w:rPr>
      </w:pPr>
      <w:r>
        <w:rPr>
          <w:rFonts w:ascii="Arial" w:cs="Arial" w:eastAsia="Arial" w:hAnsi="Arial"/>
          <w:sz w:val="22"/>
          <w:szCs w:val="22"/>
          <w:color w:val="auto"/>
        </w:rPr>
        <w:t xml:space="preserve">the Administrative Agent shall have received such evidence of compliance with the requirements of </w:t>
      </w:r>
      <w:r>
        <w:rPr>
          <w:rFonts w:ascii="Arial" w:cs="Arial" w:eastAsia="Arial" w:hAnsi="Arial"/>
          <w:sz w:val="22"/>
          <w:szCs w:val="22"/>
          <w:u w:val="single" w:color="auto"/>
          <w:color w:val="auto"/>
        </w:rPr>
        <w:t>Section 5.13</w:t>
      </w:r>
      <w:r>
        <w:rPr>
          <w:rFonts w:ascii="Arial" w:cs="Arial" w:eastAsia="Arial" w:hAnsi="Arial"/>
          <w:sz w:val="22"/>
          <w:szCs w:val="22"/>
          <w:color w:val="auto"/>
        </w:rPr>
        <w:t xml:space="preserve"> as may be reasonably requested by the Administrative Agent.</w:t>
      </w:r>
    </w:p>
    <w:p>
      <w:pPr>
        <w:spacing w:after="0" w:line="20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The Administrative Agent may grant extensions of time for the creation or perfection of pledges of or security interests in, or the obtaining of title insurance, legal opinions or other deliverables with respect to, particular assets, rights or properties of the Loan Parties or the provision of Guarantees by any Guarantor Subsidiary (including extensions beyond the Effective Date or in connection with assets, rights or properties acquired, or Subsidiaries formed or acquired, after the Effective Date) where it determines in its reasonable discretion that such creation or perfection of security interests, obtaining of title insurance, legal opinions or other deliverables, or provision of Guarantees cannot be accomplished without undue effort or expense by the time or times at which it would otherwise be required by this Agreement or the Security Documents. It is understood and agreed that the foregoing Collateral and Guarantee Requirements shall be subject to the Collateral and Guarantee Principles.</w:t>
      </w:r>
    </w:p>
    <w:p>
      <w:pPr>
        <w:spacing w:after="0" w:line="184" w:lineRule="exact"/>
        <w:rPr>
          <w:sz w:val="20"/>
          <w:szCs w:val="20"/>
          <w:color w:val="auto"/>
        </w:rPr>
      </w:pPr>
    </w:p>
    <w:p>
      <w:pPr>
        <w:jc w:val="both"/>
        <w:ind w:firstLine="648"/>
        <w:spacing w:after="0" w:line="245" w:lineRule="exact"/>
        <w:rPr>
          <w:sz w:val="20"/>
          <w:szCs w:val="20"/>
          <w:color w:val="auto"/>
        </w:rPr>
      </w:pPr>
      <w:r>
        <w:rPr>
          <w:rFonts w:ascii="Arial" w:cs="Arial" w:eastAsia="Arial" w:hAnsi="Arial"/>
          <w:sz w:val="19"/>
          <w:szCs w:val="19"/>
          <w:color w:val="auto"/>
        </w:rPr>
        <w:t>Notwithstanding anything in the Security Documents to the contrary, in no event shall the Liens granted thereunder attach to (i) any assets if, to the extent and for so long as the grant of a Lien thereon to secure the Obligations is prohibited by applicable law, rule or regulation after giving effect to the applicable anti</w:t>
      </w:r>
      <w:r>
        <w:rPr>
          <w:rFonts w:ascii="MS PGothic" w:cs="MS PGothic" w:eastAsia="MS PGothic" w:hAnsi="MS PGothic"/>
          <w:sz w:val="19"/>
          <w:szCs w:val="19"/>
          <w:color w:val="auto"/>
        </w:rPr>
        <w:t>‑</w:t>
      </w:r>
      <w:r>
        <w:rPr>
          <w:rFonts w:ascii="Arial" w:cs="Arial" w:eastAsia="Arial" w:hAnsi="Arial"/>
          <w:sz w:val="19"/>
          <w:szCs w:val="19"/>
          <w:color w:val="auto"/>
        </w:rPr>
        <w:t xml:space="preserve">assignment provisions of the Uniform Commercial Code of any applicable jurisdiction and other applicable law; </w:t>
      </w:r>
      <w:r>
        <w:rPr>
          <w:rFonts w:ascii="Arial" w:cs="Arial" w:eastAsia="Arial" w:hAnsi="Arial"/>
          <w:sz w:val="19"/>
          <w:szCs w:val="19"/>
          <w:u w:val="single" w:color="auto"/>
          <w:color w:val="auto"/>
        </w:rPr>
        <w:t>provided</w:t>
      </w:r>
      <w:r>
        <w:rPr>
          <w:rFonts w:ascii="Arial" w:cs="Arial" w:eastAsia="Arial" w:hAnsi="Arial"/>
          <w:sz w:val="19"/>
          <w:szCs w:val="19"/>
          <w:color w:val="auto"/>
        </w:rPr>
        <w:t>, that such security interest shall attach immediately at such time as the condition causing such prohibition shall no longer exist and, to the extent severable, shall attach immediately to any portion of such asset that does not result in such prohibition, (ii) any Excluded Equity, (iii) any motor vehicles owned or any other assets subject to certificates of title (excluding, for the avoidance of doubt, any owned vessels), to the extent that a security interest therein cannot be perfected by the filing of a Uniform Commercial Code financing statement or charter registration, (iv) any intent</w:t>
      </w:r>
      <w:r>
        <w:rPr>
          <w:rFonts w:ascii="MS PGothic" w:cs="MS PGothic" w:eastAsia="MS PGothic" w:hAnsi="MS PGothic"/>
          <w:sz w:val="19"/>
          <w:szCs w:val="19"/>
          <w:color w:val="auto"/>
        </w:rPr>
        <w:t>‑</w:t>
      </w:r>
      <w:r>
        <w:rPr>
          <w:rFonts w:ascii="Arial" w:cs="Arial" w:eastAsia="Arial" w:hAnsi="Arial"/>
          <w:sz w:val="19"/>
          <w:szCs w:val="19"/>
          <w:color w:val="auto"/>
        </w:rPr>
        <w:t>to</w:t>
      </w:r>
      <w:r>
        <w:rPr>
          <w:rFonts w:ascii="MS PGothic" w:cs="MS PGothic" w:eastAsia="MS PGothic" w:hAnsi="MS PGothic"/>
          <w:sz w:val="19"/>
          <w:szCs w:val="19"/>
          <w:color w:val="auto"/>
        </w:rPr>
        <w:t>‑</w:t>
      </w:r>
      <w:r>
        <w:rPr>
          <w:rFonts w:ascii="Arial" w:cs="Arial" w:eastAsia="Arial" w:hAnsi="Arial"/>
          <w:sz w:val="19"/>
          <w:szCs w:val="19"/>
          <w:color w:val="auto"/>
        </w:rPr>
        <w:t xml:space="preserve">use trademark application in the United States prior to the filing and acceptance of a “Statement of Use” or “Amendment to Allege Use” with respect thereto, to the extent, if any, that, and solely during the period, if any, in which, the grant, attachment, or enforcement of a security interest therein would impair the validity or enforceability of such intent to use application or any registration issuing therefrom under applicable United States federal law, (v) those contracts, receivables, leases or licenses over which the granting of security interests in such contracts, receivables, leases or licenses would be prohibited thereby (in each case, while such prohibitions exist and except to the extent such prohibition is unenforceable after giving effect to applicable provisions of the Uniform Commercial Code or similar statutes and, in each case, other than proceeds thereof to the extent the assignment of such proceeds is expressly deemed effective under the Uniform Commercial Code or similar statutes notwithstanding such prohibitions), (vi) those assets a pledge or other security interest in which would result in a material adverse tax consequence as reasonably determined by the Company, (vii) assets that are subject to a Lien securing a Capital Lease Obligation, purchase money financing or similar arrangements permitted to be incurred under </w:t>
      </w:r>
      <w:r>
        <w:rPr>
          <w:rFonts w:ascii="Arial" w:cs="Arial" w:eastAsia="Arial" w:hAnsi="Arial"/>
          <w:sz w:val="19"/>
          <w:szCs w:val="19"/>
          <w:u w:val="single" w:color="auto"/>
          <w:color w:val="auto"/>
        </w:rPr>
        <w:t>Section 6.02(e)</w:t>
      </w:r>
      <w:r>
        <w:rPr>
          <w:rFonts w:ascii="Arial" w:cs="Arial" w:eastAsia="Arial" w:hAnsi="Arial"/>
          <w:sz w:val="19"/>
          <w:szCs w:val="19"/>
          <w:color w:val="auto"/>
        </w:rPr>
        <w:t xml:space="preserve"> and for so long as the contract or other agreement in which such Lien is granted validly prohibits the creation of any other Lien on such assets and proceeds and (viii) any assets as to which the Administrative Agent reasonably determines that the costs of obtaining such security interests in such assets or perfection thereof are excessive in relation to the value of the Lenders of the security to be afforded thereby and (ix) any other property excluded by the relevant Security Documents (the items referred to in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(ix)</w:t>
      </w:r>
      <w:r>
        <w:rPr>
          <w:rFonts w:ascii="Arial" w:cs="Arial" w:eastAsia="Arial" w:hAnsi="Arial"/>
          <w:sz w:val="19"/>
          <w:szCs w:val="19"/>
          <w:color w:val="auto"/>
        </w:rPr>
        <w:t xml:space="preserve"> above being collectively referred to as the ”</w:t>
      </w:r>
      <w:r>
        <w:rPr>
          <w:rFonts w:ascii="Arial" w:cs="Arial" w:eastAsia="Arial" w:hAnsi="Arial"/>
          <w:sz w:val="19"/>
          <w:szCs w:val="19"/>
          <w:u w:val="single" w:color="auto"/>
          <w:color w:val="auto"/>
        </w:rPr>
        <w:t>Excluded Personal Property</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Excluded Personal Property shall not include any Proceeds (as defined in the Uniform Commercial Code), substitutions or replacements of any Excluded Personal Property (unless such Proceeds, substitutions or replacements would constitute Excluded Personal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8" w:name="page199"/>
    <w:bookmarkEnd w:id="198"/>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 Jurisdiction</w:t>
      </w:r>
      <w:r>
        <w:rPr>
          <w:rFonts w:ascii="Arial" w:cs="Arial" w:eastAsia="Arial" w:hAnsi="Arial"/>
          <w:sz w:val="22"/>
          <w:szCs w:val="22"/>
          <w:color w:val="auto"/>
        </w:rPr>
        <w:t>” means (a) as of the Effective Date, the U.S., the United Kingdom, Brazil, the Netherlands, Norway and Singapore and (b) after the Effective Date, each other jurisdiction of organization or incorporation of any Material Subsidiary, subject to the Collateral and Guarantee Principles.</w:t>
      </w:r>
    </w:p>
    <w:p>
      <w:pPr>
        <w:spacing w:after="0" w:line="21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 Vessel</w:t>
      </w:r>
      <w:r>
        <w:rPr>
          <w:rFonts w:ascii="Arial" w:cs="Arial" w:eastAsia="Arial" w:hAnsi="Arial"/>
          <w:sz w:val="22"/>
          <w:szCs w:val="22"/>
          <w:color w:val="auto"/>
        </w:rPr>
        <w:t xml:space="preserve">” means, as of the Effective Date, each Vessel identified on </w:t>
      </w:r>
      <w:r>
        <w:rPr>
          <w:rFonts w:ascii="Arial" w:cs="Arial" w:eastAsia="Arial" w:hAnsi="Arial"/>
          <w:sz w:val="22"/>
          <w:szCs w:val="22"/>
          <w:u w:val="single" w:color="auto"/>
          <w:color w:val="auto"/>
        </w:rPr>
        <w:t>Schedule 1.01(a)</w:t>
      </w:r>
      <w:r>
        <w:rPr>
          <w:rFonts w:ascii="Arial" w:cs="Arial" w:eastAsia="Arial" w:hAnsi="Arial"/>
          <w:sz w:val="22"/>
          <w:szCs w:val="22"/>
          <w:color w:val="auto"/>
        </w:rPr>
        <w:t xml:space="preserve">, and, thereafter, each Vessel that becomes a Collateral Vessel in accordance with </w:t>
      </w:r>
      <w:r>
        <w:rPr>
          <w:rFonts w:ascii="Arial" w:cs="Arial" w:eastAsia="Arial" w:hAnsi="Arial"/>
          <w:sz w:val="22"/>
          <w:szCs w:val="22"/>
          <w:u w:val="single" w:color="auto"/>
          <w:color w:val="auto"/>
        </w:rPr>
        <w:t>Section 5.13(d)</w:t>
      </w:r>
      <w:r>
        <w:rPr>
          <w:rFonts w:ascii="Arial" w:cs="Arial" w:eastAsia="Arial" w:hAnsi="Arial"/>
          <w:sz w:val="22"/>
          <w:szCs w:val="22"/>
          <w:color w:val="auto"/>
        </w:rPr>
        <w:t>.</w:t>
      </w:r>
    </w:p>
    <w:p>
      <w:pPr>
        <w:spacing w:after="0" w:line="20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Commitment</w:t>
      </w:r>
      <w:r>
        <w:rPr>
          <w:rFonts w:ascii="Arial" w:cs="Arial" w:eastAsia="Arial" w:hAnsi="Arial"/>
          <w:sz w:val="21"/>
          <w:szCs w:val="21"/>
          <w:color w:val="auto"/>
        </w:rPr>
        <w:t xml:space="preserve">” means, with respect to each Lender, the commitment, if any, of such Lender to make Revolving Loans and to acquire participations in Letters of Credit hereunder, expressed as an amount representing the maximum possible aggregate amount of such Lender’s Revolving Exposure hereunder, as such commitment may be (a) reduced from time to time pursuant to </w:t>
      </w:r>
      <w:r>
        <w:rPr>
          <w:rFonts w:ascii="Arial" w:cs="Arial" w:eastAsia="Arial" w:hAnsi="Arial"/>
          <w:sz w:val="21"/>
          <w:szCs w:val="21"/>
          <w:u w:val="single" w:color="auto"/>
          <w:color w:val="auto"/>
        </w:rPr>
        <w:t>Section 2.08</w:t>
      </w:r>
      <w:r>
        <w:rPr>
          <w:rFonts w:ascii="Arial" w:cs="Arial" w:eastAsia="Arial" w:hAnsi="Arial"/>
          <w:sz w:val="21"/>
          <w:szCs w:val="21"/>
          <w:color w:val="auto"/>
        </w:rPr>
        <w:t xml:space="preserve"> and (b) reduced or increased from time to time pursuant to assignments by or to such Lender pursuant to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9.04</w:t>
      </w:r>
      <w:r>
        <w:rPr>
          <w:rFonts w:ascii="Arial" w:cs="Arial" w:eastAsia="Arial" w:hAnsi="Arial"/>
          <w:sz w:val="21"/>
          <w:szCs w:val="21"/>
          <w:color w:val="auto"/>
        </w:rPr>
        <w:t xml:space="preserve">. The initial amount of each Lender’s Commitment is set forth on </w:t>
      </w:r>
      <w:r>
        <w:rPr>
          <w:rFonts w:ascii="Arial" w:cs="Arial" w:eastAsia="Arial" w:hAnsi="Arial"/>
          <w:sz w:val="21"/>
          <w:szCs w:val="21"/>
          <w:u w:val="single" w:color="auto"/>
          <w:color w:val="auto"/>
        </w:rPr>
        <w:t>Schedule 2.01</w:t>
      </w:r>
      <w:r>
        <w:rPr>
          <w:rFonts w:ascii="Arial" w:cs="Arial" w:eastAsia="Arial" w:hAnsi="Arial"/>
          <w:sz w:val="21"/>
          <w:szCs w:val="21"/>
          <w:color w:val="auto"/>
        </w:rPr>
        <w:t xml:space="preserve"> or in the Assignment and Assumption pursuant to which such Lender shall have assumed its Commitment, as applicable. The initial aggregate amount of the Lender’s Commitments is $1,000,000,000.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Commodity Exchange Act</w:t>
      </w:r>
      <w:r>
        <w:rPr>
          <w:rFonts w:ascii="Arial" w:cs="Arial" w:eastAsia="Arial" w:hAnsi="Arial"/>
          <w:sz w:val="19"/>
          <w:szCs w:val="19"/>
          <w:color w:val="auto"/>
        </w:rPr>
        <w:t xml:space="preserve">” means the Commodity Exchange Act (7 U.S.C. § 1 </w:t>
      </w:r>
      <w:r>
        <w:rPr>
          <w:rFonts w:ascii="Arial" w:cs="Arial" w:eastAsia="Arial" w:hAnsi="Arial"/>
          <w:sz w:val="19"/>
          <w:szCs w:val="19"/>
          <w:i w:val="1"/>
          <w:iCs w:val="1"/>
          <w:color w:val="auto"/>
        </w:rPr>
        <w:t>et seq</w:t>
      </w:r>
      <w:r>
        <w:rPr>
          <w:rFonts w:ascii="Arial" w:cs="Arial" w:eastAsia="Arial" w:hAnsi="Arial"/>
          <w:sz w:val="19"/>
          <w:szCs w:val="19"/>
          <w:color w:val="auto"/>
        </w:rPr>
        <w:t>.) and any successor statute.</w:t>
      </w:r>
    </w:p>
    <w:p>
      <w:pPr>
        <w:spacing w:after="0" w:line="26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Communications</w:t>
      </w:r>
      <w:r>
        <w:rPr>
          <w:rFonts w:ascii="Arial" w:cs="Arial" w:eastAsia="Arial" w:hAnsi="Arial"/>
          <w:sz w:val="22"/>
          <w:szCs w:val="22"/>
          <w:color w:val="auto"/>
        </w:rPr>
        <w:t xml:space="preserve">” means, collectively, any notice, demand, communication, information, document or other material provided by or on behalf of any Loan Party pursuant to this Agreement or any other Loan Document or the transactions contemplated herein or therein that is distributed to the Administrative Agent, any Lender or any Issuing Bank by means of electronic communications pursuant to </w:t>
      </w:r>
      <w:r>
        <w:rPr>
          <w:rFonts w:ascii="Arial" w:cs="Arial" w:eastAsia="Arial" w:hAnsi="Arial"/>
          <w:sz w:val="22"/>
          <w:szCs w:val="22"/>
          <w:u w:val="single" w:color="auto"/>
          <w:color w:val="auto"/>
        </w:rPr>
        <w:t>Section 9.01</w:t>
      </w:r>
      <w:r>
        <w:rPr>
          <w:rFonts w:ascii="Arial" w:cs="Arial" w:eastAsia="Arial" w:hAnsi="Arial"/>
          <w:sz w:val="22"/>
          <w:szCs w:val="22"/>
          <w:color w:val="auto"/>
        </w:rPr>
        <w:t>, including through the Platform.</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has the meaning assigned to it in the preamble hereto.</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9" w:name="page200"/>
    <w:bookmarkEnd w:id="199"/>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Connection Income Taxes</w:t>
      </w:r>
      <w:r>
        <w:rPr>
          <w:rFonts w:ascii="Arial" w:cs="Arial" w:eastAsia="Arial" w:hAnsi="Arial"/>
          <w:sz w:val="22"/>
          <w:szCs w:val="22"/>
          <w:color w:val="auto"/>
        </w:rPr>
        <w:t>” means Other Connection Taxes that are imposed on or measured by net income (however denominated) or that are franchise Taxes or branch profits Taxes.</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Amortization Expense</w:t>
      </w:r>
      <w:r>
        <w:rPr>
          <w:rFonts w:ascii="Arial" w:cs="Arial" w:eastAsia="Arial" w:hAnsi="Arial"/>
          <w:sz w:val="22"/>
          <w:szCs w:val="22"/>
          <w:color w:val="auto"/>
        </w:rPr>
        <w:t>” for any period means the amortization expense of the relevant Person and its Restricted Subsidiaries for such period, determined on a consolidated basis in accordance with GAAP.</w:t>
      </w:r>
    </w:p>
    <w:p>
      <w:pPr>
        <w:spacing w:after="0" w:line="20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Cash Balance</w:t>
      </w:r>
      <w:r>
        <w:rPr>
          <w:rFonts w:ascii="Arial" w:cs="Arial" w:eastAsia="Arial" w:hAnsi="Arial"/>
          <w:sz w:val="19"/>
          <w:szCs w:val="19"/>
          <w:color w:val="auto"/>
        </w:rPr>
        <w:t xml:space="preserve">” means, as of any date of determination, the aggregate amount of all (a) cash, (b) Permitted Investments and (c) any other marketable securities (excluding, for the avoidance of doubt, any equity interests of Technip Energies), treasury bonds and bills, certificates of deposit, investments in money market funds and commercial paper, in each case, (i) held or owned by (either directly or indirectly), (ii) credited to the account of, or (iii) that would otherwise be required to be reflected as an asset on the balance sheet of, the Borrowers or any Restricted Subsidiary as of such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Consolidated Cash Balance shall exclude: (A) any amounts in any fiduciary, escrow or trust account, (B) cash collateral required to cash collateralize any Letter of Credit, (C) any cash or Permitted Investments constituting purchase price deposits held in escrow by an unaffiliated third party pursuant to a binding and enforceable purchase and sale agreement with an unaffiliated third party containing customary provisions regarding the payment and refunding of such deposits, (D) any cash or Permitted Investments for which any Loan Party has, in the ordinary course of business, issued checks or initiated wires or ACH transfers (or, in the case of cash or Permitted Investments that will be used to pay payroll or other Taxes, lease rental payments, renewal of software licenses and other customary general and administrative expenses, will issue checks or initiate wires or ACH transfers within five (5) Business Days in respect of amounts due and owing) in order to utilize such cash or Permitted Investments, (E) any “trapped” cash in a foreign jurisdiction outside of the Collateral Jurisdictions that cannot be accessed, expatriated or distributed to satisfy the provisions of </w:t>
      </w:r>
      <w:r>
        <w:rPr>
          <w:rFonts w:ascii="Arial" w:cs="Arial" w:eastAsia="Arial" w:hAnsi="Arial"/>
          <w:sz w:val="19"/>
          <w:szCs w:val="19"/>
          <w:u w:val="single" w:color="auto"/>
          <w:color w:val="auto"/>
        </w:rPr>
        <w:t>Section 2.11(c)</w:t>
      </w:r>
      <w:r>
        <w:rPr>
          <w:rFonts w:ascii="Arial" w:cs="Arial" w:eastAsia="Arial" w:hAnsi="Arial"/>
          <w:sz w:val="19"/>
          <w:szCs w:val="19"/>
          <w:color w:val="auto"/>
        </w:rPr>
        <w:t xml:space="preserve"> as a result of legal, regulatory or other statutory rules and regulations that may exist in the applicable foreign jurisdiction (so long as such cash is not “trapped” as a result of actions taken by the Borrowers in contemplation of availing themselves of this exception in </w:t>
      </w:r>
      <w:r>
        <w:rPr>
          <w:rFonts w:ascii="Arial" w:cs="Arial" w:eastAsia="Arial" w:hAnsi="Arial"/>
          <w:sz w:val="19"/>
          <w:szCs w:val="19"/>
          <w:u w:val="single" w:color="auto"/>
          <w:color w:val="auto"/>
        </w:rPr>
        <w:t>clause (E)</w:t>
      </w:r>
      <w:r>
        <w:rPr>
          <w:rFonts w:ascii="Arial" w:cs="Arial" w:eastAsia="Arial" w:hAnsi="Arial"/>
          <w:sz w:val="19"/>
          <w:szCs w:val="19"/>
          <w:color w:val="auto"/>
        </w:rPr>
        <w:t>) and (F) cash that cannot be expatriated without causing material adverse tax consequences to the Borrowers.</w:t>
      </w:r>
    </w:p>
    <w:p>
      <w:pPr>
        <w:spacing w:after="0" w:line="200" w:lineRule="exact"/>
        <w:rPr>
          <w:sz w:val="20"/>
          <w:szCs w:val="20"/>
          <w:color w:val="auto"/>
        </w:rPr>
      </w:pPr>
    </w:p>
    <w:p>
      <w:pPr>
        <w:spacing w:after="0" w:line="23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Debt</w:t>
      </w:r>
      <w:r>
        <w:rPr>
          <w:rFonts w:ascii="Arial" w:cs="Arial" w:eastAsia="Arial" w:hAnsi="Arial"/>
          <w:sz w:val="19"/>
          <w:szCs w:val="19"/>
          <w:color w:val="auto"/>
        </w:rPr>
        <w:t>” means, as of any date, the aggregate principal amount of Indebtedness of the type specified in the definition of “Indebtedness” under clauses (a), (b), (e) (but only to the extent supporting Indebtedness of the types specified in clauses (a), (b) and (g) of the definition thereof), (f) (but only to the extent supporting Indebtedness of the types specified in clauses (a), (b) and (g) of the definition thereof), (g), (h) (but only to the extent drawn), (i) (but only to the extend funded) and (j) of the Borrowers and the Restricted Subsidiaries outstanding as of such date determined on a consolidated basis.</w:t>
      </w:r>
    </w:p>
    <w:p>
      <w:pPr>
        <w:spacing w:after="0" w:line="17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Depreciation Expense</w:t>
      </w:r>
      <w:r>
        <w:rPr>
          <w:rFonts w:ascii="Arial" w:cs="Arial" w:eastAsia="Arial" w:hAnsi="Arial"/>
          <w:sz w:val="22"/>
          <w:szCs w:val="22"/>
          <w:color w:val="auto"/>
        </w:rPr>
        <w:t>” for any period means the depreciation expense of the relevant Person and its Restricted Subsidiaries for such period, determined on a consolidated basis in accordance with GAAP.</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EBITDA</w:t>
      </w:r>
      <w:r>
        <w:rPr>
          <w:rFonts w:ascii="Arial" w:cs="Arial" w:eastAsia="Arial" w:hAnsi="Arial"/>
          <w:sz w:val="22"/>
          <w:szCs w:val="22"/>
          <w:color w:val="auto"/>
        </w:rPr>
        <w:t xml:space="preserve"> ” means, for any period, with respect to any specified Person and its Restricted Subsidiaries, without duplication, the sum of the amounts for such period of:</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0" w:name="page201"/>
    <w:bookmarkEnd w:id="200"/>
    <w:p>
      <w:pPr>
        <w:ind w:left="1440" w:hanging="784"/>
        <w:spacing w:after="0"/>
        <w:tabs>
          <w:tab w:leader="none" w:pos="144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 xml:space="preserve">Consolidated Net Income, </w:t>
      </w:r>
      <w:r>
        <w:rPr>
          <w:rFonts w:ascii="Arial" w:cs="Arial" w:eastAsia="Arial" w:hAnsi="Arial"/>
          <w:sz w:val="22"/>
          <w:szCs w:val="22"/>
          <w:i w:val="1"/>
          <w:iCs w:val="1"/>
          <w:color w:val="auto"/>
        </w:rPr>
        <w:t>plus</w:t>
      </w:r>
    </w:p>
    <w:p>
      <w:pPr>
        <w:spacing w:after="0" w:line="233" w:lineRule="exact"/>
        <w:rPr>
          <w:rFonts w:ascii="Arial" w:cs="Arial" w:eastAsia="Arial" w:hAnsi="Arial"/>
          <w:sz w:val="22"/>
          <w:szCs w:val="22"/>
          <w:color w:val="auto"/>
        </w:rPr>
      </w:pPr>
    </w:p>
    <w:p>
      <w:pPr>
        <w:jc w:val="both"/>
        <w:ind w:firstLine="656"/>
        <w:spacing w:after="0" w:line="245" w:lineRule="auto"/>
        <w:tabs>
          <w:tab w:leader="none" w:pos="1431" w:val="left"/>
        </w:tabs>
        <w:numPr>
          <w:ilvl w:val="0"/>
          <w:numId w:val="121"/>
        </w:numPr>
        <w:rPr>
          <w:rFonts w:ascii="Arial" w:cs="Arial" w:eastAsia="Arial" w:hAnsi="Arial"/>
          <w:sz w:val="21"/>
          <w:szCs w:val="21"/>
          <w:color w:val="auto"/>
        </w:rPr>
      </w:pPr>
      <w:r>
        <w:rPr>
          <w:rFonts w:ascii="Arial" w:cs="Arial" w:eastAsia="Arial" w:hAnsi="Arial"/>
          <w:sz w:val="21"/>
          <w:szCs w:val="21"/>
          <w:color w:val="auto"/>
        </w:rPr>
        <w:t xml:space="preserve">without duplication, the amount of net cost savings, operating expense reductions and synergies projected by the Company in good faith to be realized as a result of specified actions taken or to be taken (which cost savings, operating expense reductions or synergies shall be calculated on a pro forma basis as though such cost savings, operating expense reductions or synergies had been realized on the first day of such period), net of the amount of actual benefits realized during such period from such actions;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such cost savings, operating expense reductions or synergies are reasonably identifiable and factually supportable, (B) such actions have been taken or are to be taken within 18 months after the date of determination to take such action and (C) the aggregate amounts added to Consolidated EBITDA pursuant to this clause (b) in any such period shall not exceed 15% of Consolidated EBITDA for such period (calculated before giving effect to the adjustment set forth in this clause (b)), </w:t>
      </w:r>
      <w:r>
        <w:rPr>
          <w:rFonts w:ascii="Arial" w:cs="Arial" w:eastAsia="Arial" w:hAnsi="Arial"/>
          <w:sz w:val="21"/>
          <w:szCs w:val="21"/>
          <w:i w:val="1"/>
          <w:iCs w:val="1"/>
          <w:color w:val="auto"/>
        </w:rPr>
        <w:t>plus</w:t>
      </w:r>
    </w:p>
    <w:p>
      <w:pPr>
        <w:spacing w:after="0" w:line="211" w:lineRule="exact"/>
        <w:rPr>
          <w:rFonts w:ascii="Arial" w:cs="Arial" w:eastAsia="Arial" w:hAnsi="Arial"/>
          <w:sz w:val="21"/>
          <w:szCs w:val="21"/>
          <w:color w:val="auto"/>
        </w:rPr>
      </w:pPr>
    </w:p>
    <w:p>
      <w:pPr>
        <w:ind w:left="1440" w:hanging="784"/>
        <w:spacing w:after="0"/>
        <w:tabs>
          <w:tab w:leader="none" w:pos="144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in each case only to the extent deducted in determining Consolidated Net Income,</w:t>
      </w:r>
    </w:p>
    <w:p>
      <w:pPr>
        <w:spacing w:after="0" w:line="233" w:lineRule="exact"/>
        <w:rPr>
          <w:rFonts w:ascii="Arial" w:cs="Arial" w:eastAsia="Arial" w:hAnsi="Arial"/>
          <w:sz w:val="22"/>
          <w:szCs w:val="22"/>
          <w:color w:val="auto"/>
        </w:rPr>
      </w:pPr>
    </w:p>
    <w:p>
      <w:pPr>
        <w:ind w:left="2160" w:hanging="856"/>
        <w:spacing w:after="0"/>
        <w:tabs>
          <w:tab w:leader="none" w:pos="2160" w:val="left"/>
        </w:tabs>
        <w:numPr>
          <w:ilvl w:val="1"/>
          <w:numId w:val="121"/>
        </w:numPr>
        <w:rPr>
          <w:rFonts w:ascii="Arial" w:cs="Arial" w:eastAsia="Arial" w:hAnsi="Arial"/>
          <w:sz w:val="22"/>
          <w:szCs w:val="22"/>
          <w:color w:val="auto"/>
        </w:rPr>
      </w:pPr>
      <w:r>
        <w:rPr>
          <w:rFonts w:ascii="Arial" w:cs="Arial" w:eastAsia="Arial" w:hAnsi="Arial"/>
          <w:sz w:val="22"/>
          <w:szCs w:val="22"/>
          <w:color w:val="auto"/>
        </w:rPr>
        <w:t>Consolidated Income Tax Expense,</w:t>
      </w:r>
    </w:p>
    <w:p>
      <w:pPr>
        <w:spacing w:after="0" w:line="233" w:lineRule="exact"/>
        <w:rPr>
          <w:rFonts w:ascii="Arial" w:cs="Arial" w:eastAsia="Arial" w:hAnsi="Arial"/>
          <w:sz w:val="22"/>
          <w:szCs w:val="22"/>
          <w:color w:val="auto"/>
        </w:rPr>
      </w:pPr>
    </w:p>
    <w:p>
      <w:pPr>
        <w:ind w:left="2160" w:hanging="856"/>
        <w:spacing w:after="0"/>
        <w:tabs>
          <w:tab w:leader="none" w:pos="2160" w:val="left"/>
        </w:tabs>
        <w:numPr>
          <w:ilvl w:val="1"/>
          <w:numId w:val="121"/>
        </w:numPr>
        <w:rPr>
          <w:rFonts w:ascii="Arial" w:cs="Arial" w:eastAsia="Arial" w:hAnsi="Arial"/>
          <w:sz w:val="22"/>
          <w:szCs w:val="22"/>
          <w:color w:val="auto"/>
        </w:rPr>
      </w:pPr>
      <w:r>
        <w:rPr>
          <w:rFonts w:ascii="Arial" w:cs="Arial" w:eastAsia="Arial" w:hAnsi="Arial"/>
          <w:sz w:val="22"/>
          <w:szCs w:val="22"/>
          <w:color w:val="auto"/>
        </w:rPr>
        <w:t>Consolidated Amortization Expense,</w:t>
      </w:r>
    </w:p>
    <w:p>
      <w:pPr>
        <w:spacing w:after="0" w:line="233" w:lineRule="exact"/>
        <w:rPr>
          <w:rFonts w:ascii="Arial" w:cs="Arial" w:eastAsia="Arial" w:hAnsi="Arial"/>
          <w:sz w:val="22"/>
          <w:szCs w:val="22"/>
          <w:color w:val="auto"/>
        </w:rPr>
      </w:pPr>
    </w:p>
    <w:p>
      <w:pPr>
        <w:ind w:left="2160" w:hanging="856"/>
        <w:spacing w:after="0"/>
        <w:tabs>
          <w:tab w:leader="none" w:pos="2160" w:val="left"/>
        </w:tabs>
        <w:numPr>
          <w:ilvl w:val="1"/>
          <w:numId w:val="121"/>
        </w:numPr>
        <w:rPr>
          <w:rFonts w:ascii="Arial" w:cs="Arial" w:eastAsia="Arial" w:hAnsi="Arial"/>
          <w:sz w:val="22"/>
          <w:szCs w:val="22"/>
          <w:color w:val="auto"/>
        </w:rPr>
      </w:pPr>
      <w:r>
        <w:rPr>
          <w:rFonts w:ascii="Arial" w:cs="Arial" w:eastAsia="Arial" w:hAnsi="Arial"/>
          <w:sz w:val="22"/>
          <w:szCs w:val="22"/>
          <w:color w:val="auto"/>
        </w:rPr>
        <w:t>Consolidated Depreciation Expense,</w:t>
      </w:r>
    </w:p>
    <w:p>
      <w:pPr>
        <w:spacing w:after="0" w:line="233" w:lineRule="exact"/>
        <w:rPr>
          <w:rFonts w:ascii="Arial" w:cs="Arial" w:eastAsia="Arial" w:hAnsi="Arial"/>
          <w:sz w:val="22"/>
          <w:szCs w:val="22"/>
          <w:color w:val="auto"/>
        </w:rPr>
      </w:pPr>
    </w:p>
    <w:p>
      <w:pPr>
        <w:ind w:left="2160" w:hanging="856"/>
        <w:spacing w:after="0"/>
        <w:tabs>
          <w:tab w:leader="none" w:pos="2160" w:val="left"/>
        </w:tabs>
        <w:numPr>
          <w:ilvl w:val="1"/>
          <w:numId w:val="121"/>
        </w:numPr>
        <w:rPr>
          <w:rFonts w:ascii="Arial" w:cs="Arial" w:eastAsia="Arial" w:hAnsi="Arial"/>
          <w:sz w:val="22"/>
          <w:szCs w:val="22"/>
          <w:color w:val="auto"/>
        </w:rPr>
      </w:pPr>
      <w:r>
        <w:rPr>
          <w:rFonts w:ascii="Arial" w:cs="Arial" w:eastAsia="Arial" w:hAnsi="Arial"/>
          <w:sz w:val="22"/>
          <w:szCs w:val="22"/>
          <w:color w:val="auto"/>
        </w:rPr>
        <w:t>Consolidated Interest Expense, and</w:t>
      </w:r>
    </w:p>
    <w:p>
      <w:pPr>
        <w:spacing w:after="0" w:line="233" w:lineRule="exact"/>
        <w:rPr>
          <w:rFonts w:ascii="Arial" w:cs="Arial" w:eastAsia="Arial" w:hAnsi="Arial"/>
          <w:sz w:val="22"/>
          <w:szCs w:val="22"/>
          <w:color w:val="auto"/>
        </w:rPr>
      </w:pPr>
    </w:p>
    <w:p>
      <w:pPr>
        <w:ind w:left="660" w:firstLine="644"/>
        <w:spacing w:after="0" w:line="250" w:lineRule="auto"/>
        <w:tabs>
          <w:tab w:leader="none" w:pos="2317" w:val="left"/>
        </w:tabs>
        <w:numPr>
          <w:ilvl w:val="1"/>
          <w:numId w:val="121"/>
        </w:numPr>
        <w:rPr>
          <w:rFonts w:ascii="Arial" w:cs="Arial" w:eastAsia="Arial" w:hAnsi="Arial"/>
          <w:sz w:val="22"/>
          <w:szCs w:val="22"/>
          <w:color w:val="auto"/>
        </w:rPr>
      </w:pPr>
      <w:r>
        <w:rPr>
          <w:rFonts w:ascii="Arial" w:cs="Arial" w:eastAsia="Arial" w:hAnsi="Arial"/>
          <w:sz w:val="22"/>
          <w:szCs w:val="22"/>
          <w:color w:val="auto"/>
        </w:rPr>
        <w:t xml:space="preserve">all other non-cash items reducing the Consolidated Net Income (excluding any non-cash charge that results in an accrual of a reserve for cash charges in any future period) for such period, </w:t>
      </w:r>
      <w:r>
        <w:rPr>
          <w:rFonts w:ascii="Arial" w:cs="Arial" w:eastAsia="Arial" w:hAnsi="Arial"/>
          <w:sz w:val="22"/>
          <w:szCs w:val="22"/>
          <w:i w:val="1"/>
          <w:iCs w:val="1"/>
          <w:color w:val="auto"/>
        </w:rPr>
        <w:t>minus</w:t>
      </w:r>
    </w:p>
    <w:p>
      <w:pPr>
        <w:spacing w:after="0" w:line="201" w:lineRule="exact"/>
        <w:rPr>
          <w:rFonts w:ascii="Arial" w:cs="Arial" w:eastAsia="Arial" w:hAnsi="Arial"/>
          <w:sz w:val="22"/>
          <w:szCs w:val="22"/>
          <w:color w:val="auto"/>
        </w:rPr>
      </w:pPr>
    </w:p>
    <w:p>
      <w:pPr>
        <w:jc w:val="both"/>
        <w:ind w:firstLine="656"/>
        <w:spacing w:after="0" w:line="238" w:lineRule="auto"/>
        <w:tabs>
          <w:tab w:leader="none" w:pos="1741"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the aggregate amount of all non-cash items, determined on a consolidated basis, to the extent such items increased Consolidated Net Income for such period (other than accrual of revenue in the ordinary course or any non-cash items to the extent they represent the reversal of an accrual of a reserve for a potential cash item that reduced Consolidated EBITDA in any prior period).</w:t>
      </w:r>
    </w:p>
    <w:p>
      <w:pPr>
        <w:spacing w:after="0" w:line="21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First Lien Net Debt</w:t>
      </w:r>
      <w:r>
        <w:rPr>
          <w:rFonts w:ascii="Arial" w:cs="Arial" w:eastAsia="Arial" w:hAnsi="Arial"/>
          <w:sz w:val="22"/>
          <w:szCs w:val="22"/>
          <w:color w:val="auto"/>
        </w:rPr>
        <w:t xml:space="preserve">” means, as of any date, Consolidated Debt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the sum of (a) the portion of Indebtedness of the Borrowers and the Restricted Subsidiaries included in Consolidated Debt that is not secured by any Lien on the Collateral, (b) the portion of Indebtedness of the Borrowers and the Restricted Subsidiaries included in Consolidated Debt that is secured by Liens on the Collateral, which Liens are expressly subordinated or junior to the Liens securing the Revolving Loans, and (c) the amount of unrestricted cash and cash equivalents held on such date by the Borrowers and the Guarantors, not to exceed $150,000,000.</w:t>
      </w:r>
    </w:p>
    <w:p>
      <w:pPr>
        <w:spacing w:after="0" w:line="2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Income Tax Expense</w:t>
      </w:r>
      <w:r>
        <w:rPr>
          <w:rFonts w:ascii="Arial" w:cs="Arial" w:eastAsia="Arial" w:hAnsi="Arial"/>
          <w:sz w:val="22"/>
          <w:szCs w:val="22"/>
          <w:color w:val="auto"/>
        </w:rPr>
        <w:t>” for any period means the provision for taxes of the relevant Person and its Restricted Subsidiaries, determined on a consolidated basis in accordance with GAAP.</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1" w:name="page202"/>
    <w:bookmarkEnd w:id="201"/>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Interest Expense</w:t>
      </w:r>
      <w:r>
        <w:rPr>
          <w:rFonts w:ascii="Arial" w:cs="Arial" w:eastAsia="Arial" w:hAnsi="Arial"/>
          <w:sz w:val="22"/>
          <w:szCs w:val="22"/>
          <w:color w:val="auto"/>
        </w:rPr>
        <w:t>” means, for any period, the sum, without duplication, of:</w:t>
      </w:r>
    </w:p>
    <w:p>
      <w:pPr>
        <w:spacing w:after="0" w:line="234" w:lineRule="exact"/>
        <w:rPr>
          <w:sz w:val="20"/>
          <w:szCs w:val="20"/>
          <w:color w:val="auto"/>
        </w:rPr>
      </w:pPr>
    </w:p>
    <w:p>
      <w:pPr>
        <w:jc w:val="both"/>
        <w:ind w:firstLine="656"/>
        <w:spacing w:after="0" w:line="272" w:lineRule="auto"/>
        <w:tabs>
          <w:tab w:leader="none" w:pos="1495" w:val="left"/>
        </w:tabs>
        <w:numPr>
          <w:ilvl w:val="0"/>
          <w:numId w:val="122"/>
        </w:numPr>
        <w:rPr>
          <w:rFonts w:ascii="Arial" w:cs="Arial" w:eastAsia="Arial" w:hAnsi="Arial"/>
          <w:sz w:val="19"/>
          <w:szCs w:val="19"/>
          <w:color w:val="auto"/>
        </w:rPr>
      </w:pPr>
      <w:r>
        <w:rPr>
          <w:rFonts w:ascii="Arial" w:cs="Arial" w:eastAsia="Arial" w:hAnsi="Arial"/>
          <w:sz w:val="19"/>
          <w:szCs w:val="19"/>
          <w:color w:val="auto"/>
        </w:rPr>
        <w:t xml:space="preserve">consolidated interest expense of such Person and its Restricted Subsidiaries for such period, to the extent such expense was deducted (and not added back) in computing Consolidated Net Income, including (i) amortization of original issue discount or premium resulting from the issuance of Indebtedness at less than or greater than par, as applicable, (ii) all commissions, discounts and other fees and charges owed with respect to letters of credit or bankers acceptances, (iii) non-cash interest payments (but excluding any non-cash interest expense attributable to the movement in the mark to market valuation of Indebtedness or derivative instruments pursuant to GAAP), (iv) the interest component of Capital Lease Obligations and (v) net payments, if any, pursuant to interest rate Hedging Agreements with respect to Indebtedness, and excluding (1) any one-time cash costs associated with breakage in respect interest rate Hedging Agreements with respect to Indebtedness, (2) penalties and interest relating to taxes, (3) accretion or accrual of discounted liabilities not constituting Indebtedness, (4) any expense resulting from the discounting of Indebtedness in connection with the application of recapitalization or purchase accounting, (5) amortization or “write-off” of deferred financing costs and expenses, and (6) any expensing of bridge, commitment and other financing fees related to the Transactions or any acquisitions after the Effective Date; </w:t>
      </w:r>
      <w:r>
        <w:rPr>
          <w:rFonts w:ascii="Arial" w:cs="Arial" w:eastAsia="Arial" w:hAnsi="Arial"/>
          <w:sz w:val="19"/>
          <w:szCs w:val="19"/>
          <w:i w:val="1"/>
          <w:iCs w:val="1"/>
          <w:color w:val="auto"/>
        </w:rPr>
        <w:t>plus</w:t>
      </w:r>
    </w:p>
    <w:p>
      <w:pPr>
        <w:spacing w:after="0" w:line="187" w:lineRule="exact"/>
        <w:rPr>
          <w:rFonts w:ascii="Arial" w:cs="Arial" w:eastAsia="Arial" w:hAnsi="Arial"/>
          <w:sz w:val="19"/>
          <w:szCs w:val="19"/>
          <w:color w:val="auto"/>
        </w:rPr>
      </w:pPr>
    </w:p>
    <w:p>
      <w:pPr>
        <w:ind w:left="1520" w:hanging="864"/>
        <w:spacing w:after="0"/>
        <w:tabs>
          <w:tab w:leader="none" w:pos="1520" w:val="left"/>
        </w:tabs>
        <w:numPr>
          <w:ilvl w:val="0"/>
          <w:numId w:val="122"/>
        </w:numPr>
        <w:rPr>
          <w:rFonts w:ascii="Arial" w:cs="Arial" w:eastAsia="Arial" w:hAnsi="Arial"/>
          <w:sz w:val="19"/>
          <w:szCs w:val="19"/>
          <w:color w:val="auto"/>
        </w:rPr>
      </w:pPr>
      <w:r>
        <w:rPr>
          <w:rFonts w:ascii="Arial" w:cs="Arial" w:eastAsia="Arial" w:hAnsi="Arial"/>
          <w:sz w:val="19"/>
          <w:szCs w:val="19"/>
          <w:color w:val="auto"/>
        </w:rPr>
        <w:t>consolidated capitalized interest of such Person and its Restricted Subsidiaries for such period, whether paid or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 xml:space="preserve">accrued, </w:t>
      </w:r>
      <w:r>
        <w:rPr>
          <w:rFonts w:ascii="Arial" w:cs="Arial" w:eastAsia="Arial" w:hAnsi="Arial"/>
          <w:sz w:val="22"/>
          <w:szCs w:val="22"/>
          <w:i w:val="1"/>
          <w:iCs w:val="1"/>
          <w:color w:val="auto"/>
        </w:rPr>
        <w:t>less</w:t>
      </w:r>
    </w:p>
    <w:p>
      <w:pPr>
        <w:spacing w:after="0" w:line="215" w:lineRule="exact"/>
        <w:rPr>
          <w:rFonts w:ascii="Arial" w:cs="Arial" w:eastAsia="Arial" w:hAnsi="Arial"/>
          <w:sz w:val="19"/>
          <w:szCs w:val="19"/>
          <w:color w:val="auto"/>
        </w:rPr>
      </w:pPr>
    </w:p>
    <w:p>
      <w:pPr>
        <w:ind w:left="1440" w:hanging="784"/>
        <w:spacing w:after="0"/>
        <w:tabs>
          <w:tab w:leader="none" w:pos="144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interest income for such period.</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Net Debt</w:t>
      </w:r>
      <w:r>
        <w:rPr>
          <w:rFonts w:ascii="Arial" w:cs="Arial" w:eastAsia="Arial" w:hAnsi="Arial"/>
          <w:sz w:val="22"/>
          <w:szCs w:val="22"/>
          <w:color w:val="auto"/>
        </w:rPr>
        <w:t>” means, as of any date, (a) Consolidated Debt minus (b) the amount of unrestricted cash and cash equivalents held on such date by the Borrowers and the Guarantors, not to exceed (i) prior to June 30, 2021, $550,000,000 and (ii) on and after June 30, 2021 $150,000,000.</w:t>
      </w:r>
    </w:p>
    <w:p>
      <w:pPr>
        <w:spacing w:after="0" w:line="21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Net Income</w:t>
      </w:r>
      <w:r>
        <w:rPr>
          <w:rFonts w:ascii="Arial" w:cs="Arial" w:eastAsia="Arial" w:hAnsi="Arial"/>
          <w:sz w:val="19"/>
          <w:szCs w:val="19"/>
          <w:color w:val="auto"/>
        </w:rPr>
        <w:t xml:space="preserve">” means, with respect to any Person for any period, the net income (or loss) of such Person and its Restricted Subsidiaries, in each case for such period determined on a consolidated basis in accordance with GAAP;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there shall be excluded in calculating such net income (or loss), to the extent otherwise included therein, without duplication:</w:t>
      </w:r>
    </w:p>
    <w:p>
      <w:pPr>
        <w:spacing w:after="0" w:line="161" w:lineRule="exact"/>
        <w:rPr>
          <w:sz w:val="20"/>
          <w:szCs w:val="20"/>
          <w:color w:val="auto"/>
        </w:rPr>
      </w:pPr>
    </w:p>
    <w:p>
      <w:pPr>
        <w:jc w:val="both"/>
        <w:ind w:firstLine="656"/>
        <w:spacing w:after="0" w:line="246" w:lineRule="auto"/>
        <w:tabs>
          <w:tab w:leader="none" w:pos="1452" w:val="left"/>
        </w:tabs>
        <w:numPr>
          <w:ilvl w:val="0"/>
          <w:numId w:val="123"/>
        </w:numPr>
        <w:rPr>
          <w:rFonts w:ascii="Arial" w:cs="Arial" w:eastAsia="Arial" w:hAnsi="Arial"/>
          <w:sz w:val="21"/>
          <w:szCs w:val="21"/>
          <w:color w:val="auto"/>
        </w:rPr>
      </w:pPr>
      <w:r>
        <w:rPr>
          <w:rFonts w:ascii="Arial" w:cs="Arial" w:eastAsia="Arial" w:hAnsi="Arial"/>
          <w:sz w:val="21"/>
          <w:szCs w:val="21"/>
          <w:color w:val="auto"/>
        </w:rPr>
        <w:t xml:space="preserve">the net income (or loss) of any Person (other than a Restricted Subsidiary) in which any Person other than the Company and the Restricted Subsidiaries has an ownership interest, except to the extent that cash in an amount equal to any such income has actually been received by the Company or any of its Restricted Subsidiaries during such period;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with respect to any Specified Joint Venture, any cash received by the Company or any of its Restricted Subsidiaries during such period shall be excluded in calculating such net income (or loss) of the Company or any such Restricted Subsidiary to the extent that any Specified Joint Venture Indebtedness that is guaranteed or otherwise incurred by the Company or any Restricted Subsidiary is outstanding in respect of such Specified Joint Venture and is not consolidated on the balance sheet of the Company and its Restricted Subsidiaries,</w:t>
      </w:r>
    </w:p>
    <w:p>
      <w:pPr>
        <w:spacing w:after="0" w:line="206" w:lineRule="exact"/>
        <w:rPr>
          <w:rFonts w:ascii="Arial" w:cs="Arial" w:eastAsia="Arial" w:hAnsi="Arial"/>
          <w:sz w:val="21"/>
          <w:szCs w:val="21"/>
          <w:color w:val="auto"/>
        </w:rPr>
      </w:pPr>
    </w:p>
    <w:p>
      <w:pPr>
        <w:jc w:val="both"/>
        <w:ind w:firstLine="656"/>
        <w:spacing w:after="0" w:line="238" w:lineRule="auto"/>
        <w:tabs>
          <w:tab w:leader="none" w:pos="1477" w:val="left"/>
        </w:tabs>
        <w:numPr>
          <w:ilvl w:val="0"/>
          <w:numId w:val="123"/>
        </w:numPr>
        <w:rPr>
          <w:rFonts w:ascii="Arial" w:cs="Arial" w:eastAsia="Arial" w:hAnsi="Arial"/>
          <w:sz w:val="22"/>
          <w:szCs w:val="22"/>
          <w:color w:val="auto"/>
        </w:rPr>
      </w:pPr>
      <w:r>
        <w:rPr>
          <w:rFonts w:ascii="Arial" w:cs="Arial" w:eastAsia="Arial" w:hAnsi="Arial"/>
          <w:sz w:val="22"/>
          <w:szCs w:val="22"/>
          <w:color w:val="auto"/>
        </w:rPr>
        <w:t>except to the extent includible in the net income (or loss) of the Company pursuant to the foregoing clause (1), the net income (or loss) of any Person that accrued prior to the date that (a) such Person becomes a Restricted Subsidiary or is merged into or consolidated with the Company or any Restricted Subsidiary or (b) the assets of such Person are acquired by the Company or any Restricted Subsidiary;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2" w:name="page203"/>
    <w:bookmarkEnd w:id="202"/>
    <w:p>
      <w:pPr>
        <w:jc w:val="both"/>
        <w:ind w:firstLine="656"/>
        <w:spacing w:after="0" w:line="236" w:lineRule="auto"/>
        <w:tabs>
          <w:tab w:leader="none" w:pos="1616" w:val="left"/>
        </w:tabs>
        <w:numPr>
          <w:ilvl w:val="0"/>
          <w:numId w:val="124"/>
        </w:numPr>
        <w:rPr>
          <w:rFonts w:ascii="Arial" w:cs="Arial" w:eastAsia="Arial" w:hAnsi="Arial"/>
          <w:sz w:val="22"/>
          <w:szCs w:val="22"/>
          <w:color w:val="auto"/>
        </w:rPr>
      </w:pPr>
      <w:r>
        <w:rPr>
          <w:rFonts w:ascii="Arial" w:cs="Arial" w:eastAsia="Arial" w:hAnsi="Arial"/>
          <w:sz w:val="22"/>
          <w:szCs w:val="22"/>
          <w:color w:val="auto"/>
        </w:rPr>
        <w:t>the net income of any Restricted Subsidiary other than a Guarantor during such period to the extent that the declaration or payment of dividends or similar distributions by such Restricted Subsidiary of that income is not permitted by operation of the terms of its charter or any agreement, instrument, judgment, decree, order, statute, rule or governmental regulation applicable to that Subsidiary during such period, unless such restriction with respect to the payment of dividends has been legally waived,</w:t>
      </w:r>
    </w:p>
    <w:p>
      <w:pPr>
        <w:spacing w:after="0" w:line="214" w:lineRule="exact"/>
        <w:rPr>
          <w:rFonts w:ascii="Arial" w:cs="Arial" w:eastAsia="Arial" w:hAnsi="Arial"/>
          <w:sz w:val="22"/>
          <w:szCs w:val="22"/>
          <w:color w:val="auto"/>
        </w:rPr>
      </w:pPr>
    </w:p>
    <w:p>
      <w:pPr>
        <w:ind w:left="1440" w:hanging="784"/>
        <w:spacing w:after="0"/>
        <w:tabs>
          <w:tab w:leader="none" w:pos="144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gains or losses attributable to discontinued operations,</w:t>
      </w:r>
    </w:p>
    <w:p>
      <w:pPr>
        <w:spacing w:after="0" w:line="233" w:lineRule="exact"/>
        <w:rPr>
          <w:rFonts w:ascii="Arial" w:cs="Arial" w:eastAsia="Arial" w:hAnsi="Arial"/>
          <w:sz w:val="22"/>
          <w:szCs w:val="22"/>
          <w:color w:val="auto"/>
        </w:rPr>
      </w:pPr>
    </w:p>
    <w:p>
      <w:pPr>
        <w:jc w:val="both"/>
        <w:ind w:firstLine="656"/>
        <w:spacing w:after="0"/>
        <w:tabs>
          <w:tab w:leader="none" w:pos="1502" w:val="left"/>
        </w:tabs>
        <w:numPr>
          <w:ilvl w:val="0"/>
          <w:numId w:val="124"/>
        </w:numPr>
        <w:rPr>
          <w:rFonts w:ascii="Arial" w:cs="Arial" w:eastAsia="Arial" w:hAnsi="Arial"/>
          <w:sz w:val="22"/>
          <w:szCs w:val="22"/>
          <w:color w:val="auto"/>
        </w:rPr>
      </w:pPr>
      <w:r>
        <w:rPr>
          <w:rFonts w:ascii="Arial" w:cs="Arial" w:eastAsia="Arial" w:hAnsi="Arial"/>
          <w:sz w:val="22"/>
          <w:szCs w:val="22"/>
          <w:color w:val="auto"/>
        </w:rPr>
        <w:t>any gain (or loss), together with any related provisions for taxes on any such gain (or the tax effect of any such loss), realized during such period by the Company or any Restricted Subsidiary upon any asset sale by the Company or any Restricted Subsidiary,</w:t>
      </w:r>
    </w:p>
    <w:p>
      <w:pPr>
        <w:spacing w:after="0" w:line="213" w:lineRule="exact"/>
        <w:rPr>
          <w:rFonts w:ascii="Arial" w:cs="Arial" w:eastAsia="Arial" w:hAnsi="Arial"/>
          <w:sz w:val="22"/>
          <w:szCs w:val="22"/>
          <w:color w:val="auto"/>
        </w:rPr>
      </w:pPr>
    </w:p>
    <w:p>
      <w:pPr>
        <w:ind w:left="1580" w:hanging="924"/>
        <w:spacing w:after="0"/>
        <w:tabs>
          <w:tab w:leader="none" w:pos="1580" w:val="left"/>
        </w:tabs>
        <w:numPr>
          <w:ilvl w:val="0"/>
          <w:numId w:val="124"/>
        </w:numPr>
        <w:rPr>
          <w:rFonts w:ascii="Arial" w:cs="Arial" w:eastAsia="Arial" w:hAnsi="Arial"/>
          <w:sz w:val="19"/>
          <w:szCs w:val="19"/>
          <w:color w:val="auto"/>
        </w:rPr>
      </w:pPr>
      <w:r>
        <w:rPr>
          <w:rFonts w:ascii="Arial" w:cs="Arial" w:eastAsia="Arial" w:hAnsi="Arial"/>
          <w:sz w:val="19"/>
          <w:szCs w:val="19"/>
          <w:color w:val="auto"/>
        </w:rPr>
        <w:t>non-cash gains and losses due solely to fluctuations in currency values and the related tax effects according to</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GAAP,</w:t>
      </w:r>
    </w:p>
    <w:p>
      <w:pPr>
        <w:spacing w:after="0" w:line="215" w:lineRule="exact"/>
        <w:rPr>
          <w:rFonts w:ascii="Arial" w:cs="Arial" w:eastAsia="Arial" w:hAnsi="Arial"/>
          <w:sz w:val="19"/>
          <w:szCs w:val="19"/>
          <w:color w:val="auto"/>
        </w:rPr>
      </w:pPr>
    </w:p>
    <w:p>
      <w:pPr>
        <w:ind w:left="1440" w:hanging="784"/>
        <w:spacing w:after="0"/>
        <w:tabs>
          <w:tab w:leader="none" w:pos="144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non-cash gains and losses with respect to Hedging Agreements,</w:t>
      </w:r>
    </w:p>
    <w:p>
      <w:pPr>
        <w:spacing w:after="0" w:line="233" w:lineRule="exact"/>
        <w:rPr>
          <w:rFonts w:ascii="Arial" w:cs="Arial" w:eastAsia="Arial" w:hAnsi="Arial"/>
          <w:sz w:val="22"/>
          <w:szCs w:val="22"/>
          <w:color w:val="auto"/>
        </w:rPr>
      </w:pPr>
    </w:p>
    <w:p>
      <w:pPr>
        <w:ind w:left="1440" w:hanging="784"/>
        <w:spacing w:after="0"/>
        <w:tabs>
          <w:tab w:leader="none" w:pos="144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the cumulative effect of any change in accounting principles or policies,</w:t>
      </w:r>
    </w:p>
    <w:p>
      <w:pPr>
        <w:spacing w:after="0" w:line="233" w:lineRule="exact"/>
        <w:rPr>
          <w:rFonts w:ascii="Arial" w:cs="Arial" w:eastAsia="Arial" w:hAnsi="Arial"/>
          <w:sz w:val="22"/>
          <w:szCs w:val="22"/>
          <w:color w:val="auto"/>
        </w:rPr>
      </w:pPr>
    </w:p>
    <w:p>
      <w:pPr>
        <w:jc w:val="both"/>
        <w:ind w:firstLine="656"/>
        <w:spacing w:after="0" w:line="236" w:lineRule="auto"/>
        <w:tabs>
          <w:tab w:leader="none" w:pos="131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 xml:space="preserve">(A) any costs, expenses or charges (including advisory, legal and professional fees) related to any issuance of debt or equity, investments, acquisition, disposition, recapitalization or incurrence, amendment, waiver, modification, extinguishment or refinancing of any Indebtedness, whether or not consummated,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aggregate amount of all such costs, expenses and charges so excluded shall not exceed $20,000,000 in any fiscal year and (B) any costs, expenses or charges relating to the Transactions,</w:t>
      </w:r>
    </w:p>
    <w:p>
      <w:pPr>
        <w:spacing w:after="0" w:line="214" w:lineRule="exact"/>
        <w:rPr>
          <w:rFonts w:ascii="Arial" w:cs="Arial" w:eastAsia="Arial" w:hAnsi="Arial"/>
          <w:sz w:val="22"/>
          <w:szCs w:val="22"/>
          <w:color w:val="auto"/>
        </w:rPr>
      </w:pPr>
    </w:p>
    <w:p>
      <w:pPr>
        <w:jc w:val="both"/>
        <w:ind w:firstLine="656"/>
        <w:spacing w:after="0"/>
        <w:tabs>
          <w:tab w:leader="none" w:pos="1761" w:val="left"/>
        </w:tabs>
        <w:numPr>
          <w:ilvl w:val="0"/>
          <w:numId w:val="124"/>
        </w:numPr>
        <w:rPr>
          <w:rFonts w:ascii="Arial" w:cs="Arial" w:eastAsia="Arial" w:hAnsi="Arial"/>
          <w:sz w:val="22"/>
          <w:szCs w:val="22"/>
          <w:color w:val="auto"/>
        </w:rPr>
      </w:pPr>
      <w:r>
        <w:rPr>
          <w:rFonts w:ascii="Arial" w:cs="Arial" w:eastAsia="Arial" w:hAnsi="Arial"/>
          <w:sz w:val="22"/>
          <w:szCs w:val="22"/>
          <w:color w:val="auto"/>
        </w:rPr>
        <w:t>non-cash charges or expenses with respect to the grant of stock options, restricted stock or other equity compensation awards and the non-cash interest expense with respect to the equity component of any convertible or exchangeable debt security, and</w:t>
      </w:r>
    </w:p>
    <w:p>
      <w:pPr>
        <w:spacing w:after="0" w:line="213" w:lineRule="exact"/>
        <w:rPr>
          <w:rFonts w:ascii="Arial" w:cs="Arial" w:eastAsia="Arial" w:hAnsi="Arial"/>
          <w:sz w:val="22"/>
          <w:szCs w:val="22"/>
          <w:color w:val="auto"/>
        </w:rPr>
      </w:pPr>
    </w:p>
    <w:p>
      <w:pPr>
        <w:ind w:left="1440" w:hanging="784"/>
        <w:spacing w:after="0"/>
        <w:tabs>
          <w:tab w:leader="none" w:pos="144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goodwill write-downs or other non-cash impairments of assets.</w:t>
      </w:r>
    </w:p>
    <w:p>
      <w:pPr>
        <w:spacing w:after="0" w:line="23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Total Assets</w:t>
      </w:r>
      <w:r>
        <w:rPr>
          <w:rFonts w:ascii="Arial" w:cs="Arial" w:eastAsia="Arial" w:hAnsi="Arial"/>
          <w:sz w:val="19"/>
          <w:szCs w:val="19"/>
          <w:color w:val="auto"/>
        </w:rPr>
        <w:t>” means, with respect to any Person as of any date, the amount which, in accordance with GAAP, would be set forth under the caption “Total Assets” (or any like caption) on a consolidated balance sheet of such Person and its Restricted Subsidiaries determined in accordance with GAAP. Unless the context otherwise requires, “Consolidated Total Assets” refers to the Consolidated Total Assets of the Company and its Restricted Subsidiaries.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Control</w:t>
      </w:r>
      <w:r>
        <w:rPr>
          <w:rFonts w:ascii="Arial" w:cs="Arial" w:eastAsia="Arial" w:hAnsi="Arial"/>
          <w:sz w:val="21"/>
          <w:szCs w:val="21"/>
          <w:color w:val="auto"/>
        </w:rPr>
        <w:t>” means the possession, directly or indirectly, of the power to direct or cause the direction of the management or policies, or the dismissal or appointment of the management, of a Person, whether through the ability to exercise voting power, by contract or otherwise. “</w:t>
      </w:r>
      <w:r>
        <w:rPr>
          <w:rFonts w:ascii="Arial" w:cs="Arial" w:eastAsia="Arial" w:hAnsi="Arial"/>
          <w:sz w:val="21"/>
          <w:szCs w:val="21"/>
          <w:u w:val="single" w:color="auto"/>
          <w:color w:val="auto"/>
        </w:rPr>
        <w:t>Controlling</w:t>
      </w:r>
      <w:r>
        <w:rPr>
          <w:rFonts w:ascii="Arial" w:cs="Arial" w:eastAsia="Arial" w:hAnsi="Arial"/>
          <w:sz w:val="21"/>
          <w:szCs w:val="21"/>
          <w:color w:val="auto"/>
        </w:rPr>
        <w:t>” and “</w:t>
      </w:r>
      <w:r>
        <w:rPr>
          <w:rFonts w:ascii="Arial" w:cs="Arial" w:eastAsia="Arial" w:hAnsi="Arial"/>
          <w:sz w:val="21"/>
          <w:szCs w:val="21"/>
          <w:u w:val="single" w:color="auto"/>
          <w:color w:val="auto"/>
        </w:rPr>
        <w:t>Controlled</w:t>
      </w:r>
      <w:r>
        <w:rPr>
          <w:rFonts w:ascii="Arial" w:cs="Arial" w:eastAsia="Arial" w:hAnsi="Arial"/>
          <w:sz w:val="21"/>
          <w:szCs w:val="21"/>
          <w:color w:val="auto"/>
        </w:rPr>
        <w:t>” have meanings correlative thereto.</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3" w:name="page204"/>
    <w:bookmarkEnd w:id="203"/>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Corresponding Tenor</w:t>
      </w:r>
      <w:r>
        <w:rPr>
          <w:rFonts w:ascii="Arial" w:cs="Arial" w:eastAsia="Arial" w:hAnsi="Arial"/>
          <w:sz w:val="22"/>
          <w:szCs w:val="22"/>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Party</w:t>
      </w:r>
      <w:r>
        <w:rPr>
          <w:rFonts w:ascii="Arial" w:cs="Arial" w:eastAsia="Arial" w:hAnsi="Arial"/>
          <w:sz w:val="22"/>
          <w:szCs w:val="22"/>
          <w:color w:val="auto"/>
        </w:rPr>
        <w:t>” means the Administrative Agent, each Issuing Bank and each other Lender.</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“CTA</w:t>
      </w:r>
      <w:r>
        <w:rPr>
          <w:rFonts w:ascii="Arial" w:cs="Arial" w:eastAsia="Arial" w:hAnsi="Arial"/>
          <w:sz w:val="22"/>
          <w:szCs w:val="22"/>
          <w:color w:val="auto"/>
        </w:rPr>
        <w:t>” means the UK Corporation Tax Act 2009.</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Daily Simple ESTR</w:t>
      </w:r>
      <w:r>
        <w:rPr>
          <w:rFonts w:ascii="Arial" w:cs="Arial" w:eastAsia="Arial" w:hAnsi="Arial"/>
          <w:sz w:val="22"/>
          <w:szCs w:val="22"/>
          <w:color w:val="auto"/>
        </w:rPr>
        <w:t xml:space="preserve">” means, for any day, ESTR, with the conventions for this rate (which may include a lookback) being established by the Administrative Agent in accordance with the conventions for this rate selected or recommended by the Relevant Governmental Body for determining “Daily Simple ESTR” for business loans;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the Administrative Agent decides that any such convention is not administratively feasible for the Administrative Agent, then the Administrative Agent may establish another convention in its reasonable discretion.</w:t>
      </w:r>
    </w:p>
    <w:p>
      <w:pPr>
        <w:spacing w:after="0" w:line="21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Daily Simple SOFR</w:t>
      </w:r>
      <w:r>
        <w:rPr>
          <w:rFonts w:ascii="Arial" w:cs="Arial" w:eastAsia="Arial" w:hAnsi="Arial"/>
          <w:sz w:val="22"/>
          <w:szCs w:val="22"/>
          <w:color w:val="auto"/>
        </w:rPr>
        <w:t xml:space="preserve">” means, for any day, SOFR, with the conventions for this rate (which will include a lookback) being established by the Administrative Agent in accordance with the conventions for this rate selected or recommended by the Relevant Governmental Body for determining “Daily Simple SOFR” for business loans;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the Administrative Agent decides that any such convention is not administratively feasible for the Administrative Agent, then the Administrative Agent may establish another convention in its reasonable discretion.</w:t>
      </w:r>
    </w:p>
    <w:p>
      <w:pPr>
        <w:spacing w:after="0" w:line="21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Daily Simple SONIA</w:t>
      </w:r>
      <w:r>
        <w:rPr>
          <w:rFonts w:ascii="Arial" w:cs="Arial" w:eastAsia="Arial" w:hAnsi="Arial"/>
          <w:sz w:val="22"/>
          <w:szCs w:val="22"/>
          <w:color w:val="auto"/>
        </w:rPr>
        <w:t xml:space="preserve">” means, for any day, SONIA, with the conventions for this rate (which will include a lookback) being established by the Administrative Agent in accordance with the conventions for this rate selected or recommended by the Relevant Governmental Body for determining “Daily Simple SONIA” for business loans;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the Administrative Agent decides that any such convention is not administratively feasible for the Administrative Agent, then the Administrative Agent may establish another convention in its reasonable discretion.</w:t>
      </w:r>
    </w:p>
    <w:p>
      <w:pPr>
        <w:spacing w:after="0" w:line="21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Debtor Relief Laws</w:t>
      </w:r>
      <w:r>
        <w:rPr>
          <w:rFonts w:ascii="Arial" w:cs="Arial" w:eastAsia="Arial" w:hAnsi="Arial"/>
          <w:sz w:val="21"/>
          <w:szCs w:val="21"/>
          <w:color w:val="auto"/>
        </w:rPr>
        <w:t>” means the Bankruptcy Code, UK Insolvency Act, UK Corporate Insolvency and Governance Act 2020 and all other liquidation, conservatorship, bankruptcy, assignment for the benefit of creditors, moratorium, rearrangement, receivership, insolvency, reorganization, restructuring, restructuring plan or similar debtor relief laws of the United States, the United Kingdom or other applicable jurisdictions from time to time in effect.</w:t>
      </w:r>
    </w:p>
    <w:p>
      <w:pPr>
        <w:spacing w:after="0" w:line="20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w:t>
      </w:r>
      <w:r>
        <w:rPr>
          <w:rFonts w:ascii="Arial" w:cs="Arial" w:eastAsia="Arial" w:hAnsi="Arial"/>
          <w:sz w:val="22"/>
          <w:szCs w:val="22"/>
          <w:color w:val="auto"/>
        </w:rPr>
        <w:t>” means any event or condition that constitutes an Event of Default or that upon notice, lapse of time or both would, unless cured or waived, constitute an Event of Default.</w:t>
      </w:r>
    </w:p>
    <w:p>
      <w:pPr>
        <w:spacing w:after="0" w:line="20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Defaulting Lender</w:t>
      </w:r>
      <w:r>
        <w:rPr>
          <w:rFonts w:ascii="Arial" w:cs="Arial" w:eastAsia="Arial" w:hAnsi="Arial"/>
          <w:sz w:val="19"/>
          <w:szCs w:val="19"/>
          <w:color w:val="auto"/>
        </w:rPr>
        <w:t xml:space="preserve">” means any Lender that (a) has failed, within two Business Days of the date required to be funded or paid, to (i) fund any portion of its Loans, (ii) fund any portion of its participations in Letters of Credit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Company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Business Days after request by a Credit Party, acting in good faith, to provide a certification in writing from an authorized officer of such Lender that it will comply with its obligations (and is financially able to meet such obligations as of the date of certification) to fund prospective Loans and participations in then outstanding Letters of Credit under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Lender shall cease to be a Defaulting Lender pursuant to this clause (c) upon the receipt by such Credit Party of such certification in form and substance satisfactory to it and the Administrative Agent, or (d) has become the subject of (i) a Bankruptcy Event or (ii) a Bail-In Action.</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4" w:name="page205"/>
    <w:bookmarkEnd w:id="204"/>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Designated Non-Cash Consideration</w:t>
      </w:r>
      <w:r>
        <w:rPr>
          <w:rFonts w:ascii="Arial" w:cs="Arial" w:eastAsia="Arial" w:hAnsi="Arial"/>
          <w:sz w:val="22"/>
          <w:szCs w:val="22"/>
          <w:color w:val="auto"/>
        </w:rPr>
        <w:t xml:space="preserve">” means the fair market value of non-cash consideration received by either Borrower or any Restricted Subsidiary in connection with a disposition pursuant to </w:t>
      </w:r>
      <w:r>
        <w:rPr>
          <w:rFonts w:ascii="Arial" w:cs="Arial" w:eastAsia="Arial" w:hAnsi="Arial"/>
          <w:sz w:val="22"/>
          <w:szCs w:val="22"/>
          <w:u w:val="single" w:color="auto"/>
          <w:color w:val="auto"/>
        </w:rPr>
        <w:t>Section 6.05</w:t>
      </w:r>
      <w:r>
        <w:rPr>
          <w:rFonts w:ascii="Arial" w:cs="Arial" w:eastAsia="Arial" w:hAnsi="Arial"/>
          <w:sz w:val="22"/>
          <w:szCs w:val="22"/>
          <w:color w:val="auto"/>
        </w:rPr>
        <w:t xml:space="preserve"> that is designated as Designated Non-Cash Consideration pursuant to a certificate of an executive officer, setting forth the basis of such valuation (which amount will be reduced by the fair market value of the portion of the non-cash consideration converted to cash within 180 days following the consummation of such disposition).</w:t>
      </w:r>
    </w:p>
    <w:p>
      <w:pPr>
        <w:spacing w:after="0" w:line="21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Disqualified Equity Interest</w:t>
      </w:r>
      <w:r>
        <w:rPr>
          <w:rFonts w:ascii="Arial" w:cs="Arial" w:eastAsia="Arial" w:hAnsi="Arial"/>
          <w:sz w:val="19"/>
          <w:szCs w:val="19"/>
          <w:color w:val="auto"/>
        </w:rPr>
        <w:t xml:space="preserve">” means any Equity Interest that (a) matures or is mandatorily redeemable (other than solely for Qualified Equity Interests) or subject to mandatory repurchase or redemption or repurchase at the option of the holders thereof, in each case in whole or in part and whether upon the occurrence of any event, pursuant to a sinking fund obligation on a fixed date or otherwise, prior to the date that is 91 days after the Maturity Date, other than (i) upon payment in full of the Loan Document Obligations, reduction of the LC Exposure to zero and termination of the Commitments or (ii) upon a “change in control” or asset sale or casualty or condemnation event;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payment required pursuant to this clause (ii) shall be subject to the prior repayment in full of the Loans or the terms of such Equity Interest shall provide that a Person may not repurchase such Equity Interest unless such Person would be permitted to do so in compliance with </w:t>
      </w:r>
      <w:r>
        <w:rPr>
          <w:rFonts w:ascii="Arial" w:cs="Arial" w:eastAsia="Arial" w:hAnsi="Arial"/>
          <w:sz w:val="19"/>
          <w:szCs w:val="19"/>
          <w:u w:val="single" w:color="auto"/>
          <w:color w:val="auto"/>
        </w:rPr>
        <w:t>Section 6.08</w:t>
      </w:r>
      <w:r>
        <w:rPr>
          <w:rFonts w:ascii="Arial" w:cs="Arial" w:eastAsia="Arial" w:hAnsi="Arial"/>
          <w:sz w:val="19"/>
          <w:szCs w:val="19"/>
          <w:color w:val="auto"/>
        </w:rPr>
        <w:t xml:space="preserve"> or (b) is convertible or exchangeable, automatically or at the option of any holder thereof, into (i) any Indebtedness (other than any Indebtedness described in clause (j) of the definition thereof) or (ii) any Equity Interests or other assets other than Qualified Equity Interests, in each case at any time prior to the date that is 91 days after the Maturity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an Equity Interest in any Person that is issued to any employee or to any plan for the benefit of employees or by any such plan to such employees shall not constitute a Disqualified Equity Interest solely because it may be required to be repurchased by such Person or any of its subsidiaries in order to satisfy applicable statutory or regulatory obligations or as a result of such employee’s termination, death or disability and (y) any Equity Interest that would constitute a Disqualified Equity Interest solely as a result of a redemption feature that is conditioned upon, or subject to, compliance with </w:t>
      </w:r>
      <w:r>
        <w:rPr>
          <w:rFonts w:ascii="Arial" w:cs="Arial" w:eastAsia="Arial" w:hAnsi="Arial"/>
          <w:sz w:val="19"/>
          <w:szCs w:val="19"/>
          <w:u w:val="single" w:color="auto"/>
          <w:color w:val="auto"/>
        </w:rPr>
        <w:t>Section 6.08</w:t>
      </w:r>
      <w:r>
        <w:rPr>
          <w:rFonts w:ascii="Arial" w:cs="Arial" w:eastAsia="Arial" w:hAnsi="Arial"/>
          <w:sz w:val="19"/>
          <w:szCs w:val="19"/>
          <w:color w:val="auto"/>
        </w:rPr>
        <w:t xml:space="preserve"> shall not constitute a Disqualified Equity Interest.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5" w:name="page206"/>
    <w:bookmarkEnd w:id="205"/>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Disqualified Institutions</w:t>
      </w:r>
      <w:r>
        <w:rPr>
          <w:rFonts w:ascii="Arial" w:cs="Arial" w:eastAsia="Arial" w:hAnsi="Arial"/>
          <w:sz w:val="19"/>
          <w:szCs w:val="19"/>
          <w:color w:val="auto"/>
        </w:rPr>
        <w:t>” means those Persons (the list of all such Persons, the “</w:t>
      </w:r>
      <w:r>
        <w:rPr>
          <w:rFonts w:ascii="Arial" w:cs="Arial" w:eastAsia="Arial" w:hAnsi="Arial"/>
          <w:sz w:val="19"/>
          <w:szCs w:val="19"/>
          <w:u w:val="single" w:color="auto"/>
          <w:color w:val="auto"/>
        </w:rPr>
        <w:t>Disqualified Institutions List</w:t>
      </w:r>
      <w:r>
        <w:rPr>
          <w:rFonts w:ascii="Arial" w:cs="Arial" w:eastAsia="Arial" w:hAnsi="Arial"/>
          <w:sz w:val="19"/>
          <w:szCs w:val="19"/>
          <w:color w:val="auto"/>
        </w:rPr>
        <w:t>”) that are</w:t>
      </w:r>
    </w:p>
    <w:p>
      <w:pPr>
        <w:spacing w:after="0" w:line="43" w:lineRule="exact"/>
        <w:rPr>
          <w:sz w:val="20"/>
          <w:szCs w:val="20"/>
          <w:color w:val="auto"/>
        </w:rPr>
      </w:pPr>
    </w:p>
    <w:p>
      <w:pPr>
        <w:jc w:val="both"/>
        <w:ind w:firstLine="8"/>
        <w:spacing w:after="0" w:line="269" w:lineRule="auto"/>
        <w:tabs>
          <w:tab w:leader="none" w:pos="301" w:val="left"/>
        </w:tabs>
        <w:numPr>
          <w:ilvl w:val="0"/>
          <w:numId w:val="125"/>
        </w:numPr>
        <w:rPr>
          <w:rFonts w:ascii="Arial" w:cs="Arial" w:eastAsia="Arial" w:hAnsi="Arial"/>
          <w:sz w:val="19"/>
          <w:szCs w:val="19"/>
          <w:color w:val="auto"/>
        </w:rPr>
      </w:pPr>
      <w:r>
        <w:rPr>
          <w:rFonts w:ascii="Arial" w:cs="Arial" w:eastAsia="Arial" w:hAnsi="Arial"/>
          <w:sz w:val="19"/>
          <w:szCs w:val="19"/>
          <w:color w:val="auto"/>
        </w:rPr>
        <w:t xml:space="preserve">reasonably determined by the Company to be direct competitors of the Company or any of its Subsidiaries that are identified in writing by the Company on a Disqualified Institutions List delivered after the Effective Date and from time to time thereafter in a supplement to the Disqualified Institutions List or (b) Affiliates of such Persons set forth in clause (a) other than any Bona Fide Debt Fund) that are either (i) identified in writing by the Company from time to time in a supplement to the Disqualified Institutions List or (ii) clearly identifiable solely on the basis of the similarity of such Affiliate’s name;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Persons are identified as Disqualified Institutions in a written list or supplement thereto delivered by the Company after the Effective Date, the inclusion of such Persons as Disqualified Institutions shall not retroactively apply to disqualify any Person that has previously acquired an assignment or participation interest in any Loans or entered into a trade for either of the foregoing. Notwithstanding the foregoing, the Company, by written notice to the Administrative Agent, may from time to time in its sole discretion remove any Person from the Disqualified Institutions List (or otherwise modify such list to exclude any particular Person), and such Person removed or excluded from the Disqualified Institutions List shall no longer be a Disqualified Institution for any purpose under this Agreement or any other Loan Document, unless subsequently identified in writing in accordance with this definition. The Company shall deliver the Disqualified Institutions List and any updates, supplements or modifications thereto to </w:t>
      </w:r>
      <w:r>
        <w:rPr>
          <w:rFonts w:ascii="Arial" w:cs="Arial" w:eastAsia="Arial" w:hAnsi="Arial"/>
          <w:sz w:val="19"/>
          <w:szCs w:val="19"/>
          <w:u w:val="single" w:color="auto"/>
          <w:color w:val="auto"/>
        </w:rPr>
        <w:t>JPMDQ_Contact@jpmorgan.com</w:t>
      </w:r>
      <w:r>
        <w:rPr>
          <w:rFonts w:ascii="Arial" w:cs="Arial" w:eastAsia="Arial" w:hAnsi="Arial"/>
          <w:sz w:val="19"/>
          <w:szCs w:val="19"/>
          <w:color w:val="auto"/>
        </w:rPr>
        <w:t xml:space="preserve"> and any such updates, supplements or modifications thereto shall only become effective three (3) Business Days after such update, supplement or modification has been sent to such email address. In the event the Disqualified Institutions List is not delivered in accordance with the foregoing, it shall be deemed not received and not effective.</w:t>
      </w:r>
    </w:p>
    <w:p>
      <w:pPr>
        <w:spacing w:after="0" w:line="200" w:lineRule="exact"/>
        <w:rPr>
          <w:sz w:val="20"/>
          <w:szCs w:val="20"/>
          <w:color w:val="auto"/>
        </w:rPr>
      </w:pPr>
    </w:p>
    <w:p>
      <w:pPr>
        <w:spacing w:after="0" w:line="23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Disqualified Institutions List</w:t>
      </w:r>
      <w:r>
        <w:rPr>
          <w:rFonts w:ascii="Arial" w:cs="Arial" w:eastAsia="Arial" w:hAnsi="Arial"/>
          <w:sz w:val="22"/>
          <w:szCs w:val="22"/>
          <w:color w:val="auto"/>
        </w:rPr>
        <w:t>” has the meaning as set forth in the definition of “Disqualified Institutions.”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Distribution</w:t>
      </w:r>
      <w:r>
        <w:rPr>
          <w:rFonts w:ascii="Arial" w:cs="Arial" w:eastAsia="Arial" w:hAnsi="Arial"/>
          <w:sz w:val="22"/>
          <w:szCs w:val="22"/>
          <w:color w:val="auto"/>
        </w:rPr>
        <w:t>” has the meaning as set forth in the definition of “Spinoff.”</w:t>
      </w:r>
    </w:p>
    <w:p>
      <w:pPr>
        <w:spacing w:after="0" w:line="233"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Distribution Agreement</w:t>
      </w:r>
      <w:r>
        <w:rPr>
          <w:rFonts w:ascii="Arial" w:cs="Arial" w:eastAsia="Arial" w:hAnsi="Arial"/>
          <w:sz w:val="22"/>
          <w:szCs w:val="22"/>
          <w:color w:val="auto"/>
        </w:rPr>
        <w:t>” means the Separation and Distribution Agreement between Technip Energies and the Company, dated January 7, 2021.</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Documentation Agent</w:t>
      </w:r>
      <w:r>
        <w:rPr>
          <w:rFonts w:ascii="Arial" w:cs="Arial" w:eastAsia="Arial" w:hAnsi="Arial"/>
          <w:sz w:val="22"/>
          <w:szCs w:val="22"/>
          <w:color w:val="auto"/>
        </w:rPr>
        <w:t>” means Standard Chartered Bank.</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Dofcon Brasil</w:t>
      </w:r>
      <w:r>
        <w:rPr>
          <w:rFonts w:ascii="Arial" w:cs="Arial" w:eastAsia="Arial" w:hAnsi="Arial"/>
          <w:sz w:val="22"/>
          <w:szCs w:val="22"/>
          <w:color w:val="auto"/>
        </w:rPr>
        <w:t>” means a joint venture arrangement between (a) Technip Coflexip Norge AS, a Subsidiary of the Company as of the Effective Date and (b) Dof ASA.</w:t>
      </w:r>
    </w:p>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Dofcon Navegação</w:t>
      </w:r>
      <w:r>
        <w:rPr>
          <w:rFonts w:ascii="Arial" w:cs="Arial" w:eastAsia="Arial" w:hAnsi="Arial"/>
          <w:sz w:val="22"/>
          <w:szCs w:val="22"/>
          <w:color w:val="auto"/>
        </w:rPr>
        <w:t>” means Dofcon Navegação Ltda., a Brazilian joint venture arrangement owned by (a) Dofcon Brasil and (b) Technip Offshore International SAS, a Subsidiary of the Company as of the Effective Date, which holds the Vessels Skandi Vitoria, Skandi Niteroi, Skandi Recife and Skandi Olinda as of the Effective Date.</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dollars</w:t>
      </w:r>
      <w:r>
        <w:rPr>
          <w:rFonts w:ascii="Arial" w:cs="Arial" w:eastAsia="Arial" w:hAnsi="Arial"/>
          <w:sz w:val="22"/>
          <w:szCs w:val="22"/>
          <w:color w:val="auto"/>
        </w:rPr>
        <w:t>” or “</w:t>
      </w:r>
      <w:r>
        <w:rPr>
          <w:rFonts w:ascii="Arial" w:cs="Arial" w:eastAsia="Arial" w:hAnsi="Arial"/>
          <w:sz w:val="22"/>
          <w:szCs w:val="22"/>
          <w:u w:val="single" w:color="auto"/>
          <w:color w:val="auto"/>
        </w:rPr>
        <w:t>$</w:t>
      </w:r>
      <w:r>
        <w:rPr>
          <w:rFonts w:ascii="Arial" w:cs="Arial" w:eastAsia="Arial" w:hAnsi="Arial"/>
          <w:sz w:val="22"/>
          <w:szCs w:val="22"/>
          <w:color w:val="auto"/>
        </w:rPr>
        <w:t>” refers to lawful money of the United States of America.</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 Equivalent</w:t>
      </w:r>
      <w:r>
        <w:rPr>
          <w:rFonts w:ascii="Arial" w:cs="Arial" w:eastAsia="Arial" w:hAnsi="Arial"/>
          <w:sz w:val="22"/>
          <w:szCs w:val="22"/>
          <w:color w:val="auto"/>
        </w:rPr>
        <w:t xml:space="preserve">” means, at any time, (a) with respect to any amount denominated in dollars, such amount and (b) with respect to any amount denominated in any Alternative Currency, the equivalent amount thereof in dollars at such time as determined in accordance with </w:t>
      </w:r>
      <w:r>
        <w:rPr>
          <w:rFonts w:ascii="Arial" w:cs="Arial" w:eastAsia="Arial" w:hAnsi="Arial"/>
          <w:sz w:val="22"/>
          <w:szCs w:val="22"/>
          <w:u w:val="single" w:color="auto"/>
          <w:color w:val="auto"/>
        </w:rPr>
        <w:t>Section 1.06(a)</w:t>
      </w:r>
      <w:r>
        <w:rPr>
          <w:rFonts w:ascii="Arial" w:cs="Arial" w:eastAsia="Arial" w:hAnsi="Arial"/>
          <w:sz w:val="22"/>
          <w:szCs w:val="22"/>
          <w:color w:val="auto"/>
        </w:rPr>
        <w:t>.</w:t>
      </w:r>
    </w:p>
    <w:p>
      <w:pPr>
        <w:spacing w:after="0" w:line="213"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Dutch Financial Supervision Act”</w:t>
      </w:r>
      <w:r>
        <w:rPr>
          <w:rFonts w:ascii="Arial" w:cs="Arial" w:eastAsia="Arial" w:hAnsi="Arial"/>
          <w:sz w:val="22"/>
          <w:szCs w:val="22"/>
          <w:color w:val="auto"/>
        </w:rPr>
        <w:t xml:space="preserve"> means the Dutch Financial Supervision Act (</w:t>
      </w:r>
      <w:r>
        <w:rPr>
          <w:rFonts w:ascii="Arial" w:cs="Arial" w:eastAsia="Arial" w:hAnsi="Arial"/>
          <w:sz w:val="22"/>
          <w:szCs w:val="22"/>
          <w:i w:val="1"/>
          <w:iCs w:val="1"/>
          <w:color w:val="auto"/>
        </w:rPr>
        <w:t>Wet op het financieel toezicht</w:t>
      </w:r>
      <w:r>
        <w:rPr>
          <w:rFonts w:ascii="Arial" w:cs="Arial" w:eastAsia="Arial" w:hAnsi="Arial"/>
          <w:sz w:val="22"/>
          <w:szCs w:val="22"/>
          <w:color w:val="auto"/>
        </w:rPr>
        <w:t>) and the rules and regulations promulgated thereunder.</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Dutch Loan Party</w:t>
      </w:r>
      <w:r>
        <w:rPr>
          <w:rFonts w:ascii="Arial" w:cs="Arial" w:eastAsia="Arial" w:hAnsi="Arial"/>
          <w:sz w:val="22"/>
          <w:szCs w:val="22"/>
          <w:color w:val="auto"/>
        </w:rPr>
        <w:t>” means, a Loan Party incorporated or organized under the laws of the Netherlands.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6" w:name="page207"/>
    <w:bookmarkEnd w:id="206"/>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Early Opt-in Election</w:t>
      </w:r>
      <w:r>
        <w:rPr>
          <w:rFonts w:ascii="Arial" w:cs="Arial" w:eastAsia="Arial" w:hAnsi="Arial"/>
          <w:sz w:val="22"/>
          <w:szCs w:val="22"/>
          <w:color w:val="auto"/>
        </w:rPr>
        <w:t>” means, with respect to any Agreed Currency, the occurrence of:</w:t>
      </w:r>
    </w:p>
    <w:p>
      <w:pPr>
        <w:spacing w:after="0" w:line="234" w:lineRule="exact"/>
        <w:rPr>
          <w:sz w:val="20"/>
          <w:szCs w:val="20"/>
          <w:color w:val="auto"/>
        </w:rPr>
      </w:pPr>
    </w:p>
    <w:p>
      <w:pPr>
        <w:jc w:val="both"/>
        <w:ind w:firstLine="656"/>
        <w:spacing w:after="0" w:line="236" w:lineRule="auto"/>
        <w:tabs>
          <w:tab w:leader="none" w:pos="1764" w:val="left"/>
        </w:tabs>
        <w:numPr>
          <w:ilvl w:val="0"/>
          <w:numId w:val="126"/>
        </w:numPr>
        <w:rPr>
          <w:rFonts w:ascii="Arial" w:cs="Arial" w:eastAsia="Arial" w:hAnsi="Arial"/>
          <w:sz w:val="22"/>
          <w:szCs w:val="22"/>
          <w:color w:val="auto"/>
        </w:rPr>
      </w:pPr>
      <w:r>
        <w:rPr>
          <w:rFonts w:ascii="Arial" w:cs="Arial" w:eastAsia="Arial" w:hAnsi="Arial"/>
          <w:sz w:val="22"/>
          <w:szCs w:val="22"/>
          <w:color w:val="auto"/>
        </w:rPr>
        <w:t xml:space="preserve">(i) a determination by the Administrative Agent or (ii) a notification by the Required Lenders to the Administrative Agent (with a copy to the Company) that the Required Lenders have determined that syndicated credit facilities denominated in the applicable Agreed Currency being executed at such time, or that include language similar to that contained in </w:t>
      </w:r>
      <w:r>
        <w:rPr>
          <w:rFonts w:ascii="Arial" w:cs="Arial" w:eastAsia="Arial" w:hAnsi="Arial"/>
          <w:sz w:val="22"/>
          <w:szCs w:val="22"/>
          <w:u w:val="single" w:color="auto"/>
          <w:color w:val="auto"/>
        </w:rPr>
        <w:t>Section 2.14</w:t>
      </w:r>
      <w:r>
        <w:rPr>
          <w:rFonts w:ascii="Arial" w:cs="Arial" w:eastAsia="Arial" w:hAnsi="Arial"/>
          <w:sz w:val="22"/>
          <w:szCs w:val="22"/>
          <w:color w:val="auto"/>
        </w:rPr>
        <w:t xml:space="preserve"> are being executed or amended, as applicable, to incorporate or adopt a new benchmark interest rate to replace the Relevant Rate, and</w:t>
      </w:r>
    </w:p>
    <w:p>
      <w:pPr>
        <w:spacing w:after="0" w:line="214" w:lineRule="exact"/>
        <w:rPr>
          <w:rFonts w:ascii="Arial" w:cs="Arial" w:eastAsia="Arial" w:hAnsi="Arial"/>
          <w:sz w:val="22"/>
          <w:szCs w:val="22"/>
          <w:color w:val="auto"/>
        </w:rPr>
      </w:pPr>
    </w:p>
    <w:p>
      <w:pPr>
        <w:jc w:val="both"/>
        <w:ind w:firstLine="656"/>
        <w:spacing w:after="0" w:line="238" w:lineRule="auto"/>
        <w:tabs>
          <w:tab w:leader="none" w:pos="1455" w:val="left"/>
        </w:tabs>
        <w:numPr>
          <w:ilvl w:val="0"/>
          <w:numId w:val="126"/>
        </w:numPr>
        <w:rPr>
          <w:rFonts w:ascii="Arial" w:cs="Arial" w:eastAsia="Arial" w:hAnsi="Arial"/>
          <w:sz w:val="22"/>
          <w:szCs w:val="22"/>
          <w:color w:val="auto"/>
        </w:rPr>
      </w:pPr>
      <w:r>
        <w:rPr>
          <w:rFonts w:ascii="Arial" w:cs="Arial" w:eastAsia="Arial" w:hAnsi="Arial"/>
          <w:sz w:val="22"/>
          <w:szCs w:val="22"/>
          <w:color w:val="auto"/>
        </w:rPr>
        <w:t>(i) the election by the Administrative Agent or (ii) the election by the Required Lenders to declare that an Early Opt-in Election for such Agreed Currency has occurred and the provision, as applicable, by the Administrative Agent of written notice of such election to the Company and the Lenders or by the Required Lenders of written notice of such election to the Administrative Agent.</w:t>
      </w:r>
    </w:p>
    <w:p>
      <w:pPr>
        <w:spacing w:after="0" w:line="21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Financial Institution</w:t>
      </w:r>
      <w:r>
        <w:rPr>
          <w:rFonts w:ascii="Arial" w:cs="Arial" w:eastAsia="Arial" w:hAnsi="Arial"/>
          <w:sz w:val="22"/>
          <w:szCs w:val="22"/>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Member Country</w:t>
      </w:r>
      <w:r>
        <w:rPr>
          <w:rFonts w:ascii="Arial" w:cs="Arial" w:eastAsia="Arial" w:hAnsi="Arial"/>
          <w:sz w:val="19"/>
          <w:szCs w:val="19"/>
          <w:color w:val="auto"/>
        </w:rPr>
        <w:t>” means any of the member states of the European Union, Iceland, Liechtenstein, and Norway.</w:t>
      </w:r>
    </w:p>
    <w:p>
      <w:pPr>
        <w:spacing w:after="0" w:line="26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Resolution Authority</w:t>
      </w:r>
      <w:r>
        <w:rPr>
          <w:rFonts w:ascii="Arial" w:cs="Arial" w:eastAsia="Arial" w:hAnsi="Arial"/>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Date</w:t>
      </w:r>
      <w:r>
        <w:rPr>
          <w:rFonts w:ascii="Arial" w:cs="Arial" w:eastAsia="Arial" w:hAnsi="Arial"/>
          <w:sz w:val="22"/>
          <w:szCs w:val="22"/>
          <w:color w:val="auto"/>
        </w:rPr>
        <w:t xml:space="preserve">” means the date on which the conditions specified in </w:t>
      </w:r>
      <w:r>
        <w:rPr>
          <w:rFonts w:ascii="Arial" w:cs="Arial" w:eastAsia="Arial" w:hAnsi="Arial"/>
          <w:sz w:val="22"/>
          <w:szCs w:val="22"/>
          <w:u w:val="single" w:color="auto"/>
          <w:color w:val="auto"/>
        </w:rPr>
        <w:t>Section 4.01</w:t>
      </w:r>
      <w:r>
        <w:rPr>
          <w:rFonts w:ascii="Arial" w:cs="Arial" w:eastAsia="Arial" w:hAnsi="Arial"/>
          <w:sz w:val="22"/>
          <w:szCs w:val="22"/>
          <w:color w:val="auto"/>
        </w:rPr>
        <w:t xml:space="preserve"> are satisfied (or waived in accordance with </w:t>
      </w:r>
      <w:r>
        <w:rPr>
          <w:rFonts w:ascii="Arial" w:cs="Arial" w:eastAsia="Arial" w:hAnsi="Arial"/>
          <w:sz w:val="22"/>
          <w:szCs w:val="22"/>
          <w:u w:val="single" w:color="auto"/>
          <w:color w:val="auto"/>
        </w:rPr>
        <w:t>Section 9.02</w:t>
      </w:r>
      <w:r>
        <w:rPr>
          <w:rFonts w:ascii="Arial" w:cs="Arial" w:eastAsia="Arial" w:hAnsi="Arial"/>
          <w:sz w:val="22"/>
          <w:szCs w:val="22"/>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Date Refinanced Debt</w:t>
      </w:r>
      <w:r>
        <w:rPr>
          <w:rFonts w:ascii="Arial" w:cs="Arial" w:eastAsia="Arial" w:hAnsi="Arial"/>
          <w:sz w:val="22"/>
          <w:szCs w:val="22"/>
          <w:color w:val="auto"/>
        </w:rPr>
        <w:t>” means:</w:t>
      </w:r>
    </w:p>
    <w:p>
      <w:pPr>
        <w:spacing w:after="0" w:line="233" w:lineRule="exact"/>
        <w:rPr>
          <w:sz w:val="20"/>
          <w:szCs w:val="20"/>
          <w:color w:val="auto"/>
        </w:rPr>
      </w:pPr>
    </w:p>
    <w:p>
      <w:pPr>
        <w:ind w:right="20" w:firstLine="656"/>
        <w:spacing w:after="0" w:line="250" w:lineRule="auto"/>
        <w:tabs>
          <w:tab w:leader="none" w:pos="1399" w:val="left"/>
        </w:tabs>
        <w:numPr>
          <w:ilvl w:val="0"/>
          <w:numId w:val="127"/>
        </w:numPr>
        <w:rPr>
          <w:rFonts w:ascii="Arial" w:cs="Arial" w:eastAsia="Arial" w:hAnsi="Arial"/>
          <w:sz w:val="22"/>
          <w:szCs w:val="22"/>
          <w:color w:val="auto"/>
        </w:rPr>
      </w:pPr>
      <w:r>
        <w:rPr>
          <w:rFonts w:ascii="Arial" w:cs="Arial" w:eastAsia="Arial" w:hAnsi="Arial"/>
          <w:sz w:val="22"/>
          <w:szCs w:val="22"/>
          <w:color w:val="auto"/>
        </w:rPr>
        <w:t>$1,050,000,000 aggregate principal amount equivalent in a combination of U.S. dollars and British pounds of the Company’s and the U.S. Borrower’s commercial paper plus accrued and unpaid interest thereon;</w:t>
      </w:r>
    </w:p>
    <w:p>
      <w:pPr>
        <w:spacing w:after="0" w:line="201" w:lineRule="exact"/>
        <w:rPr>
          <w:rFonts w:ascii="Arial" w:cs="Arial" w:eastAsia="Arial" w:hAnsi="Arial"/>
          <w:sz w:val="22"/>
          <w:szCs w:val="22"/>
          <w:color w:val="auto"/>
        </w:rPr>
      </w:pPr>
    </w:p>
    <w:p>
      <w:pPr>
        <w:ind w:right="20" w:firstLine="656"/>
        <w:spacing w:after="0" w:line="274" w:lineRule="auto"/>
        <w:tabs>
          <w:tab w:leader="none" w:pos="1442" w:val="left"/>
        </w:tabs>
        <w:numPr>
          <w:ilvl w:val="0"/>
          <w:numId w:val="127"/>
        </w:numPr>
        <w:rPr>
          <w:rFonts w:ascii="Arial" w:cs="Arial" w:eastAsia="Arial" w:hAnsi="Arial"/>
          <w:sz w:val="21"/>
          <w:szCs w:val="21"/>
          <w:color w:val="auto"/>
        </w:rPr>
      </w:pPr>
      <w:r>
        <w:rPr>
          <w:rFonts w:ascii="Arial" w:cs="Arial" w:eastAsia="Arial" w:hAnsi="Arial"/>
          <w:sz w:val="21"/>
          <w:szCs w:val="21"/>
          <w:color w:val="auto"/>
        </w:rPr>
        <w:t>all of the Company’s 3.45% Senior Notes due 2022 with ISIN US87854XAD30 listed on the Euro MTF Market of the Luxembourg Stock Exchange plus any applicable premium and accrued and unpaid interest thereon;</w:t>
      </w:r>
    </w:p>
    <w:p>
      <w:pPr>
        <w:spacing w:after="0" w:line="177" w:lineRule="exact"/>
        <w:rPr>
          <w:rFonts w:ascii="Arial" w:cs="Arial" w:eastAsia="Arial" w:hAnsi="Arial"/>
          <w:sz w:val="21"/>
          <w:szCs w:val="21"/>
          <w:color w:val="auto"/>
        </w:rPr>
      </w:pPr>
    </w:p>
    <w:p>
      <w:pPr>
        <w:jc w:val="both"/>
        <w:ind w:firstLine="656"/>
        <w:spacing w:after="0"/>
        <w:tabs>
          <w:tab w:leader="none" w:pos="1604" w:val="left"/>
        </w:tabs>
        <w:numPr>
          <w:ilvl w:val="0"/>
          <w:numId w:val="127"/>
        </w:numPr>
        <w:rPr>
          <w:rFonts w:ascii="Arial" w:cs="Arial" w:eastAsia="Arial" w:hAnsi="Arial"/>
          <w:sz w:val="22"/>
          <w:szCs w:val="22"/>
          <w:color w:val="auto"/>
        </w:rPr>
      </w:pPr>
      <w:r>
        <w:rPr>
          <w:rFonts w:ascii="Arial" w:cs="Arial" w:eastAsia="Arial" w:hAnsi="Arial"/>
          <w:sz w:val="22"/>
          <w:szCs w:val="22"/>
          <w:color w:val="auto"/>
        </w:rPr>
        <w:t>the $2.5 billion revolving senior unsecured revolving credit facility agreement dated January 17, 2017 (as amended from time to time) by and between the U.S. Borrower, Technip Eurocash SNC and the Company as borrowers, and JPMCB as agent and arranger and SG Americas Securities LLC as arranger; and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7" w:name="page208"/>
    <w:bookmarkEnd w:id="207"/>
    <w:p>
      <w:pPr>
        <w:ind w:right="20" w:firstLine="656"/>
        <w:spacing w:after="0" w:line="251" w:lineRule="auto"/>
        <w:tabs>
          <w:tab w:leader="none" w:pos="1444" w:val="left"/>
        </w:tabs>
        <w:numPr>
          <w:ilvl w:val="0"/>
          <w:numId w:val="128"/>
        </w:numPr>
        <w:rPr>
          <w:rFonts w:ascii="Arial" w:cs="Arial" w:eastAsia="Arial" w:hAnsi="Arial"/>
          <w:sz w:val="22"/>
          <w:szCs w:val="22"/>
          <w:color w:val="auto"/>
        </w:rPr>
      </w:pPr>
      <w:r>
        <w:rPr>
          <w:rFonts w:ascii="Arial" w:cs="Arial" w:eastAsia="Arial" w:hAnsi="Arial"/>
          <w:sz w:val="22"/>
          <w:szCs w:val="22"/>
          <w:color w:val="auto"/>
        </w:rPr>
        <w:t>the €500.0 million revolving credit facility dated May 19, 2020 (as amended from time to time) by and between the Company and HSBC France as agent.</w:t>
      </w:r>
    </w:p>
    <w:p>
      <w:pPr>
        <w:spacing w:after="0" w:line="200"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Electronic Signature</w:t>
      </w:r>
      <w:r>
        <w:rPr>
          <w:rFonts w:ascii="Arial" w:cs="Arial" w:eastAsia="Arial" w:hAnsi="Arial"/>
          <w:sz w:val="21"/>
          <w:szCs w:val="21"/>
          <w:color w:val="auto"/>
        </w:rPr>
        <w:t>” means an electronic sound, symbol, or process attached to, or associated with, a contract or other record and adopted by a Person with the intent to sign, authenticate or accept such contract or record.</w:t>
      </w:r>
    </w:p>
    <w:p>
      <w:pPr>
        <w:spacing w:after="0" w:line="17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Eligible Assignee</w:t>
      </w:r>
      <w:r>
        <w:rPr>
          <w:rFonts w:ascii="Arial" w:cs="Arial" w:eastAsia="Arial" w:hAnsi="Arial"/>
          <w:sz w:val="22"/>
          <w:szCs w:val="22"/>
          <w:color w:val="auto"/>
        </w:rPr>
        <w:t xml:space="preserve"> ” means (a) a Lender, (b) an Affiliate of a Lender, (c) an Approved Fund and (d) any other Person, other than, in each case, a natural person, a Defaulting Lender, a Borrower, any Subsidiary or any other Affiliate of a Borrower (subject to such consents, if any, as may be required under </w:t>
      </w:r>
      <w:r>
        <w:rPr>
          <w:rFonts w:ascii="Arial" w:cs="Arial" w:eastAsia="Arial" w:hAnsi="Arial"/>
          <w:sz w:val="22"/>
          <w:szCs w:val="22"/>
          <w:u w:val="single" w:color="auto"/>
          <w:color w:val="auto"/>
        </w:rPr>
        <w:t>Section 9.04(b)</w:t>
      </w:r>
      <w:r>
        <w:rPr>
          <w:rFonts w:ascii="Arial" w:cs="Arial" w:eastAsia="Arial" w:hAnsi="Arial"/>
          <w:sz w:val="22"/>
          <w:szCs w:val="22"/>
          <w:color w:val="auto"/>
        </w:rPr>
        <w:t>).</w:t>
      </w:r>
    </w:p>
    <w:p>
      <w:pPr>
        <w:spacing w:after="0" w:line="21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Claim</w:t>
      </w:r>
      <w:r>
        <w:rPr>
          <w:rFonts w:ascii="Arial" w:cs="Arial" w:eastAsia="Arial" w:hAnsi="Arial"/>
          <w:sz w:val="22"/>
          <w:szCs w:val="22"/>
          <w:color w:val="auto"/>
        </w:rPr>
        <w:t>” means any investigation, notice, notice of violation, claim, action, suit, proceeding, demand, abatement order or other order or directive, which is formally alleged or asserted in writing against any Loan Party by any Governmental Authority or any other Person, with respect to (a) any actual or alleged violation of any Environmental Law; (b) any Release of any Hazardous Material or any actual or alleged Hazardous Materials Activity requiring remedial action under Environmental Law; or (c) any actual or alleged damage, injury, threat or harm to health, safety, natural resources or the environment.</w:t>
      </w:r>
    </w:p>
    <w:p>
      <w:pPr>
        <w:spacing w:after="0" w:line="21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Environmental Law</w:t>
      </w:r>
      <w:r>
        <w:rPr>
          <w:rFonts w:ascii="Arial" w:cs="Arial" w:eastAsia="Arial" w:hAnsi="Arial"/>
          <w:sz w:val="21"/>
          <w:szCs w:val="21"/>
          <w:color w:val="auto"/>
        </w:rPr>
        <w:t>” means any treaty, law (including common law), rule, regulation, code, ordinance, order, decree, judgment, injunction, or binding agreement issued, promulgated or entered into by or with any Governmental Authority, relating in any way to (a) the protection of the environment, (b) the preservation or reclamation of natural resources, (c) the generation, management, Release or threatened Release of any Hazardous Material or (d) public or worker health and safety matters, to the extent relating to exposure to Hazardous Materials.</w:t>
      </w:r>
    </w:p>
    <w:p>
      <w:pPr>
        <w:spacing w:after="0" w:line="205"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Liability</w:t>
      </w:r>
      <w:r>
        <w:rPr>
          <w:rFonts w:ascii="Arial" w:cs="Arial" w:eastAsia="Arial" w:hAnsi="Arial"/>
          <w:sz w:val="22"/>
          <w:szCs w:val="22"/>
          <w:color w:val="auto"/>
        </w:rPr>
        <w:t>” means any liability, obligation, loss, claim, action, order or cost, contingent or otherwise (including any liability for damages, costs of medical monitoring, costs of environmental remediation or restoration, administrative oversight costs, consultants’ fees, fines, penalties and indemnities), directly or indirectly resulting from or based upon (a) any actual or alleged violation of any Environmental Law or permit, license or approval required thereunder, (b) the generation, use, handling, transportation, storage, treatment or disposal of any Hazardous Materials, (c) exposure to any Hazardous Materials, (d) the Release or threatened Release of any Hazardous Materials or (e) any legally binding contract or agreement or other legally binding consensual arrangement pursuant to which liability is assumed or imposed with respect to any of the foregoing.</w:t>
      </w:r>
    </w:p>
    <w:p>
      <w:pPr>
        <w:spacing w:after="0" w:line="21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Equity Interests</w:t>
      </w:r>
      <w:r>
        <w:rPr>
          <w:rFonts w:ascii="Arial" w:cs="Arial" w:eastAsia="Arial" w:hAnsi="Arial"/>
          <w:sz w:val="19"/>
          <w:szCs w:val="19"/>
          <w:color w:val="auto"/>
        </w:rPr>
        <w:t>” means shares of capital stock, partnership interests, membership interests in a limited liability company, beneficial interests in a trust or other equity ownership interests (whether voting or non-voting) in, or interests in the income or profits of, a Person, and any warrants, options or other rights entitling the holder thereof to purchase or acquire any of the foregoing (other than, prior to the date of such conversion, Indebtedness that is convertible into Equity Interests).</w:t>
      </w:r>
    </w:p>
    <w:p>
      <w:pPr>
        <w:spacing w:after="0" w:line="17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Employee Retirement Income Security Act of 1974, as amended from time to time, and the regulations promulgated and rulings issued thereunder.</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8" w:name="page209"/>
    <w:bookmarkEnd w:id="208"/>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Affiliate</w:t>
      </w:r>
      <w:r>
        <w:rPr>
          <w:rFonts w:ascii="Arial" w:cs="Arial" w:eastAsia="Arial" w:hAnsi="Arial"/>
          <w:sz w:val="19"/>
          <w:szCs w:val="19"/>
          <w:color w:val="auto"/>
        </w:rPr>
        <w:t>” means any trade or business (whether or not incorporated) that, together with the Borrowers, is treated as a single employer under Section 414(b) or 414(c) of the Code or Section 4001(a)(14) of ERISA or, solely for purposes of Section 302 of ERISA and Section 412 of the Code, is treated as a single employer under Section 414(m) or (o) of the Code.</w:t>
      </w:r>
    </w:p>
    <w:p>
      <w:pPr>
        <w:spacing w:after="0" w:line="16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ERISA Event</w:t>
      </w:r>
      <w:r>
        <w:rPr>
          <w:rFonts w:ascii="Arial" w:cs="Arial" w:eastAsia="Arial" w:hAnsi="Arial"/>
          <w:sz w:val="21"/>
          <w:szCs w:val="21"/>
          <w:color w:val="auto"/>
        </w:rPr>
        <w:t>” means (a) any “reportable event,” as defined in Section 4043(c) of ERISA or the regulations issued thereunder with respect to a Plan (other than an event for which the 30-day notice period is waived), (b) any failure by any Plan to satisfy the minimum funding standard (within the meaning of Section 412 of the Code or Section 302 of ERISA) applicable to such Plan, whether or not waived, (c) the filing pursuant to Section 412(c) of the Code or Section 302(c) of ERISA of an application for a waiver of the minimum funding standard with respect to any Plan, (d) a determination that any Plan is, or is expected to be, in “at risk” status (as defined in Section 303(i)(4) of ERISA or Section 430(i)(4)(A) of the Code), (e) the incurrence by the Borrowers or any of their ERISA Affiliates of any liability under Title IV of ERISA with respect to the termination of any Plan or Multiemployer Plan under Section 4041 or 4041A of ERISA, respectively, (f) the receipt by the Borrowers or any of their ERISA Affiliates from the PBGC or a plan administrator of any notice relating to an intention to terminate any Plan or Multiemployer Plan under Section 4041 or 4041A of ERISA, respectively, or to appoint a trustee to administer any Plan, (g) the incurrence by the Borrowers or any of their ERISA Affiliates of any liability with respect to the withdrawal or partial withdrawal from any Plan or Multiemployer Plan, (h) the receipt by the Borrowers or any ERISA Affiliate of any notice concerning the imposition of Withdrawal Liability on the Borrowers or any of their ERISA Affiliates or a determination that a Multiemployer Plan to which the Borrowers or any of their ERISA Affiliates makes or is obligated to make contributions, or during the preceding five plan years, has made or been obligated to make contributions, is, or is expected to be, insolvent, within the meaning of Title IV of ERISA, or in endangered or critical status, within the meaning of Section 305 of ERISA or (i) any Foreign Benefit Event.</w:t>
      </w:r>
    </w:p>
    <w:p>
      <w:pPr>
        <w:spacing w:after="0" w:line="217"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ESTR</w:t>
      </w:r>
      <w:r>
        <w:rPr>
          <w:rFonts w:ascii="Arial" w:cs="Arial" w:eastAsia="Arial" w:hAnsi="Arial"/>
          <w:sz w:val="22"/>
          <w:szCs w:val="22"/>
          <w:color w:val="auto"/>
        </w:rPr>
        <w:t>” means, with respect to any Business Day, a rate per annum equal to the Euro Short Term Rate for such Business Day published by the ESTR Administrator on the ESTR Administrator’s Website.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ESTR Administrator</w:t>
      </w:r>
      <w:r>
        <w:rPr>
          <w:rFonts w:ascii="Arial" w:cs="Arial" w:eastAsia="Arial" w:hAnsi="Arial"/>
          <w:sz w:val="19"/>
          <w:szCs w:val="19"/>
          <w:color w:val="auto"/>
        </w:rPr>
        <w:t>” means the European Central Bank (or any successor administrator of the Euro Short Term Rate).</w:t>
      </w:r>
    </w:p>
    <w:p>
      <w:pPr>
        <w:spacing w:after="0" w:line="268"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ESTR Administrator’s Website</w:t>
      </w:r>
      <w:r>
        <w:rPr>
          <w:rFonts w:ascii="Arial" w:cs="Arial" w:eastAsia="Arial" w:hAnsi="Arial"/>
          <w:sz w:val="19"/>
          <w:szCs w:val="19"/>
          <w:color w:val="auto"/>
        </w:rPr>
        <w:t>” means the European Central Bank’s website, currently at http://www.ecb.europa.eu, or any successor source for the Euro Short Term Rate identified as such by the ESTR Administrator from time to time.</w:t>
      </w:r>
    </w:p>
    <w:p>
      <w:pPr>
        <w:spacing w:after="0" w:line="13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 Bail-In Legislation Schedule</w:t>
      </w:r>
      <w:r>
        <w:rPr>
          <w:rFonts w:ascii="Arial" w:cs="Arial" w:eastAsia="Arial" w:hAnsi="Arial"/>
          <w:sz w:val="22"/>
          <w:szCs w:val="22"/>
          <w:color w:val="auto"/>
        </w:rPr>
        <w:t>” means the EU Bail-In Legislation Schedule published by the Loan Market Association (or any successor Person), as in effect from time to time.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9" w:name="page210"/>
    <w:bookmarkEnd w:id="209"/>
    <w:p>
      <w:pPr>
        <w:jc w:val="both"/>
        <w:ind w:firstLine="64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EURIBOR Interpolated Rate</w:t>
      </w:r>
      <w:r>
        <w:rPr>
          <w:rFonts w:ascii="Arial" w:cs="Arial" w:eastAsia="Arial" w:hAnsi="Arial"/>
          <w:sz w:val="19"/>
          <w:szCs w:val="19"/>
          <w:color w:val="auto"/>
        </w:rPr>
        <w:t>” means, at any time, with respect to any Eurocurrency Borrowing denominated in Euros and for any Interest Period, the rate per annum (rounded to the same number of decimal places as the EURIBOR Screen Rate) determined by the Administrative Agent (which determination shall be conclusive and binding absent manifest error) to be equal to the rate that results from interpolating on a linear basis between: (a) the EURIBOR Screen Rate for the longest period (for which the EURIBOR Screen Rate is available for Euros) that is shorter than the Impacted EURIBOR Rate Interest Period; and</w:t>
      </w:r>
    </w:p>
    <w:p>
      <w:pPr>
        <w:jc w:val="both"/>
        <w:ind w:right="20" w:firstLine="8"/>
        <w:spacing w:after="0" w:line="248" w:lineRule="auto"/>
        <w:tabs>
          <w:tab w:leader="none" w:pos="313" w:val="left"/>
        </w:tabs>
        <w:numPr>
          <w:ilvl w:val="0"/>
          <w:numId w:val="129"/>
        </w:numPr>
        <w:rPr>
          <w:rFonts w:ascii="Arial" w:cs="Arial" w:eastAsia="Arial" w:hAnsi="Arial"/>
          <w:sz w:val="21"/>
          <w:szCs w:val="21"/>
          <w:color w:val="auto"/>
        </w:rPr>
      </w:pPr>
      <w:r>
        <w:rPr>
          <w:rFonts w:ascii="Arial" w:cs="Arial" w:eastAsia="Arial" w:hAnsi="Arial"/>
          <w:sz w:val="21"/>
          <w:szCs w:val="21"/>
          <w:color w:val="auto"/>
        </w:rPr>
        <w:t xml:space="preserve">the EURIBOR Screen Rate for the shortest period (for which the EURIBOR Screen Rate is available for Euros) that exceeds the Impacted EURIBOR Rate Interest Period, in each case, at such time;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any EURIBOR Interpolated Rate shall be less than 0.75%, such rate shall be deemed to be 0.75% for the purposes of this Agreement.</w:t>
      </w:r>
    </w:p>
    <w:p>
      <w:pPr>
        <w:spacing w:after="0" w:line="20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EURIBOR Rate</w:t>
      </w:r>
      <w:r>
        <w:rPr>
          <w:rFonts w:ascii="Arial" w:cs="Arial" w:eastAsia="Arial" w:hAnsi="Arial"/>
          <w:sz w:val="22"/>
          <w:szCs w:val="22"/>
          <w:color w:val="auto"/>
        </w:rPr>
        <w:t xml:space="preserve">” means, with respect to any Eurocurrency Borrowing denominated in Euros and for any Interest Period, the EURIBOR Screen Rate at approximately 11:00 a.m., Brussels time, two TARGET Days prior to the commencement of such Interest Period;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the EURIBOR Screen Rate shall not be available at such time for such Interest Period (an “</w:t>
      </w:r>
      <w:r>
        <w:rPr>
          <w:rFonts w:ascii="Arial" w:cs="Arial" w:eastAsia="Arial" w:hAnsi="Arial"/>
          <w:sz w:val="22"/>
          <w:szCs w:val="22"/>
          <w:u w:val="single" w:color="auto"/>
          <w:color w:val="auto"/>
        </w:rPr>
        <w:t>Impacted EURIBOR Rate Interest Period</w:t>
      </w:r>
      <w:r>
        <w:rPr>
          <w:rFonts w:ascii="Arial" w:cs="Arial" w:eastAsia="Arial" w:hAnsi="Arial"/>
          <w:sz w:val="22"/>
          <w:szCs w:val="22"/>
          <w:color w:val="auto"/>
        </w:rPr>
        <w:t>”) with respect to Euros then the EURIBOR Rate shall be the EURIBOR Interpolated Rate.</w:t>
      </w:r>
    </w:p>
    <w:p>
      <w:pPr>
        <w:spacing w:after="0" w:line="21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EURIBOR Screen Rate</w:t>
      </w:r>
      <w:r>
        <w:rPr>
          <w:rFonts w:ascii="Arial" w:cs="Arial" w:eastAsia="Arial" w:hAnsi="Arial"/>
          <w:sz w:val="19"/>
          <w:szCs w:val="19"/>
          <w:color w:val="auto"/>
        </w:rPr>
        <w:t>” means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Thomson Reuters screen (or any replacement Thomson Reuters page which displays that rate) or on the appropriate page of such other information service which publishes that rate from time to time in place of Thomson Reuters as of 11:00 a.m. Brussels time two TARGET Days prior to the commencement of such Interest Period. If such page or service ceases to be available, the Administrative Agent may specify another page or service displaying the relevant rate after consultation with the Company. If the EURIBOR Screen Rate shall be less than 0.75%, the EURIBOR Screen Rate shall be deemed to be 0.75% for purposes of this Agreement.</w:t>
      </w:r>
    </w:p>
    <w:p>
      <w:pPr>
        <w:spacing w:after="0" w:line="18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w:t>
      </w:r>
      <w:r>
        <w:rPr>
          <w:rFonts w:ascii="Arial" w:cs="Arial" w:eastAsia="Arial" w:hAnsi="Arial"/>
          <w:sz w:val="22"/>
          <w:szCs w:val="22"/>
          <w:color w:val="auto"/>
        </w:rPr>
        <w:t>”, “</w:t>
      </w:r>
      <w:r>
        <w:rPr>
          <w:rFonts w:ascii="Arial" w:cs="Arial" w:eastAsia="Arial" w:hAnsi="Arial"/>
          <w:sz w:val="22"/>
          <w:szCs w:val="22"/>
          <w:u w:val="single" w:color="auto"/>
          <w:color w:val="auto"/>
        </w:rPr>
        <w:t>EUR</w:t>
      </w:r>
      <w:r>
        <w:rPr>
          <w:rFonts w:ascii="Arial" w:cs="Arial" w:eastAsia="Arial" w:hAnsi="Arial"/>
          <w:sz w:val="22"/>
          <w:szCs w:val="22"/>
          <w:color w:val="auto"/>
        </w:rPr>
        <w:t>” or “</w:t>
      </w:r>
      <w:r>
        <w:rPr>
          <w:rFonts w:ascii="Arial" w:cs="Arial" w:eastAsia="Arial" w:hAnsi="Arial"/>
          <w:sz w:val="22"/>
          <w:szCs w:val="22"/>
          <w:u w:val="single" w:color="auto"/>
          <w:color w:val="auto"/>
        </w:rPr>
        <w:t>€</w:t>
      </w:r>
      <w:r>
        <w:rPr>
          <w:rFonts w:ascii="Arial" w:cs="Arial" w:eastAsia="Arial" w:hAnsi="Arial"/>
          <w:sz w:val="22"/>
          <w:szCs w:val="22"/>
          <w:color w:val="auto"/>
        </w:rPr>
        <w:t>”means the single currency of the European Union as constituted by the Treaty on European Union and as referred to in the EMU Legislation.</w:t>
      </w:r>
    </w:p>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Eurocurrency</w:t>
      </w:r>
      <w:r>
        <w:rPr>
          <w:rFonts w:ascii="Arial" w:cs="Arial" w:eastAsia="Arial" w:hAnsi="Arial"/>
          <w:sz w:val="22"/>
          <w:szCs w:val="22"/>
          <w:color w:val="auto"/>
        </w:rPr>
        <w:t>”, when used in reference to any Loan or Borrowing, refers to whether such Loan, or the Loans comprising such Borrowing, are bearing interest at a rate determined by reference to the Adjusted LIBO Rate or the Adjusted EURIBOR Rate.</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Default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7.01</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United States Securities Exchange Act of 1934.</w:t>
      </w:r>
    </w:p>
    <w:p>
      <w:pPr>
        <w:spacing w:after="0" w:line="23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Exchange Rate</w:t>
      </w:r>
      <w:r>
        <w:rPr>
          <w:rFonts w:ascii="Arial" w:cs="Arial" w:eastAsia="Arial" w:hAnsi="Arial"/>
          <w:sz w:val="21"/>
          <w:szCs w:val="21"/>
          <w:color w:val="auto"/>
        </w:rPr>
        <w:t xml:space="preserve">” means, on any day, with respect to the applicable Alternative Currency, the rate at which such currency may be exchanged into dollars, as set forth at approximately 11:00 a.m., London time, on such day on the Reuters World Currency Page “FX=” for such currency. In the event that such rate does not appear on any Reuters World Currency Page, then the Exchange Rate shall be determined by reference to such other publicly available service for displaying exchange rates as may be agreed upon by the Administrative Agent and the Company or, in the absence of such agreement, such Exchange Rate shall instead be the arithmetic average of the spot rates of exchange of the Administrative Agent in the market where its foreign currency exchange operations in respect of such currency are then being conducted, at or about 10:00 a.m., Local Time, on such date for the purchase of dollars for delivery two Business Days later;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at the time of any such determination, for any reason, no such spot rate is being quoted, the Administrative Agent, after consultation with the Company, may use any reasonable method it deems appropriate to determine such rate, and such determination shall be presumed correct absent manifest error.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0" w:name="page211"/>
    <w:bookmarkEnd w:id="210"/>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Equity</w:t>
      </w:r>
      <w:r>
        <w:rPr>
          <w:rFonts w:ascii="Arial" w:cs="Arial" w:eastAsia="Arial" w:hAnsi="Arial"/>
          <w:sz w:val="19"/>
          <w:szCs w:val="19"/>
          <w:color w:val="auto"/>
        </w:rPr>
        <w:t>” has the meaning assigned to such term in the definition of “Collateral and Guarantee Requirement.”</w:t>
      </w:r>
    </w:p>
    <w:p>
      <w:pPr>
        <w:spacing w:after="0" w:line="26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Swap Guarantor</w:t>
      </w:r>
      <w:r>
        <w:rPr>
          <w:rFonts w:ascii="Arial" w:cs="Arial" w:eastAsia="Arial" w:hAnsi="Arial"/>
          <w:sz w:val="19"/>
          <w:szCs w:val="19"/>
          <w:color w:val="auto"/>
        </w:rPr>
        <w:t>” means any Guarantor, all or a portion of whose Guarantee of, or grant of a security interest to secure, any Swap Obligation (or any Guarantee thereof) is or becomes illegal under the Commodity Exchange Act or any rule, regulation or order of the Commodity Futures Trading Commission (or the application or official interpretation of any thereof).</w:t>
      </w:r>
    </w:p>
    <w:p>
      <w:pPr>
        <w:spacing w:after="0" w:line="16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Swap Obligations</w:t>
      </w:r>
      <w:r>
        <w:rPr>
          <w:rFonts w:ascii="Arial" w:cs="Arial" w:eastAsia="Arial" w:hAnsi="Arial"/>
          <w:sz w:val="19"/>
          <w:szCs w:val="19"/>
          <w:color w:val="auto"/>
        </w:rPr>
        <w:t>”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7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Taxes</w:t>
      </w:r>
      <w:r>
        <w:rPr>
          <w:rFonts w:ascii="Arial" w:cs="Arial" w:eastAsia="Arial" w:hAnsi="Arial"/>
          <w:sz w:val="19"/>
          <w:szCs w:val="19"/>
          <w:color w:val="auto"/>
        </w:rPr>
        <w:t xml:space="preserve">” means any of the following Taxes imposed on or with respect to a Recipient or required to be withheld or deducted from a payment to a Recipient: (a) Taxes imposed on or measured by such Recipient’s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such Loan or Commitment (other than pursuant to an assignment request by the Company under </w:t>
      </w:r>
      <w:r>
        <w:rPr>
          <w:rFonts w:ascii="Arial" w:cs="Arial" w:eastAsia="Arial" w:hAnsi="Arial"/>
          <w:sz w:val="19"/>
          <w:szCs w:val="19"/>
          <w:u w:val="single" w:color="auto"/>
          <w:color w:val="auto"/>
        </w:rPr>
        <w:t>Section 2.19(b)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9.02(c)</w:t>
      </w:r>
      <w:r>
        <w:rPr>
          <w:rFonts w:ascii="Arial" w:cs="Arial" w:eastAsia="Arial" w:hAnsi="Arial"/>
          <w:sz w:val="19"/>
          <w:szCs w:val="19"/>
          <w:color w:val="auto"/>
        </w:rPr>
        <w:t xml:space="preserve">) or (ii) such Lender changes its lending office, except in each case to the extent that, pursuant to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amounts with respect to such Taxes were payable either to such Lender’s assignor immediately before such Lender acquired the applicable interest in such Loan or Commitment or to such Lender immediately before it changed its lending office, (c) in the case of a Lender, UK Withholding Taxes (excluding UK Withholding Taxes on payments made by any Guarantor under any Guarantee of the Obligations) imposed on amounts payable to or for the account of the Lender with respect to an interest in a Loan or Commitment if, on the date on which the payment falls due, the payment could have been made without a deduction or withholding for or on account of UK Withholding Tax if the Lender had been a Qualifying Lender, but on that date the Lender is not, or has ceased to be, a Qualifying Lender other than as a result of any change after the date on which it acquired the applicable interest in the Loan or Commitment in (or in the interpretation, administration, or application of) any law or Treaty or any published practice or published concession of any relevant taxing authority, (d) Taxes attributable to such Recipient’s failure to comply with </w:t>
      </w:r>
      <w:r>
        <w:rPr>
          <w:rFonts w:ascii="Arial" w:cs="Arial" w:eastAsia="Arial" w:hAnsi="Arial"/>
          <w:sz w:val="19"/>
          <w:szCs w:val="19"/>
          <w:u w:val="single" w:color="auto"/>
          <w:color w:val="auto"/>
        </w:rPr>
        <w:t>Section 2.17(e)</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(f)</w:t>
      </w:r>
      <w:r>
        <w:rPr>
          <w:rFonts w:ascii="Arial" w:cs="Arial" w:eastAsia="Arial" w:hAnsi="Arial"/>
          <w:sz w:val="19"/>
          <w:szCs w:val="19"/>
          <w:color w:val="auto"/>
        </w:rPr>
        <w:t>, (e) any withholding Taxes imposed under FATCA, (f) any Bank Levy (or any payment attributable to a Bank Levy) and (g) VAT, which, for the avoidance of doubt, shall be dealt with under Section 2.17(h).</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1" w:name="page212"/>
    <w:bookmarkEnd w:id="211"/>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Letters of Credit</w:t>
      </w:r>
      <w:r>
        <w:rPr>
          <w:rFonts w:ascii="Arial" w:cs="Arial" w:eastAsia="Arial" w:hAnsi="Arial"/>
          <w:sz w:val="22"/>
          <w:szCs w:val="22"/>
          <w:color w:val="auto"/>
        </w:rPr>
        <w:t xml:space="preserve">” means those Letters of Credit described on </w:t>
      </w:r>
      <w:r>
        <w:rPr>
          <w:rFonts w:ascii="Arial" w:cs="Arial" w:eastAsia="Arial" w:hAnsi="Arial"/>
          <w:sz w:val="22"/>
          <w:szCs w:val="22"/>
          <w:u w:val="single" w:color="auto"/>
          <w:color w:val="auto"/>
        </w:rPr>
        <w:t>Schedule 2.05</w:t>
      </w:r>
      <w:r>
        <w:rPr>
          <w:rFonts w:ascii="Arial" w:cs="Arial" w:eastAsia="Arial" w:hAnsi="Arial"/>
          <w:sz w:val="22"/>
          <w:szCs w:val="22"/>
          <w:color w:val="auto"/>
        </w:rPr>
        <w:t xml:space="preserve"> hereto.</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Fair Labor Standards Act</w:t>
      </w:r>
      <w:r>
        <w:rPr>
          <w:rFonts w:ascii="Arial" w:cs="Arial" w:eastAsia="Arial" w:hAnsi="Arial"/>
          <w:sz w:val="22"/>
          <w:szCs w:val="22"/>
          <w:color w:val="auto"/>
        </w:rPr>
        <w:t xml:space="preserve">” means the Fair Labor Standards Act, 29 U.S.C. §§ 201 </w:t>
      </w:r>
      <w:r>
        <w:rPr>
          <w:rFonts w:ascii="Arial" w:cs="Arial" w:eastAsia="Arial" w:hAnsi="Arial"/>
          <w:sz w:val="22"/>
          <w:szCs w:val="22"/>
          <w:i w:val="1"/>
          <w:iCs w:val="1"/>
          <w:color w:val="auto"/>
        </w:rPr>
        <w:t>et seq.</w:t>
      </w:r>
    </w:p>
    <w:p>
      <w:pPr>
        <w:spacing w:after="0" w:line="23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FATCA</w:t>
      </w:r>
      <w:r>
        <w:rPr>
          <w:rFonts w:ascii="Arial" w:cs="Arial" w:eastAsia="Arial" w:hAnsi="Arial"/>
          <w:sz w:val="21"/>
          <w:szCs w:val="21"/>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current Section 1471(b)(1) of the Code and any fiscal or regulatory legislation, rules or practices adopted pursuant to any intergovernmental agreement, treaty or convention among Governmental Authorities and implementing such Sections of the Code.</w:t>
      </w:r>
    </w:p>
    <w:p>
      <w:pPr>
        <w:spacing w:after="0" w:line="20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Federal Funds Effective Rate</w:t>
      </w:r>
      <w:r>
        <w:rPr>
          <w:rFonts w:ascii="Arial" w:cs="Arial" w:eastAsia="Arial" w:hAnsi="Arial"/>
          <w:sz w:val="19"/>
          <w:szCs w:val="19"/>
          <w:color w:val="auto"/>
        </w:rPr>
        <w:t xml:space="preserve">” means, for any day, the rate calculated by the NYFRB based on such day’s federal funds transactions by depositary institutions, as determined in such manner as shall be set forth on NYFRB’s Website from time to time, and published on the next succeeding Business Day by the NYFRB as the effective federal funds rate,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Federal Funds Effective Rate shall be less than zero, such rate shall be deemed to zero for the purposes of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Federal Reserve Board</w:t>
      </w:r>
      <w:r>
        <w:rPr>
          <w:rFonts w:ascii="Arial" w:cs="Arial" w:eastAsia="Arial" w:hAnsi="Arial"/>
          <w:sz w:val="19"/>
          <w:szCs w:val="19"/>
          <w:color w:val="auto"/>
        </w:rPr>
        <w:t>” means the Board of Governors of the Federal Reserve System of the United States of America.</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Financial Covenants</w:t>
      </w:r>
      <w:r>
        <w:rPr>
          <w:rFonts w:ascii="Arial" w:cs="Arial" w:eastAsia="Arial" w:hAnsi="Arial"/>
          <w:sz w:val="22"/>
          <w:szCs w:val="22"/>
          <w:color w:val="auto"/>
        </w:rPr>
        <w:t xml:space="preserve">” means the financial covenants contained in </w:t>
      </w:r>
      <w:r>
        <w:rPr>
          <w:rFonts w:ascii="Arial" w:cs="Arial" w:eastAsia="Arial" w:hAnsi="Arial"/>
          <w:sz w:val="22"/>
          <w:szCs w:val="22"/>
          <w:u w:val="single" w:color="auto"/>
          <w:color w:val="auto"/>
        </w:rPr>
        <w:t>Sections 6.12</w:t>
      </w:r>
      <w:r>
        <w:rPr>
          <w:rFonts w:ascii="Arial" w:cs="Arial" w:eastAsia="Arial" w:hAnsi="Arial"/>
          <w:sz w:val="22"/>
          <w:szCs w:val="22"/>
          <w:color w:val="auto"/>
        </w:rPr>
        <w:t xml:space="preserve">, </w:t>
      </w:r>
      <w:r>
        <w:rPr>
          <w:rFonts w:ascii="Arial" w:cs="Arial" w:eastAsia="Arial" w:hAnsi="Arial"/>
          <w:sz w:val="22"/>
          <w:szCs w:val="22"/>
          <w:u w:val="single" w:color="auto"/>
          <w:color w:val="auto"/>
        </w:rPr>
        <w:t>6.13</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6.14</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Financial Officer</w:t>
      </w:r>
      <w:r>
        <w:rPr>
          <w:rFonts w:ascii="Arial" w:cs="Arial" w:eastAsia="Arial" w:hAnsi="Arial"/>
          <w:sz w:val="19"/>
          <w:szCs w:val="19"/>
          <w:color w:val="auto"/>
        </w:rPr>
        <w:t>” means, with respect to any Person, the chief financial officer, principal accounting officer, treasurer, assistant treasurer or controller of such Person, or any other officer or director of such Person performing the duties that are customarily performed by a chief financial officer, principal accounting officer, treasurer, assistant treasurer or controller.</w:t>
      </w:r>
    </w:p>
    <w:p>
      <w:pPr>
        <w:spacing w:after="0" w:line="16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First Lien Leverage Ratio</w:t>
      </w:r>
      <w:r>
        <w:rPr>
          <w:rFonts w:ascii="Arial" w:cs="Arial" w:eastAsia="Arial" w:hAnsi="Arial"/>
          <w:sz w:val="21"/>
          <w:szCs w:val="21"/>
          <w:color w:val="auto"/>
        </w:rPr>
        <w:t>” means, as of the last day of any fiscal quarter, the ratio of (a) Consolidated First Lien Net Debt as of such date to (b) Consolidated EBITDA for the four consecutive fiscal quarters ended on such date.</w:t>
      </w:r>
    </w:p>
    <w:p>
      <w:pPr>
        <w:spacing w:after="0" w:line="17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Floor</w:t>
      </w:r>
      <w:r>
        <w:rPr>
          <w:rFonts w:ascii="Arial" w:cs="Arial" w:eastAsia="Arial" w:hAnsi="Arial"/>
          <w:sz w:val="22"/>
          <w:szCs w:val="22"/>
          <w:color w:val="auto"/>
        </w:rPr>
        <w:t>” means the benchmark rate floor, if any, provided in this Agreement initially (as of the execution of this Agreement, the modification, amendment or renewal of this Agreement or otherwise) with respect to the LIBO Rate or the EURIBOR Rate, as applicable.</w:t>
      </w:r>
    </w:p>
    <w:p>
      <w:pPr>
        <w:spacing w:after="0" w:line="21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Flood Insurance Laws</w:t>
      </w:r>
      <w:r>
        <w:rPr>
          <w:rFonts w:ascii="Arial" w:cs="Arial" w:eastAsia="Arial" w:hAnsi="Arial"/>
          <w:sz w:val="22"/>
          <w:szCs w:val="22"/>
          <w:color w:val="auto"/>
        </w:rPr>
        <w:t>” means, collectively, (i) the National Flood Insurance Reform Act of 1994 (which comprehensively revised the National Flood Insurance Act of 1968 and the Flood Disaster Protection Act of 1973) as now or hereafter in effect or any successor statute thereto, (ii) the Flood Insurance Reform Act of 2004 as now or hereafter in effect or any successor statute thereto and (iii) the Biggert-Waters Flood Insurance Reform Act of 2012 as now or hereafter in effect or any successor statute thereto.</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2" w:name="page213"/>
    <w:bookmarkEnd w:id="212"/>
    <w:p>
      <w:pPr>
        <w:jc w:val="both"/>
        <w:ind w:firstLine="64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Foreign Benefit Event</w:t>
      </w:r>
      <w:r>
        <w:rPr>
          <w:rFonts w:ascii="Arial" w:cs="Arial" w:eastAsia="Arial" w:hAnsi="Arial"/>
          <w:sz w:val="21"/>
          <w:szCs w:val="21"/>
          <w:color w:val="auto"/>
        </w:rPr>
        <w:t>” means, with respect to any Foreign Pension Plan, (a) the failure to make any material employer contributions under Requirements of Law or by the terms of such Foreign Pension Plan or (b) the receipt of a notice from a Governmental Authority relating to the intention to terminate any such Foreign Pension Plan or to appoint a trustee or similar official to administer any such Foreign Pension Plan, or alleging the insolvency of any such Foreign Pension Plan, in each case, which would reasonably be expected to result in the Company or any Restricted Subsidiary becoming subject to a material funding or contribution obligation with respect to such Foreign Pension Plan.</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Lender</w:t>
      </w:r>
      <w:r>
        <w:rPr>
          <w:rFonts w:ascii="Arial" w:cs="Arial" w:eastAsia="Arial" w:hAnsi="Arial"/>
          <w:sz w:val="22"/>
          <w:szCs w:val="22"/>
          <w:color w:val="auto"/>
        </w:rPr>
        <w:t>” means a Lender that is not a U.S. Person.</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Pension Plan</w:t>
      </w:r>
      <w:r>
        <w:rPr>
          <w:rFonts w:ascii="Arial" w:cs="Arial" w:eastAsia="Arial" w:hAnsi="Arial"/>
          <w:sz w:val="22"/>
          <w:szCs w:val="22"/>
          <w:color w:val="auto"/>
        </w:rPr>
        <w:t>” means any defined benefit pension plan established or maintained outside the United States by the Company or any one or more of its Restricted Subsidiaries primarily for the benefit of employees or other service providers of the Company or such Restricted Subsidiaries residing outside the United States, which plan provides, or results in, retirement income, a deferral of income in contemplation of retirement or payments to be made upon termination of employment, and which plan is not subject to ERISA or the Code.</w:t>
      </w:r>
    </w:p>
    <w:p>
      <w:pPr>
        <w:spacing w:after="0" w:line="21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Subsidiary</w:t>
      </w:r>
      <w:r>
        <w:rPr>
          <w:rFonts w:ascii="Arial" w:cs="Arial" w:eastAsia="Arial" w:hAnsi="Arial"/>
          <w:sz w:val="22"/>
          <w:szCs w:val="22"/>
          <w:color w:val="auto"/>
        </w:rPr>
        <w:t>” means any Subsidiary that is organized or incorporated under the laws of a jurisdiction other than the United States of America, any State thereof or the District of Columbia.</w:t>
      </w:r>
    </w:p>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FSHCO</w:t>
      </w:r>
      <w:r>
        <w:rPr>
          <w:rFonts w:ascii="Arial" w:cs="Arial" w:eastAsia="Arial" w:hAnsi="Arial"/>
          <w:sz w:val="22"/>
          <w:szCs w:val="22"/>
          <w:color w:val="auto"/>
        </w:rPr>
        <w:t>” means any Restricted Subsidiary that has no material assets other than Equity Interests (including any debt instrument treated as Equity Interests for U.S. federal income tax purposes) or Equity Interests and Indebtedness of one or more CFCs.</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means generally accepted accounting principles in the United States of America.</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Global Intercompany Note</w:t>
      </w:r>
      <w:r>
        <w:rPr>
          <w:rFonts w:ascii="Arial" w:cs="Arial" w:eastAsia="Arial" w:hAnsi="Arial"/>
          <w:sz w:val="22"/>
          <w:szCs w:val="22"/>
          <w:color w:val="auto"/>
        </w:rPr>
        <w:t xml:space="preserve">” means the global intercompany note substantially in the form of </w:t>
      </w:r>
      <w:r>
        <w:rPr>
          <w:rFonts w:ascii="Arial" w:cs="Arial" w:eastAsia="Arial" w:hAnsi="Arial"/>
          <w:sz w:val="22"/>
          <w:szCs w:val="22"/>
          <w:u w:val="single" w:color="auto"/>
          <w:color w:val="auto"/>
        </w:rPr>
        <w:t>Exhibit H</w:t>
      </w:r>
      <w:r>
        <w:rPr>
          <w:rFonts w:ascii="Arial" w:cs="Arial" w:eastAsia="Arial" w:hAnsi="Arial"/>
          <w:sz w:val="22"/>
          <w:szCs w:val="22"/>
          <w:color w:val="auto"/>
        </w:rPr>
        <w:t xml:space="preserve"> pursuant to which (i) intercompany obligations and advances owed by any Loan Party are subordinated to the Obligations and (ii) intercompany obligations owing to any Loan Party are evidenced pursuant to clause (c) of the definition of “Collateral and Guarantee Requirement”.</w:t>
      </w:r>
    </w:p>
    <w:p>
      <w:pPr>
        <w:spacing w:after="0" w:line="21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means the government of the United States of America, any other nation or any political subdivision thereof, whether state, local or otherwise, and any agency, authority, instrumentality, regulatory body, court, central bank or other entity exercising executive, legislative, judicial, taxing, regulatory or administrative powers or functions of or pertaining to government (including any supranational bodies exercising such powers or functions, such as the European Union or the European Central Bank).</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3" w:name="page214"/>
    <w:bookmarkEnd w:id="213"/>
    <w:p>
      <w:pPr>
        <w:jc w:val="both"/>
        <w:ind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Guarantee</w:t>
      </w:r>
      <w:r>
        <w:rPr>
          <w:rFonts w:ascii="Arial" w:cs="Arial" w:eastAsia="Arial" w:hAnsi="Arial"/>
          <w:sz w:val="19"/>
          <w:szCs w:val="19"/>
          <w:color w:val="auto"/>
        </w:rPr>
        <w:t>” of or by any Person (the “</w:t>
      </w:r>
      <w:r>
        <w:rPr>
          <w:rFonts w:ascii="Arial" w:cs="Arial" w:eastAsia="Arial" w:hAnsi="Arial"/>
          <w:sz w:val="19"/>
          <w:szCs w:val="19"/>
          <w:u w:val="single" w:color="auto"/>
          <w:color w:val="auto"/>
        </w:rPr>
        <w:t>guarantor</w:t>
      </w:r>
      <w:r>
        <w:rPr>
          <w:rFonts w:ascii="Arial" w:cs="Arial" w:eastAsia="Arial" w:hAnsi="Arial"/>
          <w:sz w:val="19"/>
          <w:szCs w:val="19"/>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9"/>
          <w:szCs w:val="19"/>
          <w:u w:val="single" w:color="auto"/>
          <w:color w:val="auto"/>
        </w:rPr>
        <w:t>primary obligor</w:t>
      </w:r>
      <w:r>
        <w:rPr>
          <w:rFonts w:ascii="Arial" w:cs="Arial" w:eastAsia="Arial" w:hAnsi="Arial"/>
          <w:sz w:val="19"/>
          <w:szCs w:val="19"/>
          <w:color w:val="auto"/>
        </w:rPr>
        <w:t>”) in any manner, whether directly or indirectly, and including any obligation of the guarantor, direct or indirect,</w:t>
      </w:r>
    </w:p>
    <w:p>
      <w:pPr>
        <w:spacing w:after="0" w:line="2" w:lineRule="exact"/>
        <w:rPr>
          <w:sz w:val="20"/>
          <w:szCs w:val="20"/>
          <w:color w:val="auto"/>
        </w:rPr>
      </w:pPr>
    </w:p>
    <w:p>
      <w:pPr>
        <w:jc w:val="both"/>
        <w:ind w:firstLine="8"/>
        <w:spacing w:after="0" w:line="271" w:lineRule="auto"/>
        <w:tabs>
          <w:tab w:leader="none" w:pos="309" w:val="left"/>
        </w:tabs>
        <w:numPr>
          <w:ilvl w:val="0"/>
          <w:numId w:val="130"/>
        </w:numPr>
        <w:rPr>
          <w:rFonts w:ascii="Arial" w:cs="Arial" w:eastAsia="Arial" w:hAnsi="Arial"/>
          <w:sz w:val="19"/>
          <w:szCs w:val="19"/>
          <w:color w:val="auto"/>
        </w:rPr>
      </w:pPr>
      <w:r>
        <w:rPr>
          <w:rFonts w:ascii="Arial" w:cs="Arial" w:eastAsia="Arial" w:hAnsi="Arial"/>
          <w:sz w:val="19"/>
          <w:szCs w:val="19"/>
          <w:color w:val="auto"/>
        </w:rPr>
        <w:t xml:space="preserve">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or (c) as an account party in respect of any letter of credit or letter of guaranty issued to support such Indebtedness or other obligation;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term “Guarantee” shall not include endorsements for collection or deposit in the ordinary course of business. The amount, as of any date of determination, of any Guarantee shall be the principal amount outstanding on such date of the Indebtedness or other obligation guaranteed thereby (or, in the case of (i) any Guarantee the terms of which limit the monetary exposure of the guarantor or (ii) any Guarantee of an obligation that does not have a principal amount, the maximum monetary exposure as of such date of the guarantor under such Guarantee (as determined, in the case of clause (i), pursuant to such terms or, in the case of clause (ii), reasonably and in good faith by a Financial Officer of the Company)). The term “Guarantee” used as a verb has a corresponding meaning.</w:t>
      </w:r>
    </w:p>
    <w:p>
      <w:pPr>
        <w:spacing w:after="0" w:line="18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Guarantor</w:t>
      </w:r>
      <w:r>
        <w:rPr>
          <w:rFonts w:ascii="Arial" w:cs="Arial" w:eastAsia="Arial" w:hAnsi="Arial"/>
          <w:sz w:val="22"/>
          <w:szCs w:val="22"/>
          <w:color w:val="auto"/>
        </w:rPr>
        <w:t>” means each Restricted Subsidiary that is or, after the date hereof, becomes a party to the New York-Law Guarantee.</w:t>
      </w:r>
    </w:p>
    <w:p>
      <w:pPr>
        <w:spacing w:after="0" w:line="20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Guarantor Subsidiary</w:t>
      </w:r>
      <w:r>
        <w:rPr>
          <w:rFonts w:ascii="Arial" w:cs="Arial" w:eastAsia="Arial" w:hAnsi="Arial"/>
          <w:sz w:val="22"/>
          <w:szCs w:val="22"/>
          <w:color w:val="auto"/>
        </w:rPr>
        <w:t>” means, subject to the Collateral and Guarantee Principles, each wholly owned direct or indirect Restricted Subsidiary other than (a) with respect to obligations of the U.S. Borrower only, a Restricted Subsidiary that is (i) a CFC or a FSHCO or (ii) a Subsidiary of a CFC or a FSHCO, (b) any Subsidiary the Guarantee by which would result in a material adverse tax consequence as reasonably determined by the Company, or (c) a Restricted Subsidiary that is not a Material Subsidiary.</w:t>
      </w:r>
    </w:p>
    <w:p>
      <w:pPr>
        <w:spacing w:after="0" w:line="21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Hazardous Materials</w:t>
      </w:r>
      <w:r>
        <w:rPr>
          <w:rFonts w:ascii="Arial" w:cs="Arial" w:eastAsia="Arial" w:hAnsi="Arial"/>
          <w:sz w:val="19"/>
          <w:szCs w:val="19"/>
          <w:color w:val="auto"/>
        </w:rPr>
        <w:t>” means all chemicals, materials, substances or wastes defined or regulated as hazardous or toxic, or as a pollutant or contaminant, or other term of similar import, under applicable Environmental Law, or for which liability or standards of conduct may be imposed under applicable Environmental Law, including explosive or radioactive substances or wastes, petroleum or petroleum distillates, asbestos or asbestos containing materials, polychlorinated biphenyls, or radon gas.</w:t>
      </w:r>
    </w:p>
    <w:p>
      <w:pPr>
        <w:spacing w:after="0" w:line="17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Hazardous Materials Activity</w:t>
      </w:r>
      <w:r>
        <w:rPr>
          <w:rFonts w:ascii="Arial" w:cs="Arial" w:eastAsia="Arial" w:hAnsi="Arial"/>
          <w:sz w:val="21"/>
          <w:szCs w:val="21"/>
          <w:color w:val="auto"/>
        </w:rPr>
        <w:t>” means the use, manufacture, possession, storage, Release, threatened Release, discharge, placement, generation, transportation, processing, construction, treatment, abatement, removal, remediation, disposal, disposition or handling of any Hazardous Material by any Loan Party that is regulated under Environmental Laws, and any corrective action or response action with respect to any of the foregoing.</w:t>
      </w:r>
    </w:p>
    <w:p>
      <w:pPr>
        <w:spacing w:after="0" w:line="20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Hedging Agreement</w:t>
      </w:r>
      <w:r>
        <w:rPr>
          <w:rFonts w:ascii="Arial" w:cs="Arial" w:eastAsia="Arial" w:hAnsi="Arial"/>
          <w:sz w:val="21"/>
          <w:szCs w:val="21"/>
          <w:color w:val="auto"/>
        </w:rPr>
        <w:t xml:space="preserve">” means any agreement with respect to any swap, forward, future or derivative transaction, or any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 foregoing transactions;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phantom stock or similar plan providing for payments only on account of services provided by current or former directors, officers, employees or consultants of the Company or any Subsidiary shall be a Hedging Agreement.</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Impacted EURIBOR Rate Interest Period</w:t>
      </w:r>
      <w:r>
        <w:rPr>
          <w:rFonts w:ascii="Arial" w:cs="Arial" w:eastAsia="Arial" w:hAnsi="Arial"/>
          <w:sz w:val="19"/>
          <w:szCs w:val="19"/>
          <w:color w:val="auto"/>
        </w:rPr>
        <w:t>” has the meaning assigned to such term in the definition of “EURIBOR Rate.”</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4" w:name="page215"/>
    <w:bookmarkEnd w:id="214"/>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Impacted LIBO Rate Interest Period</w:t>
      </w:r>
      <w:r>
        <w:rPr>
          <w:rFonts w:ascii="Arial" w:cs="Arial" w:eastAsia="Arial" w:hAnsi="Arial"/>
          <w:sz w:val="21"/>
          <w:szCs w:val="21"/>
          <w:color w:val="auto"/>
        </w:rPr>
        <w:t>” has the meaning assigned to such term in the definition of “LIBO Rate.”</w:t>
      </w:r>
    </w:p>
    <w:p>
      <w:pPr>
        <w:spacing w:after="0" w:line="24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xml:space="preserve">” of any Person means,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(i) trade accounts payable and other accrued or cash management obligations, in each case incurred in the ordinary course of business and (ii) any earnout obligation until such obligation ceases to be contingent); (e) all Indebtedness of others secured by (or for which the holder of such Indebtedness has an existing right, contingent or otherwise, to be secured by) any Lien on property owned or acquired by such Person, whether or not the Indebtedness secured thereby has been assumed by such Person; (f) all Guarantees by such Person of Indebtedness of others;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Guarantees outstanding on the Effective Date by the Company or any Restricted Subsidiary of Specified Joint Venture Indebtedness outstanding on the Effective Date shall not be deemed to be Indebtedness of the Company or such Restricted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if the Company or such Restricted Subsidiary shall be required to consolidate such Specified Joint Venture Indebtedness on its balance sheet then such Guarantee shall be deemed to be Indebtedness of the Company or such Restricted Subsidiary, as the case may be, as of such date; (g) all Capital Lease Obligations of such Person; (h) all obligations, contingent or otherwise, of such Person as an account party in respect of letters of credit and letters of guaranty;</w:t>
      </w:r>
    </w:p>
    <w:p>
      <w:pPr>
        <w:spacing w:after="0" w:line="4" w:lineRule="exact"/>
        <w:rPr>
          <w:sz w:val="20"/>
          <w:szCs w:val="20"/>
          <w:color w:val="auto"/>
        </w:rPr>
      </w:pPr>
    </w:p>
    <w:p>
      <w:pPr>
        <w:jc w:val="both"/>
        <w:ind w:firstLine="8"/>
        <w:spacing w:after="0" w:line="271" w:lineRule="auto"/>
        <w:tabs>
          <w:tab w:leader="none" w:pos="286" w:val="left"/>
        </w:tabs>
        <w:numPr>
          <w:ilvl w:val="0"/>
          <w:numId w:val="131"/>
        </w:numPr>
        <w:rPr>
          <w:rFonts w:ascii="Arial" w:cs="Arial" w:eastAsia="Arial" w:hAnsi="Arial"/>
          <w:sz w:val="19"/>
          <w:szCs w:val="19"/>
          <w:color w:val="auto"/>
        </w:rPr>
      </w:pPr>
      <w:r>
        <w:rPr>
          <w:rFonts w:ascii="Arial" w:cs="Arial" w:eastAsia="Arial" w:hAnsi="Arial"/>
          <w:sz w:val="19"/>
          <w:szCs w:val="19"/>
          <w:color w:val="auto"/>
        </w:rPr>
        <w:t>all obligations, contingent or otherwise, of such Person in respect of bankers’ acceptances; and (j) all Disqualified Equity Interests in such Person, valued, as of the date of determination, at the greater of (i) the maximum aggregate amount that would be payable upon maturity, redemption, repayment or repurchase thereof (or of Disqualified Equity Interests or Indebtedness into which such Disqualified Equity Interests are convertible or exchangeable) and (ii) the maximum liquidation preference of such Disqualified Equity Interests. Notwithstanding the foregoing, the term “Indebtedness” shall not include post-closing purchase price adjustments or earnouts except to the extent that the amount payable pursuant to such purchase price adjustment or earnout ceases to be contingent. The amount of Indebtedness of any Person for purposes of clause (e) above shall (unless such Indebtedness has been assumed by such Person or such Person has otherwise become liable for the payment thereof) be deemed to be equal to the lesser of (i) the aggregate unpaid amount of such Indebtedness and (ii) the fair market value of the property encumbered thereby as determined by such Person in good faith.</w:t>
      </w:r>
    </w:p>
    <w:p>
      <w:pPr>
        <w:spacing w:after="0" w:line="18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Taxes</w:t>
      </w:r>
      <w:r>
        <w:rPr>
          <w:rFonts w:ascii="Arial" w:cs="Arial" w:eastAsia="Arial" w:hAnsi="Arial"/>
          <w:sz w:val="22"/>
          <w:szCs w:val="22"/>
          <w:color w:val="auto"/>
        </w:rPr>
        <w:t>” means (a) all Taxes, other than Excluded Taxes, imposed on or with respect to any payment made by or on account of any obligation of any Loan Party under this Agreement or any other Loan Document and (b) to the extent not otherwise described in clause (a) of this definition, all Other Taxes.</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Indemnitee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9.03(b)</w:t>
      </w:r>
      <w:r>
        <w:rPr>
          <w:rFonts w:ascii="Arial" w:cs="Arial" w:eastAsia="Arial" w:hAnsi="Arial"/>
          <w:sz w:val="22"/>
          <w:szCs w:val="22"/>
          <w:color w:val="auto"/>
        </w:rPr>
        <w:t>.</w:t>
      </w:r>
    </w:p>
    <w:p>
      <w:pPr>
        <w:spacing w:after="0" w:line="233"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Index Debt</w:t>
      </w:r>
      <w:r>
        <w:rPr>
          <w:rFonts w:ascii="Arial" w:cs="Arial" w:eastAsia="Arial" w:hAnsi="Arial"/>
          <w:sz w:val="22"/>
          <w:szCs w:val="22"/>
          <w:color w:val="auto"/>
        </w:rPr>
        <w:t>” means senior, unsecured, long-term indebtedness for borrowed money of the Company (including, for the avoidance of doubt, the Senior Unsecured Notes).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5" w:name="page216"/>
    <w:bookmarkEnd w:id="215"/>
    <w:p>
      <w:pPr>
        <w:jc w:val="both"/>
        <w:ind w:right="2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Interest Coverage Ratio</w:t>
      </w:r>
      <w:r>
        <w:rPr>
          <w:rFonts w:ascii="Arial" w:cs="Arial" w:eastAsia="Arial" w:hAnsi="Arial"/>
          <w:sz w:val="21"/>
          <w:szCs w:val="21"/>
          <w:color w:val="auto"/>
        </w:rPr>
        <w:t>” means, as of the last day of any period of four consecutive fiscal quarters of the Company, the ratio of (a) Consolidated EBITDA for such period to (b) Consolidated Interest Expense for such period.</w:t>
      </w:r>
    </w:p>
    <w:p>
      <w:pPr>
        <w:spacing w:after="0" w:line="17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Election Request</w:t>
      </w:r>
      <w:r>
        <w:rPr>
          <w:rFonts w:ascii="Arial" w:cs="Arial" w:eastAsia="Arial" w:hAnsi="Arial"/>
          <w:sz w:val="22"/>
          <w:szCs w:val="22"/>
          <w:color w:val="auto"/>
        </w:rPr>
        <w:t xml:space="preserve">” means a request by the Company to convert or continue a Revolving Borrowing in accordance with </w:t>
      </w:r>
      <w:r>
        <w:rPr>
          <w:rFonts w:ascii="Arial" w:cs="Arial" w:eastAsia="Arial" w:hAnsi="Arial"/>
          <w:sz w:val="22"/>
          <w:szCs w:val="22"/>
          <w:u w:val="single" w:color="auto"/>
          <w:color w:val="auto"/>
        </w:rPr>
        <w:t>Section 2.07</w:t>
      </w:r>
      <w:r>
        <w:rPr>
          <w:rFonts w:ascii="Arial" w:cs="Arial" w:eastAsia="Arial" w:hAnsi="Arial"/>
          <w:sz w:val="22"/>
          <w:szCs w:val="22"/>
          <w:color w:val="auto"/>
        </w:rPr>
        <w:t xml:space="preserve">, which shall be, in the case of a written Interest Election Request, in a form approved by the Administrative Agent and otherwise consistent with the requirements of </w:t>
      </w:r>
      <w:r>
        <w:rPr>
          <w:rFonts w:ascii="Arial" w:cs="Arial" w:eastAsia="Arial" w:hAnsi="Arial"/>
          <w:sz w:val="22"/>
          <w:szCs w:val="22"/>
          <w:u w:val="single" w:color="auto"/>
          <w:color w:val="auto"/>
        </w:rPr>
        <w:t>Section 2.07</w:t>
      </w:r>
      <w:r>
        <w:rPr>
          <w:rFonts w:ascii="Arial" w:cs="Arial" w:eastAsia="Arial" w:hAnsi="Arial"/>
          <w:sz w:val="22"/>
          <w:szCs w:val="22"/>
          <w:color w:val="auto"/>
        </w:rPr>
        <w:t>.</w:t>
      </w:r>
    </w:p>
    <w:p>
      <w:pPr>
        <w:spacing w:after="0" w:line="21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Payment Date</w:t>
      </w:r>
      <w:r>
        <w:rPr>
          <w:rFonts w:ascii="Arial" w:cs="Arial" w:eastAsia="Arial" w:hAnsi="Arial"/>
          <w:sz w:val="22"/>
          <w:szCs w:val="22"/>
          <w:color w:val="auto"/>
        </w:rPr>
        <w:t>” means (a) with respect to any ABR Loan, the last Business Day of each March, June, September and December and (b) with respect to any Eurocurrency Loan, the last Business Day of the Interest Period applicable to the Borrowing of which such Loan is a part and, in the case of a Eurocurrency Borrowing with an Interest Period of more than three months’ duration, each day prior to the last Business Day of such Interest Period that occurs at intervals of three months’ duration after the first day of such Interest Period.</w:t>
      </w:r>
    </w:p>
    <w:p>
      <w:pPr>
        <w:spacing w:after="0" w:line="214"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Interest Period</w:t>
      </w:r>
      <w:r>
        <w:rPr>
          <w:rFonts w:ascii="Arial" w:cs="Arial" w:eastAsia="Arial" w:hAnsi="Arial"/>
          <w:sz w:val="21"/>
          <w:szCs w:val="21"/>
          <w:color w:val="auto"/>
        </w:rPr>
        <w:t xml:space="preserve">” means, with respect to any Eurocurrency Borrowing, the period commencing on the date of such Borrowing and ending on the numerically corresponding day in the calendar month that is one, three or six months thereafter (or, with the consent of all relevant Lenders, twelve months thereafter), as the Company may elect;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Investment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6.04</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Investment Company Act</w:t>
      </w:r>
      <w:r>
        <w:rPr>
          <w:rFonts w:ascii="Arial" w:cs="Arial" w:eastAsia="Arial" w:hAnsi="Arial"/>
          <w:sz w:val="22"/>
          <w:szCs w:val="22"/>
          <w:color w:val="auto"/>
        </w:rPr>
        <w:t>” means the U.S. Investment Company Act of 1940.</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IRS</w:t>
      </w:r>
      <w:r>
        <w:rPr>
          <w:rFonts w:ascii="Arial" w:cs="Arial" w:eastAsia="Arial" w:hAnsi="Arial"/>
          <w:sz w:val="22"/>
          <w:szCs w:val="22"/>
          <w:color w:val="auto"/>
        </w:rPr>
        <w:t>” means the United States Internal Revenue Service.</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ISDA Definitions</w:t>
      </w:r>
      <w:r>
        <w:rPr>
          <w:rFonts w:ascii="Arial" w:cs="Arial" w:eastAsia="Arial" w:hAnsi="Arial"/>
          <w:sz w:val="22"/>
          <w:szCs w:val="22"/>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212" w:lineRule="exact"/>
        <w:rPr>
          <w:sz w:val="20"/>
          <w:szCs w:val="20"/>
          <w:color w:val="auto"/>
        </w:rPr>
      </w:pPr>
    </w:p>
    <w:p>
      <w:pPr>
        <w:jc w:val="both"/>
        <w:ind w:right="20"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ISP</w:t>
      </w:r>
      <w:r>
        <w:rPr>
          <w:rFonts w:ascii="Arial" w:cs="Arial" w:eastAsia="Arial" w:hAnsi="Arial"/>
          <w:sz w:val="19"/>
          <w:szCs w:val="19"/>
          <w:color w:val="auto"/>
        </w:rPr>
        <w:t>” means, with respect to any Letter of Credit, the “International Standby Practices 1998” published by the Institute of International Banking Law &amp; Practice (or such later version thereof as may be in effect at the time of issuance).</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6" w:name="page217"/>
    <w:bookmarkEnd w:id="216"/>
    <w:p>
      <w:pPr>
        <w:jc w:val="both"/>
        <w:ind w:firstLine="648"/>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Issuing Bank</w:t>
      </w:r>
      <w:r>
        <w:rPr>
          <w:rFonts w:ascii="Arial" w:cs="Arial" w:eastAsia="Arial" w:hAnsi="Arial"/>
          <w:sz w:val="21"/>
          <w:szCs w:val="21"/>
          <w:color w:val="auto"/>
        </w:rPr>
        <w:t xml:space="preserve">” means (a) JPMCB, Citibank, N.A., DNB Bank ASA, New York Branch, Société Générale, Sumitomo Mitsui Banking Corporation, Wells Fargo Bank, National Association, and Bank of America, N.A., in each case with respect to such Issuing Bank’s Specified LC Sublimit and (b) each Revolving Lender that shall have become an Issuing Bank hereunder as provided in </w:t>
      </w:r>
      <w:r>
        <w:rPr>
          <w:rFonts w:ascii="Arial" w:cs="Arial" w:eastAsia="Arial" w:hAnsi="Arial"/>
          <w:sz w:val="21"/>
          <w:szCs w:val="21"/>
          <w:u w:val="single" w:color="auto"/>
          <w:color w:val="auto"/>
        </w:rPr>
        <w:t>Section 2.05(j)</w:t>
      </w:r>
      <w:r>
        <w:rPr>
          <w:rFonts w:ascii="Arial" w:cs="Arial" w:eastAsia="Arial" w:hAnsi="Arial"/>
          <w:sz w:val="21"/>
          <w:szCs w:val="21"/>
          <w:color w:val="auto"/>
        </w:rPr>
        <w:t xml:space="preserve"> (other than any Person that shall have ceased to be an Issuing Bank as provided in </w:t>
      </w:r>
      <w:r>
        <w:rPr>
          <w:rFonts w:ascii="Arial" w:cs="Arial" w:eastAsia="Arial" w:hAnsi="Arial"/>
          <w:sz w:val="21"/>
          <w:szCs w:val="21"/>
          <w:u w:val="single" w:color="auto"/>
          <w:color w:val="auto"/>
        </w:rPr>
        <w:t>Section 2.05(k)</w:t>
      </w:r>
      <w:r>
        <w:rPr>
          <w:rFonts w:ascii="Arial" w:cs="Arial" w:eastAsia="Arial" w:hAnsi="Arial"/>
          <w:sz w:val="21"/>
          <w:szCs w:val="21"/>
          <w:color w:val="auto"/>
        </w:rPr>
        <w:t>), each in its capacity as an issuer of Letters of Credit hereunder. Each Issuing Bank may, in its discretion, arrange for one or more Letters of Credit to be issued by Affiliates of such Issuing Bank, in which case the term “Issuing Bank” shall include any such Affiliate with respect to Letters of Credit issued by such Affiliate.</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ITA</w:t>
      </w:r>
      <w:r>
        <w:rPr>
          <w:rFonts w:ascii="Arial" w:cs="Arial" w:eastAsia="Arial" w:hAnsi="Arial"/>
          <w:sz w:val="22"/>
          <w:szCs w:val="22"/>
          <w:color w:val="auto"/>
        </w:rPr>
        <w:t>” means the UK Income Tax Act 2007.</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JPMCB</w:t>
      </w:r>
      <w:r>
        <w:rPr>
          <w:rFonts w:ascii="Arial" w:cs="Arial" w:eastAsia="Arial" w:hAnsi="Arial"/>
          <w:sz w:val="22"/>
          <w:szCs w:val="22"/>
          <w:color w:val="auto"/>
        </w:rPr>
        <w:t>” means JPMorgan Chase Bank, N.A.</w:t>
      </w:r>
    </w:p>
    <w:p>
      <w:pPr>
        <w:spacing w:after="0" w:line="233"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Knowledge</w:t>
      </w:r>
      <w:r>
        <w:rPr>
          <w:rFonts w:ascii="Arial" w:cs="Arial" w:eastAsia="Arial" w:hAnsi="Arial"/>
          <w:sz w:val="22"/>
          <w:szCs w:val="22"/>
          <w:color w:val="auto"/>
        </w:rPr>
        <w:t>” means, with respect to the Company or a Restricted Subsidiary, the actual knowledge of any Responsible Officer of such Person.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Disbursement</w:t>
      </w:r>
      <w:r>
        <w:rPr>
          <w:rFonts w:ascii="Arial" w:cs="Arial" w:eastAsia="Arial" w:hAnsi="Arial"/>
          <w:sz w:val="22"/>
          <w:szCs w:val="22"/>
          <w:color w:val="auto"/>
        </w:rPr>
        <w:t>” means a payment made by an Issuing Bank pursuant to a Letter of Credit.</w:t>
      </w:r>
    </w:p>
    <w:p>
      <w:pPr>
        <w:spacing w:after="0" w:line="23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LC Exposure</w:t>
      </w:r>
      <w:r>
        <w:rPr>
          <w:rFonts w:ascii="Arial" w:cs="Arial" w:eastAsia="Arial" w:hAnsi="Arial"/>
          <w:sz w:val="21"/>
          <w:szCs w:val="21"/>
          <w:color w:val="auto"/>
        </w:rPr>
        <w:t>” means, at any time, the sum of (a) the Dollar Equivalent of the aggregate undrawn amount of all outstanding Letters of Credit at such time and (b) the Dollar Equivalent of the aggregate amount of all LC Disbursements that have not yet been reimbursed by or on behalf of the Borrowers at such time. The LC Exposure of any Revolving Lender at any time shall be such Lender’s Applicable Percentage of the aggregate LC Exposure at such time.</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Facility</w:t>
      </w:r>
      <w:r>
        <w:rPr>
          <w:rFonts w:ascii="Arial" w:cs="Arial" w:eastAsia="Arial" w:hAnsi="Arial"/>
          <w:sz w:val="22"/>
          <w:szCs w:val="22"/>
          <w:color w:val="auto"/>
        </w:rPr>
        <w:t>” means a standalone letter of credit or bank guaranty facility.</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Lender-Related Person</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9.03(c)</w:t>
      </w:r>
      <w:r>
        <w:rPr>
          <w:rFonts w:ascii="Arial" w:cs="Arial" w:eastAsia="Arial" w:hAnsi="Arial"/>
          <w:sz w:val="22"/>
          <w:szCs w:val="22"/>
          <w:color w:val="auto"/>
        </w:rPr>
        <w:t>.</w:t>
      </w:r>
    </w:p>
    <w:p>
      <w:pPr>
        <w:spacing w:after="0" w:line="233"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Lenders</w:t>
      </w:r>
      <w:r>
        <w:rPr>
          <w:rFonts w:ascii="Arial" w:cs="Arial" w:eastAsia="Arial" w:hAnsi="Arial"/>
          <w:sz w:val="22"/>
          <w:szCs w:val="22"/>
          <w:color w:val="auto"/>
        </w:rPr>
        <w:t xml:space="preserve">” means the Persons listed on </w:t>
      </w:r>
      <w:r>
        <w:rPr>
          <w:rFonts w:ascii="Arial" w:cs="Arial" w:eastAsia="Arial" w:hAnsi="Arial"/>
          <w:sz w:val="22"/>
          <w:szCs w:val="22"/>
          <w:u w:val="single" w:color="auto"/>
          <w:color w:val="auto"/>
        </w:rPr>
        <w:t>Schedule 2.01</w:t>
      </w:r>
      <w:r>
        <w:rPr>
          <w:rFonts w:ascii="Arial" w:cs="Arial" w:eastAsia="Arial" w:hAnsi="Arial"/>
          <w:sz w:val="22"/>
          <w:szCs w:val="22"/>
          <w:color w:val="auto"/>
        </w:rPr>
        <w:t xml:space="preserve"> and any other Person that shall have become a party hereto pursuant to an Assignment and Assumption, other than any such Person that shall have ceased to be a party hereto pursuant to an Assignment and Assumption.</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w:t>
      </w:r>
      <w:r>
        <w:rPr>
          <w:rFonts w:ascii="Arial" w:cs="Arial" w:eastAsia="Arial" w:hAnsi="Arial"/>
          <w:sz w:val="22"/>
          <w:szCs w:val="22"/>
          <w:color w:val="auto"/>
        </w:rPr>
        <w:t xml:space="preserve">” means any letter of credit denominated in dollars or in an Alternative Currency issued pursuant to this Agreement by an Issuing Bank under the Commitments, other than any such letter of credit that shall have ceased to be a “Letter of Credit” outstanding hereunder pursuant to </w:t>
      </w:r>
      <w:r>
        <w:rPr>
          <w:rFonts w:ascii="Arial" w:cs="Arial" w:eastAsia="Arial" w:hAnsi="Arial"/>
          <w:sz w:val="22"/>
          <w:szCs w:val="22"/>
          <w:u w:val="single" w:color="auto"/>
          <w:color w:val="auto"/>
        </w:rPr>
        <w:t>Section 9.05</w:t>
      </w:r>
      <w:r>
        <w:rPr>
          <w:rFonts w:ascii="Arial" w:cs="Arial" w:eastAsia="Arial" w:hAnsi="Arial"/>
          <w:sz w:val="22"/>
          <w:szCs w:val="22"/>
          <w:color w:val="auto"/>
        </w:rPr>
        <w:t>.</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Liabilities</w:t>
      </w:r>
      <w:r>
        <w:rPr>
          <w:rFonts w:ascii="Arial" w:cs="Arial" w:eastAsia="Arial" w:hAnsi="Arial"/>
          <w:sz w:val="21"/>
          <w:szCs w:val="21"/>
          <w:color w:val="auto"/>
        </w:rPr>
        <w:t>” means any losses, claims (including intraparty claims), demands, damages or liabilities of any kind.</w:t>
      </w:r>
    </w:p>
    <w:p>
      <w:pPr>
        <w:spacing w:after="0" w:line="24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LIBO Interpolated Rate</w:t>
      </w:r>
      <w:r>
        <w:rPr>
          <w:rFonts w:ascii="Arial" w:cs="Arial" w:eastAsia="Arial" w:hAnsi="Arial"/>
          <w:sz w:val="19"/>
          <w:szCs w:val="19"/>
          <w:color w:val="auto"/>
        </w:rPr>
        <w:t xml:space="preserve">” means, at any time, with respect to any Eurocurrency Borrowing denominated in dollars or Sterling and for any Interest Period, the rate per annum (rounded to the same number of decimal places as the LIBO Screen Rate) determined by the Administrative Agent (which determination shall be conclusive and binding absent manifest error) to be equal to the rate that results from interpolating on a linear basis between: (a) the LIBO Screen Rate for the longest period (for which the LIBO Screen Rate is available for the applicable Agreed Currency) that is shorter than the Impacted LIBO Rate Interest Period; and (b) the LIBO Screen Rate for the shortest period (for which the LIBO Screen Rate is available for the applicable Agreed Currency) that exceeds the Impacted LIBO Rate Interest Period, in each case,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LIBO Interpolated Rate shall be less than 0.75%, such rate shall be deemed to be 0.75% for the purposes of this Agreement.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7" w:name="page218"/>
    <w:bookmarkEnd w:id="217"/>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LIBO Rate</w:t>
      </w:r>
      <w:r>
        <w:rPr>
          <w:rFonts w:ascii="Arial" w:cs="Arial" w:eastAsia="Arial" w:hAnsi="Arial"/>
          <w:sz w:val="19"/>
          <w:szCs w:val="19"/>
          <w:color w:val="auto"/>
        </w:rPr>
        <w:t xml:space="preserve">” means, with respect to any Eurocurrency Borrowing denominated dollars or Sterling and for any Interest Period, the LIBO Screen Rate at approximately 11:00 a.m., London time, two Business Days prior to the commencement of such Interest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LIBO Screen Rate shall not be available at such time for such Interest Period (an “</w:t>
      </w:r>
      <w:r>
        <w:rPr>
          <w:rFonts w:ascii="Arial" w:cs="Arial" w:eastAsia="Arial" w:hAnsi="Arial"/>
          <w:sz w:val="19"/>
          <w:szCs w:val="19"/>
          <w:u w:val="single" w:color="auto"/>
          <w:color w:val="auto"/>
        </w:rPr>
        <w:t>Impacted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LIBO Rate Interest Period</w:t>
      </w:r>
      <w:r>
        <w:rPr>
          <w:rFonts w:ascii="Arial" w:cs="Arial" w:eastAsia="Arial" w:hAnsi="Arial"/>
          <w:sz w:val="19"/>
          <w:szCs w:val="19"/>
          <w:color w:val="auto"/>
        </w:rPr>
        <w:t>”) with respect to such Agreed Currency, then the LIBO Rate shall be the LIBO Interpolated Rate.</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LIBO Screen Rate</w:t>
      </w:r>
      <w:r>
        <w:rPr>
          <w:rFonts w:ascii="Arial" w:cs="Arial" w:eastAsia="Arial" w:hAnsi="Arial"/>
          <w:sz w:val="19"/>
          <w:szCs w:val="19"/>
          <w:color w:val="auto"/>
        </w:rPr>
        <w:t xml:space="preserve">” means, for any day and time, with respect to any Eurocurrency Borrowing denominated in dollars or Sterling and for any Interest Period, the London interbank offered rate as administered by ICE Benchmark Administration (or any other Person that takes over the administration of such rate) for such Agreed Currency for a period equal in length to such Interest Period as displayed on such day and time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in its reasonable discretion),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LIBO Screen Rate shall be less than 0.75%, such rate shall be deemed to 0.75% for the purposes of this Agreement.</w:t>
      </w:r>
    </w:p>
    <w:p>
      <w:pPr>
        <w:spacing w:after="0" w:line="18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Lien</w:t>
      </w:r>
      <w:r>
        <w:rPr>
          <w:rFonts w:ascii="Arial" w:cs="Arial" w:eastAsia="Arial" w:hAnsi="Arial"/>
          <w:sz w:val="19"/>
          <w:szCs w:val="19"/>
          <w:color w:val="auto"/>
        </w:rPr>
        <w:t>” means, with respect to any asset, (a) any mortgage, deed of trust, lien, pledge, hypothecation, charge, security interest or other encumbrance in, on or of such asset or (b) the interest of a vendor or a lessor under any conditional sale agreement, capital lease or title retention agreement (or any financing lease having substantially the same economic effect as any of the foregoing), or interest of a licensor under any license or sublicense agreement, relating to such asset.</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 Document Obligations</w:t>
      </w:r>
      <w:r>
        <w:rPr>
          <w:rFonts w:ascii="Arial" w:cs="Arial" w:eastAsia="Arial" w:hAnsi="Arial"/>
          <w:sz w:val="19"/>
          <w:szCs w:val="19"/>
          <w:color w:val="auto"/>
        </w:rPr>
        <w:t>” means (a) the due and punctual payment by the Borrowers of (i) the principal of and interest (including interest accruing during the pendency of any bankruptcy, insolvency, receivership or other similar proceeding, regardless of whether allowed or allowable in such proceeding) on the Loans, when and as due, whether at maturity, by acceleration, upon one or more dates set for prepayment or otherwise, (ii) each payment required to be made by the Borrowers and the other Loan Parties under this Agreement in respect of any Letter of Credit, when and as due, including payments in respect of reimbursement of disbursements, interest thereon and obligations to provide cash collateral (including interest and other amounts and obligations accruing during the pendency of any bankruptcy, insolvency, receivership or other similar proceeding, regardless of whether allowed or allowable in such proceeding) and (iii) all other monetary obligations of the Borrowers under this Agreement and each of the other Loan Documents, including obligations to pay fees, expense reimbursement obligations (including with respect to attorneys’ fees) and indemnification obligations, whether primary, secondary, direct, contingent, fixed or otherwise (including monetary obligations incurred during the pendency of any bankruptcy, insolvency, receivership or other similar proceeding, regardless of whether allowed or allowable in such proceeding) and (b) the due and punctual payment of all the obligations of each Guarantor under or pursuant to each of the Loan Documents to which it is a party (including monetary obligations incurred during the pendency of any bankruptcy, insolvency, receivership or other similar proceeding, regardless of whether allowed or allowable in such proceeding).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8" w:name="page219"/>
    <w:bookmarkEnd w:id="218"/>
    <w:p>
      <w:pPr>
        <w:jc w:val="both"/>
        <w:ind w:firstLine="648"/>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 Documents</w:t>
      </w:r>
      <w:r>
        <w:rPr>
          <w:rFonts w:ascii="Arial" w:cs="Arial" w:eastAsia="Arial" w:hAnsi="Arial"/>
          <w:sz w:val="19"/>
          <w:szCs w:val="19"/>
          <w:color w:val="auto"/>
        </w:rPr>
        <w:t xml:space="preserve">” means this Agreement, the New York-Law Guarantee, the Security Documents, any agreement designating an additional Issuing Bank as contemplated by </w:t>
      </w:r>
      <w:r>
        <w:rPr>
          <w:rFonts w:ascii="Arial" w:cs="Arial" w:eastAsia="Arial" w:hAnsi="Arial"/>
          <w:sz w:val="19"/>
          <w:szCs w:val="19"/>
          <w:u w:val="single" w:color="auto"/>
          <w:color w:val="auto"/>
        </w:rPr>
        <w:t>Section 2.05(j)</w:t>
      </w:r>
      <w:r>
        <w:rPr>
          <w:rFonts w:ascii="Arial" w:cs="Arial" w:eastAsia="Arial" w:hAnsi="Arial"/>
          <w:sz w:val="19"/>
          <w:szCs w:val="19"/>
          <w:color w:val="auto"/>
        </w:rPr>
        <w:t xml:space="preserve">, except for purposes of </w:t>
      </w:r>
      <w:r>
        <w:rPr>
          <w:rFonts w:ascii="Arial" w:cs="Arial" w:eastAsia="Arial" w:hAnsi="Arial"/>
          <w:sz w:val="19"/>
          <w:szCs w:val="19"/>
          <w:u w:val="single" w:color="auto"/>
          <w:color w:val="auto"/>
        </w:rPr>
        <w:t>Section 9.02</w:t>
      </w:r>
      <w:r>
        <w:rPr>
          <w:rFonts w:ascii="Arial" w:cs="Arial" w:eastAsia="Arial" w:hAnsi="Arial"/>
          <w:sz w:val="19"/>
          <w:szCs w:val="19"/>
          <w:color w:val="auto"/>
        </w:rPr>
        <w:t xml:space="preserve">, any Notes delivered pursuant to </w:t>
      </w:r>
      <w:r>
        <w:rPr>
          <w:rFonts w:ascii="Arial" w:cs="Arial" w:eastAsia="Arial" w:hAnsi="Arial"/>
          <w:sz w:val="19"/>
          <w:szCs w:val="19"/>
          <w:u w:val="single" w:color="auto"/>
          <w:color w:val="auto"/>
        </w:rPr>
        <w:t>Section 2.09(c)</w:t>
      </w:r>
      <w:r>
        <w:rPr>
          <w:rFonts w:ascii="Arial" w:cs="Arial" w:eastAsia="Arial" w:hAnsi="Arial"/>
          <w:sz w:val="19"/>
          <w:szCs w:val="19"/>
          <w:color w:val="auto"/>
        </w:rPr>
        <w:t>, any Bilateral Facility Intercreditor Agreement and all other agreements, instruments, documents and certificates now or hereafter executed and delivered by a Loan Party to, or in favor of, the Administrative Agent or Collateral Agent or any Lender in connection with this Agreement to the extent designated as a “Loan Document” therein (and, in each case, any amendment, restatement, waiver, supplement or other modification to any of the foregoing).</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Parties</w:t>
      </w:r>
      <w:r>
        <w:rPr>
          <w:rFonts w:ascii="Arial" w:cs="Arial" w:eastAsia="Arial" w:hAnsi="Arial"/>
          <w:sz w:val="22"/>
          <w:szCs w:val="22"/>
          <w:color w:val="auto"/>
        </w:rPr>
        <w:t>” means, collectively, the Borrowers and the Guarantors.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Loans</w:t>
      </w:r>
      <w:r>
        <w:rPr>
          <w:rFonts w:ascii="Arial" w:cs="Arial" w:eastAsia="Arial" w:hAnsi="Arial"/>
          <w:sz w:val="22"/>
          <w:szCs w:val="22"/>
          <w:color w:val="auto"/>
        </w:rPr>
        <w:t>” means the loans made by the Lenders to the Borrowers pursuant to this Agreement.</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Local Time</w:t>
      </w:r>
      <w:r>
        <w:rPr>
          <w:rFonts w:ascii="Arial" w:cs="Arial" w:eastAsia="Arial" w:hAnsi="Arial"/>
          <w:sz w:val="22"/>
          <w:szCs w:val="22"/>
          <w:color w:val="auto"/>
        </w:rPr>
        <w:t>” means (a) with respect to any Loan or Borrowing denominated in dollars or any Letter of Credit denominated in dollars, New York City time and (b) with respect to any Loan or Borrowing denominated in an Alternative Currency or any Letter of Credit denominated in an Alternative Currency, London time.</w:t>
      </w:r>
    </w:p>
    <w:p>
      <w:pPr>
        <w:spacing w:after="0" w:line="213"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London Business Day</w:t>
      </w:r>
      <w:r>
        <w:rPr>
          <w:rFonts w:ascii="Arial" w:cs="Arial" w:eastAsia="Arial" w:hAnsi="Arial"/>
          <w:sz w:val="22"/>
          <w:szCs w:val="22"/>
          <w:color w:val="auto"/>
        </w:rPr>
        <w:t>” means any day on which banks are generally open for dealings in dollar deposits in the London interbank market.</w:t>
      </w:r>
    </w:p>
    <w:p>
      <w:pPr>
        <w:spacing w:after="0" w:line="20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Adverse Effect</w:t>
      </w:r>
      <w:r>
        <w:rPr>
          <w:rFonts w:ascii="Arial" w:cs="Arial" w:eastAsia="Arial" w:hAnsi="Arial"/>
          <w:sz w:val="22"/>
          <w:szCs w:val="22"/>
          <w:color w:val="auto"/>
        </w:rPr>
        <w:t>” means a material adverse effect on (a) the business, assets, liabilities, operations or financial condition of the Borrowers and the Restricted Subsidiaries, taken as a whole, (b) the ability of the Loan Parties (taken as a whole) to perform their obligations to the Lenders or the Administrative Agent under this Agreement or any other Loan Document or (c) the rights of, or remedies available to, the Administrative Agent or the Lenders under this Agreement or any other Loan Document.</w:t>
      </w:r>
    </w:p>
    <w:p>
      <w:pPr>
        <w:spacing w:after="0" w:line="21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Indebtedness</w:t>
      </w:r>
      <w:r>
        <w:rPr>
          <w:rFonts w:ascii="Arial" w:cs="Arial" w:eastAsia="Arial" w:hAnsi="Arial"/>
          <w:sz w:val="19"/>
          <w:szCs w:val="19"/>
          <w:color w:val="auto"/>
        </w:rPr>
        <w:t>” means Indebtedness (other than the Loans, the Letters of Credit and the Guarantees under the Loan Documents), or obligations in respect of one or more Hedging Agreements, of any one or more of the Borrowers and the Restricted Subsidiaries in an aggregate principal amount exceeding $100,000,000. For purposes of determining Material Indebtedness, the “principal amount” of the obligations of a Borrower or any Restricted Subsidiary in respect of any Hedging Agreement at any time shall be the maximum aggregate amount (giving effect to any netting agreements) that such Borrower or such Restricted Subsidiary would be required to pay if such Hedging Agreement were terminated at such time.</w:t>
      </w:r>
    </w:p>
    <w:p>
      <w:pPr>
        <w:spacing w:after="0" w:line="177"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Real Property</w:t>
      </w:r>
      <w:r>
        <w:rPr>
          <w:rFonts w:ascii="Arial" w:cs="Arial" w:eastAsia="Arial" w:hAnsi="Arial"/>
          <w:sz w:val="22"/>
          <w:szCs w:val="22"/>
          <w:color w:val="auto"/>
        </w:rPr>
        <w:t>” means any fee-owned real property in any Collateral Jurisdiction with a book value of at least $5,000,000 as reasonably determined by the Company in good faith.</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9" w:name="page220"/>
    <w:bookmarkEnd w:id="219"/>
    <w:p>
      <w:pPr>
        <w:jc w:val="both"/>
        <w:ind w:firstLine="648"/>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Material Subsidiary</w:t>
      </w:r>
      <w:r>
        <w:rPr>
          <w:rFonts w:ascii="Arial" w:cs="Arial" w:eastAsia="Arial" w:hAnsi="Arial"/>
          <w:sz w:val="21"/>
          <w:szCs w:val="21"/>
          <w:color w:val="auto"/>
        </w:rPr>
        <w:t xml:space="preserve">” means each Restricted Subsidiary (a) the Consolidated Total Assets of which equal 5.0% or more of the Consolidated Total Assets of the Company and the Restricted Subsidiaries or (b) the consolidated revenues of which equal 5.0% or more of the consolidated revenues of the Company and the Restricted Subsidiaries, in each case as of the end of or for the most recent period of four consecutive fiscal quarters for which financial statements have been delivered pursuant to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5.01(a)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5.01(b)</w:t>
      </w:r>
      <w:r>
        <w:rPr>
          <w:rFonts w:ascii="Arial" w:cs="Arial" w:eastAsia="Arial" w:hAnsi="Arial"/>
          <w:sz w:val="21"/>
          <w:szCs w:val="21"/>
          <w:color w:val="auto"/>
        </w:rPr>
        <w:t xml:space="preserve"> (or, prior to the first delivery of any such financial statements, as of the end of or for the period of four consecutive fiscal quarters most recently ended prior to the Effective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at the end of or for any such most recent period of four consecutive fiscal quarters, the combined Consolidated Total Assets or combined consolidated revenues of all Restricted Subsidiaries that under clauses (a) and (b) above would not constitute Material Subsidiaries shall have exceeded 10.0% of the Consolidated Total Assets of the Company and the Restricted Subsidiaries or 10.0% of the consolidated revenues of the Company and the Restricted Subsidiaries, respectively, then one or more of such excluded Restricted Subsidiaries shall, for all purposes of this Agreement, be designated by the Company to be Material Subsidiaries until such excess shall have been eliminated.</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Maturity Date</w:t>
      </w:r>
      <w:r>
        <w:rPr>
          <w:rFonts w:ascii="Arial" w:cs="Arial" w:eastAsia="Arial" w:hAnsi="Arial"/>
          <w:sz w:val="22"/>
          <w:szCs w:val="22"/>
          <w:color w:val="auto"/>
        </w:rPr>
        <w:t>” means the date that is three years after the Effective Date.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Maximum Rate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9.13</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MNPI</w:t>
      </w:r>
      <w:r>
        <w:rPr>
          <w:rFonts w:ascii="Arial" w:cs="Arial" w:eastAsia="Arial" w:hAnsi="Arial"/>
          <w:sz w:val="22"/>
          <w:szCs w:val="22"/>
          <w:color w:val="auto"/>
        </w:rPr>
        <w:t>” means material information concerning the Company, any Subsidiary or any Affiliate of any of the foregoing or their securities that has not been disseminated in a manner making it available to investors generally, within the meaning of Regulation FD under the Securities Act and the Exchange Act. For purposes of this definition, “material information” means information concerning the Company, the Subsidiaries or any Affiliate of any of the foregoing or any of their securities that could reasonably be expected to be material for purposes of the United States Federal and State securities laws and, where applicable, foreign securities laws.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Moody’s</w:t>
      </w:r>
      <w:r>
        <w:rPr>
          <w:rFonts w:ascii="Arial" w:cs="Arial" w:eastAsia="Arial" w:hAnsi="Arial"/>
          <w:sz w:val="22"/>
          <w:szCs w:val="22"/>
          <w:color w:val="auto"/>
        </w:rPr>
        <w:t>” means Moody’s Investors Service, Inc., and any successor to its rating agency business.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Mortgage</w:t>
      </w:r>
      <w:r>
        <w:rPr>
          <w:rFonts w:ascii="Arial" w:cs="Arial" w:eastAsia="Arial" w:hAnsi="Arial"/>
          <w:sz w:val="22"/>
          <w:szCs w:val="22"/>
          <w:color w:val="auto"/>
        </w:rPr>
        <w:t>” means a Real Property Mortgage or a Vessel Mortgage or both, as the context requires.</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Mortgaged Property</w:t>
      </w:r>
      <w:r>
        <w:rPr>
          <w:rFonts w:ascii="Arial" w:cs="Arial" w:eastAsia="Arial" w:hAnsi="Arial"/>
          <w:sz w:val="22"/>
          <w:szCs w:val="22"/>
          <w:color w:val="auto"/>
        </w:rPr>
        <w:t xml:space="preserve">” means, initially, each Material Real Property owned by a Loan Party and identified on </w:t>
      </w:r>
      <w:r>
        <w:rPr>
          <w:rFonts w:ascii="Arial" w:cs="Arial" w:eastAsia="Arial" w:hAnsi="Arial"/>
          <w:sz w:val="22"/>
          <w:szCs w:val="22"/>
          <w:u w:val="single" w:color="auto"/>
          <w:color w:val="auto"/>
        </w:rPr>
        <w:t>Schedule</w:t>
      </w:r>
      <w:r>
        <w:rPr>
          <w:rFonts w:ascii="Arial" w:cs="Arial" w:eastAsia="Arial" w:hAnsi="Arial"/>
          <w:sz w:val="22"/>
          <w:szCs w:val="22"/>
          <w:color w:val="auto"/>
        </w:rPr>
        <w:t xml:space="preserve"> </w:t>
      </w:r>
      <w:r>
        <w:rPr>
          <w:rFonts w:ascii="Arial" w:cs="Arial" w:eastAsia="Arial" w:hAnsi="Arial"/>
          <w:sz w:val="22"/>
          <w:szCs w:val="22"/>
          <w:u w:val="single" w:color="auto"/>
          <w:color w:val="auto"/>
        </w:rPr>
        <w:t>1.01(b)</w:t>
      </w:r>
      <w:r>
        <w:rPr>
          <w:rFonts w:ascii="Arial" w:cs="Arial" w:eastAsia="Arial" w:hAnsi="Arial"/>
          <w:sz w:val="22"/>
          <w:szCs w:val="22"/>
          <w:color w:val="auto"/>
        </w:rPr>
        <w:t xml:space="preserve">, and includes each other Material Real Property owned by a Loan Party with respect to which a Real Property Mortgage is granted pursuant to </w:t>
      </w:r>
      <w:r>
        <w:rPr>
          <w:rFonts w:ascii="Arial" w:cs="Arial" w:eastAsia="Arial" w:hAnsi="Arial"/>
          <w:sz w:val="22"/>
          <w:szCs w:val="22"/>
          <w:u w:val="single" w:color="auto"/>
          <w:color w:val="auto"/>
        </w:rPr>
        <w:t>Section 5.13</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5.15</w:t>
      </w:r>
      <w:r>
        <w:rPr>
          <w:rFonts w:ascii="Arial" w:cs="Arial" w:eastAsia="Arial" w:hAnsi="Arial"/>
          <w:sz w:val="22"/>
          <w:szCs w:val="22"/>
          <w:color w:val="auto"/>
        </w:rPr>
        <w:t>.</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Multiemployer Plan</w:t>
      </w:r>
      <w:r>
        <w:rPr>
          <w:rFonts w:ascii="Arial" w:cs="Arial" w:eastAsia="Arial" w:hAnsi="Arial"/>
          <w:sz w:val="22"/>
          <w:szCs w:val="22"/>
          <w:color w:val="auto"/>
        </w:rPr>
        <w:t>” means a “multiemployer plan,” as defined in Section 4001(a)(3) of ERISA.</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York-Law Guarantee</w:t>
      </w:r>
      <w:r>
        <w:rPr>
          <w:rFonts w:ascii="Arial" w:cs="Arial" w:eastAsia="Arial" w:hAnsi="Arial"/>
          <w:sz w:val="22"/>
          <w:szCs w:val="22"/>
          <w:color w:val="auto"/>
        </w:rPr>
        <w:t xml:space="preserve">” means the Guarantee among the Borrowers, the Guarantors and the Administrative Agent, substantially in the form of </w:t>
      </w:r>
      <w:r>
        <w:rPr>
          <w:rFonts w:ascii="Arial" w:cs="Arial" w:eastAsia="Arial" w:hAnsi="Arial"/>
          <w:sz w:val="22"/>
          <w:szCs w:val="22"/>
          <w:u w:val="single" w:color="auto"/>
          <w:color w:val="auto"/>
        </w:rPr>
        <w:t>Exhibit C</w:t>
      </w:r>
      <w:r>
        <w:rPr>
          <w:rFonts w:ascii="Arial" w:cs="Arial" w:eastAsia="Arial" w:hAnsi="Arial"/>
          <w:sz w:val="22"/>
          <w:szCs w:val="22"/>
          <w:color w:val="auto"/>
        </w:rPr>
        <w:t>.</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York-Law Pledge Agreement</w:t>
      </w:r>
      <w:r>
        <w:rPr>
          <w:rFonts w:ascii="Arial" w:cs="Arial" w:eastAsia="Arial" w:hAnsi="Arial"/>
          <w:sz w:val="22"/>
          <w:szCs w:val="22"/>
          <w:color w:val="auto"/>
        </w:rPr>
        <w:t xml:space="preserve">” means the Pledge Agreement among the Administrative Agent and the Loan Parties from time to time party thereto substantially in the form of </w:t>
      </w:r>
      <w:r>
        <w:rPr>
          <w:rFonts w:ascii="Arial" w:cs="Arial" w:eastAsia="Arial" w:hAnsi="Arial"/>
          <w:sz w:val="22"/>
          <w:szCs w:val="22"/>
          <w:u w:val="single" w:color="auto"/>
          <w:color w:val="auto"/>
        </w:rPr>
        <w:t>Exhibit D</w:t>
      </w:r>
      <w:r>
        <w:rPr>
          <w:rFonts w:ascii="Arial" w:cs="Arial" w:eastAsia="Arial" w:hAnsi="Arial"/>
          <w:sz w:val="22"/>
          <w:szCs w:val="22"/>
          <w:color w:val="auto"/>
        </w:rPr>
        <w: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0" w:name="page221"/>
    <w:bookmarkEnd w:id="220"/>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York-Law Security Agreement</w:t>
      </w:r>
      <w:r>
        <w:rPr>
          <w:rFonts w:ascii="Arial" w:cs="Arial" w:eastAsia="Arial" w:hAnsi="Arial"/>
          <w:sz w:val="22"/>
          <w:szCs w:val="22"/>
          <w:color w:val="auto"/>
        </w:rPr>
        <w:t xml:space="preserve">” means the Security Agreement among the Administrative Agent and the U.S. Loan Parties from time to time party thereto substantially in the form of </w:t>
      </w:r>
      <w:r>
        <w:rPr>
          <w:rFonts w:ascii="Arial" w:cs="Arial" w:eastAsia="Arial" w:hAnsi="Arial"/>
          <w:sz w:val="22"/>
          <w:szCs w:val="22"/>
          <w:u w:val="single" w:color="auto"/>
          <w:color w:val="auto"/>
        </w:rPr>
        <w:t>Exhibit E</w:t>
      </w:r>
      <w:r>
        <w:rPr>
          <w:rFonts w:ascii="Arial" w:cs="Arial" w:eastAsia="Arial" w:hAnsi="Arial"/>
          <w:sz w:val="22"/>
          <w:szCs w:val="22"/>
          <w:color w:val="auto"/>
        </w:rPr>
        <w:t>.</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Non-Consenting Lender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9.02(c)</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Non-Defaulting Revolving Lender</w:t>
      </w:r>
      <w:r>
        <w:rPr>
          <w:rFonts w:ascii="Arial" w:cs="Arial" w:eastAsia="Arial" w:hAnsi="Arial"/>
          <w:sz w:val="22"/>
          <w:szCs w:val="22"/>
          <w:color w:val="auto"/>
        </w:rPr>
        <w:t>” means any Revolving Lender that is not a Defaulting Lender.</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2.09(c)</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NYFRB</w:t>
      </w:r>
      <w:r>
        <w:rPr>
          <w:rFonts w:ascii="Arial" w:cs="Arial" w:eastAsia="Arial" w:hAnsi="Arial"/>
          <w:sz w:val="22"/>
          <w:szCs w:val="22"/>
          <w:color w:val="auto"/>
        </w:rPr>
        <w:t>” means the Federal Reserve Bank of New York.</w:t>
      </w:r>
    </w:p>
    <w:p>
      <w:pPr>
        <w:spacing w:after="0" w:line="23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NYFRB Rate</w:t>
      </w:r>
      <w:r>
        <w:rPr>
          <w:rFonts w:ascii="Arial" w:cs="Arial" w:eastAsia="Arial" w:hAnsi="Arial"/>
          <w:sz w:val="21"/>
          <w:szCs w:val="21"/>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none of such rates are published for any day that is a Business Day, the term “NYFRB Rate” means the rate for a federal funds transaction quoted at 11:00 a.m. on such day received to the Administrative Agent from a federal funds broker of recognized standing selected by it;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if any of the aforesaid rates shall be less than zero, such rate shall be deemed to be zero for purposes of this Agreement.</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NYFRB’s Website</w:t>
      </w:r>
      <w:r>
        <w:rPr>
          <w:rFonts w:ascii="Arial" w:cs="Arial" w:eastAsia="Arial" w:hAnsi="Arial"/>
          <w:sz w:val="21"/>
          <w:szCs w:val="21"/>
          <w:color w:val="auto"/>
        </w:rPr>
        <w:t>” means the website of the NYFRB at http://www.newyorkfed.org, or any successor source.</w:t>
      </w:r>
    </w:p>
    <w:p>
      <w:pPr>
        <w:spacing w:after="0" w:line="24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Obligations</w:t>
      </w:r>
      <w:r>
        <w:rPr>
          <w:rFonts w:ascii="Arial" w:cs="Arial" w:eastAsia="Arial" w:hAnsi="Arial"/>
          <w:sz w:val="22"/>
          <w:szCs w:val="22"/>
          <w:color w:val="auto"/>
        </w:rPr>
        <w:t>” means, collectively, (a) all Loan Document Obligations, (b) all Secured Cash Management Obligations, (c) all Secured Hedging Obligations and (d) all Secured Bilateral Facility Obligations.</w:t>
      </w:r>
    </w:p>
    <w:p>
      <w:pPr>
        <w:spacing w:after="0" w:line="20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Agreed Currency</w:t>
      </w:r>
      <w:r>
        <w:rPr>
          <w:rFonts w:ascii="Arial" w:cs="Arial" w:eastAsia="Arial" w:hAnsi="Arial"/>
          <w:sz w:val="22"/>
          <w:szCs w:val="22"/>
          <w:color w:val="auto"/>
        </w:rPr>
        <w:t xml:space="preserve">” means any currency other than an Agreed Currency determined after the Effective Date by mutual agreement of the Company, the Lenders, the Issuing Banks and the Administrative Agent;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each such currency is a lawful currency that is readily available, freely transferable and not restricted, able to be converted into dollars and available in the London interbank deposit market.</w:t>
      </w:r>
    </w:p>
    <w:p>
      <w:pPr>
        <w:spacing w:after="0" w:line="21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Other Connection Tax</w:t>
      </w:r>
      <w:r>
        <w:rPr>
          <w:rFonts w:ascii="Arial" w:cs="Arial" w:eastAsia="Arial" w:hAnsi="Arial"/>
          <w:sz w:val="21"/>
          <w:szCs w:val="21"/>
          <w:color w:val="auto"/>
        </w:rPr>
        <w:t>” means, with respect to any Recipient, a Tax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this Agreement or any other Loan Document, or sold or assigned an interest in this Agreement or any other Loan or Loan Document).</w:t>
      </w:r>
    </w:p>
    <w:p>
      <w:pPr>
        <w:spacing w:after="0" w:line="20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Taxes</w:t>
      </w:r>
      <w:r>
        <w:rPr>
          <w:rFonts w:ascii="Arial" w:cs="Arial" w:eastAsia="Arial" w:hAnsi="Arial"/>
          <w:sz w:val="22"/>
          <w:szCs w:val="22"/>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this Agreement or any other Loan Document, except any such Taxes that are Other Connection Taxes imposed with respect to an assignment (other than an assignment made pursuant to </w:t>
      </w:r>
      <w:r>
        <w:rPr>
          <w:rFonts w:ascii="Arial" w:cs="Arial" w:eastAsia="Arial" w:hAnsi="Arial"/>
          <w:sz w:val="22"/>
          <w:szCs w:val="22"/>
          <w:u w:val="single" w:color="auto"/>
          <w:color w:val="auto"/>
        </w:rPr>
        <w:t>Section 2.19(b)</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9.02(c)</w:t>
      </w:r>
      <w:r>
        <w:rPr>
          <w:rFonts w:ascii="Arial" w:cs="Arial" w:eastAsia="Arial" w:hAnsi="Arial"/>
          <w:sz w:val="22"/>
          <w:szCs w:val="22"/>
          <w:color w:val="auto"/>
        </w:rPr>
        <w: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1" w:name="page222"/>
    <w:bookmarkEnd w:id="221"/>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Overnight Bank Funding Rate</w:t>
      </w:r>
      <w:r>
        <w:rPr>
          <w:rFonts w:ascii="Arial" w:cs="Arial" w:eastAsia="Arial" w:hAnsi="Arial"/>
          <w:sz w:val="22"/>
          <w:szCs w:val="22"/>
          <w:color w:val="auto"/>
        </w:rPr>
        <w:t>” means, for any day, the rate comprised of both overnight federal funds and overnight Eurocurrency borrowings by U.S.-managed banking offices of depository institutions, as such composite rate shall be determined by the NYFRB as set forth on NYFRB’s Website from time to time, and published on the next succeeding Business Day by the NYFRB as an overnight bank funding rate.</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9.04(c)</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 Register</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9.04(c)</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PBGC</w:t>
      </w:r>
      <w:r>
        <w:rPr>
          <w:rFonts w:ascii="Arial" w:cs="Arial" w:eastAsia="Arial" w:hAnsi="Arial"/>
          <w:sz w:val="22"/>
          <w:szCs w:val="22"/>
          <w:color w:val="auto"/>
        </w:rPr>
        <w:t>” means the Pension Benefit Guaranty Corporation referred to and defined in ERISA and any successor entity performing similar functions.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Perfection Certificate</w:t>
      </w:r>
      <w:r>
        <w:rPr>
          <w:rFonts w:ascii="Arial" w:cs="Arial" w:eastAsia="Arial" w:hAnsi="Arial"/>
          <w:sz w:val="19"/>
          <w:szCs w:val="19"/>
          <w:color w:val="auto"/>
        </w:rPr>
        <w:t xml:space="preserve">” means a certificate in the form of </w:t>
      </w:r>
      <w:r>
        <w:rPr>
          <w:rFonts w:ascii="Arial" w:cs="Arial" w:eastAsia="Arial" w:hAnsi="Arial"/>
          <w:sz w:val="19"/>
          <w:szCs w:val="19"/>
          <w:u w:val="single" w:color="auto"/>
          <w:color w:val="auto"/>
        </w:rPr>
        <w:t>Exhibit F</w:t>
      </w:r>
      <w:r>
        <w:rPr>
          <w:rFonts w:ascii="Arial" w:cs="Arial" w:eastAsia="Arial" w:hAnsi="Arial"/>
          <w:sz w:val="19"/>
          <w:szCs w:val="19"/>
          <w:color w:val="auto"/>
        </w:rPr>
        <w:t xml:space="preserve"> or any other form approved by the Administrative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Agent.</w:t>
      </w:r>
    </w:p>
    <w:p>
      <w:pPr>
        <w:spacing w:after="0" w:line="21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Business</w:t>
      </w:r>
      <w:r>
        <w:rPr>
          <w:rFonts w:ascii="Arial" w:cs="Arial" w:eastAsia="Arial" w:hAnsi="Arial"/>
          <w:sz w:val="19"/>
          <w:szCs w:val="19"/>
          <w:color w:val="auto"/>
        </w:rPr>
        <w:t>” means any business, the majority of revenues which are derived from (a) business or activities of the type to be conducted by the Company and the Restricted Subsidiaries as described in Exhibit 99.1 to the Company’s current report on Form 8-K filed with the SEC on January 19, 2021, (b) any business that is a natural outgrowth or reasonable extension, development or expansion of any such business or any business similar, reasonably related, incidental, complimentary or ancillary to any of the foregoing or (c) any business that in the Company’s good faith business judgment constitutes a reasonable diversification of businesses conducted by the Company and its Restricted Subsidiaries.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Encumbrances</w:t>
      </w:r>
      <w:r>
        <w:rPr>
          <w:rFonts w:ascii="Arial" w:cs="Arial" w:eastAsia="Arial" w:hAnsi="Arial"/>
          <w:sz w:val="22"/>
          <w:szCs w:val="22"/>
          <w:color w:val="auto"/>
        </w:rPr>
        <w:t>” means:</w:t>
      </w:r>
    </w:p>
    <w:p>
      <w:pPr>
        <w:spacing w:after="0" w:line="233" w:lineRule="exact"/>
        <w:rPr>
          <w:sz w:val="20"/>
          <w:szCs w:val="20"/>
          <w:color w:val="auto"/>
        </w:rPr>
      </w:pPr>
    </w:p>
    <w:p>
      <w:pPr>
        <w:jc w:val="both"/>
        <w:ind w:firstLine="656"/>
        <w:spacing w:after="0"/>
        <w:tabs>
          <w:tab w:leader="none" w:pos="1364" w:val="left"/>
        </w:tabs>
        <w:numPr>
          <w:ilvl w:val="0"/>
          <w:numId w:val="132"/>
        </w:numPr>
        <w:rPr>
          <w:rFonts w:ascii="Arial" w:cs="Arial" w:eastAsia="Arial" w:hAnsi="Arial"/>
          <w:sz w:val="22"/>
          <w:szCs w:val="22"/>
          <w:color w:val="auto"/>
        </w:rPr>
      </w:pPr>
      <w:r>
        <w:rPr>
          <w:rFonts w:ascii="Arial" w:cs="Arial" w:eastAsia="Arial" w:hAnsi="Arial"/>
          <w:sz w:val="22"/>
          <w:szCs w:val="22"/>
          <w:color w:val="auto"/>
        </w:rPr>
        <w:t>Liens imposed by law for Taxes that are not yet delinquent or in default or are being contested in good faith by appropriate proceedings if adequate reserves with respect thereto are maintained on the books of the applicable Person in accordance with GAAP;</w:t>
      </w:r>
    </w:p>
    <w:p>
      <w:pPr>
        <w:spacing w:after="0" w:line="213" w:lineRule="exact"/>
        <w:rPr>
          <w:rFonts w:ascii="Arial" w:cs="Arial" w:eastAsia="Arial" w:hAnsi="Arial"/>
          <w:sz w:val="22"/>
          <w:szCs w:val="22"/>
          <w:color w:val="auto"/>
        </w:rPr>
      </w:pPr>
    </w:p>
    <w:p>
      <w:pPr>
        <w:jc w:val="both"/>
        <w:ind w:firstLine="656"/>
        <w:spacing w:after="0" w:line="238" w:lineRule="auto"/>
        <w:tabs>
          <w:tab w:leader="none" w:pos="1477" w:val="left"/>
        </w:tabs>
        <w:numPr>
          <w:ilvl w:val="0"/>
          <w:numId w:val="132"/>
        </w:numPr>
        <w:rPr>
          <w:rFonts w:ascii="Arial" w:cs="Arial" w:eastAsia="Arial" w:hAnsi="Arial"/>
          <w:sz w:val="22"/>
          <w:szCs w:val="22"/>
          <w:color w:val="auto"/>
        </w:rPr>
      </w:pPr>
      <w:r>
        <w:rPr>
          <w:rFonts w:ascii="Arial" w:cs="Arial" w:eastAsia="Arial" w:hAnsi="Arial"/>
          <w:sz w:val="22"/>
          <w:szCs w:val="22"/>
          <w:color w:val="auto"/>
        </w:rPr>
        <w:t>carriers’, warehousemen’s, mechanics’, materialmen’s, repairmen’s, landlords’ and other like Liens imposed by law, arising in the ordinary course of business and securing obligations that are not overdue by more than 30 days or are being contested in good faith by appropriate proceedings if adequate reserves with respect thereto are maintained on the books of the applicable Person in accordance with GAAP;</w:t>
      </w:r>
    </w:p>
    <w:p>
      <w:pPr>
        <w:spacing w:after="0" w:line="211" w:lineRule="exact"/>
        <w:rPr>
          <w:rFonts w:ascii="Arial" w:cs="Arial" w:eastAsia="Arial" w:hAnsi="Arial"/>
          <w:sz w:val="22"/>
          <w:szCs w:val="22"/>
          <w:color w:val="auto"/>
        </w:rPr>
      </w:pPr>
    </w:p>
    <w:p>
      <w:pPr>
        <w:jc w:val="both"/>
        <w:ind w:firstLine="656"/>
        <w:spacing w:after="0" w:line="238" w:lineRule="auto"/>
        <w:tabs>
          <w:tab w:leader="none" w:pos="1508" w:val="left"/>
        </w:tabs>
        <w:numPr>
          <w:ilvl w:val="0"/>
          <w:numId w:val="132"/>
        </w:numPr>
        <w:rPr>
          <w:rFonts w:ascii="Arial" w:cs="Arial" w:eastAsia="Arial" w:hAnsi="Arial"/>
          <w:sz w:val="22"/>
          <w:szCs w:val="22"/>
          <w:color w:val="auto"/>
        </w:rPr>
      </w:pPr>
      <w:r>
        <w:rPr>
          <w:rFonts w:ascii="Arial" w:cs="Arial" w:eastAsia="Arial" w:hAnsi="Arial"/>
          <w:sz w:val="22"/>
          <w:szCs w:val="22"/>
          <w:color w:val="auto"/>
        </w:rPr>
        <w:t>pledges and deposits made (i) in the ordinary course of business in compliance with workers’ compensation, unemployment insurance and other social security laws and (ii) in respect of letters of credit, bank guarantees or similar instruments issued for the account of any Subsidiary of the Borrowers in the ordinary course of business supporting obligations of the type set forth in clause (i) above;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2" w:name="page223"/>
    <w:bookmarkEnd w:id="222"/>
    <w:p>
      <w:pPr>
        <w:jc w:val="both"/>
        <w:ind w:firstLine="656"/>
        <w:spacing w:after="0" w:line="249" w:lineRule="auto"/>
        <w:tabs>
          <w:tab w:leader="none" w:pos="1548" w:val="left"/>
        </w:tabs>
        <w:numPr>
          <w:ilvl w:val="0"/>
          <w:numId w:val="133"/>
        </w:numPr>
        <w:rPr>
          <w:rFonts w:ascii="Arial" w:cs="Arial" w:eastAsia="Arial" w:hAnsi="Arial"/>
          <w:sz w:val="21"/>
          <w:szCs w:val="21"/>
          <w:color w:val="auto"/>
        </w:rPr>
      </w:pPr>
      <w:r>
        <w:rPr>
          <w:rFonts w:ascii="Arial" w:cs="Arial" w:eastAsia="Arial" w:hAnsi="Arial"/>
          <w:sz w:val="21"/>
          <w:szCs w:val="21"/>
          <w:color w:val="auto"/>
        </w:rPr>
        <w:t>pledges and deposits made (i) to secure the performance of bids, trade contracts (other than for payment of Indebtedness), leases (other than Capital Lease Obligations), statutory obligations, surety and appeal bonds, performance bonds and other obligations of a like nature, in each case in the ordinary course of business and (ii) in respect of letters of credit, bank guarantees or similar instruments issued for the account of a Borrower or any Subsidiary of the Borrowers in the ordinary course of business supporting obligations of the type set forth in clause (i) above;</w:t>
      </w:r>
    </w:p>
    <w:p>
      <w:pPr>
        <w:spacing w:after="0" w:line="205" w:lineRule="exact"/>
        <w:rPr>
          <w:rFonts w:ascii="Arial" w:cs="Arial" w:eastAsia="Arial" w:hAnsi="Arial"/>
          <w:sz w:val="21"/>
          <w:szCs w:val="21"/>
          <w:color w:val="auto"/>
        </w:rPr>
      </w:pPr>
    </w:p>
    <w:p>
      <w:pPr>
        <w:ind w:left="1600" w:hanging="944"/>
        <w:spacing w:after="0"/>
        <w:tabs>
          <w:tab w:leader="none" w:pos="1600" w:val="left"/>
        </w:tabs>
        <w:numPr>
          <w:ilvl w:val="0"/>
          <w:numId w:val="133"/>
        </w:numPr>
        <w:rPr>
          <w:rFonts w:ascii="Arial" w:cs="Arial" w:eastAsia="Arial" w:hAnsi="Arial"/>
          <w:sz w:val="19"/>
          <w:szCs w:val="19"/>
          <w:color w:val="auto"/>
        </w:rPr>
      </w:pPr>
      <w:r>
        <w:rPr>
          <w:rFonts w:ascii="Arial" w:cs="Arial" w:eastAsia="Arial" w:hAnsi="Arial"/>
          <w:sz w:val="19"/>
          <w:szCs w:val="19"/>
          <w:color w:val="auto"/>
        </w:rPr>
        <w:t xml:space="preserve">judgment liens in respect of judgments that do not constitute an Event of Default under clause (k) of </w:t>
      </w:r>
      <w:r>
        <w:rPr>
          <w:rFonts w:ascii="Arial" w:cs="Arial" w:eastAsia="Arial" w:hAnsi="Arial"/>
          <w:sz w:val="19"/>
          <w:szCs w:val="19"/>
          <w:u w:val="single" w:color="auto"/>
          <w:color w:val="auto"/>
        </w:rPr>
        <w:t>Section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u w:val="single" w:color="auto"/>
          <w:color w:val="auto"/>
        </w:rPr>
        <w:t>7.01</w:t>
      </w:r>
      <w:r>
        <w:rPr>
          <w:rFonts w:ascii="Arial" w:cs="Arial" w:eastAsia="Arial" w:hAnsi="Arial"/>
          <w:sz w:val="22"/>
          <w:szCs w:val="22"/>
          <w:color w:val="auto"/>
        </w:rPr>
        <w:t>;</w:t>
      </w:r>
    </w:p>
    <w:p>
      <w:pPr>
        <w:spacing w:after="0" w:line="215" w:lineRule="exact"/>
        <w:rPr>
          <w:rFonts w:ascii="Arial" w:cs="Arial" w:eastAsia="Arial" w:hAnsi="Arial"/>
          <w:sz w:val="19"/>
          <w:szCs w:val="19"/>
          <w:color w:val="auto"/>
        </w:rPr>
      </w:pPr>
    </w:p>
    <w:p>
      <w:pPr>
        <w:jc w:val="both"/>
        <w:ind w:firstLine="656"/>
        <w:spacing w:after="0" w:line="236" w:lineRule="auto"/>
        <w:tabs>
          <w:tab w:leader="none" w:pos="1639" w:val="left"/>
        </w:tabs>
        <w:numPr>
          <w:ilvl w:val="0"/>
          <w:numId w:val="133"/>
        </w:numPr>
        <w:rPr>
          <w:rFonts w:ascii="Arial" w:cs="Arial" w:eastAsia="Arial" w:hAnsi="Arial"/>
          <w:sz w:val="22"/>
          <w:szCs w:val="22"/>
          <w:color w:val="auto"/>
        </w:rPr>
      </w:pPr>
      <w:r>
        <w:rPr>
          <w:rFonts w:ascii="Arial" w:cs="Arial" w:eastAsia="Arial" w:hAnsi="Arial"/>
          <w:sz w:val="22"/>
          <w:szCs w:val="22"/>
          <w:color w:val="auto"/>
        </w:rPr>
        <w:t>easements, zoning restrictions, rights-of-way and similar encumbrances on real property imposed by law or arising in the ordinary course of business that do not secure any monetary obligations and do not materially interfere with the ordinary conduct of business of the Borrowers or any Subsidiary and in the case of any Mortgaged Property within England only where such easements and rights of way are granted to utility providers in a standard form utility substation or gas governor lease;</w:t>
      </w:r>
    </w:p>
    <w:p>
      <w:pPr>
        <w:spacing w:after="0" w:line="214" w:lineRule="exact"/>
        <w:rPr>
          <w:rFonts w:ascii="Arial" w:cs="Arial" w:eastAsia="Arial" w:hAnsi="Arial"/>
          <w:sz w:val="22"/>
          <w:szCs w:val="22"/>
          <w:color w:val="auto"/>
        </w:rPr>
      </w:pPr>
    </w:p>
    <w:p>
      <w:pPr>
        <w:ind w:left="1760" w:hanging="1104"/>
        <w:spacing w:after="0"/>
        <w:tabs>
          <w:tab w:leader="none" w:pos="1760" w:val="left"/>
        </w:tabs>
        <w:numPr>
          <w:ilvl w:val="0"/>
          <w:numId w:val="133"/>
        </w:numPr>
        <w:rPr>
          <w:rFonts w:ascii="Arial" w:cs="Arial" w:eastAsia="Arial" w:hAnsi="Arial"/>
          <w:sz w:val="19"/>
          <w:szCs w:val="19"/>
          <w:color w:val="auto"/>
        </w:rPr>
      </w:pPr>
      <w:r>
        <w:rPr>
          <w:rFonts w:ascii="Arial" w:cs="Arial" w:eastAsia="Arial" w:hAnsi="Arial"/>
          <w:sz w:val="19"/>
          <w:szCs w:val="19"/>
          <w:color w:val="auto"/>
        </w:rPr>
        <w:t>Liens arising from Permitted Investments described in clause (d) of the definition of the term “Permitted</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Investments”;</w:t>
      </w:r>
    </w:p>
    <w:p>
      <w:pPr>
        <w:spacing w:after="0" w:line="215" w:lineRule="exact"/>
        <w:rPr>
          <w:rFonts w:ascii="Arial" w:cs="Arial" w:eastAsia="Arial" w:hAnsi="Arial"/>
          <w:sz w:val="19"/>
          <w:szCs w:val="19"/>
          <w:color w:val="auto"/>
        </w:rPr>
      </w:pPr>
    </w:p>
    <w:p>
      <w:pPr>
        <w:jc w:val="both"/>
        <w:ind w:firstLine="656"/>
        <w:spacing w:after="0" w:line="238" w:lineRule="auto"/>
        <w:tabs>
          <w:tab w:leader="none" w:pos="1301" w:val="left"/>
        </w:tabs>
        <w:numPr>
          <w:ilvl w:val="0"/>
          <w:numId w:val="133"/>
        </w:numPr>
        <w:rPr>
          <w:rFonts w:ascii="Arial" w:cs="Arial" w:eastAsia="Arial" w:hAnsi="Arial"/>
          <w:sz w:val="22"/>
          <w:szCs w:val="22"/>
          <w:color w:val="auto"/>
        </w:rPr>
      </w:pPr>
      <w:r>
        <w:rPr>
          <w:rFonts w:ascii="Arial" w:cs="Arial" w:eastAsia="Arial" w:hAnsi="Arial"/>
          <w:sz w:val="22"/>
          <w:szCs w:val="22"/>
          <w:color w:val="auto"/>
        </w:rPr>
        <w:t xml:space="preserve">banker’s liens, rights of setoff or similar rights and remedies as to deposit accounts or other funds maintained with depository institutions and securities accounts and other financial assets maintained with a securities intermediary;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deposit accounts or funds and securities accounts or other financial assets are not established or deposited for the purpose of providing collateral for any Indebtedness;</w:t>
      </w:r>
    </w:p>
    <w:p>
      <w:pPr>
        <w:spacing w:after="0" w:line="211" w:lineRule="exact"/>
        <w:rPr>
          <w:rFonts w:ascii="Arial" w:cs="Arial" w:eastAsia="Arial" w:hAnsi="Arial"/>
          <w:sz w:val="22"/>
          <w:szCs w:val="22"/>
          <w:color w:val="auto"/>
        </w:rPr>
      </w:pPr>
    </w:p>
    <w:p>
      <w:pPr>
        <w:ind w:firstLine="656"/>
        <w:spacing w:after="0" w:line="250" w:lineRule="auto"/>
        <w:tabs>
          <w:tab w:leader="none" w:pos="1707" w:val="left"/>
        </w:tabs>
        <w:numPr>
          <w:ilvl w:val="0"/>
          <w:numId w:val="133"/>
        </w:numPr>
        <w:rPr>
          <w:rFonts w:ascii="Arial" w:cs="Arial" w:eastAsia="Arial" w:hAnsi="Arial"/>
          <w:sz w:val="22"/>
          <w:szCs w:val="22"/>
          <w:color w:val="auto"/>
        </w:rPr>
      </w:pPr>
      <w:r>
        <w:rPr>
          <w:rFonts w:ascii="Arial" w:cs="Arial" w:eastAsia="Arial" w:hAnsi="Arial"/>
          <w:sz w:val="22"/>
          <w:szCs w:val="22"/>
          <w:color w:val="auto"/>
        </w:rPr>
        <w:t>Liens arising by virtue of Uniform Commercial Code financing statement filings (or similar filings under applicable law) regarding operating leases entered into by the Borrowers and the Restricted Subsidiaries;</w:t>
      </w:r>
    </w:p>
    <w:p>
      <w:pPr>
        <w:spacing w:after="0" w:line="201" w:lineRule="exact"/>
        <w:rPr>
          <w:rFonts w:ascii="Arial" w:cs="Arial" w:eastAsia="Arial" w:hAnsi="Arial"/>
          <w:sz w:val="22"/>
          <w:szCs w:val="22"/>
          <w:color w:val="auto"/>
        </w:rPr>
      </w:pPr>
    </w:p>
    <w:p>
      <w:pPr>
        <w:jc w:val="both"/>
        <w:ind w:right="20" w:firstLine="656"/>
        <w:spacing w:after="0"/>
        <w:tabs>
          <w:tab w:leader="none" w:pos="1663" w:val="left"/>
        </w:tabs>
        <w:numPr>
          <w:ilvl w:val="0"/>
          <w:numId w:val="133"/>
        </w:numPr>
        <w:rPr>
          <w:rFonts w:ascii="Arial" w:cs="Arial" w:eastAsia="Arial" w:hAnsi="Arial"/>
          <w:sz w:val="22"/>
          <w:szCs w:val="22"/>
          <w:color w:val="auto"/>
        </w:rPr>
      </w:pPr>
      <w:r>
        <w:rPr>
          <w:rFonts w:ascii="Arial" w:cs="Arial" w:eastAsia="Arial" w:hAnsi="Arial"/>
          <w:sz w:val="22"/>
          <w:szCs w:val="22"/>
          <w:color w:val="auto"/>
        </w:rPr>
        <w:t>Liens of a collecting bank arising in the ordinary course of business under Section 4-208 (or the applicable corresponding section) of the Uniform Commercial Code in effect in the relevant jurisdiction covering only the items being collected upon;</w:t>
      </w:r>
    </w:p>
    <w:p>
      <w:pPr>
        <w:spacing w:after="0" w:line="213" w:lineRule="exact"/>
        <w:rPr>
          <w:rFonts w:ascii="Arial" w:cs="Arial" w:eastAsia="Arial" w:hAnsi="Arial"/>
          <w:sz w:val="22"/>
          <w:szCs w:val="22"/>
          <w:color w:val="auto"/>
        </w:rPr>
      </w:pPr>
    </w:p>
    <w:p>
      <w:pPr>
        <w:jc w:val="both"/>
        <w:ind w:firstLine="656"/>
        <w:spacing w:after="0" w:line="238" w:lineRule="auto"/>
        <w:tabs>
          <w:tab w:leader="none" w:pos="1429" w:val="left"/>
        </w:tabs>
        <w:numPr>
          <w:ilvl w:val="0"/>
          <w:numId w:val="133"/>
        </w:numPr>
        <w:rPr>
          <w:rFonts w:ascii="Arial" w:cs="Arial" w:eastAsia="Arial" w:hAnsi="Arial"/>
          <w:sz w:val="22"/>
          <w:szCs w:val="22"/>
          <w:color w:val="auto"/>
        </w:rPr>
      </w:pPr>
      <w:r>
        <w:rPr>
          <w:rFonts w:ascii="Arial" w:cs="Arial" w:eastAsia="Arial" w:hAnsi="Arial"/>
          <w:sz w:val="22"/>
          <w:szCs w:val="22"/>
          <w:color w:val="auto"/>
        </w:rPr>
        <w:t>Liens representing any interest or title of a licensor, lessor or sublicensor or sublessor, or a licensee, lessee or sublicensee or sublessee, in the property or rights subject to any lease, non-exclusive license or sublicense or concession agreement, in each case, in the ordinary course of business and to the extent that they do not materially interfere with the business of the Borrowers or any Restricted Subsidiary;</w:t>
      </w:r>
    </w:p>
    <w:p>
      <w:pPr>
        <w:spacing w:after="0" w:line="211" w:lineRule="exact"/>
        <w:rPr>
          <w:rFonts w:ascii="Arial" w:cs="Arial" w:eastAsia="Arial" w:hAnsi="Arial"/>
          <w:sz w:val="22"/>
          <w:szCs w:val="22"/>
          <w:color w:val="auto"/>
        </w:rPr>
      </w:pPr>
    </w:p>
    <w:p>
      <w:pPr>
        <w:ind w:firstLine="656"/>
        <w:spacing w:after="0" w:line="250" w:lineRule="auto"/>
        <w:tabs>
          <w:tab w:leader="none" w:pos="1438" w:val="left"/>
        </w:tabs>
        <w:numPr>
          <w:ilvl w:val="0"/>
          <w:numId w:val="133"/>
        </w:numPr>
        <w:rPr>
          <w:rFonts w:ascii="Arial" w:cs="Arial" w:eastAsia="Arial" w:hAnsi="Arial"/>
          <w:sz w:val="22"/>
          <w:szCs w:val="22"/>
          <w:color w:val="auto"/>
        </w:rPr>
      </w:pPr>
      <w:r>
        <w:rPr>
          <w:rFonts w:ascii="Arial" w:cs="Arial" w:eastAsia="Arial" w:hAnsi="Arial"/>
          <w:sz w:val="22"/>
          <w:szCs w:val="22"/>
          <w:color w:val="auto"/>
        </w:rPr>
        <w:t>Liens in favor of customs and revenue authorities arising as a matter of law to secure payment of customs duties in connection with the importation of goods;</w:t>
      </w:r>
    </w:p>
    <w:p>
      <w:pPr>
        <w:spacing w:after="0" w:line="201" w:lineRule="exact"/>
        <w:rPr>
          <w:rFonts w:ascii="Arial" w:cs="Arial" w:eastAsia="Arial" w:hAnsi="Arial"/>
          <w:sz w:val="22"/>
          <w:szCs w:val="22"/>
          <w:color w:val="auto"/>
        </w:rPr>
      </w:pPr>
    </w:p>
    <w:p>
      <w:pPr>
        <w:ind w:left="1460" w:hanging="804"/>
        <w:spacing w:after="0"/>
        <w:tabs>
          <w:tab w:leader="none" w:pos="1460" w:val="left"/>
        </w:tabs>
        <w:numPr>
          <w:ilvl w:val="0"/>
          <w:numId w:val="133"/>
        </w:numPr>
        <w:rPr>
          <w:rFonts w:ascii="Arial" w:cs="Arial" w:eastAsia="Arial" w:hAnsi="Arial"/>
          <w:sz w:val="22"/>
          <w:szCs w:val="22"/>
          <w:color w:val="auto"/>
        </w:rPr>
      </w:pPr>
      <w:r>
        <w:rPr>
          <w:rFonts w:ascii="Arial" w:cs="Arial" w:eastAsia="Arial" w:hAnsi="Arial"/>
          <w:sz w:val="22"/>
          <w:szCs w:val="22"/>
          <w:color w:val="auto"/>
        </w:rPr>
        <w:t>Liens that are contractual rights of set-off;</w:t>
      </w:r>
    </w:p>
    <w:p>
      <w:pPr>
        <w:spacing w:after="0" w:line="233" w:lineRule="exact"/>
        <w:rPr>
          <w:rFonts w:ascii="Arial" w:cs="Arial" w:eastAsia="Arial" w:hAnsi="Arial"/>
          <w:sz w:val="22"/>
          <w:szCs w:val="22"/>
          <w:color w:val="auto"/>
        </w:rPr>
      </w:pPr>
    </w:p>
    <w:p>
      <w:pPr>
        <w:jc w:val="both"/>
        <w:ind w:firstLine="656"/>
        <w:spacing w:after="0" w:line="252" w:lineRule="auto"/>
        <w:tabs>
          <w:tab w:leader="none" w:pos="1628" w:val="left"/>
        </w:tabs>
        <w:numPr>
          <w:ilvl w:val="0"/>
          <w:numId w:val="133"/>
        </w:numPr>
        <w:rPr>
          <w:rFonts w:ascii="Arial" w:cs="Arial" w:eastAsia="Arial" w:hAnsi="Arial"/>
          <w:sz w:val="21"/>
          <w:szCs w:val="21"/>
          <w:color w:val="auto"/>
        </w:rPr>
      </w:pPr>
      <w:r>
        <w:rPr>
          <w:rFonts w:ascii="Arial" w:cs="Arial" w:eastAsia="Arial" w:hAnsi="Arial"/>
          <w:sz w:val="21"/>
          <w:szCs w:val="21"/>
          <w:color w:val="auto"/>
        </w:rPr>
        <w:t>Liens (i) of a collection bank arising under Section 4-210 of the Uniform Commercial Code on items in the course of collection, (ii) attaching to commodity trading accounts or other commodities brokerage accounts incurred in the ordinary course of business and (iii) in favor of a banking institution arising as a matter of law encumbering deposits (including the right of set-off) and which are within the general parameters customary in the banking industry;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3" w:name="page224"/>
    <w:bookmarkEnd w:id="223"/>
    <w:p>
      <w:pPr>
        <w:jc w:val="both"/>
        <w:ind w:firstLine="656"/>
        <w:spacing w:after="0" w:line="241" w:lineRule="auto"/>
        <w:tabs>
          <w:tab w:leader="none" w:pos="1548" w:val="left"/>
        </w:tabs>
        <w:numPr>
          <w:ilvl w:val="0"/>
          <w:numId w:val="134"/>
        </w:numPr>
        <w:rPr>
          <w:rFonts w:ascii="Arial" w:cs="Arial" w:eastAsia="Arial" w:hAnsi="Arial"/>
          <w:sz w:val="22"/>
          <w:szCs w:val="22"/>
          <w:color w:val="auto"/>
        </w:rPr>
      </w:pPr>
      <w:r>
        <w:rPr>
          <w:rFonts w:ascii="Arial" w:cs="Arial" w:eastAsia="Arial" w:hAnsi="Arial"/>
          <w:sz w:val="22"/>
          <w:szCs w:val="22"/>
          <w:color w:val="auto"/>
        </w:rPr>
        <w:t>Liens encumbering reasonable customary initial deposits and margin deposits and similar Liens attaching to commodity trading accounts or other brokerage accounts incurred in the ordinary course of business and not for speculative purposes;</w:t>
      </w:r>
    </w:p>
    <w:p>
      <w:pPr>
        <w:spacing w:after="0" w:line="210" w:lineRule="exact"/>
        <w:rPr>
          <w:rFonts w:ascii="Arial" w:cs="Arial" w:eastAsia="Arial" w:hAnsi="Arial"/>
          <w:sz w:val="22"/>
          <w:szCs w:val="22"/>
          <w:color w:val="auto"/>
        </w:rPr>
      </w:pPr>
    </w:p>
    <w:p>
      <w:pPr>
        <w:jc w:val="both"/>
        <w:ind w:firstLine="656"/>
        <w:spacing w:after="0" w:line="282" w:lineRule="auto"/>
        <w:tabs>
          <w:tab w:leader="none" w:pos="1485" w:val="left"/>
        </w:tabs>
        <w:numPr>
          <w:ilvl w:val="0"/>
          <w:numId w:val="134"/>
        </w:numPr>
        <w:rPr>
          <w:rFonts w:ascii="Arial" w:cs="Arial" w:eastAsia="Arial" w:hAnsi="Arial"/>
          <w:sz w:val="19"/>
          <w:szCs w:val="19"/>
          <w:color w:val="auto"/>
        </w:rPr>
      </w:pPr>
      <w:r>
        <w:rPr>
          <w:rFonts w:ascii="Arial" w:cs="Arial" w:eastAsia="Arial" w:hAnsi="Arial"/>
          <w:sz w:val="19"/>
          <w:szCs w:val="19"/>
          <w:color w:val="auto"/>
        </w:rPr>
        <w:t>Liens that are contractual rights of set-off (i) relating to the establishment of depository relations with banks not given in connection with the issuance of Indebtedness, (ii) relating to pooled deposit or sweep accounts of the Borrowers or any Restricted Subsidiary to permit satisfaction of overdraft or similar obligations incurred in the ordinary course of business of the Borrowers and the Restricted Subsidiaries or (iii) relating to purchase orders and other agreements entered into with customers of the Borrowers or any Restricted Subsidiary in the ordinary course of business; and</w:t>
      </w:r>
    </w:p>
    <w:p>
      <w:pPr>
        <w:spacing w:after="0" w:line="174" w:lineRule="exact"/>
        <w:rPr>
          <w:rFonts w:ascii="Arial" w:cs="Arial" w:eastAsia="Arial" w:hAnsi="Arial"/>
          <w:sz w:val="19"/>
          <w:szCs w:val="19"/>
          <w:color w:val="auto"/>
        </w:rPr>
      </w:pPr>
    </w:p>
    <w:p>
      <w:pPr>
        <w:jc w:val="both"/>
        <w:ind w:firstLine="656"/>
        <w:spacing w:after="0" w:line="279" w:lineRule="auto"/>
        <w:tabs>
          <w:tab w:leader="none" w:pos="1444" w:val="left"/>
        </w:tabs>
        <w:numPr>
          <w:ilvl w:val="0"/>
          <w:numId w:val="134"/>
        </w:numPr>
        <w:rPr>
          <w:rFonts w:ascii="Arial" w:cs="Arial" w:eastAsia="Arial" w:hAnsi="Arial"/>
          <w:sz w:val="19"/>
          <w:szCs w:val="19"/>
          <w:color w:val="auto"/>
        </w:rPr>
      </w:pPr>
      <w:r>
        <w:rPr>
          <w:rFonts w:ascii="Arial" w:cs="Arial" w:eastAsia="Arial" w:hAnsi="Arial"/>
          <w:sz w:val="19"/>
          <w:szCs w:val="19"/>
          <w:color w:val="auto"/>
        </w:rPr>
        <w:t>in relation to the Collateral Vessels, (i) liens for unpaid master’s and crew’s wages in accordance with first class ship ownership and management practice and not being enforced through arrest; (ii) liens for salvage; (iii) liens for master’s disbursements incurred in the ordinary course of trading in accordance with first class ship ownership and management practice and not being enforced through arrest; (iv) any other lien arising by operation of law (including applicable maritime liens) or otherwise in the ordinary course of the operation, repair or maintenance of any Collateral Vessel, not as a result of any default or omission by any Borrower or Restricted Subsidiary and not being enforced through arrest;</w:t>
      </w:r>
    </w:p>
    <w:p>
      <w:pPr>
        <w:spacing w:after="0" w:line="177" w:lineRule="exact"/>
        <w:rPr>
          <w:sz w:val="20"/>
          <w:szCs w:val="20"/>
          <w:color w:val="auto"/>
        </w:rPr>
      </w:pPr>
    </w:p>
    <w:p>
      <w:pPr>
        <w:spacing w:after="0" w:line="250"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term “Permitted Encumbrances” shall not include any Lien securing Indebtedness, other than Liens referred to in clauses (c) and (d) above securing letters of credit, bank guarantees or similar instruments.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Investments</w:t>
      </w:r>
      <w:r>
        <w:rPr>
          <w:rFonts w:ascii="Arial" w:cs="Arial" w:eastAsia="Arial" w:hAnsi="Arial"/>
          <w:sz w:val="22"/>
          <w:szCs w:val="22"/>
          <w:color w:val="auto"/>
        </w:rPr>
        <w:t>” means:</w:t>
      </w:r>
    </w:p>
    <w:p>
      <w:pPr>
        <w:spacing w:after="0" w:line="233" w:lineRule="exact"/>
        <w:rPr>
          <w:sz w:val="20"/>
          <w:szCs w:val="20"/>
          <w:color w:val="auto"/>
        </w:rPr>
      </w:pPr>
    </w:p>
    <w:p>
      <w:pPr>
        <w:jc w:val="both"/>
        <w:ind w:firstLine="656"/>
        <w:spacing w:after="0" w:line="257" w:lineRule="auto"/>
        <w:tabs>
          <w:tab w:leader="none" w:pos="1396" w:val="left"/>
        </w:tabs>
        <w:numPr>
          <w:ilvl w:val="1"/>
          <w:numId w:val="135"/>
        </w:numPr>
        <w:rPr>
          <w:rFonts w:ascii="Arial" w:cs="Arial" w:eastAsia="Arial" w:hAnsi="Arial"/>
          <w:sz w:val="21"/>
          <w:szCs w:val="21"/>
          <w:color w:val="auto"/>
        </w:rPr>
      </w:pPr>
      <w:r>
        <w:rPr>
          <w:rFonts w:ascii="Arial" w:cs="Arial" w:eastAsia="Arial" w:hAnsi="Arial"/>
          <w:sz w:val="21"/>
          <w:szCs w:val="21"/>
          <w:color w:val="auto"/>
        </w:rPr>
        <w:t>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acquisition thereof;</w:t>
      </w:r>
    </w:p>
    <w:p>
      <w:pPr>
        <w:spacing w:after="0" w:line="196" w:lineRule="exact"/>
        <w:rPr>
          <w:rFonts w:ascii="Arial" w:cs="Arial" w:eastAsia="Arial" w:hAnsi="Arial"/>
          <w:sz w:val="21"/>
          <w:szCs w:val="21"/>
          <w:color w:val="auto"/>
        </w:rPr>
      </w:pPr>
    </w:p>
    <w:p>
      <w:pPr>
        <w:ind w:firstLine="656"/>
        <w:spacing w:after="0" w:line="274" w:lineRule="auto"/>
        <w:tabs>
          <w:tab w:leader="none" w:pos="1479" w:val="left"/>
        </w:tabs>
        <w:numPr>
          <w:ilvl w:val="1"/>
          <w:numId w:val="135"/>
        </w:numPr>
        <w:rPr>
          <w:rFonts w:ascii="Arial" w:cs="Arial" w:eastAsia="Arial" w:hAnsi="Arial"/>
          <w:sz w:val="21"/>
          <w:szCs w:val="21"/>
          <w:color w:val="auto"/>
        </w:rPr>
      </w:pPr>
      <w:r>
        <w:rPr>
          <w:rFonts w:ascii="Arial" w:cs="Arial" w:eastAsia="Arial" w:hAnsi="Arial"/>
          <w:sz w:val="21"/>
          <w:szCs w:val="21"/>
          <w:color w:val="auto"/>
        </w:rPr>
        <w:t>investments in commercial paper and variable and fixed rate notes maturing within 12 months from the date of acquisition thereof and having, at such date of acquisition, a rating of at least A-2 by S&amp;P or P-2 by Moody’s;</w:t>
      </w:r>
    </w:p>
    <w:p>
      <w:pPr>
        <w:spacing w:after="0" w:line="177" w:lineRule="exact"/>
        <w:rPr>
          <w:rFonts w:ascii="Arial" w:cs="Arial" w:eastAsia="Arial" w:hAnsi="Arial"/>
          <w:sz w:val="21"/>
          <w:szCs w:val="21"/>
          <w:color w:val="auto"/>
        </w:rPr>
      </w:pPr>
    </w:p>
    <w:p>
      <w:pPr>
        <w:jc w:val="both"/>
        <w:ind w:firstLine="656"/>
        <w:spacing w:after="0" w:line="287" w:lineRule="auto"/>
        <w:tabs>
          <w:tab w:leader="none" w:pos="1460" w:val="left"/>
        </w:tabs>
        <w:numPr>
          <w:ilvl w:val="1"/>
          <w:numId w:val="135"/>
        </w:numPr>
        <w:rPr>
          <w:rFonts w:ascii="Arial" w:cs="Arial" w:eastAsia="Arial" w:hAnsi="Arial"/>
          <w:sz w:val="19"/>
          <w:szCs w:val="19"/>
          <w:color w:val="auto"/>
        </w:rPr>
      </w:pPr>
      <w:r>
        <w:rPr>
          <w:rFonts w:ascii="Arial" w:cs="Arial" w:eastAsia="Arial" w:hAnsi="Arial"/>
          <w:sz w:val="19"/>
          <w:szCs w:val="19"/>
          <w:color w:val="auto"/>
        </w:rPr>
        <w:t>investments in certificates of deposit, banker’s acceptances and demand or time deposits, in each case maturing within 12 months from the date of acquisition thereof, issued or guaranteed by or placed with, and money market deposit accounts issued or offered by, any domestic office of any commercial bank organized under the laws of the United States of America or any State thereof that has a combined capital and surplus and undivided profits of not less than $500,000,000;</w:t>
      </w:r>
    </w:p>
    <w:p>
      <w:pPr>
        <w:spacing w:after="0" w:line="169" w:lineRule="exact"/>
        <w:rPr>
          <w:rFonts w:ascii="Arial" w:cs="Arial" w:eastAsia="Arial" w:hAnsi="Arial"/>
          <w:sz w:val="19"/>
          <w:szCs w:val="19"/>
          <w:color w:val="auto"/>
        </w:rPr>
      </w:pPr>
    </w:p>
    <w:p>
      <w:pPr>
        <w:ind w:left="1380" w:hanging="724"/>
        <w:spacing w:after="0"/>
        <w:tabs>
          <w:tab w:leader="none" w:pos="1380" w:val="left"/>
        </w:tabs>
        <w:numPr>
          <w:ilvl w:val="1"/>
          <w:numId w:val="135"/>
        </w:numPr>
        <w:rPr>
          <w:rFonts w:ascii="Arial" w:cs="Arial" w:eastAsia="Arial" w:hAnsi="Arial"/>
          <w:sz w:val="19"/>
          <w:szCs w:val="19"/>
          <w:color w:val="auto"/>
        </w:rPr>
      </w:pPr>
      <w:r>
        <w:rPr>
          <w:rFonts w:ascii="Arial" w:cs="Arial" w:eastAsia="Arial" w:hAnsi="Arial"/>
          <w:sz w:val="19"/>
          <w:szCs w:val="19"/>
          <w:color w:val="auto"/>
        </w:rPr>
        <w:t>fully collateralized repurchase agreements with a term of not more than 30 days for securities described in clause</w:t>
      </w:r>
    </w:p>
    <w:p>
      <w:pPr>
        <w:spacing w:after="0" w:line="42" w:lineRule="exact"/>
        <w:rPr>
          <w:rFonts w:ascii="Arial" w:cs="Arial" w:eastAsia="Arial" w:hAnsi="Arial"/>
          <w:sz w:val="19"/>
          <w:szCs w:val="19"/>
          <w:color w:val="auto"/>
        </w:rPr>
      </w:pPr>
    </w:p>
    <w:p>
      <w:pPr>
        <w:ind w:left="300" w:hanging="292"/>
        <w:spacing w:after="0"/>
        <w:tabs>
          <w:tab w:leader="none" w:pos="300" w:val="left"/>
        </w:tabs>
        <w:numPr>
          <w:ilvl w:val="0"/>
          <w:numId w:val="136"/>
        </w:numPr>
        <w:rPr>
          <w:rFonts w:ascii="Arial" w:cs="Arial" w:eastAsia="Arial" w:hAnsi="Arial"/>
          <w:sz w:val="22"/>
          <w:szCs w:val="22"/>
          <w:color w:val="auto"/>
        </w:rPr>
      </w:pPr>
      <w:r>
        <w:rPr>
          <w:rFonts w:ascii="Arial" w:cs="Arial" w:eastAsia="Arial" w:hAnsi="Arial"/>
          <w:sz w:val="22"/>
          <w:szCs w:val="22"/>
          <w:color w:val="auto"/>
        </w:rPr>
        <w:t>above and entered into with a financial institution satisfying the criteria described in clause (c) above;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4" w:name="page225"/>
    <w:bookmarkEnd w:id="224"/>
    <w:p>
      <w:pPr>
        <w:ind w:firstLine="656"/>
        <w:spacing w:after="0" w:line="274" w:lineRule="auto"/>
        <w:tabs>
          <w:tab w:leader="none" w:pos="1387" w:val="left"/>
        </w:tabs>
        <w:numPr>
          <w:ilvl w:val="0"/>
          <w:numId w:val="137"/>
        </w:numPr>
        <w:rPr>
          <w:rFonts w:ascii="Arial" w:cs="Arial" w:eastAsia="Arial" w:hAnsi="Arial"/>
          <w:sz w:val="21"/>
          <w:szCs w:val="21"/>
          <w:color w:val="auto"/>
        </w:rPr>
      </w:pPr>
      <w:r>
        <w:rPr>
          <w:rFonts w:ascii="Arial" w:cs="Arial" w:eastAsia="Arial" w:hAnsi="Arial"/>
          <w:sz w:val="21"/>
          <w:szCs w:val="21"/>
          <w:color w:val="auto"/>
        </w:rPr>
        <w:t>“money market funds” that (i) comply with the criteria set forth in Rule 2a-7 of the Investment Company Act, (ii) are rated AAA- by S&amp;P and Aaa3 by Moody’s and (iii) have portfolio assets of at least $5,000,000,000; and</w:t>
      </w:r>
    </w:p>
    <w:p>
      <w:pPr>
        <w:spacing w:after="0" w:line="178" w:lineRule="exact"/>
        <w:rPr>
          <w:rFonts w:ascii="Arial" w:cs="Arial" w:eastAsia="Arial" w:hAnsi="Arial"/>
          <w:sz w:val="21"/>
          <w:szCs w:val="21"/>
          <w:color w:val="auto"/>
        </w:rPr>
      </w:pPr>
    </w:p>
    <w:p>
      <w:pPr>
        <w:jc w:val="both"/>
        <w:ind w:firstLine="656"/>
        <w:spacing w:after="0"/>
        <w:tabs>
          <w:tab w:leader="none" w:pos="1495" w:val="left"/>
        </w:tabs>
        <w:numPr>
          <w:ilvl w:val="0"/>
          <w:numId w:val="137"/>
        </w:numPr>
        <w:rPr>
          <w:rFonts w:ascii="Arial" w:cs="Arial" w:eastAsia="Arial" w:hAnsi="Arial"/>
          <w:sz w:val="22"/>
          <w:szCs w:val="22"/>
          <w:color w:val="auto"/>
        </w:rPr>
      </w:pPr>
      <w:r>
        <w:rPr>
          <w:rFonts w:ascii="Arial" w:cs="Arial" w:eastAsia="Arial" w:hAnsi="Arial"/>
          <w:sz w:val="22"/>
          <w:szCs w:val="22"/>
          <w:color w:val="auto"/>
        </w:rPr>
        <w:t>in the case of any Foreign Subsidiary, other short-term investments that are analogous to the foregoing, are of comparable credit quality and are customarily used by companies in the jurisdiction of such Foreign Subsidiary for cash management purposes.</w:t>
      </w:r>
    </w:p>
    <w:p>
      <w:pPr>
        <w:spacing w:after="0" w:line="21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Joint Venture Investment</w:t>
      </w:r>
      <w:r>
        <w:rPr>
          <w:rFonts w:ascii="Arial" w:cs="Arial" w:eastAsia="Arial" w:hAnsi="Arial"/>
          <w:sz w:val="22"/>
          <w:szCs w:val="22"/>
          <w:color w:val="auto"/>
        </w:rPr>
        <w:t>” means, with respect to an Investment by any specified Person, an Investment by such specified Person in any other Person engaged in a Permitted Business (a) in which the Person has significant involvement in the day to day operations and management or veto power over significant management decisions or board or management committee representation and (b) of which at least 20.0% of the outstanding Equity Interests of such other Person is at the time owned directly or indirectly by the specified Person.</w:t>
      </w:r>
    </w:p>
    <w:p>
      <w:pPr>
        <w:spacing w:after="0" w:line="214"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Tax Distribution</w:t>
      </w:r>
      <w:r>
        <w:rPr>
          <w:rFonts w:ascii="Arial" w:cs="Arial" w:eastAsia="Arial" w:hAnsi="Arial"/>
          <w:sz w:val="22"/>
          <w:szCs w:val="22"/>
          <w:color w:val="auto"/>
        </w:rPr>
        <w:t>” means if a Borrower is a member of a group filing a consolidated, combined, unitary or similar return, a distribution to its direct or indirect parent of such group to permit such parent to discharge the tax liability attributable to the income of the Borrower (and any Restricted Subsidiary of the Borrower included in such group and any Unrestricted Subsidiary of the Borrower to the extent such Unrestricted Subsidiary has made a distribution to the Borrower or any Restricted Subsidiary of the Borrower for the purpose of making such a tax distribution) in an amount not to exceed the amount of tax liability that the Borrower (together with such Subsidiaries) would have incurred if it were filing the relevant tax return on a stand-alone basis.</w:t>
      </w:r>
    </w:p>
    <w:p>
      <w:pPr>
        <w:spacing w:after="0" w:line="21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natural person, corporation, limited liability company, trust, joint venture, association, company, partnership, Governmental Authority or other entity.</w:t>
      </w:r>
    </w:p>
    <w:p>
      <w:pPr>
        <w:spacing w:after="0" w:line="20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means any “employee pension benefit plan,” as defined in Section 3(2) of ERISA (other than a Multiemployer Plan), that is subject to the provisions of Title IV of ERISA or Section 412 of the Code or Section 302 of ERISA, and in respect of which the Borrowers or any of their ERISA Affiliates is (or, if such plan were terminated, would under Section 4069 of ERISA be deemed to be) an “employer” as defined in Section 3(5) of ERISA.</w:t>
      </w:r>
    </w:p>
    <w:p>
      <w:pPr>
        <w:spacing w:after="0" w:line="21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 Asset Regulations</w:t>
      </w:r>
      <w:r>
        <w:rPr>
          <w:rFonts w:ascii="Arial" w:cs="Arial" w:eastAsia="Arial" w:hAnsi="Arial"/>
          <w:sz w:val="22"/>
          <w:szCs w:val="22"/>
          <w:color w:val="auto"/>
        </w:rPr>
        <w:t xml:space="preserve">” means 29 CFR § 2510.3-101 </w:t>
      </w:r>
      <w:r>
        <w:rPr>
          <w:rFonts w:ascii="Arial" w:cs="Arial" w:eastAsia="Arial" w:hAnsi="Arial"/>
          <w:sz w:val="22"/>
          <w:szCs w:val="22"/>
          <w:i w:val="1"/>
          <w:iCs w:val="1"/>
          <w:color w:val="auto"/>
        </w:rPr>
        <w:t>et seq.</w:t>
      </w:r>
      <w:r>
        <w:rPr>
          <w:rFonts w:ascii="Arial" w:cs="Arial" w:eastAsia="Arial" w:hAnsi="Arial"/>
          <w:sz w:val="22"/>
          <w:szCs w:val="22"/>
          <w:color w:val="auto"/>
        </w:rPr>
        <w:t>, as modified by Section 3(42) of ERISA, as amended from time to time.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Platform</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9.01(d)</w:t>
      </w:r>
      <w:r>
        <w:rPr>
          <w:rFonts w:ascii="Arial" w:cs="Arial" w:eastAsia="Arial" w:hAnsi="Arial"/>
          <w:sz w:val="22"/>
          <w:szCs w:val="22"/>
          <w:color w:val="auto"/>
        </w:rPr>
        <w:t>.</w:t>
      </w:r>
    </w:p>
    <w:p>
      <w:pPr>
        <w:spacing w:after="0" w:line="233" w:lineRule="exact"/>
        <w:rPr>
          <w:sz w:val="20"/>
          <w:szCs w:val="20"/>
          <w:color w:val="auto"/>
        </w:rPr>
      </w:pPr>
    </w:p>
    <w:p>
      <w:pPr>
        <w:jc w:val="both"/>
        <w:ind w:firstLine="702"/>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Prime Rate</w:t>
      </w:r>
      <w:r>
        <w:rPr>
          <w:rFonts w:ascii="Arial" w:cs="Arial" w:eastAsia="Arial" w:hAnsi="Arial"/>
          <w:sz w:val="19"/>
          <w:szCs w:val="19"/>
          <w:color w:val="auto"/>
        </w:rPr>
        <w:t xml:space="preserve">” means the rate of interest last quoted by The Wall Street Journal as the “Prime Rate” in the U.S. or, if The Wall Street Journal ceases to quote such rate, the highest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5" w:name="page226"/>
    <w:bookmarkEnd w:id="225"/>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Proceeding</w:t>
      </w:r>
      <w:r>
        <w:rPr>
          <w:rFonts w:ascii="Arial" w:cs="Arial" w:eastAsia="Arial" w:hAnsi="Arial"/>
          <w:sz w:val="22"/>
          <w:szCs w:val="22"/>
          <w:color w:val="auto"/>
        </w:rPr>
        <w:t>” means any claim, litigation, investigation, action, suit, arbitration or administrative, judicial or regulatory action or proceeding in any jurisdiction.</w:t>
      </w:r>
    </w:p>
    <w:p>
      <w:pPr>
        <w:spacing w:after="0" w:line="20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 Forma Basis</w:t>
      </w:r>
      <w:r>
        <w:rPr>
          <w:rFonts w:ascii="Arial" w:cs="Arial" w:eastAsia="Arial" w:hAnsi="Arial"/>
          <w:sz w:val="19"/>
          <w:szCs w:val="19"/>
          <w:color w:val="auto"/>
        </w:rPr>
        <w:t>” means, with respect to the calculation of the Financial Covenants or for purposes of determining the Total Leverage Ratio, Consolidated Interest Expense, the First Lien Leverage Ratio, Consolidated Total Assets or Consolidated EBITDA as of any date, that such calculation shall give pro forma effect to (a) all acquisitions, (b) all designations of Restricted Subsidiaries as Unrestricted Subsidiaries, (c) all designations of Unrestricted Subsidiaries as Restricted Subsidiaries, (d) all issuances, incurrences or assumptions or repayments and prepayments of Indebtedness in connection therewith (with any such Indebtedness being deemed to be amortized over the applicable testing period in accordance with its terms), and (e) all sales, transfers or other dispositions of (i) any Equity Interests in a Restricted Subsidiary or (ii) all or substantially all assets of a Restricted Subsidiary or division or line of business of a Restricted Subsidiary outside the ordinary course of business (and any related prepayments or repayments of Indebtedness), that have occurred during the four consecutive fiscal quarter period of the Company most recently ended on or prior to such date as if they occurred on the first day of such four consecutive fiscal quarter period. If any Indebtedness bears a floating rate of interest and is being given pro forma effect, the interest on such Indebtedness shall be calculated as if the rate in effect on the date of determination had been the applicable rate for the entire period (taking into account any Hedging Agreement applicable to such Indebtedness).</w:t>
      </w:r>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Proposed Change</w:t>
      </w:r>
      <w:r>
        <w:rPr>
          <w:rFonts w:ascii="Arial" w:cs="Arial" w:eastAsia="Arial" w:hAnsi="Arial"/>
          <w:sz w:val="22"/>
          <w:szCs w:val="22"/>
          <w:color w:val="auto"/>
        </w:rPr>
        <w:t>” means a proposed amendment, modification, waiver or termination of any provision of this Agreement or any other Loan Document.</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PTE</w:t>
      </w:r>
      <w:r>
        <w:rPr>
          <w:rFonts w:ascii="Arial" w:cs="Arial" w:eastAsia="Arial" w:hAnsi="Arial"/>
          <w:sz w:val="22"/>
          <w:szCs w:val="22"/>
          <w:color w:val="auto"/>
        </w:rPr>
        <w:t>” means a prohibited transaction class exemption issued by the U.S. Department of Labor, as any such exemption may be amended from time to time.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Qualified Equity Interests</w:t>
      </w:r>
      <w:r>
        <w:rPr>
          <w:rFonts w:ascii="Arial" w:cs="Arial" w:eastAsia="Arial" w:hAnsi="Arial"/>
          <w:sz w:val="22"/>
          <w:szCs w:val="22"/>
          <w:color w:val="auto"/>
        </w:rPr>
        <w:t>” means Equity Interests of the Borrowers other than Disqualified Equity Interests.</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Qualifying Lender</w:t>
      </w:r>
      <w:r>
        <w:rPr>
          <w:rFonts w:ascii="Arial" w:cs="Arial" w:eastAsia="Arial" w:hAnsi="Arial"/>
          <w:sz w:val="22"/>
          <w:szCs w:val="22"/>
          <w:color w:val="auto"/>
        </w:rPr>
        <w:t>” shall mean a Lender which is beneficially entitled to interest payable to that Lender in respect of an advance under this Agreement and is:</w:t>
      </w:r>
    </w:p>
    <w:p>
      <w:pPr>
        <w:spacing w:after="0" w:line="202" w:lineRule="exact"/>
        <w:rPr>
          <w:sz w:val="20"/>
          <w:szCs w:val="20"/>
          <w:color w:val="auto"/>
        </w:rPr>
      </w:pPr>
    </w:p>
    <w:p>
      <w:pPr>
        <w:ind w:left="1440" w:hanging="784"/>
        <w:spacing w:after="0"/>
        <w:tabs>
          <w:tab w:leader="none" w:pos="144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a Lender:</w:t>
      </w:r>
    </w:p>
    <w:p>
      <w:pPr>
        <w:spacing w:after="0" w:line="233" w:lineRule="exact"/>
        <w:rPr>
          <w:rFonts w:ascii="Arial" w:cs="Arial" w:eastAsia="Arial" w:hAnsi="Arial"/>
          <w:sz w:val="22"/>
          <w:szCs w:val="22"/>
          <w:color w:val="auto"/>
        </w:rPr>
      </w:pPr>
    </w:p>
    <w:p>
      <w:pPr>
        <w:jc w:val="both"/>
        <w:ind w:left="660" w:firstLine="644"/>
        <w:spacing w:after="0" w:line="297" w:lineRule="auto"/>
        <w:tabs>
          <w:tab w:leader="none" w:pos="2240" w:val="left"/>
        </w:tabs>
        <w:numPr>
          <w:ilvl w:val="1"/>
          <w:numId w:val="138"/>
        </w:numPr>
        <w:rPr>
          <w:rFonts w:ascii="Arial" w:cs="Arial" w:eastAsia="Arial" w:hAnsi="Arial"/>
          <w:sz w:val="19"/>
          <w:szCs w:val="19"/>
          <w:color w:val="auto"/>
        </w:rPr>
      </w:pPr>
      <w:r>
        <w:rPr>
          <w:rFonts w:ascii="Arial" w:cs="Arial" w:eastAsia="Arial" w:hAnsi="Arial"/>
          <w:sz w:val="19"/>
          <w:szCs w:val="19"/>
          <w:color w:val="auto"/>
        </w:rPr>
        <w:t>which is a bank (as defined for the purposes of Section 879 of the ITA) making an advance under this Agreement and is within the charge to United Kingdom corporation tax as respects any payments of interest made in respect of that advance or would be within such charge as respects such payments apart from Section 18A of the CTA; or</w:t>
      </w:r>
    </w:p>
    <w:p>
      <w:pPr>
        <w:spacing w:after="0" w:line="160" w:lineRule="exact"/>
        <w:rPr>
          <w:rFonts w:ascii="Arial" w:cs="Arial" w:eastAsia="Arial" w:hAnsi="Arial"/>
          <w:sz w:val="19"/>
          <w:szCs w:val="19"/>
          <w:color w:val="auto"/>
        </w:rPr>
      </w:pPr>
    </w:p>
    <w:p>
      <w:pPr>
        <w:jc w:val="both"/>
        <w:ind w:left="660" w:firstLine="644"/>
        <w:spacing w:after="0" w:line="238" w:lineRule="auto"/>
        <w:tabs>
          <w:tab w:leader="none" w:pos="2289" w:val="left"/>
        </w:tabs>
        <w:numPr>
          <w:ilvl w:val="1"/>
          <w:numId w:val="138"/>
        </w:numPr>
        <w:rPr>
          <w:rFonts w:ascii="Arial" w:cs="Arial" w:eastAsia="Arial" w:hAnsi="Arial"/>
          <w:sz w:val="22"/>
          <w:szCs w:val="22"/>
          <w:color w:val="auto"/>
        </w:rPr>
      </w:pPr>
      <w:r>
        <w:rPr>
          <w:rFonts w:ascii="Arial" w:cs="Arial" w:eastAsia="Arial" w:hAnsi="Arial"/>
          <w:sz w:val="22"/>
          <w:szCs w:val="22"/>
          <w:color w:val="auto"/>
        </w:rPr>
        <w:t>in respect of an advance made under this Agreement by a person that was a bank (as defined for the purposes of Section 879 of the ITA) at the time that that advance was made and within the charge to United Kingdom corporation tax as respects any payments of interest made in respect of that advance or would be within such charge as respects such payments apart from Section 18A of the CTA; or</w:t>
      </w:r>
    </w:p>
    <w:p>
      <w:pPr>
        <w:spacing w:after="0" w:line="211" w:lineRule="exact"/>
        <w:rPr>
          <w:rFonts w:ascii="Arial" w:cs="Arial" w:eastAsia="Arial" w:hAnsi="Arial"/>
          <w:sz w:val="22"/>
          <w:szCs w:val="22"/>
          <w:color w:val="auto"/>
        </w:rPr>
      </w:pPr>
    </w:p>
    <w:p>
      <w:pPr>
        <w:ind w:left="1440" w:hanging="784"/>
        <w:spacing w:after="0"/>
        <w:tabs>
          <w:tab w:leader="none" w:pos="144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a UK Non-Bank Lender; or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6" w:name="page227"/>
    <w:bookmarkEnd w:id="226"/>
    <w:p>
      <w:pPr>
        <w:ind w:left="1440" w:hanging="784"/>
        <w:spacing w:after="0"/>
        <w:tabs>
          <w:tab w:leader="none" w:pos="144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a UK Treaty Lender.</w:t>
      </w:r>
    </w:p>
    <w:p>
      <w:pPr>
        <w:spacing w:after="0" w:line="23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Real Property Mortgage</w:t>
      </w:r>
      <w:r>
        <w:rPr>
          <w:rFonts w:ascii="Arial" w:cs="Arial" w:eastAsia="Arial" w:hAnsi="Arial"/>
          <w:sz w:val="22"/>
          <w:szCs w:val="22"/>
          <w:color w:val="auto"/>
        </w:rPr>
        <w:t>” means a mortgage, deed of trust, security deed or other security document granting a Lien on any Mortgaged Property to the Collateral Agent for the benefit of the Secured Parties to secure the Obligations, in each case, as amended, supplemented or otherwise modified from time to time. Each Real Property Mortgage shall be reasonably satisfactory in form and substance to the Administrative Agent.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Recipient</w:t>
      </w:r>
      <w:r>
        <w:rPr>
          <w:rFonts w:ascii="Arial" w:cs="Arial" w:eastAsia="Arial" w:hAnsi="Arial"/>
          <w:sz w:val="22"/>
          <w:szCs w:val="22"/>
          <w:color w:val="auto"/>
        </w:rPr>
        <w:t>” means (a) the Administrative Agent, (b) any Lender and (c) any Issuing Bank, as applicable.</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Reference Time</w:t>
      </w:r>
      <w:r>
        <w:rPr>
          <w:rFonts w:ascii="Arial" w:cs="Arial" w:eastAsia="Arial" w:hAnsi="Arial"/>
          <w:sz w:val="22"/>
          <w:szCs w:val="22"/>
          <w:color w:val="auto"/>
        </w:rPr>
        <w:t>” with respect to any setting of the then-current Benchmark means (a) if such Benchmark is the LIBO Rate, 11:00 a.m. (London time) on the day that is two London banking days preceding the date of such setting, (b) if such Benchmark is EURIBOR Rate, 11:00 a.m. Brussels time two TARGET Days preceding the date of such setting and (c) if such Benchmark is neither the LIBO Rate nor the EURIBOR Rate, the time determined by the Administrative Agent in its reasonable discretion.</w:t>
      </w:r>
    </w:p>
    <w:p>
      <w:pPr>
        <w:spacing w:after="0" w:line="21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Refinancing Indebtedness</w:t>
      </w:r>
      <w:r>
        <w:rPr>
          <w:rFonts w:ascii="Arial" w:cs="Arial" w:eastAsia="Arial" w:hAnsi="Arial"/>
          <w:sz w:val="19"/>
          <w:szCs w:val="19"/>
          <w:color w:val="auto"/>
        </w:rPr>
        <w:t>” means, in respect of any Indebtedness (the “Original Indebtedness”), any Indebtedness that extends, renews or refinances such Original Indebtedness (or any Refinancing Indebtedness in respect thereof); provided that (a) the principal amount (or accreted value, if applicable) of such Refinancing Indebtedness (including undrawn or available committed amounts) shall not exceed the principal amount (or accreted value, if applicable) of such Original Indebtedness (including undrawn or available committed amounts) except by an amount no greater than the amount of accrued and unpaid interest with respect to such Original Indebtedness and any fees, premium and expenses relating to such extension, renewal or refinancing; (b) either (i) the stated final maturity of such Refinancing Indebtedness shall not be earlier than that of such Original Indebtedness or (ii) such Refinancing Indebtedness shall not mature or be required to be repaid, prepaid, redeemed, repurchased or defeased, whether on one or more fixed dates, upon the occurrence of one or more events or at the option of any holder thereof (except, in each case, upon the occurrence of an event of default, asset sale or a change in control or as and to the extent such repayment, prepayment, redemption, repurchase or defeasance would have been required pursuant to the terms of such Original Indebtedness) prior to the date that is 91 days after the Maturity Date; provided that, notwithstanding the foregoing, scheduled amortization payments (however denominated) of such Refinancing Indebtedness shall be permitted so long as the weighted average life to maturity of such Refinancing Indebtedness shall be no shorter than the weighted average life to maturity of such Original Indebtedness remaining as of the date of such extension, renewal or refinancing (or, if shorter, 91 days after the Maturity Date); (c) such Refinancing Indebtedness shall not constitute an obligation (including pursuant to a Guarantee) of the Borrowers or any Subsidiary, in each case that shall not have been (or, in the case of after-acquired Subsidiaries, shall not have been required to become pursuant to the terms of the Original Indebtedness) an obligor in respect of such Original Indebtedness; (d) if such Original Indebtedness shall have been subordinated to the Loan Document Obligations, such Refinancing Indebtedness shall also be subordinated to the Loan Document Obligations on terms not less favorable in any material respect to the Lenders; and (e) such Refinancing Indebtedness shall not be secured by any Lien on any asset other than the assets that secured such Original Indebtedness (or would have been required to secure such Original Indebtedness pursuant to the terms thereof) or, in the event Liens securing such Original Indebtedness shall have been contractually subordinated to any Lien securing the Loan Document Obligations, by any Lien that shall not have been contractually subordinated to at least the same extent.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7" w:name="page228"/>
    <w:bookmarkEnd w:id="227"/>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Register</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9.04(b)</w:t>
      </w:r>
      <w:r>
        <w:rPr>
          <w:rFonts w:ascii="Arial" w:cs="Arial" w:eastAsia="Arial" w:hAnsi="Arial"/>
          <w:sz w:val="22"/>
          <w:szCs w:val="22"/>
          <w:color w:val="auto"/>
        </w:rPr>
        <w:t>.</w:t>
      </w:r>
    </w:p>
    <w:p>
      <w:pPr>
        <w:spacing w:after="0" w:line="234" w:lineRule="exact"/>
        <w:rPr>
          <w:sz w:val="20"/>
          <w:szCs w:val="20"/>
          <w:color w:val="auto"/>
        </w:rPr>
      </w:pPr>
    </w:p>
    <w:p>
      <w:pPr>
        <w:jc w:val="both"/>
        <w:ind w:right="20"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Related Parties</w:t>
      </w:r>
      <w:r>
        <w:rPr>
          <w:rFonts w:ascii="Arial" w:cs="Arial" w:eastAsia="Arial" w:hAnsi="Arial"/>
          <w:sz w:val="19"/>
          <w:szCs w:val="19"/>
          <w:color w:val="auto"/>
        </w:rPr>
        <w:t>” means, with respect to any specified Person, such Person’s Affiliates and the respective directors, officers, employees, agents, trustees, managers, advisors, representatives and controlling persons of such Person.</w:t>
      </w:r>
    </w:p>
    <w:p>
      <w:pPr>
        <w:spacing w:after="0" w:line="13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Release</w:t>
      </w:r>
      <w:r>
        <w:rPr>
          <w:rFonts w:ascii="Arial" w:cs="Arial" w:eastAsia="Arial" w:hAnsi="Arial"/>
          <w:sz w:val="22"/>
          <w:szCs w:val="22"/>
          <w:color w:val="auto"/>
        </w:rPr>
        <w:t>” means any release, spill, emission, leaking, dumping, injection, pouring, deposit, disposal, discharge, dispersal, leaching or migration into or through the indoor or outdoor environment (including ambient air, surface water, groundwater, land surface or subsurface strata).</w:t>
      </w:r>
    </w:p>
    <w:p>
      <w:pPr>
        <w:spacing w:after="0" w:line="21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Relevant Governmental Body</w:t>
      </w:r>
      <w:r>
        <w:rPr>
          <w:rFonts w:ascii="Arial" w:cs="Arial" w:eastAsia="Arial" w:hAnsi="Arial"/>
          <w:sz w:val="19"/>
          <w:szCs w:val="19"/>
          <w:color w:val="auto"/>
        </w:rPr>
        <w:t>” means (a) with respect to a Benchmark Replacement in respect of Loans denominated in dollars, the Federal Reserve Board and/or the NYFRB, or a committee officially endorsed or convened by the Federal Reserve Board and/or the NYFRB or, in each case, any successor thereto, (b) with respect to a Benchmark Replacement in respect of Loans denominated in Sterling, the Bank of England, or a committee officially endorsed or convened by the Bank of England or, in each case, any successor thereto, (c) with respect to a Benchmark Replacement in respect of Loans denominated in Euros, the European Central Bank, or a committee officially endorsed or convened by the European Central Bank or, in each case, any successor thereto and (d) with respect to a Benchmark Replacement in respect of Loans denominated in any Other Agreed Currency, (i) the central bank for the currency in which such Benchmark Replacement is denominated or any central bank or other supervisor which is responsible for supervising either (A) such Benchmark Replacement or (B) the administrator of such Benchmark Replacement or (ii) any working group or committee officially endorsed or convened by (A) the central bank for the currency in which such Benchmark Replacement is denominated, (B) any central bank or other supervisor that is responsible for supervising either (1) such Benchmark Replacement or (2) the administrator of such Benchmark Replacement, (C) a group of those central banks or other supervisors or (D) the Financial Stability Board or any part thereof.</w:t>
      </w:r>
    </w:p>
    <w:p>
      <w:pPr>
        <w:spacing w:after="0" w:line="183"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Relevant Rate</w:t>
      </w:r>
      <w:r>
        <w:rPr>
          <w:rFonts w:ascii="Arial" w:cs="Arial" w:eastAsia="Arial" w:hAnsi="Arial"/>
          <w:sz w:val="22"/>
          <w:szCs w:val="22"/>
          <w:color w:val="auto"/>
        </w:rPr>
        <w:t>” means (a) with respect to any Eurocurrency Borrowing denominated in dollars or Sterling, the LIBO Rate or (b) with respect to any Eurocurrency Borrowing denominated in Euros, the EURIBOR Rate.</w:t>
      </w:r>
    </w:p>
    <w:p>
      <w:pPr>
        <w:spacing w:after="0" w:line="202"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Relevant Screen Rate</w:t>
      </w:r>
      <w:r>
        <w:rPr>
          <w:rFonts w:ascii="Arial" w:cs="Arial" w:eastAsia="Arial" w:hAnsi="Arial"/>
          <w:sz w:val="19"/>
          <w:szCs w:val="19"/>
          <w:color w:val="auto"/>
        </w:rPr>
        <w:t>” means (a) with respect to any Eurocurrency Borrowing denominated in dollars or Sterling, the LIBO Screen Rate or (b) with respect to any Eurocurrency Borrowing denominated in Euros, the EURIBOR Screen Rate.</w:t>
      </w:r>
    </w:p>
    <w:p>
      <w:pPr>
        <w:spacing w:after="0" w:line="132"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Required Lenders</w:t>
      </w:r>
      <w:r>
        <w:rPr>
          <w:rFonts w:ascii="Arial" w:cs="Arial" w:eastAsia="Arial" w:hAnsi="Arial"/>
          <w:sz w:val="19"/>
          <w:szCs w:val="19"/>
          <w:color w:val="auto"/>
        </w:rPr>
        <w:t>” means, at any time, Lenders having Revolving Exposures and unused Commitments representing more than 50% of the sum of the Total Revolving Exposure and aggregate unused Commitments at such time.</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8" w:name="page229"/>
    <w:bookmarkEnd w:id="228"/>
    <w:p>
      <w:pPr>
        <w:jc w:val="both"/>
        <w:ind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Requirement of Law</w:t>
      </w:r>
      <w:r>
        <w:rPr>
          <w:rFonts w:ascii="Arial" w:cs="Arial" w:eastAsia="Arial" w:hAnsi="Arial"/>
          <w:sz w:val="19"/>
          <w:szCs w:val="19"/>
          <w:color w:val="auto"/>
        </w:rPr>
        <w:t>” means, with respect to any Person, (a) the charter, articles or certificate of organization or incorporation and bylaws or other organizational or governing documents of such Person and (b) any law (including common law), statute, ordinance, treaty, rule, regulation, official administrative pronouncement, order, decree, writ, injunction, settlement agreement or determination of any arbitrator or court or other Governmental Authority, in each case applicable to or binding upon such Person or any of its property or to which such Person or any of its property is subject.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Reset Date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1.06(a)</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Resolution Authority</w:t>
      </w:r>
      <w:r>
        <w:rPr>
          <w:rFonts w:ascii="Arial" w:cs="Arial" w:eastAsia="Arial" w:hAnsi="Arial"/>
          <w:sz w:val="22"/>
          <w:szCs w:val="22"/>
          <w:color w:val="auto"/>
        </w:rPr>
        <w:t>” means an EEA Resolution Authority or, with respect to any UK Financial Institution, a UK Resolution Authority.</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Responsible Officer</w:t>
      </w:r>
      <w:r>
        <w:rPr>
          <w:rFonts w:ascii="Arial" w:cs="Arial" w:eastAsia="Arial" w:hAnsi="Arial"/>
          <w:sz w:val="22"/>
          <w:szCs w:val="22"/>
          <w:color w:val="auto"/>
        </w:rPr>
        <w:t>” means, with respect to a particular corporate matter, any executive officer, director or managing director, as applicable, of a Borrower or a Restricted Subsidiary with direct responsibility for such matter.</w:t>
      </w:r>
    </w:p>
    <w:p>
      <w:pPr>
        <w:spacing w:after="0" w:line="20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Restricted Payment</w:t>
      </w:r>
      <w:r>
        <w:rPr>
          <w:rFonts w:ascii="Arial" w:cs="Arial" w:eastAsia="Arial" w:hAnsi="Arial"/>
          <w:sz w:val="19"/>
          <w:szCs w:val="19"/>
          <w:color w:val="auto"/>
        </w:rPr>
        <w:t>” means any dividend or other distribution (whether in cash, securities or other property) by a Borrower or any Restricted Subsidiary with respect to its Equity Interests, or any payment or distribution (whether in cash, securities or other property) by a Borrower or any Restricted Subsidiary, including any sinking fund or similar deposit, on account of the purchase, redemption, retirement, acquisition, cancelation or termination of its Equity Interests.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Subsidiary</w:t>
      </w:r>
      <w:r>
        <w:rPr>
          <w:rFonts w:ascii="Arial" w:cs="Arial" w:eastAsia="Arial" w:hAnsi="Arial"/>
          <w:sz w:val="22"/>
          <w:szCs w:val="22"/>
          <w:color w:val="auto"/>
        </w:rPr>
        <w:t>” means each Subsidiary other than an Unrestricted Subsidiary.</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Reuters</w:t>
      </w:r>
      <w:r>
        <w:rPr>
          <w:rFonts w:ascii="Arial" w:cs="Arial" w:eastAsia="Arial" w:hAnsi="Arial"/>
          <w:sz w:val="22"/>
          <w:szCs w:val="22"/>
          <w:color w:val="auto"/>
        </w:rPr>
        <w:t>” means, as applicable, Thomson Reuters Corp., Refinitiv, or any successor thereto.</w:t>
      </w:r>
    </w:p>
    <w:p>
      <w:pPr>
        <w:spacing w:after="0" w:line="23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Revaluation Date</w:t>
      </w:r>
      <w:r>
        <w:rPr>
          <w:rFonts w:ascii="Arial" w:cs="Arial" w:eastAsia="Arial" w:hAnsi="Arial"/>
          <w:sz w:val="19"/>
          <w:szCs w:val="19"/>
          <w:color w:val="auto"/>
        </w:rPr>
        <w:t>” shall mean (a) with respect to any Revolving Loan denominated in any Alternative Currency, each of the following: (i) the date of the Borrowing of such Revolving Loan and (ii) each date of a conversion into or continuation of such Revolving Loan pursuant to the terms of this Agreement; (b) with respect to any Letter of Credit denominated in an Alternative Currency, each of the following: (i) the date on which such Letter of Credit is issued, (ii) the first Business Day of each calendar month and (iii) the date of any amendment of such Letter of Credit that has the effect of increasing the face amount thereof; and (c) any additional date as the Administrative Agent may determine at any time when an Event of Default exists.</w:t>
      </w:r>
    </w:p>
    <w:p>
      <w:pPr>
        <w:spacing w:after="0" w:line="177"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Borrowing</w:t>
      </w:r>
      <w:r>
        <w:rPr>
          <w:rFonts w:ascii="Arial" w:cs="Arial" w:eastAsia="Arial" w:hAnsi="Arial"/>
          <w:sz w:val="22"/>
          <w:szCs w:val="22"/>
          <w:color w:val="auto"/>
        </w:rPr>
        <w:t>” means Revolving Loans of the same Type and currency, made, converted or continued on the same date and as to which a single Interest Period is in effect.</w:t>
      </w:r>
    </w:p>
    <w:p>
      <w:pPr>
        <w:spacing w:after="0" w:line="202"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Exposure</w:t>
      </w:r>
      <w:r>
        <w:rPr>
          <w:rFonts w:ascii="Arial" w:cs="Arial" w:eastAsia="Arial" w:hAnsi="Arial"/>
          <w:sz w:val="19"/>
          <w:szCs w:val="19"/>
          <w:color w:val="auto"/>
        </w:rPr>
        <w:t>” means, with respect to any Lender at any time, the sum of (a) the Dollar Equivalent of the outstanding principal amount of such Lender’s Revolving Loans and (b) such Lender’s LC Exposure, in each case at such time.</w:t>
      </w:r>
    </w:p>
    <w:p>
      <w:pPr>
        <w:spacing w:after="0" w:line="13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Lender</w:t>
      </w:r>
      <w:r>
        <w:rPr>
          <w:rFonts w:ascii="Arial" w:cs="Arial" w:eastAsia="Arial" w:hAnsi="Arial"/>
          <w:sz w:val="22"/>
          <w:szCs w:val="22"/>
          <w:color w:val="auto"/>
        </w:rPr>
        <w:t>” means a Lender with a Commitment or, if the Commitments have terminated or expired, a Lender with Revolving Exposure.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Loan</w:t>
      </w:r>
      <w:r>
        <w:rPr>
          <w:rFonts w:ascii="Arial" w:cs="Arial" w:eastAsia="Arial" w:hAnsi="Arial"/>
          <w:sz w:val="22"/>
          <w:szCs w:val="22"/>
          <w:color w:val="auto"/>
        </w:rPr>
        <w:t xml:space="preserve">” means a Loan made pursuant to clause (b) of </w:t>
      </w:r>
      <w:r>
        <w:rPr>
          <w:rFonts w:ascii="Arial" w:cs="Arial" w:eastAsia="Arial" w:hAnsi="Arial"/>
          <w:sz w:val="22"/>
          <w:szCs w:val="22"/>
          <w:u w:val="single" w:color="auto"/>
          <w:color w:val="auto"/>
        </w:rPr>
        <w:t>Section 2.01</w:t>
      </w:r>
      <w:r>
        <w:rPr>
          <w:rFonts w:ascii="Arial" w:cs="Arial" w:eastAsia="Arial" w:hAnsi="Arial"/>
          <w:sz w:val="22"/>
          <w:szCs w:val="22"/>
          <w:color w:val="auto"/>
        </w:rPr>
        <w:t>.</w:t>
      </w: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S&amp;P</w:t>
      </w:r>
      <w:r>
        <w:rPr>
          <w:rFonts w:ascii="Arial" w:cs="Arial" w:eastAsia="Arial" w:hAnsi="Arial"/>
          <w:sz w:val="22"/>
          <w:szCs w:val="22"/>
          <w:color w:val="auto"/>
        </w:rPr>
        <w:t>” means S&amp;P Global Ratings, a division of S&amp;P Global Inc., and any successor to its rating agency business.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9" w:name="page230"/>
    <w:bookmarkEnd w:id="229"/>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Sanctioned Country</w:t>
      </w:r>
      <w:r>
        <w:rPr>
          <w:rFonts w:ascii="Arial" w:cs="Arial" w:eastAsia="Arial" w:hAnsi="Arial"/>
          <w:sz w:val="22"/>
          <w:szCs w:val="22"/>
          <w:color w:val="auto"/>
        </w:rPr>
        <w:t>” means, at any time, a country, region or territory which is itself the subject or target of any Sanctions (at the time of this Agreement, the Crimea region of Ukraine, Cuba, Iran, North Korea and Syria).</w:t>
      </w:r>
    </w:p>
    <w:p>
      <w:pPr>
        <w:spacing w:after="0" w:line="20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Sanctioned Person</w:t>
      </w:r>
      <w:r>
        <w:rPr>
          <w:rFonts w:ascii="Arial" w:cs="Arial" w:eastAsia="Arial" w:hAnsi="Arial"/>
          <w:sz w:val="19"/>
          <w:szCs w:val="19"/>
          <w:color w:val="auto"/>
        </w:rPr>
        <w:t>” means, at any time, (a) any Person listed in any Sanctions-related list of designated Persons maintained by the Office of Foreign Assets Control of the U.S. Department of the Treasury, the U.S. Department of State, or by the United Nations Security Council, the European Union, any European Union member state, Her Majesty’s Treasury or any other relevant sanctions authority, (b) any Person operating, organized or resident in a Sanctioned Country or (c) any Person owned or controlled by any such Person or Persons described in the foregoing clauses (a) or (b).</w:t>
      </w:r>
    </w:p>
    <w:p>
      <w:pPr>
        <w:spacing w:after="0" w:line="17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Sanctions</w:t>
      </w:r>
      <w:r>
        <w:rPr>
          <w:rFonts w:ascii="Arial" w:cs="Arial" w:eastAsia="Arial" w:hAnsi="Arial"/>
          <w:sz w:val="19"/>
          <w:szCs w:val="19"/>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Her Majesty’s Treasury of the United Kingdom or any other relevant sanctions authority.</w:t>
      </w:r>
    </w:p>
    <w:p>
      <w:pPr>
        <w:spacing w:after="0" w:line="17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means the United States Securities and Exchange Commission or any Governmental Authority succeeding to any of its principal functions.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Bilateral Facility</w:t>
      </w:r>
      <w:r>
        <w:rPr>
          <w:rFonts w:ascii="Arial" w:cs="Arial" w:eastAsia="Arial" w:hAnsi="Arial"/>
          <w:sz w:val="22"/>
          <w:szCs w:val="22"/>
          <w:color w:val="auto"/>
        </w:rPr>
        <w:t>” means any Secured LC Facility or Secured Supply Chain Financing.</w:t>
      </w:r>
    </w:p>
    <w:p>
      <w:pPr>
        <w:spacing w:after="0" w:line="233"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Bilateral Facility Obligations</w:t>
      </w:r>
      <w:r>
        <w:rPr>
          <w:rFonts w:ascii="Arial" w:cs="Arial" w:eastAsia="Arial" w:hAnsi="Arial"/>
          <w:sz w:val="22"/>
          <w:szCs w:val="22"/>
          <w:color w:val="auto"/>
        </w:rPr>
        <w:t>” means obligations owing by a Borrower or any Restricted Subsidiary under any Secured Bilateral Facility.</w:t>
      </w:r>
    </w:p>
    <w:p>
      <w:pPr>
        <w:spacing w:after="0" w:line="20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Secured Cash Management Obligations</w:t>
      </w:r>
      <w:r>
        <w:rPr>
          <w:rFonts w:ascii="Arial" w:cs="Arial" w:eastAsia="Arial" w:hAnsi="Arial"/>
          <w:sz w:val="19"/>
          <w:szCs w:val="19"/>
          <w:color w:val="auto"/>
        </w:rPr>
        <w:t>” means the due and punctual payment of any and all obligations of a Borrower or any Restricted Subsidiary (whether absolute or contingent and however and whenever created, arising, evidenced or acquired (including all renewals, extensions and modifications thereof and substitutions therefor)) arising in respect of Cash Management Services that (a) are owed to the Administrative Agent or an Affiliate thereof, or to any Person that, at the time such obligations were incurred, was the Administrative Agent or an Affiliate thereof, (b) are owed on the Effective Date to a Person that is a Lender or an Affiliate of a Lender as of the Effective Date or (c) are owed to a Person that is a Lender or an Affiliate of a Lender at the time such obligations are incurred (any such Person, a “</w:t>
      </w:r>
      <w:r>
        <w:rPr>
          <w:rFonts w:ascii="Arial" w:cs="Arial" w:eastAsia="Arial" w:hAnsi="Arial"/>
          <w:sz w:val="19"/>
          <w:szCs w:val="19"/>
          <w:u w:val="single" w:color="auto"/>
          <w:color w:val="auto"/>
        </w:rPr>
        <w:t>Cash Management Bank</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Cash Management Services may at any time be designated in writing by the Company and the applicable Cash Management Bank to the Administrative Agent not to be included as Secured Cash Management Obligations.</w:t>
      </w:r>
    </w:p>
    <w:p>
      <w:pPr>
        <w:spacing w:after="0" w:line="18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Secured Hedging Obligations</w:t>
      </w:r>
      <w:r>
        <w:rPr>
          <w:rFonts w:ascii="Arial" w:cs="Arial" w:eastAsia="Arial" w:hAnsi="Arial"/>
          <w:sz w:val="19"/>
          <w:szCs w:val="19"/>
          <w:color w:val="auto"/>
        </w:rPr>
        <w:t>” means the due and punctual payment of any and all obligations of a Borrower or any Restricted Subsidiary arising under each Hedging Agreement that (a) is with a counterparty that is the Administrative Agent or an Affiliate thereof, or any Person that, at the time such Hedging Agreement was entered into, was the Administrative Agent or an Affiliate thereof, (b) is in effect on the Effective Date with a counterparty that is a Lender or an Affiliate of a Lender as of the Effective Date or (c) is entered into after the Effective Date with a counterparty that is a Lender or an Affiliate of a Lender at the time such Hedging Agreement is entered into (any such Person, a “</w:t>
      </w:r>
      <w:r>
        <w:rPr>
          <w:rFonts w:ascii="Arial" w:cs="Arial" w:eastAsia="Arial" w:hAnsi="Arial"/>
          <w:sz w:val="19"/>
          <w:szCs w:val="19"/>
          <w:u w:val="single" w:color="auto"/>
          <w:color w:val="auto"/>
        </w:rPr>
        <w:t>Hedge Bank</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Hedging Agreement may at any time be designated in writing by the Company and the applicable Hedge Bank to the Administrative Agent not to be included as Secured Hedging Obligations. Notwithstanding the foregoing, in the case of any Excluded Swap Guarantor, “Secured Hedging Obligations” shall not include Excluded Swap Obligations of such Excluded Swap Guarantor.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0" w:name="page231"/>
    <w:bookmarkEnd w:id="230"/>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Secured LC Facility</w:t>
      </w:r>
      <w:r>
        <w:rPr>
          <w:rFonts w:ascii="Arial" w:cs="Arial" w:eastAsia="Arial" w:hAnsi="Arial"/>
          <w:sz w:val="21"/>
          <w:szCs w:val="21"/>
          <w:color w:val="auto"/>
        </w:rPr>
        <w:t>” means any LC Facility that is entered into by and between a Borrowers or any Restricted Subsidiary and a Secured LC Provider, including any such LC Facility that is in effect on the Effective Date.</w:t>
      </w:r>
    </w:p>
    <w:p>
      <w:pPr>
        <w:spacing w:after="0" w:line="178"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LC Provider</w:t>
      </w:r>
      <w:r>
        <w:rPr>
          <w:rFonts w:ascii="Arial" w:cs="Arial" w:eastAsia="Arial" w:hAnsi="Arial"/>
          <w:sz w:val="22"/>
          <w:szCs w:val="22"/>
          <w:color w:val="auto"/>
        </w:rPr>
        <w:t xml:space="preserve">” means any bank, financial institution or other Person that is party to an LC Facility with a Borrower or any Restricted Subsidiary that either (a) entered into such LC Facility while such Person was, or before such Person became, a Lender or Affiliate of a Lender, as the case may be, or (b) has executed a Bilateral Facility Intercreditor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such Person at any time ceases to be a Lender or an Affiliate of a Lender, as the case may be, (other than as a result of a payment in full of the Loan Document Obligations) such Person shall remain a Secured LC Provider for three-hundred sixty-five (365) days after such time (and after three-hundred sixty-five (365) days after such time, such Person shall no longer be a Secured LC Provider).</w:t>
      </w:r>
    </w:p>
    <w:p>
      <w:pPr>
        <w:spacing w:after="0" w:line="21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Secured Parties</w:t>
      </w:r>
      <w:r>
        <w:rPr>
          <w:rFonts w:ascii="Arial" w:cs="Arial" w:eastAsia="Arial" w:hAnsi="Arial"/>
          <w:sz w:val="19"/>
          <w:szCs w:val="19"/>
          <w:color w:val="auto"/>
        </w:rPr>
        <w:t>” means, collectively, (a) the Lenders, (b) the Administrative Agent, (c) each Issuing Bank, (d) each provider of Cash Management Services the obligations under which constitute Secured Cash Management Obligations, (e) each counterparty to any Hedging Agreement the obligations under which constitute Secured Hedging Obligations, (f) each Secured Supply Chain Bank, (g) each Secured LC Provider and (h) the successors and assigns of each of the foregoing.</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Secured Supply Chain Bank</w:t>
      </w:r>
      <w:r>
        <w:rPr>
          <w:rFonts w:ascii="Arial" w:cs="Arial" w:eastAsia="Arial" w:hAnsi="Arial"/>
          <w:sz w:val="19"/>
          <w:szCs w:val="19"/>
          <w:color w:val="auto"/>
        </w:rPr>
        <w:t>” means (a) any bank, financial institution or other Person that is a party to a Supply Chain Financing with a Borrower or any Restricted Subsidiary that (i) entered into such Supply Chain Financing while such Person was, or before such Person became, a Lender or Affiliate of a Lender, as the case may be, or (ii) has executed a Bilateral Facility Intercreditor Agreement and (b) any Supply Chain Bank Purchaser that executes a Bilateral Facility Intercreditor Agreement.</w:t>
      </w:r>
    </w:p>
    <w:p>
      <w:pPr>
        <w:spacing w:after="0" w:line="17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Secured Supply Chain Financing</w:t>
      </w:r>
      <w:r>
        <w:rPr>
          <w:rFonts w:ascii="Arial" w:cs="Arial" w:eastAsia="Arial" w:hAnsi="Arial"/>
          <w:sz w:val="21"/>
          <w:szCs w:val="21"/>
          <w:color w:val="auto"/>
        </w:rPr>
        <w:t xml:space="preserve">” means any Supply Chain Financing that is entered into by and between a Borrower or any Restricted Subsidiary and a Secured Supply Chain Bank, including any such Supply Chain Financing that is in effect on the Effective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the Company and the applicable Secured Supply Chain Bank shall have designated such Supply Chain Financing as a Secured Supply Chain Financing in writing delivered to the Administrative Agent in substantially the form of </w:t>
      </w:r>
      <w:r>
        <w:rPr>
          <w:rFonts w:ascii="Arial" w:cs="Arial" w:eastAsia="Arial" w:hAnsi="Arial"/>
          <w:sz w:val="21"/>
          <w:szCs w:val="21"/>
          <w:u w:val="single" w:color="auto"/>
          <w:color w:val="auto"/>
        </w:rPr>
        <w:t>Exhibit G</w:t>
      </w:r>
      <w:r>
        <w:rPr>
          <w:rFonts w:ascii="Arial" w:cs="Arial" w:eastAsia="Arial" w:hAnsi="Arial"/>
          <w:sz w:val="21"/>
          <w:szCs w:val="21"/>
          <w:color w:val="auto"/>
        </w:rPr>
        <w:t xml:space="preserve"> (other than with respect to any Supply Chain Financings where the Administrative Agent or an Affiliate thereof is the Secured Supply Chain Bank) and (b) any trade payables under any Secured Supply Chain Financing shall become payable within 120 days from issuance thereof.</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means the United States Securities Act of 1933.</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1" w:name="page232"/>
    <w:bookmarkEnd w:id="231"/>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Security Documents</w:t>
      </w:r>
      <w:r>
        <w:rPr>
          <w:rFonts w:ascii="Arial" w:cs="Arial" w:eastAsia="Arial" w:hAnsi="Arial"/>
          <w:sz w:val="22"/>
          <w:szCs w:val="22"/>
          <w:color w:val="auto"/>
        </w:rPr>
        <w:t xml:space="preserve">” means, collectively, the New York-Law Security Agreement, New York-Law Pledge Agreement, the Real Property Mortgages, the Vessel Mortgages, and each other security agreement, pledge agreement or other instrument or document executed and delivered pursuant to any of the foregoing, the Collateral and Guarantee Requirement or pursuant to </w:t>
      </w:r>
      <w:r>
        <w:rPr>
          <w:rFonts w:ascii="Arial" w:cs="Arial" w:eastAsia="Arial" w:hAnsi="Arial"/>
          <w:sz w:val="22"/>
          <w:szCs w:val="22"/>
          <w:u w:val="single" w:color="auto"/>
          <w:color w:val="auto"/>
        </w:rPr>
        <w:t>Section 5.13</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5.15</w:t>
      </w:r>
      <w:r>
        <w:rPr>
          <w:rFonts w:ascii="Arial" w:cs="Arial" w:eastAsia="Arial" w:hAnsi="Arial"/>
          <w:sz w:val="22"/>
          <w:szCs w:val="22"/>
          <w:color w:val="auto"/>
        </w:rPr>
        <w:t xml:space="preserve"> to secure any of the Obligations.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Senior Unsecured Notes</w:t>
      </w:r>
      <w:r>
        <w:rPr>
          <w:rFonts w:ascii="Arial" w:cs="Arial" w:eastAsia="Arial" w:hAnsi="Arial"/>
          <w:sz w:val="19"/>
          <w:szCs w:val="19"/>
          <w:color w:val="auto"/>
        </w:rPr>
        <w:t>” means the 6.500% senior notes due 2026 issued by the Company on January 29, 2021.</w:t>
      </w:r>
    </w:p>
    <w:p>
      <w:pPr>
        <w:spacing w:after="0" w:line="26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Senior Unsecured Notes Documents</w:t>
      </w:r>
      <w:r>
        <w:rPr>
          <w:rFonts w:ascii="Arial" w:cs="Arial" w:eastAsia="Arial" w:hAnsi="Arial"/>
          <w:sz w:val="22"/>
          <w:szCs w:val="22"/>
          <w:color w:val="auto"/>
        </w:rPr>
        <w:t>” means the Senior Unsecured Notes Indenture, all instruments, agreements and other documents evidencing or governing the Senior Unsecured Notes, providing for any Guarantee or other right in respect thereof, and all schedules, exhibits and annexes to each of the foregoing.</w:t>
      </w:r>
    </w:p>
    <w:p>
      <w:pPr>
        <w:spacing w:after="0" w:line="21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Senior Unsecured Notes Indenture</w:t>
      </w:r>
      <w:r>
        <w:rPr>
          <w:rFonts w:ascii="Arial" w:cs="Arial" w:eastAsia="Arial" w:hAnsi="Arial"/>
          <w:sz w:val="21"/>
          <w:szCs w:val="21"/>
          <w:color w:val="auto"/>
        </w:rPr>
        <w:t>” means the Indenture, dated as of January 29, 2021, among the Company, the Subsidiaries listed therein and U.S. Bank National Association, as trustee, in respect of the Senior Unsecured Notes.</w:t>
      </w:r>
    </w:p>
    <w:p>
      <w:pPr>
        <w:spacing w:after="0" w:line="178" w:lineRule="exact"/>
        <w:rPr>
          <w:sz w:val="20"/>
          <w:szCs w:val="20"/>
          <w:color w:val="auto"/>
        </w:rPr>
      </w:pPr>
    </w:p>
    <w:p>
      <w:pPr>
        <w:jc w:val="both"/>
        <w:ind w:right="2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 Purchase Agreement</w:t>
      </w:r>
      <w:r>
        <w:rPr>
          <w:rFonts w:ascii="Arial" w:cs="Arial" w:eastAsia="Arial" w:hAnsi="Arial"/>
          <w:sz w:val="22"/>
          <w:szCs w:val="22"/>
          <w:color w:val="auto"/>
        </w:rPr>
        <w:t>” means the Share Purchase Agreement, dated January 7, 2021, with Bpifrance Participations SA (“</w:t>
      </w:r>
      <w:r>
        <w:rPr>
          <w:rFonts w:ascii="Arial" w:cs="Arial" w:eastAsia="Arial" w:hAnsi="Arial"/>
          <w:sz w:val="22"/>
          <w:szCs w:val="22"/>
          <w:u w:val="single" w:color="auto"/>
          <w:color w:val="auto"/>
        </w:rPr>
        <w:t>BPI</w:t>
      </w:r>
      <w:r>
        <w:rPr>
          <w:rFonts w:ascii="Arial" w:cs="Arial" w:eastAsia="Arial" w:hAnsi="Arial"/>
          <w:sz w:val="22"/>
          <w:szCs w:val="22"/>
          <w:color w:val="auto"/>
        </w:rPr>
        <w:t>”), pursuant to which BPI will purchase from the Company a number of Technip Energies shares representing up to 17.25% of the total number of Technip Energies shares outstanding immediately following the Distribution for a purchase price of $200.0 million.</w:t>
      </w:r>
    </w:p>
    <w:p>
      <w:pPr>
        <w:spacing w:after="0" w:line="212"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SOFR</w:t>
      </w:r>
      <w:r>
        <w:rPr>
          <w:rFonts w:ascii="Arial" w:cs="Arial" w:eastAsia="Arial" w:hAnsi="Arial"/>
          <w:sz w:val="22"/>
          <w:szCs w:val="22"/>
          <w:color w:val="auto"/>
        </w:rPr>
        <w:t>” means, with respect to any Business Day, a rate per annum equal to the secured overnight financing rate for such Business Day published by the SOFR Administrator on the SOFR Administrator’s Website.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SOFR Administrator</w:t>
      </w:r>
      <w:r>
        <w:rPr>
          <w:rFonts w:ascii="Arial" w:cs="Arial" w:eastAsia="Arial" w:hAnsi="Arial"/>
          <w:sz w:val="21"/>
          <w:szCs w:val="21"/>
          <w:color w:val="auto"/>
        </w:rPr>
        <w:t>” means the NYFRB (or a successor administrator of the secured overnight financing rate).</w:t>
      </w:r>
    </w:p>
    <w:p>
      <w:pPr>
        <w:spacing w:after="0" w:line="245" w:lineRule="exact"/>
        <w:rPr>
          <w:sz w:val="20"/>
          <w:szCs w:val="20"/>
          <w:color w:val="auto"/>
        </w:rPr>
      </w:pPr>
    </w:p>
    <w:p>
      <w:pPr>
        <w:jc w:val="both"/>
        <w:ind w:right="20"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SOFR Administrator’s Website</w:t>
      </w:r>
      <w:r>
        <w:rPr>
          <w:rFonts w:ascii="Arial" w:cs="Arial" w:eastAsia="Arial" w:hAnsi="Arial"/>
          <w:sz w:val="19"/>
          <w:szCs w:val="19"/>
          <w:color w:val="auto"/>
        </w:rPr>
        <w:t>” means the NYFRB’s website, currently at http://www.newyorkfed.org, or any successor source for the secured overnight financing rate identified as such by the SOFR Administrator from time to time.</w:t>
      </w:r>
    </w:p>
    <w:p>
      <w:pPr>
        <w:spacing w:after="0" w:line="132" w:lineRule="exact"/>
        <w:rPr>
          <w:sz w:val="20"/>
          <w:szCs w:val="20"/>
          <w:color w:val="auto"/>
        </w:rPr>
      </w:pPr>
    </w:p>
    <w:p>
      <w:pPr>
        <w:ind w:right="26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SONIA</w:t>
      </w:r>
      <w:r>
        <w:rPr>
          <w:rFonts w:ascii="Arial" w:cs="Arial" w:eastAsia="Arial" w:hAnsi="Arial"/>
          <w:sz w:val="21"/>
          <w:szCs w:val="21"/>
          <w:color w:val="auto"/>
        </w:rPr>
        <w:t>” means, with respect to any Business Day, a rate per annum equal to the Sterling Overnight Index Average for such Business Day published by the SONIA Administrator on the SONIA Administrator’s Website.</w:t>
      </w:r>
    </w:p>
    <w:p>
      <w:pPr>
        <w:spacing w:after="0" w:line="178" w:lineRule="exact"/>
        <w:rPr>
          <w:sz w:val="20"/>
          <w:szCs w:val="20"/>
          <w:color w:val="auto"/>
        </w:rPr>
      </w:pPr>
    </w:p>
    <w:p>
      <w:pPr>
        <w:ind w:right="50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SONIA Administrator</w:t>
      </w:r>
      <w:r>
        <w:rPr>
          <w:rFonts w:ascii="Arial" w:cs="Arial" w:eastAsia="Arial" w:hAnsi="Arial"/>
          <w:sz w:val="22"/>
          <w:szCs w:val="22"/>
          <w:color w:val="auto"/>
        </w:rPr>
        <w:t>” means the Bank of England (or any successor administrator of the Sterling Overnight Index Average).</w:t>
      </w:r>
    </w:p>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SONIA Administrator’s Website</w:t>
      </w:r>
      <w:r>
        <w:rPr>
          <w:rFonts w:ascii="Arial" w:cs="Arial" w:eastAsia="Arial" w:hAnsi="Arial"/>
          <w:sz w:val="22"/>
          <w:szCs w:val="22"/>
          <w:color w:val="auto"/>
        </w:rPr>
        <w:t>” means the Bank of England’s website, currently at http://www.bankofengland.co.uk, or any successor source for the Sterling Overnight Index Average identified as such by the SONIA Administrator from time to time.</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Asset Sale</w:t>
      </w:r>
      <w:r>
        <w:rPr>
          <w:rFonts w:ascii="Arial" w:cs="Arial" w:eastAsia="Arial" w:hAnsi="Arial"/>
          <w:sz w:val="19"/>
          <w:szCs w:val="19"/>
          <w:color w:val="auto"/>
        </w:rPr>
        <w:t xml:space="preserve">” means the sale previously disclosed to the Administrative Agent and permitted under </w:t>
      </w:r>
      <w:r>
        <w:rPr>
          <w:rFonts w:ascii="Arial" w:cs="Arial" w:eastAsia="Arial" w:hAnsi="Arial"/>
          <w:sz w:val="19"/>
          <w:szCs w:val="19"/>
          <w:u w:val="single" w:color="auto"/>
          <w:color w:val="auto"/>
        </w:rPr>
        <w:t>Section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6.05(l)</w:t>
      </w:r>
      <w:r>
        <w:rPr>
          <w:rFonts w:ascii="Arial" w:cs="Arial" w:eastAsia="Arial" w:hAnsi="Arial"/>
          <w:sz w:val="22"/>
          <w:szCs w:val="22"/>
          <w:color w:val="auto"/>
        </w:rPr>
        <w: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2" w:name="page233"/>
    <w:bookmarkEnd w:id="232"/>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Joint Venture</w:t>
      </w:r>
      <w:r>
        <w:rPr>
          <w:rFonts w:ascii="Arial" w:cs="Arial" w:eastAsia="Arial" w:hAnsi="Arial"/>
          <w:sz w:val="22"/>
          <w:szCs w:val="22"/>
          <w:color w:val="auto"/>
        </w:rPr>
        <w:t>” means each of (a) Dofcon Navegação and (b) Techdof Brasil.</w:t>
      </w:r>
    </w:p>
    <w:p>
      <w:pPr>
        <w:spacing w:after="0" w:line="23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Joint Venture Indebtedness</w:t>
      </w:r>
      <w:r>
        <w:rPr>
          <w:rFonts w:ascii="Arial" w:cs="Arial" w:eastAsia="Arial" w:hAnsi="Arial"/>
          <w:sz w:val="19"/>
          <w:szCs w:val="19"/>
          <w:color w:val="auto"/>
        </w:rPr>
        <w:t>” means the Indebtedness of each of the Specified Joint Ventures outstanding on the Effective Date, related to loans provided by Banco Nacional de Desenvolvimento Econômico e Social (BNDES), in respect of the Vessels Skandi Vitoria, Skandi Niteroi and Skandi Olinda, Eksportkreddit Norge AS, in respect of the Vessel Skandi Recife, Société Générale, in respect of the Vessel Skandi Açu, and DNB Bank ASA, in respect of the Vessel Skandi Buzios.</w:t>
      </w:r>
    </w:p>
    <w:p>
      <w:pPr>
        <w:spacing w:after="0" w:line="17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LC Sublimit</w:t>
      </w:r>
      <w:r>
        <w:rPr>
          <w:rFonts w:ascii="Arial" w:cs="Arial" w:eastAsia="Arial" w:hAnsi="Arial"/>
          <w:sz w:val="22"/>
          <w:szCs w:val="22"/>
          <w:color w:val="auto"/>
        </w:rPr>
        <w:t>” means, (a) with respect to JPMCB, $64,285,715, (b) with respect to Citibank, N.A., $64,285,715, (c) with respect to DNB Bank ASA, New York Branch, $64,285,715, (d) with respect to Société Générale, $64,285,715, (e) with respect to Sumitomo Mitsui Banking Corporation, $64,285,715, (f) with respect to Wells Fargo Bank, National Association, $64,285,715, and (g) Bank of America, N.A., $64,285,715, in each case, or such greater amount as agreed to by such Issuing Bank in its sole discretion.</w:t>
      </w:r>
    </w:p>
    <w:p>
      <w:pPr>
        <w:spacing w:after="0" w:line="21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Representations</w:t>
      </w:r>
      <w:r>
        <w:rPr>
          <w:rFonts w:ascii="Arial" w:cs="Arial" w:eastAsia="Arial" w:hAnsi="Arial"/>
          <w:sz w:val="19"/>
          <w:szCs w:val="19"/>
          <w:color w:val="auto"/>
        </w:rPr>
        <w:t xml:space="preserve">” means those representations and warranties of the Borrowers and the Guarantors in </w:t>
      </w:r>
      <w:r>
        <w:rPr>
          <w:rFonts w:ascii="Arial" w:cs="Arial" w:eastAsia="Arial" w:hAnsi="Arial"/>
          <w:sz w:val="19"/>
          <w:szCs w:val="19"/>
          <w:u w:val="single" w:color="auto"/>
          <w:color w:val="auto"/>
        </w:rPr>
        <w:t>Sections</w:t>
      </w:r>
      <w:r>
        <w:rPr>
          <w:rFonts w:ascii="Arial" w:cs="Arial" w:eastAsia="Arial" w:hAnsi="Arial"/>
          <w:sz w:val="19"/>
          <w:szCs w:val="19"/>
          <w:color w:val="auto"/>
        </w:rPr>
        <w:t xml:space="preserve"> </w:t>
      </w:r>
      <w:r>
        <w:rPr>
          <w:rFonts w:ascii="Arial" w:cs="Arial" w:eastAsia="Arial" w:hAnsi="Arial"/>
          <w:sz w:val="19"/>
          <w:szCs w:val="19"/>
          <w:u w:val="single" w:color="auto"/>
          <w:color w:val="auto"/>
        </w:rPr>
        <w:t>3.01(a)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3.02</w:t>
      </w:r>
      <w:r>
        <w:rPr>
          <w:rFonts w:ascii="Arial" w:cs="Arial" w:eastAsia="Arial" w:hAnsi="Arial"/>
          <w:sz w:val="19"/>
          <w:szCs w:val="19"/>
          <w:color w:val="auto"/>
        </w:rPr>
        <w:t xml:space="preserve"> (as it relates to entering into and performance of the Loan Documents and/or the enforceability of the Loan Documents against the Borrowers and the Guarantors), </w:t>
      </w:r>
      <w:r>
        <w:rPr>
          <w:rFonts w:ascii="Arial" w:cs="Arial" w:eastAsia="Arial" w:hAnsi="Arial"/>
          <w:sz w:val="19"/>
          <w:szCs w:val="19"/>
          <w:u w:val="single" w:color="auto"/>
          <w:color w:val="auto"/>
        </w:rPr>
        <w:t>3.03</w:t>
      </w:r>
      <w:r>
        <w:rPr>
          <w:rFonts w:ascii="Arial" w:cs="Arial" w:eastAsia="Arial" w:hAnsi="Arial"/>
          <w:sz w:val="19"/>
          <w:szCs w:val="19"/>
          <w:color w:val="auto"/>
        </w:rPr>
        <w:t xml:space="preserve"> (as it relates to no conflicts of the Loan Documents with the organizational documents of the Loan Parties), </w:t>
      </w:r>
      <w:r>
        <w:rPr>
          <w:rFonts w:ascii="Arial" w:cs="Arial" w:eastAsia="Arial" w:hAnsi="Arial"/>
          <w:sz w:val="19"/>
          <w:szCs w:val="19"/>
          <w:u w:val="single" w:color="auto"/>
          <w:color w:val="auto"/>
        </w:rPr>
        <w:t>3.09</w:t>
      </w:r>
      <w:r>
        <w:rPr>
          <w:rFonts w:ascii="Arial" w:cs="Arial" w:eastAsia="Arial" w:hAnsi="Arial"/>
          <w:sz w:val="19"/>
          <w:szCs w:val="19"/>
          <w:color w:val="auto"/>
        </w:rPr>
        <w:t xml:space="preserve">, </w:t>
      </w:r>
      <w:r>
        <w:rPr>
          <w:rFonts w:ascii="Arial" w:cs="Arial" w:eastAsia="Arial" w:hAnsi="Arial"/>
          <w:sz w:val="19"/>
          <w:szCs w:val="19"/>
          <w:u w:val="single" w:color="auto"/>
          <w:color w:val="auto"/>
        </w:rPr>
        <w:t>3.15</w:t>
      </w:r>
      <w:r>
        <w:rPr>
          <w:rFonts w:ascii="Arial" w:cs="Arial" w:eastAsia="Arial" w:hAnsi="Arial"/>
          <w:sz w:val="19"/>
          <w:szCs w:val="19"/>
          <w:color w:val="auto"/>
        </w:rPr>
        <w:t xml:space="preserve">, </w:t>
      </w:r>
      <w:r>
        <w:rPr>
          <w:rFonts w:ascii="Arial" w:cs="Arial" w:eastAsia="Arial" w:hAnsi="Arial"/>
          <w:sz w:val="19"/>
          <w:szCs w:val="19"/>
          <w:u w:val="single" w:color="auto"/>
          <w:color w:val="auto"/>
        </w:rPr>
        <w:t>3.17</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3.18</w:t>
      </w:r>
      <w:r>
        <w:rPr>
          <w:rFonts w:ascii="Arial" w:cs="Arial" w:eastAsia="Arial" w:hAnsi="Arial"/>
          <w:sz w:val="19"/>
          <w:szCs w:val="19"/>
          <w:color w:val="auto"/>
        </w:rPr>
        <w:t xml:space="preserve"> (subject to the Collateral and Guarantee Principles).</w:t>
      </w:r>
    </w:p>
    <w:p>
      <w:pPr>
        <w:spacing w:after="0" w:line="17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Spinoff</w:t>
      </w:r>
      <w:r>
        <w:rPr>
          <w:rFonts w:ascii="Arial" w:cs="Arial" w:eastAsia="Arial" w:hAnsi="Arial"/>
          <w:sz w:val="22"/>
          <w:szCs w:val="22"/>
          <w:color w:val="auto"/>
        </w:rPr>
        <w:t>” means the planned separation of the Company’s Technip Energies business segment, which is structured as a partial spinoff of Technip Energies, including the Company’s Genesis, Loading System and Cybernetix businesses as of the Issue Date, through the distribution (the “</w:t>
      </w:r>
      <w:r>
        <w:rPr>
          <w:rFonts w:ascii="Arial" w:cs="Arial" w:eastAsia="Arial" w:hAnsi="Arial"/>
          <w:sz w:val="22"/>
          <w:szCs w:val="22"/>
          <w:u w:val="single" w:color="auto"/>
          <w:color w:val="auto"/>
        </w:rPr>
        <w:t>Distribution</w:t>
      </w:r>
      <w:r>
        <w:rPr>
          <w:rFonts w:ascii="Arial" w:cs="Arial" w:eastAsia="Arial" w:hAnsi="Arial"/>
          <w:sz w:val="22"/>
          <w:szCs w:val="22"/>
          <w:color w:val="auto"/>
        </w:rPr>
        <w:t>”) by the Company of 50.1% of the ordinary shares of Technip Energies to shareholders of the Company.</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Spinoff Documents</w:t>
      </w:r>
      <w:r>
        <w:rPr>
          <w:rFonts w:ascii="Arial" w:cs="Arial" w:eastAsia="Arial" w:hAnsi="Arial"/>
          <w:sz w:val="22"/>
          <w:szCs w:val="22"/>
          <w:color w:val="auto"/>
        </w:rPr>
        <w:t>” means the Distribution Agreement, the Share Purchase Agreement, the Relationship Agreement with Technip Energies and Bpifrance Participations SA, dated as of January 7, 2021, and any other documents and agreements entered, or to be entered, into in connection with the Spinoff and the Transactions.</w:t>
      </w:r>
    </w:p>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Spinoff Transactions</w:t>
      </w:r>
      <w:r>
        <w:rPr>
          <w:rFonts w:ascii="Arial" w:cs="Arial" w:eastAsia="Arial" w:hAnsi="Arial"/>
          <w:sz w:val="22"/>
          <w:szCs w:val="22"/>
          <w:color w:val="auto"/>
        </w:rPr>
        <w:t>” means the Spinoff and all other transactions pursuant to, and the performance of all other obligations under, the Spinoff Documents.</w:t>
      </w:r>
    </w:p>
    <w:p>
      <w:pPr>
        <w:spacing w:after="0" w:line="20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Statutory Reserve Rate</w:t>
      </w:r>
      <w:r>
        <w:rPr>
          <w:rFonts w:ascii="Arial" w:cs="Arial" w:eastAsia="Arial" w:hAnsi="Arial"/>
          <w:sz w:val="19"/>
          <w:szCs w:val="19"/>
          <w:color w:val="auto"/>
        </w:rPr>
        <w:t>” means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Federal Reserve Board to which the Administrative Agent is subject with respect to the Adjusted LIBO Rate, for eurocurrency funding (currently referred to as “Eurocurrency Liabilities” in Regulation D). Such reserve percentage shall include those imposed pursuant to such Regulation</w:t>
      </w:r>
    </w:p>
    <w:p>
      <w:pPr>
        <w:spacing w:after="0" w:line="4" w:lineRule="exact"/>
        <w:rPr>
          <w:sz w:val="20"/>
          <w:szCs w:val="20"/>
          <w:color w:val="auto"/>
        </w:rPr>
      </w:pPr>
    </w:p>
    <w:p>
      <w:pPr>
        <w:jc w:val="both"/>
        <w:ind w:firstLine="8"/>
        <w:spacing w:after="0" w:line="233" w:lineRule="auto"/>
        <w:tabs>
          <w:tab w:leader="none" w:pos="387" w:val="left"/>
        </w:tabs>
        <w:numPr>
          <w:ilvl w:val="0"/>
          <w:numId w:val="140"/>
        </w:numPr>
        <w:rPr>
          <w:rFonts w:ascii="Arial" w:cs="Arial" w:eastAsia="Arial" w:hAnsi="Arial"/>
          <w:sz w:val="22"/>
          <w:szCs w:val="22"/>
          <w:color w:val="auto"/>
        </w:rPr>
      </w:pPr>
      <w:r>
        <w:rPr>
          <w:rFonts w:ascii="Arial" w:cs="Arial" w:eastAsia="Arial" w:hAnsi="Arial"/>
          <w:sz w:val="22"/>
          <w:szCs w:val="22"/>
          <w:color w:val="auto"/>
        </w:rPr>
        <w:t>Eurocurrency Loans shall be deemed to constitute eurocurrency funding and to be subject to such reserve requirements without benefit of or credit for proration, exemptions or offsets that may be available from time to time to any Lender under such Regulation D or any comparable regulation. The Statutory Reserve Rate shall be adjusted automatically on and as of the effective date of any change in any reserve percentage.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3" w:name="page234"/>
    <w:bookmarkEnd w:id="233"/>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Sterling</w:t>
      </w:r>
      <w:r>
        <w:rPr>
          <w:rFonts w:ascii="Arial" w:cs="Arial" w:eastAsia="Arial" w:hAnsi="Arial"/>
          <w:sz w:val="22"/>
          <w:szCs w:val="22"/>
          <w:color w:val="auto"/>
        </w:rPr>
        <w:t>” or “</w:t>
      </w:r>
      <w:r>
        <w:rPr>
          <w:rFonts w:ascii="Arial" w:cs="Arial" w:eastAsia="Arial" w:hAnsi="Arial"/>
          <w:sz w:val="22"/>
          <w:szCs w:val="22"/>
          <w:u w:val="single" w:color="auto"/>
          <w:color w:val="auto"/>
        </w:rPr>
        <w:t>£</w:t>
      </w:r>
      <w:r>
        <w:rPr>
          <w:rFonts w:ascii="Arial" w:cs="Arial" w:eastAsia="Arial" w:hAnsi="Arial"/>
          <w:sz w:val="22"/>
          <w:szCs w:val="22"/>
          <w:color w:val="auto"/>
        </w:rPr>
        <w:t>”means the lawful money of the United Kingdom.</w:t>
      </w:r>
    </w:p>
    <w:p>
      <w:pPr>
        <w:spacing w:after="0" w:line="23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subsidiary</w:t>
      </w:r>
      <w:r>
        <w:rPr>
          <w:rFonts w:ascii="Arial" w:cs="Arial" w:eastAsia="Arial" w:hAnsi="Arial"/>
          <w:sz w:val="21"/>
          <w:szCs w:val="21"/>
          <w:color w:val="auto"/>
        </w:rPr>
        <w:t>” means, with respect to any Person (the “</w:t>
      </w:r>
      <w:r>
        <w:rPr>
          <w:rFonts w:ascii="Arial" w:cs="Arial" w:eastAsia="Arial" w:hAnsi="Arial"/>
          <w:sz w:val="21"/>
          <w:szCs w:val="21"/>
          <w:u w:val="single" w:color="auto"/>
          <w:color w:val="auto"/>
        </w:rPr>
        <w:t>parent</w:t>
      </w:r>
      <w:r>
        <w:rPr>
          <w:rFonts w:ascii="Arial" w:cs="Arial" w:eastAsia="Arial" w:hAnsi="Arial"/>
          <w:sz w:val="21"/>
          <w:szCs w:val="21"/>
          <w:color w:val="auto"/>
        </w:rPr>
        <w:t>”) at any date, any corporation, limited liability company, partnership, association or other business entity of which a majority of the shares or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by such Person.</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means any subsidiary of the Company unless the context otherwise requires.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Supply Chain Bank Purchaser</w:t>
      </w:r>
      <w:r>
        <w:rPr>
          <w:rFonts w:ascii="Arial" w:cs="Arial" w:eastAsia="Arial" w:hAnsi="Arial"/>
          <w:sz w:val="19"/>
          <w:szCs w:val="19"/>
          <w:color w:val="auto"/>
        </w:rPr>
        <w:t>” means any subsequent purchaser of any trade payables that had been initially acquired by</w:t>
      </w:r>
    </w:p>
    <w:p>
      <w:pPr>
        <w:spacing w:after="0" w:line="43" w:lineRule="exact"/>
        <w:rPr>
          <w:sz w:val="20"/>
          <w:szCs w:val="20"/>
          <w:color w:val="auto"/>
        </w:rPr>
      </w:pPr>
    </w:p>
    <w:p>
      <w:pPr>
        <w:ind w:firstLine="8"/>
        <w:spacing w:after="0" w:line="308" w:lineRule="auto"/>
        <w:tabs>
          <w:tab w:leader="none" w:pos="231" w:val="left"/>
        </w:tabs>
        <w:numPr>
          <w:ilvl w:val="0"/>
          <w:numId w:val="141"/>
        </w:numPr>
        <w:rPr>
          <w:rFonts w:ascii="Arial" w:cs="Arial" w:eastAsia="Arial" w:hAnsi="Arial"/>
          <w:sz w:val="19"/>
          <w:szCs w:val="19"/>
          <w:color w:val="auto"/>
        </w:rPr>
      </w:pPr>
      <w:r>
        <w:rPr>
          <w:rFonts w:ascii="Arial" w:cs="Arial" w:eastAsia="Arial" w:hAnsi="Arial"/>
          <w:sz w:val="19"/>
          <w:szCs w:val="19"/>
          <w:color w:val="auto"/>
        </w:rPr>
        <w:t xml:space="preserve">Person that was a Secured Supply Chain Bank pursuant to clause (a) of the definition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subsequent purchaser is designated as such in writing delivered to the Administrative Agent in substantially the form of </w:t>
      </w:r>
      <w:r>
        <w:rPr>
          <w:rFonts w:ascii="Arial" w:cs="Arial" w:eastAsia="Arial" w:hAnsi="Arial"/>
          <w:sz w:val="19"/>
          <w:szCs w:val="19"/>
          <w:u w:val="single" w:color="auto"/>
          <w:color w:val="auto"/>
        </w:rPr>
        <w:t>Exhibit G</w:t>
      </w:r>
      <w:r>
        <w:rPr>
          <w:rFonts w:ascii="Arial" w:cs="Arial" w:eastAsia="Arial" w:hAnsi="Arial"/>
          <w:sz w:val="19"/>
          <w:szCs w:val="19"/>
          <w:color w:val="auto"/>
        </w:rPr>
        <w:t>.</w:t>
      </w:r>
    </w:p>
    <w:p>
      <w:pPr>
        <w:spacing w:after="0" w:line="15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Supply Chain Financing</w:t>
      </w:r>
      <w:r>
        <w:rPr>
          <w:rFonts w:ascii="Arial" w:cs="Arial" w:eastAsia="Arial" w:hAnsi="Arial"/>
          <w:sz w:val="21"/>
          <w:szCs w:val="21"/>
          <w:color w:val="auto"/>
        </w:rPr>
        <w:t>” means any agreement under which any bank, financial institution or other Person may from time to time provide any financial accommodation to any of the Borrowers or any Restricted Subsidiary in connection with trade payables of the Borrowers or any Restricted Subsidiary (including the acquisition of the receivables corresponding to such trade payables pursuant to “supply chain” or other similar financing, so long as (i) the terms of such trade payables shall not have been extended in connection with the Supply Chain Financing and (ii) such Indebtedness represents amounts not in excess of those which a Borrower or any Restricted Subsidiary would otherwise have been obligated to pay to its vendor or supplier in respect of the applicable trade payables.</w:t>
      </w:r>
    </w:p>
    <w:p>
      <w:pPr>
        <w:spacing w:after="0" w:line="211"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Swap Obligations</w:t>
      </w:r>
      <w:r>
        <w:rPr>
          <w:rFonts w:ascii="Arial" w:cs="Arial" w:eastAsia="Arial" w:hAnsi="Arial"/>
          <w:sz w:val="19"/>
          <w:szCs w:val="19"/>
          <w:color w:val="auto"/>
        </w:rPr>
        <w:t>” means, with respect to a Borrower or any Guarantor, an obligation to pay or perform under any agreement, contract or transaction that constitutes a “swap” within the meaning of § 1a(47) of the Commodity Exchange Act.</w:t>
      </w:r>
    </w:p>
    <w:p>
      <w:pPr>
        <w:spacing w:after="0" w:line="132" w:lineRule="exact"/>
        <w:rPr>
          <w:sz w:val="20"/>
          <w:szCs w:val="20"/>
          <w:color w:val="auto"/>
        </w:rPr>
      </w:pPr>
    </w:p>
    <w:p>
      <w:pPr>
        <w:jc w:val="both"/>
        <w:ind w:firstLine="702"/>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TARGET2</w:t>
      </w:r>
      <w:r>
        <w:rPr>
          <w:rFonts w:ascii="Arial" w:cs="Arial" w:eastAsia="Arial" w:hAnsi="Arial"/>
          <w:sz w:val="22"/>
          <w:szCs w:val="22"/>
          <w:color w:val="auto"/>
        </w:rPr>
        <w:t>” means the Trans-European Automated Real-time Gross Settlement Express Transfer payment system which utilizes a single shared platform and which was launched on November 19, 2007.</w:t>
      </w:r>
    </w:p>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TARGET Day</w:t>
      </w:r>
      <w:r>
        <w:rPr>
          <w:rFonts w:ascii="Arial" w:cs="Arial" w:eastAsia="Arial" w:hAnsi="Arial"/>
          <w:sz w:val="22"/>
          <w:szCs w:val="22"/>
          <w:color w:val="auto"/>
        </w:rPr>
        <w:t>” means any day on which TARGET2 (or, if such payment system ceases to be operative, such other payment system, if any, determined by the Administrative Agent to be a suitable replacement) is open for the settlement of payments in Euro.</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Taxes</w:t>
      </w:r>
      <w:r>
        <w:rPr>
          <w:rFonts w:ascii="Arial" w:cs="Arial" w:eastAsia="Arial" w:hAnsi="Arial"/>
          <w:sz w:val="22"/>
          <w:szCs w:val="22"/>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213"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Techdof Brasil</w:t>
      </w:r>
      <w:r>
        <w:rPr>
          <w:rFonts w:ascii="Arial" w:cs="Arial" w:eastAsia="Arial" w:hAnsi="Arial"/>
          <w:sz w:val="22"/>
          <w:szCs w:val="22"/>
          <w:color w:val="auto"/>
        </w:rPr>
        <w:t>” means Techdof Brasil AS, a Norwegian joint venture arrangement wholly owned by Dofcon Brasil, which holds the Vessels Skandi Açu and Skandi Buzios as of the Effective Date.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4" w:name="page235"/>
    <w:bookmarkEnd w:id="234"/>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Technip Energies</w:t>
      </w:r>
      <w:r>
        <w:rPr>
          <w:rFonts w:ascii="Arial" w:cs="Arial" w:eastAsia="Arial" w:hAnsi="Arial"/>
          <w:sz w:val="22"/>
          <w:szCs w:val="22"/>
          <w:color w:val="auto"/>
        </w:rPr>
        <w:t>” means Technip Energies N.V., a Dutch public limited company (</w:t>
      </w:r>
      <w:r>
        <w:rPr>
          <w:rFonts w:ascii="Arial" w:cs="Arial" w:eastAsia="Arial" w:hAnsi="Arial"/>
          <w:sz w:val="22"/>
          <w:szCs w:val="22"/>
          <w:i w:val="1"/>
          <w:iCs w:val="1"/>
          <w:color w:val="auto"/>
        </w:rPr>
        <w:t>naamloze vennootschap</w:t>
      </w:r>
      <w:r>
        <w:rPr>
          <w:rFonts w:ascii="Arial" w:cs="Arial" w:eastAsia="Arial" w:hAnsi="Arial"/>
          <w:sz w:val="22"/>
          <w:szCs w:val="22"/>
          <w:color w:val="auto"/>
        </w:rPr>
        <w:t>) and any successor Person.</w:t>
      </w:r>
    </w:p>
    <w:p>
      <w:pPr>
        <w:spacing w:after="0" w:line="200"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 ESTR</w:t>
      </w:r>
      <w:r>
        <w:rPr>
          <w:rFonts w:ascii="Arial" w:cs="Arial" w:eastAsia="Arial" w:hAnsi="Arial"/>
          <w:sz w:val="21"/>
          <w:szCs w:val="21"/>
          <w:color w:val="auto"/>
        </w:rPr>
        <w:t>” means, for the applicable Corresponding Tenor as of the applicable Reference Time, the forward-looking term rate based on ESTR that has been selected or recommended by the Relevant Governmental Body.</w:t>
      </w:r>
    </w:p>
    <w:p>
      <w:pPr>
        <w:spacing w:after="0" w:line="178"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ESTR Notice</w:t>
      </w:r>
      <w:r>
        <w:rPr>
          <w:rFonts w:ascii="Arial" w:cs="Arial" w:eastAsia="Arial" w:hAnsi="Arial"/>
          <w:sz w:val="22"/>
          <w:szCs w:val="22"/>
          <w:color w:val="auto"/>
        </w:rPr>
        <w:t>” means a notification by the Administrative Agent to the Lenders and the Borrower of the occurrence of a Term ESTR Transition Event.</w:t>
      </w:r>
    </w:p>
    <w:p>
      <w:pPr>
        <w:spacing w:after="0" w:line="2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 ESTR Transition Event</w:t>
      </w:r>
      <w:r>
        <w:rPr>
          <w:rFonts w:ascii="Arial" w:cs="Arial" w:eastAsia="Arial" w:hAnsi="Arial"/>
          <w:sz w:val="21"/>
          <w:szCs w:val="21"/>
          <w:color w:val="auto"/>
        </w:rPr>
        <w:t xml:space="preserve">” means the determination by the Administrative Agent that (a) Term ESTR has been recommended for use by the Relevant Governmental Body, (b) the administration of Term ESTR is administratively feasible for the Administrative Agent and (c) a Benchmark Transition Event or an Early Opt-in Election, as applicable, has previously occurred resulting in a Benchmark Replacement in accordance with </w:t>
      </w:r>
      <w:r>
        <w:rPr>
          <w:rFonts w:ascii="Arial" w:cs="Arial" w:eastAsia="Arial" w:hAnsi="Arial"/>
          <w:sz w:val="21"/>
          <w:szCs w:val="21"/>
          <w:u w:val="single" w:color="auto"/>
          <w:color w:val="auto"/>
        </w:rPr>
        <w:t>Section 2.14</w:t>
      </w:r>
      <w:r>
        <w:rPr>
          <w:rFonts w:ascii="Arial" w:cs="Arial" w:eastAsia="Arial" w:hAnsi="Arial"/>
          <w:sz w:val="21"/>
          <w:szCs w:val="21"/>
          <w:color w:val="auto"/>
        </w:rPr>
        <w:t xml:space="preserve"> that is not Term ESTR.</w:t>
      </w:r>
    </w:p>
    <w:p>
      <w:pPr>
        <w:spacing w:after="0" w:line="201"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 SOFR</w:t>
      </w:r>
      <w:r>
        <w:rPr>
          <w:rFonts w:ascii="Arial" w:cs="Arial" w:eastAsia="Arial" w:hAnsi="Arial"/>
          <w:sz w:val="21"/>
          <w:szCs w:val="21"/>
          <w:color w:val="auto"/>
        </w:rPr>
        <w:t>” means, for the applicable Corresponding Tenor as of the applicable Reference Time, the forward-looking term rate based on SOFR that has been selected or recommended by the Relevant Governmental Body.</w:t>
      </w:r>
    </w:p>
    <w:p>
      <w:pPr>
        <w:spacing w:after="0" w:line="178"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SOFR Notice</w:t>
      </w:r>
      <w:r>
        <w:rPr>
          <w:rFonts w:ascii="Arial" w:cs="Arial" w:eastAsia="Arial" w:hAnsi="Arial"/>
          <w:sz w:val="22"/>
          <w:szCs w:val="22"/>
          <w:color w:val="auto"/>
        </w:rPr>
        <w:t>” means a notification by the Administrative Agent to the Lenders and the Company of the occurrence of a Term SOFR Transition Event.</w:t>
      </w:r>
    </w:p>
    <w:p>
      <w:pPr>
        <w:spacing w:after="0" w:line="2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 SOFR Transition Event</w:t>
      </w:r>
      <w:r>
        <w:rPr>
          <w:rFonts w:ascii="Arial" w:cs="Arial" w:eastAsia="Arial" w:hAnsi="Arial"/>
          <w:sz w:val="21"/>
          <w:szCs w:val="21"/>
          <w:color w:val="auto"/>
        </w:rPr>
        <w:t xml:space="preserve">” means the determination by the Administrative Agent that (a) Term SOFR has been recommended for use by the Relevant Governmental Body, (b) the administration of Term SOFR is administratively feasible for the Administrative Agent and (c) a Benchmark Transition Event or an Early Opt-in Election, as applicable, has previously occurred resulting in a Benchmark Replacement in accordance with </w:t>
      </w:r>
      <w:r>
        <w:rPr>
          <w:rFonts w:ascii="Arial" w:cs="Arial" w:eastAsia="Arial" w:hAnsi="Arial"/>
          <w:sz w:val="21"/>
          <w:szCs w:val="21"/>
          <w:u w:val="single" w:color="auto"/>
          <w:color w:val="auto"/>
        </w:rPr>
        <w:t>Section 2.14</w:t>
      </w:r>
      <w:r>
        <w:rPr>
          <w:rFonts w:ascii="Arial" w:cs="Arial" w:eastAsia="Arial" w:hAnsi="Arial"/>
          <w:sz w:val="21"/>
          <w:szCs w:val="21"/>
          <w:color w:val="auto"/>
        </w:rPr>
        <w:t xml:space="preserve"> that is not Term SOFR.</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Total Commitments</w:t>
      </w:r>
      <w:r>
        <w:rPr>
          <w:rFonts w:ascii="Arial" w:cs="Arial" w:eastAsia="Arial" w:hAnsi="Arial"/>
          <w:sz w:val="21"/>
          <w:szCs w:val="21"/>
          <w:color w:val="auto"/>
        </w:rPr>
        <w:t>” means, at any time, the sum of the Commitments of all the Revolving Lenders at such time.</w:t>
      </w:r>
    </w:p>
    <w:p>
      <w:pPr>
        <w:spacing w:after="0" w:line="24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Total Leverage Ratio</w:t>
      </w:r>
      <w:r>
        <w:rPr>
          <w:rFonts w:ascii="Arial" w:cs="Arial" w:eastAsia="Arial" w:hAnsi="Arial"/>
          <w:sz w:val="21"/>
          <w:szCs w:val="21"/>
          <w:color w:val="auto"/>
        </w:rPr>
        <w:t>” means, as of the last day of any fiscal quarter, the ratio of (a) Consolidated Net Debt as of such date to (b) Consolidated EBITDA for the four consecutive fiscal quarters of the Company ended on such date.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Revolving Exposure</w:t>
      </w:r>
      <w:r>
        <w:rPr>
          <w:rFonts w:ascii="Arial" w:cs="Arial" w:eastAsia="Arial" w:hAnsi="Arial"/>
          <w:sz w:val="19"/>
          <w:szCs w:val="19"/>
          <w:color w:val="auto"/>
        </w:rPr>
        <w:t>” means, at any time, the sum of the Revolving Exposures of all the Revolving Lenders at such</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time.</w:t>
      </w:r>
    </w:p>
    <w:p>
      <w:pPr>
        <w:spacing w:after="0" w:line="2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 Costs</w:t>
      </w:r>
      <w:r>
        <w:rPr>
          <w:rFonts w:ascii="Arial" w:cs="Arial" w:eastAsia="Arial" w:hAnsi="Arial"/>
          <w:sz w:val="22"/>
          <w:szCs w:val="22"/>
          <w:color w:val="auto"/>
        </w:rPr>
        <w:t>” means all fees, costs and expenses incurred or payable by the Company or any Subsidiary in connection with the Transactions.</w:t>
      </w:r>
    </w:p>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Transactions</w:t>
      </w:r>
      <w:r>
        <w:rPr>
          <w:rFonts w:ascii="Arial" w:cs="Arial" w:eastAsia="Arial" w:hAnsi="Arial"/>
          <w:sz w:val="19"/>
          <w:szCs w:val="19"/>
          <w:color w:val="auto"/>
        </w:rPr>
        <w:t>” means, collectively, (a) the execution, delivery and performance by each Loan Party of the Loan Documents (including this Agreement) to which it is to be a party, the borrowing of Loans, the use of the proceeds thereof and the issuance of Letters of Credit hereunder, (b) the execution, delivery and performance by each Loan Party of the Senior Unsecured Notes Documents to which it is to be a party, the issuance of the Senior Unsecured Notes and the use of the proceeds thereof (including, together with cash on hand, to satisfy and discharge, refinance, repay, redeem and/or cancel the Effective Date Refinanced Debt), (c) the payment of the Transaction Costs and (d) the Spinoff Transactions.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5" w:name="page236"/>
    <w:bookmarkEnd w:id="235"/>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Type</w:t>
      </w:r>
      <w:r>
        <w:rPr>
          <w:rFonts w:ascii="Arial" w:cs="Arial" w:eastAsia="Arial" w:hAnsi="Arial"/>
          <w:sz w:val="22"/>
          <w:szCs w:val="22"/>
          <w:color w:val="auto"/>
        </w:rPr>
        <w:t>,” when used in reference to any Loan or Borrowing, refers to whether the rate of interest on such Loan, or on the Loans comprising such Borrowing, is determined by reference to the Adjusted LIBO Rate, the Adjusted EURIBOR Rate or the Alternate Base Rate.</w:t>
      </w:r>
    </w:p>
    <w:p>
      <w:pPr>
        <w:spacing w:after="0" w:line="21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UCP</w:t>
      </w:r>
      <w:r>
        <w:rPr>
          <w:rFonts w:ascii="Arial" w:cs="Arial" w:eastAsia="Arial" w:hAnsi="Arial"/>
          <w:sz w:val="22"/>
          <w:szCs w:val="22"/>
          <w:color w:val="auto"/>
        </w:rPr>
        <w:t>” means the Uniform Customs and Practice for Documentary Credits, International Chamber of Commerce (“</w:t>
      </w:r>
      <w:r>
        <w:rPr>
          <w:rFonts w:ascii="Arial" w:cs="Arial" w:eastAsia="Arial" w:hAnsi="Arial"/>
          <w:sz w:val="22"/>
          <w:szCs w:val="22"/>
          <w:u w:val="single" w:color="auto"/>
          <w:color w:val="auto"/>
        </w:rPr>
        <w:t>ICC</w:t>
      </w:r>
      <w:r>
        <w:rPr>
          <w:rFonts w:ascii="Arial" w:cs="Arial" w:eastAsia="Arial" w:hAnsi="Arial"/>
          <w:sz w:val="22"/>
          <w:szCs w:val="22"/>
          <w:color w:val="auto"/>
        </w:rPr>
        <w:t>”) Publication No. 600 (or such later version thereof as may be in effect at the time of issuance).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w:t>
      </w:r>
      <w:r>
        <w:rPr>
          <w:rFonts w:ascii="Arial" w:cs="Arial" w:eastAsia="Arial" w:hAnsi="Arial"/>
          <w:sz w:val="22"/>
          <w:szCs w:val="22"/>
          <w:color w:val="auto"/>
        </w:rPr>
        <w:t>” or “</w:t>
      </w:r>
      <w:r>
        <w:rPr>
          <w:rFonts w:ascii="Arial" w:cs="Arial" w:eastAsia="Arial" w:hAnsi="Arial"/>
          <w:sz w:val="22"/>
          <w:szCs w:val="22"/>
          <w:u w:val="single" w:color="auto"/>
          <w:color w:val="auto"/>
        </w:rPr>
        <w:t>United Kingdom</w:t>
      </w:r>
      <w:r>
        <w:rPr>
          <w:rFonts w:ascii="Arial" w:cs="Arial" w:eastAsia="Arial" w:hAnsi="Arial"/>
          <w:sz w:val="22"/>
          <w:szCs w:val="22"/>
          <w:color w:val="auto"/>
        </w:rPr>
        <w:t>” means the United Kingdom of Great Britain and Northern Ireland.</w:t>
      </w:r>
    </w:p>
    <w:p>
      <w:pPr>
        <w:spacing w:after="0" w:line="233"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Borrower</w:t>
      </w:r>
      <w:r>
        <w:rPr>
          <w:rFonts w:ascii="Arial" w:cs="Arial" w:eastAsia="Arial" w:hAnsi="Arial"/>
          <w:sz w:val="22"/>
          <w:szCs w:val="22"/>
          <w:color w:val="auto"/>
        </w:rPr>
        <w:t>” means any Borrower (i) that is incorporated or existing under the laws of England and Wales or (ii) payments from which under this Agreement or any other Loan Document are subject to UK Withholding Tax.</w:t>
      </w:r>
    </w:p>
    <w:p>
      <w:pPr>
        <w:spacing w:after="0" w:line="20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Financial Institution</w:t>
      </w:r>
      <w:r>
        <w:rPr>
          <w:rFonts w:ascii="Arial" w:cs="Arial" w:eastAsia="Arial" w:hAnsi="Arial"/>
          <w:sz w:val="22"/>
          <w:szCs w:val="22"/>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21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Insolvency Act</w:t>
      </w:r>
      <w:r>
        <w:rPr>
          <w:rFonts w:ascii="Arial" w:cs="Arial" w:eastAsia="Arial" w:hAnsi="Arial"/>
          <w:sz w:val="22"/>
          <w:szCs w:val="22"/>
          <w:color w:val="auto"/>
        </w:rPr>
        <w:t>” means the Insolvency Act 1986 enacted in the United Kingdom, as such act may be amended, varied, supplemented or replaced from time to time.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Insolvency Event</w:t>
      </w:r>
      <w:r>
        <w:rPr>
          <w:rFonts w:ascii="Arial" w:cs="Arial" w:eastAsia="Arial" w:hAnsi="Arial"/>
          <w:sz w:val="22"/>
          <w:szCs w:val="22"/>
          <w:color w:val="auto"/>
        </w:rPr>
        <w:t>” means:</w:t>
      </w:r>
    </w:p>
    <w:p>
      <w:pPr>
        <w:spacing w:after="0" w:line="233" w:lineRule="exact"/>
        <w:rPr>
          <w:sz w:val="20"/>
          <w:szCs w:val="20"/>
          <w:color w:val="auto"/>
        </w:rPr>
      </w:pPr>
    </w:p>
    <w:p>
      <w:pPr>
        <w:jc w:val="both"/>
        <w:ind w:firstLine="656"/>
        <w:spacing w:after="0" w:line="297" w:lineRule="auto"/>
        <w:tabs>
          <w:tab w:leader="none" w:pos="1390" w:val="left"/>
        </w:tabs>
        <w:numPr>
          <w:ilvl w:val="0"/>
          <w:numId w:val="142"/>
        </w:numPr>
        <w:rPr>
          <w:rFonts w:ascii="Arial" w:cs="Arial" w:eastAsia="Arial" w:hAnsi="Arial"/>
          <w:sz w:val="19"/>
          <w:szCs w:val="19"/>
          <w:color w:val="auto"/>
        </w:rPr>
      </w:pPr>
      <w:r>
        <w:rPr>
          <w:rFonts w:ascii="Arial" w:cs="Arial" w:eastAsia="Arial" w:hAnsi="Arial"/>
          <w:sz w:val="19"/>
          <w:szCs w:val="19"/>
          <w:color w:val="auto"/>
        </w:rPr>
        <w:t>a UK Relevant Entity is unable or admits inability to pay its debts as they fall due, suspends making payments on any of its material debts or, by reason of actual or anticipated financial difficulties, commences negotiations with one or more class of creditors (other than pursuant to the Loan Documents) with a view to rescheduling any of its Material Indebtedness;</w:t>
      </w:r>
    </w:p>
    <w:p>
      <w:pPr>
        <w:spacing w:after="0" w:line="160" w:lineRule="exact"/>
        <w:rPr>
          <w:rFonts w:ascii="Arial" w:cs="Arial" w:eastAsia="Arial" w:hAnsi="Arial"/>
          <w:sz w:val="19"/>
          <w:szCs w:val="19"/>
          <w:color w:val="auto"/>
        </w:rPr>
      </w:pPr>
    </w:p>
    <w:p>
      <w:pPr>
        <w:ind w:left="1440" w:hanging="784"/>
        <w:spacing w:after="0"/>
        <w:tabs>
          <w:tab w:leader="none" w:pos="144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any corporate action, legal proceedings or other formal legal procedure or step is taken in relation to:</w:t>
      </w:r>
    </w:p>
    <w:p>
      <w:pPr>
        <w:spacing w:after="0" w:line="233" w:lineRule="exact"/>
        <w:rPr>
          <w:rFonts w:ascii="Arial" w:cs="Arial" w:eastAsia="Arial" w:hAnsi="Arial"/>
          <w:sz w:val="22"/>
          <w:szCs w:val="22"/>
          <w:color w:val="auto"/>
        </w:rPr>
      </w:pPr>
    </w:p>
    <w:p>
      <w:pPr>
        <w:jc w:val="both"/>
        <w:ind w:left="660" w:firstLine="644"/>
        <w:spacing w:after="0"/>
        <w:tabs>
          <w:tab w:leader="none" w:pos="2329" w:val="left"/>
        </w:tabs>
        <w:numPr>
          <w:ilvl w:val="1"/>
          <w:numId w:val="142"/>
        </w:numPr>
        <w:rPr>
          <w:rFonts w:ascii="Arial" w:cs="Arial" w:eastAsia="Arial" w:hAnsi="Arial"/>
          <w:sz w:val="22"/>
          <w:szCs w:val="22"/>
          <w:color w:val="auto"/>
        </w:rPr>
      </w:pPr>
      <w:r>
        <w:rPr>
          <w:rFonts w:ascii="Arial" w:cs="Arial" w:eastAsia="Arial" w:hAnsi="Arial"/>
          <w:sz w:val="22"/>
          <w:szCs w:val="22"/>
          <w:color w:val="auto"/>
        </w:rPr>
        <w:t>the suspension of payments of its debts generally, a moratorium of any indebtedness, winding-up, liquidation, dissolution, administration or reorganization (by way of voluntary arrangement, scheme of arrangement, restructuring plan or otherwise) of any UK Relevant Entity;</w:t>
      </w:r>
    </w:p>
    <w:p>
      <w:pPr>
        <w:spacing w:after="0" w:line="213" w:lineRule="exact"/>
        <w:rPr>
          <w:rFonts w:ascii="Arial" w:cs="Arial" w:eastAsia="Arial" w:hAnsi="Arial"/>
          <w:sz w:val="22"/>
          <w:szCs w:val="22"/>
          <w:color w:val="auto"/>
        </w:rPr>
      </w:pPr>
    </w:p>
    <w:p>
      <w:pPr>
        <w:jc w:val="both"/>
        <w:ind w:left="660" w:firstLine="644"/>
        <w:spacing w:after="0"/>
        <w:tabs>
          <w:tab w:leader="none" w:pos="2318" w:val="left"/>
        </w:tabs>
        <w:numPr>
          <w:ilvl w:val="1"/>
          <w:numId w:val="142"/>
        </w:numPr>
        <w:rPr>
          <w:rFonts w:ascii="Arial" w:cs="Arial" w:eastAsia="Arial" w:hAnsi="Arial"/>
          <w:sz w:val="22"/>
          <w:szCs w:val="22"/>
          <w:color w:val="auto"/>
        </w:rPr>
      </w:pPr>
      <w:r>
        <w:rPr>
          <w:rFonts w:ascii="Arial" w:cs="Arial" w:eastAsia="Arial" w:hAnsi="Arial"/>
          <w:sz w:val="22"/>
          <w:szCs w:val="22"/>
          <w:color w:val="auto"/>
        </w:rPr>
        <w:t>(by reason of actual or anticipated financial difficulties) a composition, compromise, assignment or arrangement with any class of creditors of any UK Relevant Entity (excluding any Secured Party in its capacity as such with respect to any Obligations);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6" w:name="page237"/>
    <w:bookmarkEnd w:id="236"/>
    <w:p>
      <w:pPr>
        <w:ind w:left="660" w:firstLine="644"/>
        <w:spacing w:after="0" w:line="274" w:lineRule="auto"/>
        <w:tabs>
          <w:tab w:leader="none" w:pos="2099" w:val="left"/>
        </w:tabs>
        <w:numPr>
          <w:ilvl w:val="1"/>
          <w:numId w:val="143"/>
        </w:numPr>
        <w:rPr>
          <w:rFonts w:ascii="Arial" w:cs="Arial" w:eastAsia="Arial" w:hAnsi="Arial"/>
          <w:sz w:val="21"/>
          <w:szCs w:val="21"/>
          <w:color w:val="auto"/>
        </w:rPr>
      </w:pPr>
      <w:r>
        <w:rPr>
          <w:rFonts w:ascii="Arial" w:cs="Arial" w:eastAsia="Arial" w:hAnsi="Arial"/>
          <w:sz w:val="21"/>
          <w:szCs w:val="21"/>
          <w:color w:val="auto"/>
        </w:rPr>
        <w:t>the appointment of a liquidator, receiver, administrative receiver, administrator, compulsory manager, or other similar officer in respect of any UK Relevant Entity, or all or substantially all of its assets; or</w:t>
      </w:r>
    </w:p>
    <w:p>
      <w:pPr>
        <w:spacing w:after="0" w:line="178" w:lineRule="exact"/>
        <w:rPr>
          <w:rFonts w:ascii="Arial" w:cs="Arial" w:eastAsia="Arial" w:hAnsi="Arial"/>
          <w:sz w:val="21"/>
          <w:szCs w:val="21"/>
          <w:color w:val="auto"/>
        </w:rPr>
      </w:pPr>
    </w:p>
    <w:p>
      <w:pPr>
        <w:jc w:val="both"/>
        <w:ind w:left="660" w:firstLine="644"/>
        <w:spacing w:after="0" w:line="245" w:lineRule="auto"/>
        <w:tabs>
          <w:tab w:leader="none" w:pos="2145" w:val="left"/>
        </w:tabs>
        <w:numPr>
          <w:ilvl w:val="1"/>
          <w:numId w:val="143"/>
        </w:numPr>
        <w:rPr>
          <w:rFonts w:ascii="Arial" w:cs="Arial" w:eastAsia="Arial" w:hAnsi="Arial"/>
          <w:sz w:val="21"/>
          <w:szCs w:val="21"/>
          <w:color w:val="auto"/>
        </w:rPr>
      </w:pPr>
      <w:r>
        <w:rPr>
          <w:rFonts w:ascii="Arial" w:cs="Arial" w:eastAsia="Arial" w:hAnsi="Arial"/>
          <w:sz w:val="21"/>
          <w:szCs w:val="21"/>
          <w:color w:val="auto"/>
        </w:rPr>
        <w:t>enforcement of any Lien over any material asset of any UK Relevant Entity, or any analogous procedure or step is taken in any jurisdiction, save that this clause (b) shall not apply to (1) any involuntary proceeding or procedure that is discharged, permanently stayed or dismissed within 21 days of commencement, or (2) any solvent liquidation or reorganization of any Restricted Subsidiary incorporated under the laws of England and Wales so long as any payments or assets distributed as a result of such liquidation or reorganization are distributed to the Company or other Restricted Subsidiaries; provided that, in the case of any such Restricted Subsidiary being liquidated or reorganized (x) that is a wholly-owned Restricted Subsidiary, such distribution is to one or more Loan Parties or wholly-owned Restricted Subsidiaries or (y) the Equity Interests of which were directly owned by one or more Loan Parties, such distribution is to one or more Loan Parties;</w:t>
      </w:r>
    </w:p>
    <w:p>
      <w:pPr>
        <w:spacing w:after="0" w:line="211" w:lineRule="exact"/>
        <w:rPr>
          <w:rFonts w:ascii="Arial" w:cs="Arial" w:eastAsia="Arial" w:hAnsi="Arial"/>
          <w:sz w:val="21"/>
          <w:szCs w:val="21"/>
          <w:color w:val="auto"/>
        </w:rPr>
      </w:pPr>
    </w:p>
    <w:p>
      <w:pPr>
        <w:jc w:val="both"/>
        <w:ind w:firstLine="656"/>
        <w:spacing w:after="0"/>
        <w:tabs>
          <w:tab w:leader="none" w:pos="149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any expropriation, attachment, sequestration, distress or execution affects any asset or assets of a UK Relevant Entity, except where (i) such action has not had, and would not reasonably be expected to have, a Material Adverse Effect, or (ii) such action is discharged within 21 days;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transaction permitted by Section 6.03 shall constitute a UK Insolvency Event.</w:t>
      </w:r>
    </w:p>
    <w:p>
      <w:pPr>
        <w:spacing w:after="0" w:line="233"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Loan Party</w:t>
      </w:r>
      <w:r>
        <w:rPr>
          <w:rFonts w:ascii="Arial" w:cs="Arial" w:eastAsia="Arial" w:hAnsi="Arial"/>
          <w:sz w:val="22"/>
          <w:szCs w:val="22"/>
          <w:color w:val="auto"/>
        </w:rPr>
        <w:t>” means the Company and any other Loan Party or Loan Parties incorporated or existing under the laws of England and Wales.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Non-Bank Lender</w:t>
      </w:r>
      <w:r>
        <w:rPr>
          <w:rFonts w:ascii="Arial" w:cs="Arial" w:eastAsia="Arial" w:hAnsi="Arial"/>
          <w:sz w:val="22"/>
          <w:szCs w:val="22"/>
          <w:color w:val="auto"/>
        </w:rPr>
        <w:t>” means a Lender which is:</w:t>
      </w:r>
    </w:p>
    <w:p>
      <w:pPr>
        <w:spacing w:after="0" w:line="233" w:lineRule="exact"/>
        <w:rPr>
          <w:sz w:val="20"/>
          <w:szCs w:val="20"/>
          <w:color w:val="auto"/>
        </w:rPr>
      </w:pPr>
    </w:p>
    <w:p>
      <w:pPr>
        <w:ind w:left="1440" w:hanging="784"/>
        <w:spacing w:after="0"/>
        <w:tabs>
          <w:tab w:leader="none" w:pos="1440" w:val="left"/>
        </w:tabs>
        <w:numPr>
          <w:ilvl w:val="0"/>
          <w:numId w:val="145"/>
        </w:numPr>
        <w:rPr>
          <w:rFonts w:ascii="Arial" w:cs="Arial" w:eastAsia="Arial" w:hAnsi="Arial"/>
          <w:sz w:val="22"/>
          <w:szCs w:val="22"/>
          <w:color w:val="auto"/>
        </w:rPr>
      </w:pPr>
      <w:r>
        <w:rPr>
          <w:rFonts w:ascii="Arial" w:cs="Arial" w:eastAsia="Arial" w:hAnsi="Arial"/>
          <w:sz w:val="22"/>
          <w:szCs w:val="22"/>
          <w:color w:val="auto"/>
        </w:rPr>
        <w:t>a company resident in the United Kingdom for United Kingdom tax purposes;</w:t>
      </w:r>
    </w:p>
    <w:p>
      <w:pPr>
        <w:spacing w:after="0" w:line="233" w:lineRule="exact"/>
        <w:rPr>
          <w:rFonts w:ascii="Arial" w:cs="Arial" w:eastAsia="Arial" w:hAnsi="Arial"/>
          <w:sz w:val="22"/>
          <w:szCs w:val="22"/>
          <w:color w:val="auto"/>
        </w:rPr>
      </w:pPr>
    </w:p>
    <w:p>
      <w:pPr>
        <w:jc w:val="both"/>
        <w:ind w:firstLine="656"/>
        <w:spacing w:after="0" w:line="252" w:lineRule="auto"/>
        <w:tabs>
          <w:tab w:leader="none" w:pos="1476" w:val="left"/>
        </w:tabs>
        <w:numPr>
          <w:ilvl w:val="0"/>
          <w:numId w:val="145"/>
        </w:numPr>
        <w:rPr>
          <w:rFonts w:ascii="Arial" w:cs="Arial" w:eastAsia="Arial" w:hAnsi="Arial"/>
          <w:sz w:val="21"/>
          <w:szCs w:val="21"/>
          <w:color w:val="auto"/>
        </w:rPr>
      </w:pPr>
      <w:r>
        <w:rPr>
          <w:rFonts w:ascii="Arial" w:cs="Arial" w:eastAsia="Arial" w:hAnsi="Arial"/>
          <w:sz w:val="21"/>
          <w:szCs w:val="21"/>
          <w:color w:val="auto"/>
        </w:rPr>
        <w:t>a partnership each member of which is (x) a company resident in the United Kingdom for United Kingdom tax purposes, or (y) a company not so resident which carries on a trade in the United Kingdom through a permanent establishment and which brings into account in computing its chargeable profits (within the meaning of Section 19 of the CTA) the whole of any share of such interest that is attributable to it because of Part 17 of the CTA; or</w:t>
      </w:r>
    </w:p>
    <w:p>
      <w:pPr>
        <w:spacing w:after="0" w:line="200" w:lineRule="exact"/>
        <w:rPr>
          <w:rFonts w:ascii="Arial" w:cs="Arial" w:eastAsia="Arial" w:hAnsi="Arial"/>
          <w:sz w:val="21"/>
          <w:szCs w:val="21"/>
          <w:color w:val="auto"/>
        </w:rPr>
      </w:pPr>
    </w:p>
    <w:p>
      <w:pPr>
        <w:jc w:val="both"/>
        <w:ind w:firstLine="656"/>
        <w:spacing w:after="0"/>
        <w:tabs>
          <w:tab w:leader="none" w:pos="1430" w:val="left"/>
        </w:tabs>
        <w:numPr>
          <w:ilvl w:val="0"/>
          <w:numId w:val="145"/>
        </w:numPr>
        <w:rPr>
          <w:rFonts w:ascii="Arial" w:cs="Arial" w:eastAsia="Arial" w:hAnsi="Arial"/>
          <w:sz w:val="22"/>
          <w:szCs w:val="22"/>
          <w:color w:val="auto"/>
        </w:rPr>
      </w:pPr>
      <w:r>
        <w:rPr>
          <w:rFonts w:ascii="Arial" w:cs="Arial" w:eastAsia="Arial" w:hAnsi="Arial"/>
          <w:sz w:val="22"/>
          <w:szCs w:val="22"/>
          <w:color w:val="auto"/>
        </w:rPr>
        <w:t>a company not resident in the United Kingdom for United Kingdom tax purposes which carries on a trade in the United Kingdom through a permanent establishment and which brings into account such interest in computing the chargeable profits (within the meaning of Section 19 of the CTA) of that company.</w:t>
      </w:r>
    </w:p>
    <w:p>
      <w:pPr>
        <w:spacing w:after="0" w:line="213" w:lineRule="exact"/>
        <w:rPr>
          <w:sz w:val="20"/>
          <w:szCs w:val="20"/>
          <w:color w:val="auto"/>
        </w:rPr>
      </w:pPr>
    </w:p>
    <w:p>
      <w:pPr>
        <w:ind w:right="2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UK Relevant Entity</w:t>
      </w:r>
      <w:r>
        <w:rPr>
          <w:rFonts w:ascii="Arial" w:cs="Arial" w:eastAsia="Arial" w:hAnsi="Arial"/>
          <w:sz w:val="21"/>
          <w:szCs w:val="21"/>
          <w:color w:val="auto"/>
        </w:rPr>
        <w:t>” means any UK Loan Party or any other Loan Party or Material Subsidiary capable of becoming subject to an order for winding-up or administration under the Insolvency Act 1986 of the United Kingdom.</w:t>
      </w:r>
    </w:p>
    <w:p>
      <w:pPr>
        <w:spacing w:after="0" w:line="178"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Resolution Authority</w:t>
      </w:r>
      <w:r>
        <w:rPr>
          <w:rFonts w:ascii="Arial" w:cs="Arial" w:eastAsia="Arial" w:hAnsi="Arial"/>
          <w:sz w:val="22"/>
          <w:szCs w:val="22"/>
          <w:color w:val="auto"/>
        </w:rPr>
        <w:t>” means the Bank of England or any other public administrative authority having responsibility for the resolution of any UK Financial Institution.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7" w:name="page238"/>
    <w:bookmarkEnd w:id="237"/>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Tax Confirmation</w:t>
      </w:r>
      <w:r>
        <w:rPr>
          <w:rFonts w:ascii="Arial" w:cs="Arial" w:eastAsia="Arial" w:hAnsi="Arial"/>
          <w:sz w:val="22"/>
          <w:szCs w:val="22"/>
          <w:color w:val="auto"/>
        </w:rPr>
        <w:t>” means a confirmation by a Lender that the person beneficially entitled to interest payable to that Lender is a UK Non-Bank Lender.</w:t>
      </w:r>
    </w:p>
    <w:p>
      <w:pPr>
        <w:spacing w:after="0" w:line="20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UK Treaty Lender</w:t>
      </w:r>
      <w:r>
        <w:rPr>
          <w:rFonts w:ascii="Arial" w:cs="Arial" w:eastAsia="Arial" w:hAnsi="Arial"/>
          <w:sz w:val="19"/>
          <w:szCs w:val="19"/>
          <w:color w:val="auto"/>
        </w:rPr>
        <w:t>” means a Lender which (i) is treated as a resident of a UK Treaty State for the purposes of the relevant UK Treaty; (ii) does not carry on a business in the UK through a permanent establishment with which that Lender’s participation in the Loan is effectively connected; and (iii) fulfils any conditions in the relevant UK Treaty which must be fulfilled or met by that Lender to obtain full exemption from UK Withholding Tax on interest payable to that Lender in respect of an advance under a Loan Document, subject to the completion of any necessary procedural formalities.</w:t>
      </w:r>
    </w:p>
    <w:p>
      <w:pPr>
        <w:spacing w:after="0" w:line="174"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Treaty State</w:t>
      </w:r>
      <w:r>
        <w:rPr>
          <w:rFonts w:ascii="Arial" w:cs="Arial" w:eastAsia="Arial" w:hAnsi="Arial"/>
          <w:sz w:val="22"/>
          <w:szCs w:val="22"/>
          <w:color w:val="auto"/>
        </w:rPr>
        <w:t>” means a jurisdiction having a double taxation agreement (a “UK Treaty”) with the UK which makes provision for full exemption from tax imposed by the UK on interest.</w:t>
      </w:r>
    </w:p>
    <w:p>
      <w:pPr>
        <w:spacing w:after="0" w:line="202"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u w:val="single" w:color="auto"/>
          <w:color w:val="auto"/>
        </w:rPr>
        <w:t>“UK Withholding Tax”</w:t>
      </w:r>
      <w:r>
        <w:rPr>
          <w:rFonts w:ascii="Arial" w:cs="Arial" w:eastAsia="Arial" w:hAnsi="Arial"/>
          <w:sz w:val="22"/>
          <w:szCs w:val="22"/>
          <w:color w:val="auto"/>
        </w:rPr>
        <w:t xml:space="preserve"> means a deduction or withholding for or on account of Tax imposed by the UK from a payment under a Loan Document.</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Unadjusted Benchmark Replacement</w:t>
      </w:r>
      <w:r>
        <w:rPr>
          <w:rFonts w:ascii="Arial" w:cs="Arial" w:eastAsia="Arial" w:hAnsi="Arial"/>
          <w:sz w:val="22"/>
          <w:szCs w:val="22"/>
          <w:color w:val="auto"/>
        </w:rPr>
        <w:t>” means the applicable Benchmark Replacement excluding the related Benchmark Replacement Adjustment.</w:t>
      </w:r>
    </w:p>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Uniform Commercial Code</w:t>
      </w:r>
      <w:r>
        <w:rPr>
          <w:rFonts w:ascii="Arial" w:cs="Arial" w:eastAsia="Arial" w:hAnsi="Arial"/>
          <w:sz w:val="19"/>
          <w:szCs w:val="19"/>
          <w:color w:val="auto"/>
        </w:rPr>
        <w:t xml:space="preserve">” means the Uniform Commercial Code as in effect from time to time in the State of New York;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at any time, if by reason of mandatory provisions of law, any or all of the perfection or priority of the Administrative Agent’s and the Secured Parties’ security interest in any item or portion of the Collateral is governed by the Uniform Commercial Code as in effect in a jurisdiction other than the State of New York, the term ”Uniform Commercial Code” shall mean the Uniform Commercial Code as in effect, at such time, in such other jurisdiction for purposes of the provisions hereof relating to such perfection or priority and for purposes of definitions relating to such provisions.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w:t>
      </w:r>
      <w:r>
        <w:rPr>
          <w:rFonts w:ascii="Arial" w:cs="Arial" w:eastAsia="Arial" w:hAnsi="Arial"/>
          <w:sz w:val="22"/>
          <w:szCs w:val="22"/>
          <w:color w:val="auto"/>
        </w:rPr>
        <w:t>.” means the United States of America.</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Borrower</w:t>
      </w:r>
      <w:r>
        <w:rPr>
          <w:rFonts w:ascii="Arial" w:cs="Arial" w:eastAsia="Arial" w:hAnsi="Arial"/>
          <w:sz w:val="22"/>
          <w:szCs w:val="22"/>
          <w:color w:val="auto"/>
        </w:rPr>
        <w:t>” has the meaning assigned to it in the preamble hereto.</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Person</w:t>
      </w:r>
      <w:r>
        <w:rPr>
          <w:rFonts w:ascii="Arial" w:cs="Arial" w:eastAsia="Arial" w:hAnsi="Arial"/>
          <w:sz w:val="22"/>
          <w:szCs w:val="22"/>
          <w:color w:val="auto"/>
        </w:rPr>
        <w:t>” means a “United States person” within the meaning of Section 7701(a)(30) of the Code.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Tax Compliance Certificate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2.17(e)(ii)(B)(3)</w:t>
      </w:r>
      <w:r>
        <w:rPr>
          <w:rFonts w:ascii="Arial" w:cs="Arial" w:eastAsia="Arial" w:hAnsi="Arial"/>
          <w:sz w:val="22"/>
          <w:szCs w:val="22"/>
          <w:color w:val="auto"/>
        </w:rPr>
        <w: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8" w:name="page239"/>
    <w:bookmarkEnd w:id="238"/>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Unrestricted Subsidiaries</w:t>
      </w:r>
      <w:r>
        <w:rPr>
          <w:rFonts w:ascii="Arial" w:cs="Arial" w:eastAsia="Arial" w:hAnsi="Arial"/>
          <w:sz w:val="19"/>
          <w:szCs w:val="19"/>
          <w:color w:val="auto"/>
        </w:rPr>
        <w:t xml:space="preserve">” means (a) any Subsidiary that is formed or acquired after the Effective Date and is designated as an Unrestricted Subsidiary by the Company pursuant to </w:t>
      </w:r>
      <w:r>
        <w:rPr>
          <w:rFonts w:ascii="Arial" w:cs="Arial" w:eastAsia="Arial" w:hAnsi="Arial"/>
          <w:sz w:val="19"/>
          <w:szCs w:val="19"/>
          <w:u w:val="single" w:color="auto"/>
          <w:color w:val="auto"/>
        </w:rPr>
        <w:t>Section 5.16</w:t>
      </w:r>
      <w:r>
        <w:rPr>
          <w:rFonts w:ascii="Arial" w:cs="Arial" w:eastAsia="Arial" w:hAnsi="Arial"/>
          <w:sz w:val="19"/>
          <w:szCs w:val="19"/>
          <w:color w:val="auto"/>
        </w:rPr>
        <w:t xml:space="preserve"> subsequent to the Effective Date and (b) any Subsidiary of an Unrestricted Subsidiary. As of the Effective Date, The Red Adair Company LLC shall be an Unrestricted Subsidiary.</w:t>
      </w:r>
    </w:p>
    <w:p>
      <w:pPr>
        <w:spacing w:after="0" w:line="16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Unrestricted Subsidiary Reconciliation Statement</w:t>
      </w:r>
      <w:r>
        <w:rPr>
          <w:rFonts w:ascii="Arial" w:cs="Arial" w:eastAsia="Arial" w:hAnsi="Arial"/>
          <w:sz w:val="19"/>
          <w:szCs w:val="19"/>
          <w:color w:val="auto"/>
        </w:rPr>
        <w:t>” means, with respect to any consolidated balance sheet or statement of operations, cash flows or stockholders’ equity of the Company and its consolidated Subsidiaries, such financial statement (in substantially the same form) prepared on the basis of consolidating the accounts of the Company and the Restricted Subsidiaries and treating Unrestricted Subsidiaries as if they were not consolidated and otherwise eliminating all accounts of Unrestricted Subsidiaries, together with an explanation of reconciliation adjustments in reasonable detail.</w:t>
      </w:r>
    </w:p>
    <w:p>
      <w:pPr>
        <w:spacing w:after="0" w:line="17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USA PATRIOT Act</w:t>
      </w:r>
      <w:r>
        <w:rPr>
          <w:rFonts w:ascii="Arial" w:cs="Arial" w:eastAsia="Arial" w:hAnsi="Arial"/>
          <w:sz w:val="22"/>
          <w:szCs w:val="22"/>
          <w:color w:val="auto"/>
        </w:rPr>
        <w:t>” means the Uniting and Strengthening America by Providing Appropriate Tools Required to Intercept and Obstruct Terrorism Act of 2001.</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VAT</w:t>
      </w:r>
      <w:r>
        <w:rPr>
          <w:rFonts w:ascii="Arial" w:cs="Arial" w:eastAsia="Arial" w:hAnsi="Arial"/>
          <w:sz w:val="22"/>
          <w:szCs w:val="22"/>
          <w:color w:val="auto"/>
        </w:rPr>
        <w:t>” means:</w:t>
      </w:r>
    </w:p>
    <w:p>
      <w:pPr>
        <w:spacing w:after="0" w:line="233" w:lineRule="exact"/>
        <w:rPr>
          <w:sz w:val="20"/>
          <w:szCs w:val="20"/>
          <w:color w:val="auto"/>
        </w:rPr>
      </w:pPr>
    </w:p>
    <w:p>
      <w:pPr>
        <w:ind w:left="1440" w:hanging="784"/>
        <w:spacing w:after="0"/>
        <w:tabs>
          <w:tab w:leader="none" w:pos="144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any value added tax imposed by the Value Added Tax Act 1994;</w:t>
      </w:r>
    </w:p>
    <w:p>
      <w:pPr>
        <w:spacing w:after="0" w:line="233" w:lineRule="exact"/>
        <w:rPr>
          <w:rFonts w:ascii="Arial" w:cs="Arial" w:eastAsia="Arial" w:hAnsi="Arial"/>
          <w:sz w:val="22"/>
          <w:szCs w:val="22"/>
          <w:color w:val="auto"/>
        </w:rPr>
      </w:pPr>
    </w:p>
    <w:p>
      <w:pPr>
        <w:ind w:firstLine="656"/>
        <w:spacing w:after="0" w:line="250" w:lineRule="auto"/>
        <w:tabs>
          <w:tab w:leader="none" w:pos="1361" w:val="left"/>
        </w:tabs>
        <w:numPr>
          <w:ilvl w:val="0"/>
          <w:numId w:val="146"/>
        </w:numPr>
        <w:rPr>
          <w:rFonts w:ascii="Arial" w:cs="Arial" w:eastAsia="Arial" w:hAnsi="Arial"/>
          <w:sz w:val="22"/>
          <w:szCs w:val="22"/>
          <w:color w:val="auto"/>
        </w:rPr>
      </w:pPr>
      <w:r>
        <w:rPr>
          <w:rFonts w:ascii="Arial" w:cs="Arial" w:eastAsia="Arial" w:hAnsi="Arial"/>
          <w:sz w:val="22"/>
          <w:szCs w:val="22"/>
          <w:color w:val="auto"/>
        </w:rPr>
        <w:t>any tax imposed in compliance with the Council Directive of 28 November 2006 on the common system of value added tax (EC Directive 2006/112); and</w:t>
      </w:r>
    </w:p>
    <w:p>
      <w:pPr>
        <w:spacing w:after="0" w:line="201" w:lineRule="exact"/>
        <w:rPr>
          <w:rFonts w:ascii="Arial" w:cs="Arial" w:eastAsia="Arial" w:hAnsi="Arial"/>
          <w:sz w:val="22"/>
          <w:szCs w:val="22"/>
          <w:color w:val="auto"/>
        </w:rPr>
      </w:pPr>
    </w:p>
    <w:p>
      <w:pPr>
        <w:ind w:firstLine="656"/>
        <w:spacing w:after="0" w:line="328" w:lineRule="auto"/>
        <w:tabs>
          <w:tab w:leader="none" w:pos="1477" w:val="left"/>
        </w:tabs>
        <w:numPr>
          <w:ilvl w:val="0"/>
          <w:numId w:val="146"/>
        </w:numPr>
        <w:rPr>
          <w:rFonts w:ascii="Arial" w:cs="Arial" w:eastAsia="Arial" w:hAnsi="Arial"/>
          <w:sz w:val="19"/>
          <w:szCs w:val="19"/>
          <w:color w:val="auto"/>
        </w:rPr>
      </w:pPr>
      <w:r>
        <w:rPr>
          <w:rFonts w:ascii="Arial" w:cs="Arial" w:eastAsia="Arial" w:hAnsi="Arial"/>
          <w:sz w:val="19"/>
          <w:szCs w:val="19"/>
          <w:color w:val="auto"/>
        </w:rPr>
        <w:t>any other tax of a similar nature, whether imposed in the United Kingdom or in a member state of the European Union in substitution for, or levied in addition to, such tax referred to in paragraph (a) or (b) above, or imposed elsewhere.</w:t>
      </w:r>
    </w:p>
    <w:p>
      <w:pPr>
        <w:spacing w:after="0" w:line="13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Vessel</w:t>
      </w:r>
      <w:r>
        <w:rPr>
          <w:rFonts w:ascii="Arial" w:cs="Arial" w:eastAsia="Arial" w:hAnsi="Arial"/>
          <w:sz w:val="21"/>
          <w:szCs w:val="21"/>
          <w:color w:val="auto"/>
        </w:rPr>
        <w:t>” means any vessel whether now owned or later acquired by the owner and also any and all additions, improvements and replacements made in or to such vessel or any part of it or in or to its equipment and appurtenances.</w:t>
      </w:r>
    </w:p>
    <w:p>
      <w:pPr>
        <w:spacing w:after="0" w:line="17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Vessel Deed of Covenants</w:t>
      </w:r>
      <w:r>
        <w:rPr>
          <w:rFonts w:ascii="Arial" w:cs="Arial" w:eastAsia="Arial" w:hAnsi="Arial"/>
          <w:sz w:val="19"/>
          <w:szCs w:val="19"/>
          <w:color w:val="auto"/>
        </w:rPr>
        <w:t>” means, as applicable, a deed of covenants collateral to a Vessel Mortgage executed or, as the context may require, to be executed by the relevant owner of a Collateral Vessel in favor of the Collateral Agent in such form as may be agreed between the Administrative Agent and the Company and creating security over that Collateral Vessel.</w:t>
      </w:r>
    </w:p>
    <w:p>
      <w:pPr>
        <w:spacing w:after="0" w:line="16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Vessel Mortgage</w:t>
      </w:r>
      <w:r>
        <w:rPr>
          <w:rFonts w:ascii="Arial" w:cs="Arial" w:eastAsia="Arial" w:hAnsi="Arial"/>
          <w:sz w:val="19"/>
          <w:szCs w:val="19"/>
          <w:color w:val="auto"/>
        </w:rPr>
        <w:t>” means, as applicable, a first priority or preferred ship mortgage on each Collateral Vessel, each duly registered in the vessel or ship registry appropriate for such Collateral Vessel in favor of the Collateral Agent and in such form as may be agreed between the Administrative Agent and the Company, together with, if relevant, the Vessel Deed of Covenants.</w:t>
      </w:r>
    </w:p>
    <w:p>
      <w:pPr>
        <w:spacing w:after="0" w:line="16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Voting Equity Interests</w:t>
      </w:r>
      <w:r>
        <w:rPr>
          <w:rFonts w:ascii="Arial" w:cs="Arial" w:eastAsia="Arial" w:hAnsi="Arial"/>
          <w:sz w:val="22"/>
          <w:szCs w:val="22"/>
          <w:color w:val="auto"/>
        </w:rPr>
        <w:t>” of any Person means the Equity Interests of such Person ordinarily having the power to vote for the election of the directors of such Person.</w:t>
      </w:r>
    </w:p>
    <w:p>
      <w:pPr>
        <w:spacing w:after="0" w:line="20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wholly owned Subsidiary</w:t>
      </w:r>
      <w:r>
        <w:rPr>
          <w:rFonts w:ascii="Arial" w:cs="Arial" w:eastAsia="Arial" w:hAnsi="Arial"/>
          <w:sz w:val="22"/>
          <w:szCs w:val="22"/>
          <w:color w:val="auto"/>
        </w:rPr>
        <w:t>” means, with respect to any Person at any date, a Subsidiary of such Person of which securities or other ownership interests representing 100% of the Equity Interests (other than directors’ qualifying shares) are, as of such date, owned, controlled or held by such Person or one or more wholly owned Subsidiaries of such Person or by such Person and one or more wholly owned Subsidiaries of such Person.</w:t>
      </w:r>
    </w:p>
    <w:p>
      <w:pPr>
        <w:spacing w:after="0" w:line="21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Withdrawal Liability</w:t>
      </w:r>
      <w:r>
        <w:rPr>
          <w:rFonts w:ascii="Arial" w:cs="Arial" w:eastAsia="Arial" w:hAnsi="Arial"/>
          <w:sz w:val="22"/>
          <w:szCs w:val="22"/>
          <w:color w:val="auto"/>
        </w:rPr>
        <w:t>” means liability to a Multiemployer Plan as a result of a complete or partial withdrawal from such Multiemployer Plan, as such terms are defined in Part I of Subtitle E of Title IV of ERISA.</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9" w:name="page240"/>
    <w:bookmarkEnd w:id="239"/>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Withholding Agent</w:t>
      </w:r>
      <w:r>
        <w:rPr>
          <w:rFonts w:ascii="Arial" w:cs="Arial" w:eastAsia="Arial" w:hAnsi="Arial"/>
          <w:sz w:val="21"/>
          <w:szCs w:val="21"/>
          <w:color w:val="auto"/>
        </w:rPr>
        <w:t>” means any Loan Party, the Administrative Agent and any other applicable withholding agent.</w:t>
      </w:r>
    </w:p>
    <w:p>
      <w:pPr>
        <w:spacing w:after="0" w:line="245"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Write-Down and Conversion Powers</w:t>
      </w:r>
      <w:r>
        <w:rPr>
          <w:rFonts w:ascii="Arial" w:cs="Arial" w:eastAsia="Arial" w:hAnsi="Arial"/>
          <w:sz w:val="22"/>
          <w:szCs w:val="22"/>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20" w:lineRule="exact"/>
        <w:rPr>
          <w:sz w:val="20"/>
          <w:szCs w:val="20"/>
          <w:color w:val="auto"/>
        </w:rPr>
      </w:pPr>
    </w:p>
    <w:p>
      <w:pPr>
        <w:ind w:right="440" w:firstLine="648"/>
        <w:spacing w:after="0" w:line="328" w:lineRule="auto"/>
        <w:rPr>
          <w:sz w:val="20"/>
          <w:szCs w:val="20"/>
          <w:color w:val="auto"/>
        </w:rPr>
      </w:pPr>
      <w:r>
        <w:rPr>
          <w:rFonts w:ascii="Arial" w:cs="Arial" w:eastAsia="Arial" w:hAnsi="Arial"/>
          <w:sz w:val="19"/>
          <w:szCs w:val="19"/>
          <w:color w:val="auto"/>
        </w:rPr>
        <w:t xml:space="preserve">SECTION 1.02. </w:t>
      </w:r>
      <w:r>
        <w:rPr>
          <w:rFonts w:ascii="Arial" w:cs="Arial" w:eastAsia="Arial" w:hAnsi="Arial"/>
          <w:sz w:val="19"/>
          <w:szCs w:val="19"/>
          <w:u w:val="single" w:color="auto"/>
          <w:color w:val="auto"/>
        </w:rPr>
        <w:t>Classification of Loans and Borrowings</w:t>
      </w:r>
      <w:r>
        <w:rPr>
          <w:rFonts w:ascii="Arial" w:cs="Arial" w:eastAsia="Arial" w:hAnsi="Arial"/>
          <w:sz w:val="19"/>
          <w:szCs w:val="19"/>
          <w:color w:val="auto"/>
        </w:rPr>
        <w:t>. For purposes of this Agreement, Loans and Borrowings, respectively, may be classified and referred to by Type (</w:t>
      </w:r>
      <w:r>
        <w:rPr>
          <w:rFonts w:ascii="Arial" w:cs="Arial" w:eastAsia="Arial" w:hAnsi="Arial"/>
          <w:sz w:val="19"/>
          <w:szCs w:val="19"/>
          <w:i w:val="1"/>
          <w:iCs w:val="1"/>
          <w:color w:val="auto"/>
        </w:rPr>
        <w:t>e.g.</w:t>
      </w:r>
      <w:r>
        <w:rPr>
          <w:rFonts w:ascii="Arial" w:cs="Arial" w:eastAsia="Arial" w:hAnsi="Arial"/>
          <w:sz w:val="19"/>
          <w:szCs w:val="19"/>
          <w:color w:val="auto"/>
        </w:rPr>
        <w:t>, a “Eurocurrency Loan” or a “Eurocurrency Borrowing”).</w:t>
      </w:r>
    </w:p>
    <w:p>
      <w:pPr>
        <w:spacing w:after="0" w:line="132" w:lineRule="exact"/>
        <w:rPr>
          <w:sz w:val="20"/>
          <w:szCs w:val="20"/>
          <w:color w:val="auto"/>
        </w:rPr>
      </w:pPr>
    </w:p>
    <w:p>
      <w:pPr>
        <w:ind w:right="40" w:firstLine="648"/>
        <w:spacing w:after="0" w:line="271" w:lineRule="auto"/>
        <w:rPr>
          <w:sz w:val="20"/>
          <w:szCs w:val="20"/>
          <w:color w:val="auto"/>
        </w:rPr>
      </w:pPr>
      <w:r>
        <w:rPr>
          <w:rFonts w:ascii="Arial" w:cs="Arial" w:eastAsia="Arial" w:hAnsi="Arial"/>
          <w:sz w:val="19"/>
          <w:szCs w:val="19"/>
          <w:color w:val="auto"/>
        </w:rPr>
        <w:t xml:space="preserve">SECTION 1.03. </w:t>
      </w:r>
      <w:r>
        <w:rPr>
          <w:rFonts w:ascii="Arial" w:cs="Arial" w:eastAsia="Arial" w:hAnsi="Arial"/>
          <w:sz w:val="19"/>
          <w:szCs w:val="19"/>
          <w:u w:val="single" w:color="auto"/>
          <w:color w:val="auto"/>
        </w:rPr>
        <w:t>Terms Generally</w:t>
      </w:r>
      <w:r>
        <w:rPr>
          <w:rFonts w:ascii="Arial" w:cs="Arial" w:eastAsia="Arial" w:hAnsi="Arial"/>
          <w:sz w:val="19"/>
          <w:szCs w:val="19"/>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or except as expressly provided herein, (a) any definition of or reference to any agreement, instrument or other document herein shall be construed as referring to such agreement, instrument or other document as from time to time amended, amended and restated, supplemented or otherwise modified (subject to any restrictions on such amendments, supplements or modifications set forth in the Loan Documents), (b) any definition of or reference to any statute, rule or regulation shall be construed as referring thereto as from time to time amended, supplemented or otherwise modified (including by succession of comparable successor laws), unless otherwise expressly stated to the contrary, (c) any reference herein to any Person shall be construed to include such Person’s successors and assigns,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and (f) the words “asset” and “property” shall be construed to have the same meaning and effect and to refer to any and all tangible and intangible assets and properties, including cash, securities, accounts and contract rights.</w:t>
      </w:r>
    </w:p>
    <w:p>
      <w:pPr>
        <w:spacing w:after="0" w:line="200" w:lineRule="exact"/>
        <w:rPr>
          <w:sz w:val="20"/>
          <w:szCs w:val="20"/>
          <w:color w:val="auto"/>
        </w:rPr>
      </w:pPr>
    </w:p>
    <w:p>
      <w:pPr>
        <w:spacing w:after="0" w:line="230" w:lineRule="exact"/>
        <w:rPr>
          <w:sz w:val="20"/>
          <w:szCs w:val="20"/>
          <w:color w:val="auto"/>
        </w:rPr>
      </w:pPr>
    </w:p>
    <w:p>
      <w:pPr>
        <w:ind w:right="20" w:firstLine="648"/>
        <w:spacing w:after="0" w:line="270" w:lineRule="auto"/>
        <w:rPr>
          <w:sz w:val="20"/>
          <w:szCs w:val="20"/>
          <w:color w:val="auto"/>
        </w:rPr>
      </w:pPr>
      <w:r>
        <w:rPr>
          <w:rFonts w:ascii="Arial" w:cs="Arial" w:eastAsia="Arial" w:hAnsi="Arial"/>
          <w:sz w:val="19"/>
          <w:szCs w:val="19"/>
          <w:color w:val="auto"/>
        </w:rPr>
        <w:t xml:space="preserve">SECTION 1.04. </w:t>
      </w:r>
      <w:r>
        <w:rPr>
          <w:rFonts w:ascii="Arial" w:cs="Arial" w:eastAsia="Arial" w:hAnsi="Arial"/>
          <w:sz w:val="19"/>
          <w:szCs w:val="19"/>
          <w:u w:val="single" w:color="auto"/>
          <w:color w:val="auto"/>
        </w:rPr>
        <w:t>Accounting Terms; GAAP</w:t>
      </w:r>
      <w:r>
        <w:rPr>
          <w:rFonts w:ascii="Arial" w:cs="Arial" w:eastAsia="Arial" w:hAnsi="Arial"/>
          <w:sz w:val="19"/>
          <w:szCs w:val="19"/>
          <w:color w:val="auto"/>
        </w:rPr>
        <w:t>. Except as otherwise expressly provided herein, all terms of an accounting or financial nature shall be construed in accordance with GAAP, as in effect from time to time; provided that (i) if the Company notifies the Administrative Agent that it requests an amendment to any provision (including any definition) hereof to eliminate the effect of any change occurring after the Effective Date in GAAP or in the application thereof on the operation of such provision (or if the Administrative Agent notifies the Company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(ii) notwithstanding any other provision contained herein, all terms of an accounting or financial nature used herein shall be construed, and all computations of amounts and ratios referred to herein shall be made, without giving effect to any election under Statement of Financial Accounting Standards 159, The Fair Value Option for Financial Assets and Financial Liabilities, or any successor thereto (including pursuant to Accounting Standard Codifications), to value any Indebtedness of the Company or any Subsidiary at “fair value,” as defined therein and (iii) notwithstanding any change in GAAP after the Effective Date which would have the effect of treating any lease properly accounted for as an operating lease prior to such accounting change as a capital lease after giving effect to any such accounting change, for all purposes of calculating Indebtedness for any purpose under this Agreement, the Loan Parties shall continue to make such determinations and calculations with respect to all leases (whether then in existence or thereafter entered into) in accordance with GAAP (as it relates to such issue) as in effect prior to such change and consistent with their past practices.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880"/>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0" w:name="page241"/>
    <w:bookmarkEnd w:id="240"/>
    <w:p>
      <w:pPr>
        <w:ind w:right="40" w:firstLine="648"/>
        <w:spacing w:after="0" w:line="279" w:lineRule="auto"/>
        <w:rPr>
          <w:sz w:val="20"/>
          <w:szCs w:val="20"/>
          <w:color w:val="auto"/>
        </w:rPr>
      </w:pPr>
      <w:r>
        <w:rPr>
          <w:rFonts w:ascii="Arial" w:cs="Arial" w:eastAsia="Arial" w:hAnsi="Arial"/>
          <w:sz w:val="19"/>
          <w:szCs w:val="19"/>
          <w:color w:val="auto"/>
        </w:rPr>
        <w:t xml:space="preserve">SECTION 1.05. </w:t>
      </w:r>
      <w:r>
        <w:rPr>
          <w:rFonts w:ascii="Arial" w:cs="Arial" w:eastAsia="Arial" w:hAnsi="Arial"/>
          <w:sz w:val="19"/>
          <w:szCs w:val="19"/>
          <w:u w:val="single" w:color="auto"/>
          <w:color w:val="auto"/>
        </w:rPr>
        <w:t>Pro Forma Calculations</w:t>
      </w:r>
      <w:r>
        <w:rPr>
          <w:rFonts w:ascii="Arial" w:cs="Arial" w:eastAsia="Arial" w:hAnsi="Arial"/>
          <w:sz w:val="19"/>
          <w:szCs w:val="19"/>
          <w:color w:val="auto"/>
        </w:rPr>
        <w:t>. With respect to any period during which (a) any acquisition permitted by this Agreement or (b) any sale, transfer or other disposition of (i) any Equity Interests in a Subsidiary or (ii) all or substantially all the assets of a Subsidiary or division or line of business of a Subsidiary outside the ordinary course of business, occurs, for purposes of determining compliance with the covenants contained in Sections 6.04(t), 6.08(a)(vi), 6.12, 6.13 and 6.14 or otherwise for purposes of determining the Total Leverage Ratio, Consolidated Interest Expense, First Lien Leverage Ratio, Consolidated Total Assets and Consolidated EBITDA, calculations with respect to such period shall be made on a Pro Forma Basis.</w:t>
      </w:r>
    </w:p>
    <w:p>
      <w:pPr>
        <w:spacing w:after="0" w:line="178" w:lineRule="exact"/>
        <w:rPr>
          <w:sz w:val="20"/>
          <w:szCs w:val="20"/>
          <w:color w:val="auto"/>
        </w:rPr>
      </w:pPr>
    </w:p>
    <w:p>
      <w:pPr>
        <w:ind w:left="660"/>
        <w:spacing w:after="0"/>
        <w:tabs>
          <w:tab w:leader="none" w:pos="2300" w:val="left"/>
        </w:tabs>
        <w:rPr>
          <w:sz w:val="20"/>
          <w:szCs w:val="20"/>
          <w:color w:val="auto"/>
        </w:rPr>
      </w:pPr>
      <w:r>
        <w:rPr>
          <w:rFonts w:ascii="Arial" w:cs="Arial" w:eastAsia="Arial" w:hAnsi="Arial"/>
          <w:sz w:val="22"/>
          <w:szCs w:val="22"/>
          <w:color w:val="auto"/>
        </w:rPr>
        <w:t>SECTION 1.06.</w:t>
      </w:r>
      <w:r>
        <w:rPr>
          <w:sz w:val="20"/>
          <w:szCs w:val="20"/>
          <w:color w:val="auto"/>
        </w:rPr>
        <w:tab/>
      </w:r>
      <w:r>
        <w:rPr>
          <w:rFonts w:ascii="Arial" w:cs="Arial" w:eastAsia="Arial" w:hAnsi="Arial"/>
          <w:sz w:val="19"/>
          <w:szCs w:val="19"/>
          <w:u w:val="single" w:color="auto"/>
          <w:color w:val="auto"/>
        </w:rPr>
        <w:t>Exchange Rates; Currency Equivalents</w:t>
      </w:r>
    </w:p>
    <w:p>
      <w:pPr>
        <w:spacing w:after="0" w:line="233" w:lineRule="exact"/>
        <w:rPr>
          <w:sz w:val="20"/>
          <w:szCs w:val="20"/>
          <w:color w:val="auto"/>
        </w:rPr>
      </w:pPr>
    </w:p>
    <w:p>
      <w:pPr>
        <w:jc w:val="both"/>
        <w:ind w:firstLine="656"/>
        <w:spacing w:after="0" w:line="277" w:lineRule="auto"/>
        <w:tabs>
          <w:tab w:leader="none" w:pos="1388" w:val="left"/>
        </w:tabs>
        <w:numPr>
          <w:ilvl w:val="1"/>
          <w:numId w:val="147"/>
        </w:numPr>
        <w:rPr>
          <w:rFonts w:ascii="Arial" w:cs="Arial" w:eastAsia="Arial" w:hAnsi="Arial"/>
          <w:sz w:val="19"/>
          <w:szCs w:val="19"/>
          <w:color w:val="auto"/>
        </w:rPr>
      </w:pPr>
      <w:r>
        <w:rPr>
          <w:rFonts w:ascii="Arial" w:cs="Arial" w:eastAsia="Arial" w:hAnsi="Arial"/>
          <w:sz w:val="19"/>
          <w:szCs w:val="19"/>
          <w:color w:val="auto"/>
        </w:rPr>
        <w:t>Not later than 1:00 p.m., New York time, on each Revaluation Date, the Administrative Agent shall (x) determine the Exchange Rate as of such Revaluation Date with respect to each applicable Alternative Currency and (y) give notice thereof to each applicable Issuing Bank and the Company. The Exchange Rates so determined shall become effective (i) in the case of the initial Revaluation Date, on the Effective Date and (ii) in the case of each subsequent Revaluation Date, on the first Business Day immediately following such Revaluation Date (a “</w:t>
      </w:r>
      <w:r>
        <w:rPr>
          <w:rFonts w:ascii="Arial" w:cs="Arial" w:eastAsia="Arial" w:hAnsi="Arial"/>
          <w:sz w:val="19"/>
          <w:szCs w:val="19"/>
          <w:u w:val="single" w:color="auto"/>
          <w:color w:val="auto"/>
        </w:rPr>
        <w:t>Reset Date</w:t>
      </w:r>
      <w:r>
        <w:rPr>
          <w:rFonts w:ascii="Arial" w:cs="Arial" w:eastAsia="Arial" w:hAnsi="Arial"/>
          <w:sz w:val="19"/>
          <w:szCs w:val="19"/>
          <w:color w:val="auto"/>
        </w:rPr>
        <w:t>”), shall remain effective until the next succeeding Reset Date, and shall for all purposes of this Agreement (other than any provision expressly requiring the use of a current exchange rate) be the Exchange Rates employed in converting any amounts between dollars and any Alternative Currency.</w:t>
      </w:r>
    </w:p>
    <w:p>
      <w:pPr>
        <w:spacing w:after="0" w:line="178" w:lineRule="exact"/>
        <w:rPr>
          <w:rFonts w:ascii="Arial" w:cs="Arial" w:eastAsia="Arial" w:hAnsi="Arial"/>
          <w:sz w:val="19"/>
          <w:szCs w:val="19"/>
          <w:color w:val="auto"/>
        </w:rPr>
      </w:pPr>
    </w:p>
    <w:p>
      <w:pPr>
        <w:jc w:val="both"/>
        <w:ind w:firstLine="656"/>
        <w:spacing w:after="0" w:line="269" w:lineRule="auto"/>
        <w:tabs>
          <w:tab w:leader="none" w:pos="1573" w:val="left"/>
        </w:tabs>
        <w:numPr>
          <w:ilvl w:val="1"/>
          <w:numId w:val="147"/>
        </w:numPr>
        <w:rPr>
          <w:rFonts w:ascii="Arial" w:cs="Arial" w:eastAsia="Arial" w:hAnsi="Arial"/>
          <w:sz w:val="19"/>
          <w:szCs w:val="19"/>
          <w:color w:val="auto"/>
        </w:rPr>
      </w:pPr>
      <w:r>
        <w:rPr>
          <w:rFonts w:ascii="Arial" w:cs="Arial" w:eastAsia="Arial" w:hAnsi="Arial"/>
          <w:sz w:val="19"/>
          <w:szCs w:val="19"/>
          <w:color w:val="auto"/>
        </w:rPr>
        <w:t xml:space="preserve">Solely for purposes of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and related definitional provisions to the extent used therein, the applicable amount of any currency (other than dollars) for purposes of the Loan Documents shall be such Dollar Equivalent amount as determined by the Administrative Agent and notified to the applicable Issuing Bank and the Company in accordance with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1.06(a)</w:t>
      </w:r>
      <w:r>
        <w:rPr>
          <w:rFonts w:ascii="Arial" w:cs="Arial" w:eastAsia="Arial" w:hAnsi="Arial"/>
          <w:sz w:val="19"/>
          <w:szCs w:val="19"/>
          <w:color w:val="auto"/>
        </w:rPr>
        <w:t>. If any basket is exceeded solely as a result of fluctuations in the applicable Exchange Rate after the last time such basket was utilized, such basket will not be deemed to have been exceeded solely as a result of such fluctuations in the applicable Exchange Rate. Amounts denominated in an Alternative Currency will be converted to dollars for the purposes of (A) testing the Financial Covenants, at the Exchange Rate as of the last day of the fiscal quarter for which such measurement is being made, and</w:t>
      </w:r>
    </w:p>
    <w:p>
      <w:pPr>
        <w:spacing w:after="0" w:line="4" w:lineRule="exact"/>
        <w:rPr>
          <w:rFonts w:ascii="Arial" w:cs="Arial" w:eastAsia="Arial" w:hAnsi="Arial"/>
          <w:sz w:val="19"/>
          <w:szCs w:val="19"/>
          <w:color w:val="auto"/>
        </w:rPr>
      </w:pPr>
    </w:p>
    <w:p>
      <w:pPr>
        <w:jc w:val="both"/>
        <w:ind w:firstLine="8"/>
        <w:spacing w:after="0" w:line="233" w:lineRule="auto"/>
        <w:tabs>
          <w:tab w:leader="none" w:pos="342" w:val="left"/>
        </w:tabs>
        <w:numPr>
          <w:ilvl w:val="0"/>
          <w:numId w:val="148"/>
        </w:numPr>
        <w:rPr>
          <w:rFonts w:ascii="Arial" w:cs="Arial" w:eastAsia="Arial" w:hAnsi="Arial"/>
          <w:sz w:val="22"/>
          <w:szCs w:val="22"/>
          <w:color w:val="auto"/>
        </w:rPr>
      </w:pPr>
      <w:r>
        <w:rPr>
          <w:rFonts w:ascii="Arial" w:cs="Arial" w:eastAsia="Arial" w:hAnsi="Arial"/>
          <w:sz w:val="22"/>
          <w:szCs w:val="22"/>
          <w:color w:val="auto"/>
        </w:rPr>
        <w:t>calculating the Interest Coverage Ratio and the Total Leverage Ratio (other than for purposes of determining compliance with the Financial Covenants), at the Exchange Rate as of the date of calculation, and will, in the case of Indebtedness, reflect the currency translation effects, determined in accordance with GAAP, of Hedging Agreements permitted hereunder for currency exchange risks with respect to the applicable currency in effect on the date of determination of the Dollar Equivalent of such Indebtedness.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1" w:name="page242"/>
    <w:bookmarkEnd w:id="241"/>
    <w:p>
      <w:pPr>
        <w:jc w:val="both"/>
        <w:ind w:firstLine="656"/>
        <w:spacing w:after="0" w:line="274" w:lineRule="auto"/>
        <w:tabs>
          <w:tab w:leader="none" w:pos="1505" w:val="left"/>
        </w:tabs>
        <w:numPr>
          <w:ilvl w:val="0"/>
          <w:numId w:val="149"/>
        </w:numPr>
        <w:rPr>
          <w:rFonts w:ascii="Arial" w:cs="Arial" w:eastAsia="Arial" w:hAnsi="Arial"/>
          <w:sz w:val="19"/>
          <w:szCs w:val="19"/>
          <w:color w:val="auto"/>
        </w:rPr>
      </w:pPr>
      <w:r>
        <w:rPr>
          <w:rFonts w:ascii="Arial" w:cs="Arial" w:eastAsia="Arial" w:hAnsi="Arial"/>
          <w:sz w:val="19"/>
          <w:szCs w:val="19"/>
          <w:color w:val="auto"/>
        </w:rPr>
        <w:t xml:space="preserve">For purposes of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the amount of any Indebtedness denominated in any currency other than dollars shall be calculated based on the applicable Exchange Rate, in the case of such Indebtedness incurred or committed, on the date that such Indebtedness was incurred or committed,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Indebtedness is incurred to refinance other Indebtedness denominated in a currency other than dollars, and such refinancing would cause the applicable dollar-denominated restriction to be exceeded if calculated at the applicable Exchange Rate on the date of such refinancing, such dollar-denominated restrictions shall be deemed not to have been exceeded so long as the principal amount of such Refinancing Indebtedness does not exceed the sum of (i) the outstanding or committed principal amount, as applicable, of such Indebtedness being refinanced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the aggregate amount of fees, underwriting discounts, premiums and other costs and expenses incurred in connection with such refinancing.</w:t>
      </w:r>
    </w:p>
    <w:p>
      <w:pPr>
        <w:spacing w:after="0" w:line="185" w:lineRule="exact"/>
        <w:rPr>
          <w:rFonts w:ascii="Arial" w:cs="Arial" w:eastAsia="Arial" w:hAnsi="Arial"/>
          <w:sz w:val="19"/>
          <w:szCs w:val="19"/>
          <w:color w:val="auto"/>
        </w:rPr>
      </w:pPr>
    </w:p>
    <w:p>
      <w:pPr>
        <w:jc w:val="both"/>
        <w:ind w:firstLine="656"/>
        <w:spacing w:after="0"/>
        <w:tabs>
          <w:tab w:leader="none" w:pos="1597" w:val="left"/>
        </w:tabs>
        <w:numPr>
          <w:ilvl w:val="0"/>
          <w:numId w:val="149"/>
        </w:numPr>
        <w:rPr>
          <w:rFonts w:ascii="Arial" w:cs="Arial" w:eastAsia="Arial" w:hAnsi="Arial"/>
          <w:sz w:val="22"/>
          <w:szCs w:val="22"/>
          <w:color w:val="auto"/>
        </w:rPr>
      </w:pPr>
      <w:r>
        <w:rPr>
          <w:rFonts w:ascii="Arial" w:cs="Arial" w:eastAsia="Arial" w:hAnsi="Arial"/>
          <w:sz w:val="22"/>
          <w:szCs w:val="22"/>
          <w:color w:val="auto"/>
        </w:rPr>
        <w:t xml:space="preserve">For purposes of </w:t>
      </w:r>
      <w:r>
        <w:rPr>
          <w:rFonts w:ascii="Arial" w:cs="Arial" w:eastAsia="Arial" w:hAnsi="Arial"/>
          <w:sz w:val="22"/>
          <w:szCs w:val="22"/>
          <w:u w:val="single" w:color="auto"/>
          <w:color w:val="auto"/>
        </w:rPr>
        <w:t>Sections 6.02</w:t>
      </w:r>
      <w:r>
        <w:rPr>
          <w:rFonts w:ascii="Arial" w:cs="Arial" w:eastAsia="Arial" w:hAnsi="Arial"/>
          <w:sz w:val="22"/>
          <w:szCs w:val="22"/>
          <w:color w:val="auto"/>
        </w:rPr>
        <w:t xml:space="preserve">, </w:t>
      </w:r>
      <w:r>
        <w:rPr>
          <w:rFonts w:ascii="Arial" w:cs="Arial" w:eastAsia="Arial" w:hAnsi="Arial"/>
          <w:sz w:val="22"/>
          <w:szCs w:val="22"/>
          <w:u w:val="single" w:color="auto"/>
          <w:color w:val="auto"/>
        </w:rPr>
        <w:t>6.04</w:t>
      </w:r>
      <w:r>
        <w:rPr>
          <w:rFonts w:ascii="Arial" w:cs="Arial" w:eastAsia="Arial" w:hAnsi="Arial"/>
          <w:sz w:val="22"/>
          <w:szCs w:val="22"/>
          <w:color w:val="auto"/>
        </w:rPr>
        <w:t xml:space="preserve">, </w:t>
      </w:r>
      <w:r>
        <w:rPr>
          <w:rFonts w:ascii="Arial" w:cs="Arial" w:eastAsia="Arial" w:hAnsi="Arial"/>
          <w:sz w:val="22"/>
          <w:szCs w:val="22"/>
          <w:u w:val="single" w:color="auto"/>
          <w:color w:val="auto"/>
        </w:rPr>
        <w:t>6.05</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6.08</w:t>
      </w:r>
      <w:r>
        <w:rPr>
          <w:rFonts w:ascii="Arial" w:cs="Arial" w:eastAsia="Arial" w:hAnsi="Arial"/>
          <w:sz w:val="22"/>
          <w:szCs w:val="22"/>
          <w:color w:val="auto"/>
        </w:rPr>
        <w:t>, the amount of any Liens, investments, asset sales and Restricted Payments, as applicable, denominated in any currency other than dollars shall be calculated based on the applicable Exchange Rate.</w:t>
      </w:r>
    </w:p>
    <w:p>
      <w:pPr>
        <w:spacing w:after="0" w:line="213" w:lineRule="exact"/>
        <w:rPr>
          <w:sz w:val="20"/>
          <w:szCs w:val="20"/>
          <w:color w:val="auto"/>
        </w:rPr>
      </w:pPr>
    </w:p>
    <w:p>
      <w:pPr>
        <w:ind w:right="40" w:firstLine="648"/>
        <w:spacing w:after="0" w:line="235" w:lineRule="auto"/>
        <w:rPr>
          <w:sz w:val="20"/>
          <w:szCs w:val="20"/>
          <w:color w:val="auto"/>
        </w:rPr>
      </w:pPr>
      <w:r>
        <w:rPr>
          <w:rFonts w:ascii="Arial" w:cs="Arial" w:eastAsia="Arial" w:hAnsi="Arial"/>
          <w:sz w:val="22"/>
          <w:szCs w:val="22"/>
          <w:color w:val="auto"/>
        </w:rPr>
        <w:t xml:space="preserve">SECTION 1.07. </w:t>
      </w:r>
      <w:r>
        <w:rPr>
          <w:rFonts w:ascii="Arial" w:cs="Arial" w:eastAsia="Arial" w:hAnsi="Arial"/>
          <w:sz w:val="22"/>
          <w:szCs w:val="22"/>
          <w:u w:val="single" w:color="auto"/>
          <w:color w:val="auto"/>
        </w:rPr>
        <w:t>Divisions</w:t>
      </w:r>
      <w:r>
        <w:rPr>
          <w:rFonts w:ascii="Arial" w:cs="Arial" w:eastAsia="Arial" w:hAnsi="Arial"/>
          <w:sz w:val="22"/>
          <w:szCs w:val="22"/>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393" w:lineRule="exact"/>
        <w:rPr>
          <w:sz w:val="20"/>
          <w:szCs w:val="20"/>
          <w:color w:val="auto"/>
        </w:rPr>
      </w:pPr>
    </w:p>
    <w:p>
      <w:pPr>
        <w:ind w:left="5880"/>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2" w:name="page243"/>
    <w:bookmarkEnd w:id="242"/>
    <w:p>
      <w:pPr>
        <w:ind w:right="20" w:firstLine="648"/>
        <w:spacing w:after="0" w:line="267" w:lineRule="auto"/>
        <w:rPr>
          <w:sz w:val="20"/>
          <w:szCs w:val="20"/>
          <w:color w:val="auto"/>
        </w:rPr>
      </w:pPr>
      <w:r>
        <w:rPr>
          <w:rFonts w:ascii="Arial" w:cs="Arial" w:eastAsia="Arial" w:hAnsi="Arial"/>
          <w:sz w:val="19"/>
          <w:szCs w:val="19"/>
          <w:color w:val="auto"/>
        </w:rPr>
        <w:t xml:space="preserve">SECTION 1.08. </w:t>
      </w:r>
      <w:r>
        <w:rPr>
          <w:rFonts w:ascii="Arial" w:cs="Arial" w:eastAsia="Arial" w:hAnsi="Arial"/>
          <w:sz w:val="19"/>
          <w:szCs w:val="19"/>
          <w:u w:val="single" w:color="auto"/>
          <w:color w:val="auto"/>
        </w:rPr>
        <w:t>Interest Rates; LIBOR Notification</w:t>
      </w:r>
      <w:r>
        <w:rPr>
          <w:rFonts w:ascii="Arial" w:cs="Arial" w:eastAsia="Arial" w:hAnsi="Arial"/>
          <w:sz w:val="19"/>
          <w:szCs w:val="19"/>
          <w:color w:val="auto"/>
        </w:rPr>
        <w:t>. The interest rate on a Loan denominated in dollars or an Alternative Currency may be derived from an interest rate benchmark that is, or may in the future become, the subject of regulatory reform. Regulators have signaled the need to use alternative benchmark reference rates for some of these interest rate benchmarks and, as a result, such interest rate benchmarks may cease to comply with applicable laws and regulations, may be permanently discontinued, and/or the basis on which they are calculated may change. The London interbank offered rate is intended to represent the rate at which contributing banks may obtain short-term borrowings from each other in the London interbank market. In July 2017, the U.K. Financial Conduct Authority announced that, after the end of 2021, it would no longer persuade or compel contributing banks to make rate submissions to the ICE Benchmark Administration (together with any successor to the ICE Benchmark Administrator, the “IBA”) for purposes of the IBA setting the London interbank offered rate. As a result, it is possible that commencing in 2022, the London interbank offered rate may no longer be available or may no longer be deemed an appropriate reference rate upon which to determine the interest rate on Eurocurrency Loans. In light of this eventuality, public and private sector industry initiatives are currently underway to identify new or alternative reference rates to be used in place of the London interbank offered rate. Upon the occurrence of a Benchmark Transition Event, a Term SOFR Transition Event, a Term ESTR Transition Event or an Early Opt-In Election, Sections 2.14(b) and 2.14(c) provide a mechanism for determining an alternative rate of interest. The Administrative Agent will promptly notify the Company, pursuant to Section 2.14(e), of any change to the reference rate upon which the interest rate on Eurocurrency Loans is based. However, the Administrative Agent does not warrant or accept any responsibility for, and shall not have any liability with respect to, the administration, submission or any other matter related to the London interbank offered rate or other rates in the definition of “LIBO Rate” (or “EURIBOR Rate”, as applicable) or with respect to any alternative or successor rate thereto, or replacement rate thereof (including, without limitation, (i) any such alternative, successor or replacement rate implemented pursuant to Sections</w:t>
      </w:r>
    </w:p>
    <w:p>
      <w:pPr>
        <w:spacing w:after="0" w:line="17" w:lineRule="exact"/>
        <w:rPr>
          <w:sz w:val="20"/>
          <w:szCs w:val="20"/>
          <w:color w:val="auto"/>
        </w:rPr>
      </w:pPr>
    </w:p>
    <w:p>
      <w:pPr>
        <w:ind w:right="80"/>
        <w:spacing w:after="0" w:line="275" w:lineRule="auto"/>
        <w:rPr>
          <w:sz w:val="20"/>
          <w:szCs w:val="20"/>
          <w:color w:val="auto"/>
        </w:rPr>
      </w:pPr>
      <w:r>
        <w:rPr>
          <w:rFonts w:ascii="Arial" w:cs="Arial" w:eastAsia="Arial" w:hAnsi="Arial"/>
          <w:sz w:val="19"/>
          <w:szCs w:val="19"/>
          <w:color w:val="auto"/>
        </w:rPr>
        <w:t>2.14(b) or 2.14(c), whether upon the occurrence of a Benchmark Transition Event, a Term SOFR Transition Event, a Term ESTR Transition Event or an Early Opt-In Election and (ii) the implementation of any Benchmark Replacement Conforming Changes pursuant to Section 2.14(d)), including without limitation, whether the composition or characteristics of any such alternative, successor or replacement reference rate will be similar to, or produce the same value or economic equivalence of, the LIBO Rate (or the EURIBOR Rate, as applicable) or have the same volume or liquidity as did the London interbank offered rate (or the euro interbank offered rate, as applicable) prior to its discontinuance or unavailability.</w:t>
      </w:r>
    </w:p>
    <w:p>
      <w:pPr>
        <w:spacing w:after="0" w:line="181" w:lineRule="exact"/>
        <w:rPr>
          <w:sz w:val="20"/>
          <w:szCs w:val="20"/>
          <w:color w:val="auto"/>
        </w:rPr>
      </w:pPr>
    </w:p>
    <w:p>
      <w:pPr>
        <w:ind w:left="660"/>
        <w:spacing w:after="0"/>
        <w:tabs>
          <w:tab w:leader="none" w:pos="2300" w:val="left"/>
        </w:tabs>
        <w:rPr>
          <w:sz w:val="20"/>
          <w:szCs w:val="20"/>
          <w:color w:val="auto"/>
        </w:rPr>
      </w:pPr>
      <w:r>
        <w:rPr>
          <w:rFonts w:ascii="Arial" w:cs="Arial" w:eastAsia="Arial" w:hAnsi="Arial"/>
          <w:sz w:val="22"/>
          <w:szCs w:val="22"/>
          <w:color w:val="auto"/>
        </w:rPr>
        <w:t>SECTION 1.09.</w:t>
      </w:r>
      <w:r>
        <w:rPr>
          <w:sz w:val="20"/>
          <w:szCs w:val="20"/>
          <w:color w:val="auto"/>
        </w:rPr>
        <w:tab/>
      </w:r>
      <w:r>
        <w:rPr>
          <w:rFonts w:ascii="Arial" w:cs="Arial" w:eastAsia="Arial" w:hAnsi="Arial"/>
          <w:sz w:val="19"/>
          <w:szCs w:val="19"/>
          <w:u w:val="single" w:color="auto"/>
          <w:color w:val="auto"/>
        </w:rPr>
        <w:t>Dutch Terms</w:t>
      </w:r>
      <w:r>
        <w:rPr>
          <w:rFonts w:ascii="Arial" w:cs="Arial" w:eastAsia="Arial" w:hAnsi="Arial"/>
          <w:sz w:val="19"/>
          <w:szCs w:val="19"/>
          <w:color w:val="auto"/>
        </w:rPr>
        <w:t>. In this Agreement where it relates to a Dutch person or entity, a reference to:</w:t>
      </w:r>
    </w:p>
    <w:p>
      <w:pPr>
        <w:spacing w:after="0" w:line="233" w:lineRule="exact"/>
        <w:rPr>
          <w:sz w:val="20"/>
          <w:szCs w:val="20"/>
          <w:color w:val="auto"/>
        </w:rPr>
      </w:pPr>
    </w:p>
    <w:p>
      <w:pPr>
        <w:ind w:left="1540" w:hanging="884"/>
        <w:spacing w:after="0"/>
        <w:tabs>
          <w:tab w:leader="none" w:pos="1540" w:val="left"/>
        </w:tabs>
        <w:numPr>
          <w:ilvl w:val="0"/>
          <w:numId w:val="15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The Netherlands</w:t>
      </w:r>
      <w:r>
        <w:rPr>
          <w:rFonts w:ascii="Arial" w:cs="Arial" w:eastAsia="Arial" w:hAnsi="Arial"/>
          <w:sz w:val="19"/>
          <w:szCs w:val="19"/>
          <w:color w:val="auto"/>
        </w:rPr>
        <w:t>” means the European part of the Kingdom of the Netherlands and Dutch means in or of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Netherlands;</w:t>
      </w:r>
    </w:p>
    <w:p>
      <w:pPr>
        <w:spacing w:after="0" w:line="215" w:lineRule="exact"/>
        <w:rPr>
          <w:rFonts w:ascii="Arial" w:cs="Arial" w:eastAsia="Arial" w:hAnsi="Arial"/>
          <w:sz w:val="19"/>
          <w:szCs w:val="19"/>
          <w:color w:val="auto"/>
        </w:rPr>
      </w:pPr>
    </w:p>
    <w:p>
      <w:pPr>
        <w:ind w:left="1440" w:hanging="784"/>
        <w:spacing w:after="0"/>
        <w:tabs>
          <w:tab w:leader="none" w:pos="1440" w:val="left"/>
        </w:tabs>
        <w:numPr>
          <w:ilvl w:val="0"/>
          <w:numId w:val="150"/>
        </w:numPr>
        <w:rPr>
          <w:rFonts w:ascii="Arial" w:cs="Arial" w:eastAsia="Arial" w:hAnsi="Arial"/>
          <w:sz w:val="22"/>
          <w:szCs w:val="22"/>
          <w:color w:val="auto"/>
        </w:rPr>
      </w:pPr>
      <w:r>
        <w:rPr>
          <w:rFonts w:ascii="Arial" w:cs="Arial" w:eastAsia="Arial" w:hAnsi="Arial"/>
          <w:sz w:val="22"/>
          <w:szCs w:val="22"/>
          <w:color w:val="auto"/>
        </w:rPr>
        <w:t>an “</w:t>
      </w:r>
      <w:r>
        <w:rPr>
          <w:rFonts w:ascii="Arial" w:cs="Arial" w:eastAsia="Arial" w:hAnsi="Arial"/>
          <w:sz w:val="22"/>
          <w:szCs w:val="22"/>
          <w:u w:val="single" w:color="auto"/>
          <w:color w:val="auto"/>
        </w:rPr>
        <w:t>administrator</w:t>
      </w:r>
      <w:r>
        <w:rPr>
          <w:rFonts w:ascii="Arial" w:cs="Arial" w:eastAsia="Arial" w:hAnsi="Arial"/>
          <w:sz w:val="22"/>
          <w:szCs w:val="22"/>
          <w:color w:val="auto"/>
        </w:rPr>
        <w:t xml:space="preserve">” includes a </w:t>
      </w:r>
      <w:r>
        <w:rPr>
          <w:rFonts w:ascii="Arial" w:cs="Arial" w:eastAsia="Arial" w:hAnsi="Arial"/>
          <w:sz w:val="22"/>
          <w:szCs w:val="22"/>
          <w:i w:val="1"/>
          <w:iCs w:val="1"/>
          <w:color w:val="auto"/>
        </w:rPr>
        <w:t>bewindvoerder</w:t>
      </w:r>
      <w:r>
        <w:rPr>
          <w:rFonts w:ascii="Arial" w:cs="Arial" w:eastAsia="Arial" w:hAnsi="Arial"/>
          <w:sz w:val="22"/>
          <w:szCs w:val="22"/>
          <w:color w:val="auto"/>
        </w:rPr>
        <w:t xml:space="preserve"> and a </w:t>
      </w:r>
      <w:r>
        <w:rPr>
          <w:rFonts w:ascii="Arial" w:cs="Arial" w:eastAsia="Arial" w:hAnsi="Arial"/>
          <w:sz w:val="22"/>
          <w:szCs w:val="22"/>
          <w:i w:val="1"/>
          <w:iCs w:val="1"/>
          <w:color w:val="auto"/>
        </w:rPr>
        <w:t>beoogd bewindvoerder</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440" w:hanging="784"/>
        <w:spacing w:after="0"/>
        <w:tabs>
          <w:tab w:leader="none" w:pos="1440" w:val="left"/>
        </w:tabs>
        <w:numPr>
          <w:ilvl w:val="0"/>
          <w:numId w:val="150"/>
        </w:numPr>
        <w:rPr>
          <w:rFonts w:ascii="Arial" w:cs="Arial" w:eastAsia="Arial" w:hAnsi="Arial"/>
          <w:sz w:val="22"/>
          <w:szCs w:val="22"/>
          <w:color w:val="auto"/>
        </w:rPr>
      </w:pPr>
      <w:r>
        <w:rPr>
          <w:rFonts w:ascii="Arial" w:cs="Arial" w:eastAsia="Arial" w:hAnsi="Arial"/>
          <w:sz w:val="22"/>
          <w:szCs w:val="22"/>
          <w:color w:val="auto"/>
        </w:rPr>
        <w:t>a “</w:t>
      </w:r>
      <w:r>
        <w:rPr>
          <w:rFonts w:ascii="Arial" w:cs="Arial" w:eastAsia="Arial" w:hAnsi="Arial"/>
          <w:sz w:val="22"/>
          <w:szCs w:val="22"/>
          <w:u w:val="single" w:color="auto"/>
          <w:color w:val="auto"/>
        </w:rPr>
        <w:t>receiver</w:t>
      </w:r>
      <w:r>
        <w:rPr>
          <w:rFonts w:ascii="Arial" w:cs="Arial" w:eastAsia="Arial" w:hAnsi="Arial"/>
          <w:sz w:val="22"/>
          <w:szCs w:val="22"/>
          <w:color w:val="auto"/>
        </w:rPr>
        <w:t>” or an “</w:t>
      </w:r>
      <w:r>
        <w:rPr>
          <w:rFonts w:ascii="Arial" w:cs="Arial" w:eastAsia="Arial" w:hAnsi="Arial"/>
          <w:sz w:val="22"/>
          <w:szCs w:val="22"/>
          <w:u w:val="single" w:color="auto"/>
          <w:color w:val="auto"/>
        </w:rPr>
        <w:t>administrative receiver</w:t>
      </w:r>
      <w:r>
        <w:rPr>
          <w:rFonts w:ascii="Arial" w:cs="Arial" w:eastAsia="Arial" w:hAnsi="Arial"/>
          <w:sz w:val="22"/>
          <w:szCs w:val="22"/>
          <w:color w:val="auto"/>
        </w:rPr>
        <w:t xml:space="preserve">” does not include a </w:t>
      </w:r>
      <w:r>
        <w:rPr>
          <w:rFonts w:ascii="Arial" w:cs="Arial" w:eastAsia="Arial" w:hAnsi="Arial"/>
          <w:sz w:val="22"/>
          <w:szCs w:val="22"/>
          <w:i w:val="1"/>
          <w:iCs w:val="1"/>
          <w:color w:val="auto"/>
        </w:rPr>
        <w:t>curator</w:t>
      </w:r>
      <w:r>
        <w:rPr>
          <w:rFonts w:ascii="Arial" w:cs="Arial" w:eastAsia="Arial" w:hAnsi="Arial"/>
          <w:sz w:val="22"/>
          <w:szCs w:val="22"/>
          <w:color w:val="auto"/>
        </w:rPr>
        <w:t xml:space="preserve"> or </w:t>
      </w:r>
      <w:r>
        <w:rPr>
          <w:rFonts w:ascii="Arial" w:cs="Arial" w:eastAsia="Arial" w:hAnsi="Arial"/>
          <w:sz w:val="22"/>
          <w:szCs w:val="22"/>
          <w:i w:val="1"/>
          <w:iCs w:val="1"/>
          <w:color w:val="auto"/>
        </w:rPr>
        <w:t>bewindvoerder</w:t>
      </w:r>
      <w:r>
        <w:rPr>
          <w:rFonts w:ascii="Arial" w:cs="Arial" w:eastAsia="Arial" w:hAnsi="Arial"/>
          <w:sz w:val="22"/>
          <w:szCs w:val="22"/>
          <w:color w:val="auto"/>
        </w:rPr>
        <w:t>; and</w:t>
      </w:r>
    </w:p>
    <w:p>
      <w:pPr>
        <w:spacing w:after="0" w:line="233" w:lineRule="exact"/>
        <w:rPr>
          <w:rFonts w:ascii="Arial" w:cs="Arial" w:eastAsia="Arial" w:hAnsi="Arial"/>
          <w:sz w:val="22"/>
          <w:szCs w:val="22"/>
          <w:color w:val="auto"/>
        </w:rPr>
      </w:pPr>
    </w:p>
    <w:p>
      <w:pPr>
        <w:ind w:left="1440" w:hanging="784"/>
        <w:spacing w:after="0"/>
        <w:tabs>
          <w:tab w:leader="none" w:pos="1440" w:val="left"/>
        </w:tabs>
        <w:numPr>
          <w:ilvl w:val="0"/>
          <w:numId w:val="150"/>
        </w:numPr>
        <w:rPr>
          <w:rFonts w:ascii="Arial" w:cs="Arial" w:eastAsia="Arial" w:hAnsi="Arial"/>
          <w:sz w:val="22"/>
          <w:szCs w:val="22"/>
          <w:color w:val="auto"/>
        </w:rPr>
      </w:pPr>
      <w:r>
        <w:rPr>
          <w:rFonts w:ascii="Arial" w:cs="Arial" w:eastAsia="Arial" w:hAnsi="Arial"/>
          <w:sz w:val="22"/>
          <w:szCs w:val="22"/>
          <w:color w:val="auto"/>
        </w:rPr>
        <w:t>an “</w:t>
      </w:r>
      <w:r>
        <w:rPr>
          <w:rFonts w:ascii="Arial" w:cs="Arial" w:eastAsia="Arial" w:hAnsi="Arial"/>
          <w:sz w:val="22"/>
          <w:szCs w:val="22"/>
          <w:u w:val="single" w:color="auto"/>
          <w:color w:val="auto"/>
        </w:rPr>
        <w:t>attachment</w:t>
      </w:r>
      <w:r>
        <w:rPr>
          <w:rFonts w:ascii="Arial" w:cs="Arial" w:eastAsia="Arial" w:hAnsi="Arial"/>
          <w:sz w:val="22"/>
          <w:szCs w:val="22"/>
          <w:color w:val="auto"/>
        </w:rPr>
        <w:t xml:space="preserve">” includes a </w:t>
      </w:r>
      <w:r>
        <w:rPr>
          <w:rFonts w:ascii="Arial" w:cs="Arial" w:eastAsia="Arial" w:hAnsi="Arial"/>
          <w:sz w:val="22"/>
          <w:szCs w:val="22"/>
          <w:i w:val="1"/>
          <w:iCs w:val="1"/>
          <w:color w:val="auto"/>
        </w:rPr>
        <w:t>beslag</w:t>
      </w:r>
      <w:r>
        <w:rPr>
          <w:rFonts w:ascii="Arial" w:cs="Arial" w:eastAsia="Arial" w:hAnsi="Arial"/>
          <w:sz w:val="22"/>
          <w:szCs w:val="22"/>
          <w:color w:val="auto"/>
        </w:rPr>
        <w:t xml:space="preserve"> and a “</w:t>
      </w:r>
      <w:r>
        <w:rPr>
          <w:rFonts w:ascii="Arial" w:cs="Arial" w:eastAsia="Arial" w:hAnsi="Arial"/>
          <w:sz w:val="22"/>
          <w:szCs w:val="22"/>
          <w:u w:val="single" w:color="auto"/>
          <w:color w:val="auto"/>
        </w:rPr>
        <w:t>prejudicial attachment</w:t>
      </w:r>
      <w:r>
        <w:rPr>
          <w:rFonts w:ascii="Arial" w:cs="Arial" w:eastAsia="Arial" w:hAnsi="Arial"/>
          <w:sz w:val="22"/>
          <w:szCs w:val="22"/>
          <w:color w:val="auto"/>
        </w:rPr>
        <w:t xml:space="preserve">” includes a </w:t>
      </w:r>
      <w:r>
        <w:rPr>
          <w:rFonts w:ascii="Arial" w:cs="Arial" w:eastAsia="Arial" w:hAnsi="Arial"/>
          <w:sz w:val="22"/>
          <w:szCs w:val="22"/>
          <w:i w:val="1"/>
          <w:iCs w:val="1"/>
          <w:color w:val="auto"/>
        </w:rPr>
        <w:t>conservatoir beslag</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380" w:hanging="724"/>
        <w:spacing w:after="0"/>
        <w:tabs>
          <w:tab w:leader="none" w:pos="1380" w:val="left"/>
        </w:tabs>
        <w:numPr>
          <w:ilvl w:val="0"/>
          <w:numId w:val="15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gross negligence</w:t>
      </w:r>
      <w:r>
        <w:rPr>
          <w:rFonts w:ascii="Arial" w:cs="Arial" w:eastAsia="Arial" w:hAnsi="Arial"/>
          <w:sz w:val="22"/>
          <w:szCs w:val="22"/>
          <w:color w:val="auto"/>
        </w:rPr>
        <w:t xml:space="preserve">” means, where Dutch law is applicable, </w:t>
      </w:r>
      <w:r>
        <w:rPr>
          <w:rFonts w:ascii="Arial" w:cs="Arial" w:eastAsia="Arial" w:hAnsi="Arial"/>
          <w:sz w:val="22"/>
          <w:szCs w:val="22"/>
          <w:i w:val="1"/>
          <w:iCs w:val="1"/>
          <w:color w:val="auto"/>
        </w:rPr>
        <w:t>grove schuld</w:t>
      </w:r>
      <w:r>
        <w:rPr>
          <w:rFonts w:ascii="Arial" w:cs="Arial" w:eastAsia="Arial" w:hAnsi="Arial"/>
          <w:sz w:val="22"/>
          <w:szCs w:val="22"/>
          <w:color w:val="auto"/>
        </w:rPr>
        <w:t>;</w:t>
      </w:r>
    </w:p>
    <w:p>
      <w:pPr>
        <w:spacing w:after="0" w:line="233"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1"/>
          <w:szCs w:val="21"/>
          <w:color w:val="auto"/>
        </w:rPr>
        <w:t>(f)</w:t>
      </w:r>
      <w:r>
        <w:rPr>
          <w:sz w:val="20"/>
          <w:szCs w:val="20"/>
          <w:color w:val="auto"/>
        </w:rPr>
        <w:tab/>
      </w:r>
      <w:r>
        <w:rPr>
          <w:rFonts w:ascii="Arial" w:cs="Arial" w:eastAsia="Arial" w:hAnsi="Arial"/>
          <w:sz w:val="21"/>
          <w:szCs w:val="21"/>
          <w:color w:val="auto"/>
        </w:rPr>
        <w:t xml:space="preserve">a </w:t>
      </w:r>
      <w:r>
        <w:rPr>
          <w:rFonts w:ascii="Arial" w:cs="Arial" w:eastAsia="Arial" w:hAnsi="Arial"/>
          <w:sz w:val="21"/>
          <w:szCs w:val="21"/>
          <w:u w:val="single" w:color="auto"/>
          <w:color w:val="auto"/>
        </w:rPr>
        <w:t>moratorium</w:t>
      </w:r>
      <w:r>
        <w:rPr>
          <w:rFonts w:ascii="Arial" w:cs="Arial" w:eastAsia="Arial" w:hAnsi="Arial"/>
          <w:sz w:val="21"/>
          <w:szCs w:val="21"/>
          <w:color w:val="auto"/>
        </w:rPr>
        <w:t xml:space="preserve"> includes </w:t>
      </w:r>
      <w:r>
        <w:rPr>
          <w:rFonts w:ascii="Arial" w:cs="Arial" w:eastAsia="Arial" w:hAnsi="Arial"/>
          <w:sz w:val="21"/>
          <w:szCs w:val="21"/>
          <w:i w:val="1"/>
          <w:iCs w:val="1"/>
          <w:color w:val="auto"/>
        </w:rPr>
        <w:t>surseance van betaling</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granted a moratorium</w:t>
      </w:r>
      <w:r>
        <w:rPr>
          <w:rFonts w:ascii="Arial" w:cs="Arial" w:eastAsia="Arial" w:hAnsi="Arial"/>
          <w:sz w:val="21"/>
          <w:szCs w:val="21"/>
          <w:color w:val="auto"/>
        </w:rPr>
        <w:t xml:space="preserve">  includes </w:t>
      </w:r>
      <w:r>
        <w:rPr>
          <w:rFonts w:ascii="Arial" w:cs="Arial" w:eastAsia="Arial" w:hAnsi="Arial"/>
          <w:sz w:val="21"/>
          <w:szCs w:val="21"/>
          <w:i w:val="1"/>
          <w:iCs w:val="1"/>
          <w:color w:val="auto"/>
        </w:rPr>
        <w:t>surseance verleend</w:t>
      </w:r>
      <w:r>
        <w:rPr>
          <w:rFonts w:ascii="Arial" w:cs="Arial" w:eastAsia="Arial" w:hAnsi="Arial"/>
          <w:sz w:val="21"/>
          <w:szCs w:val="21"/>
          <w:color w:val="auto"/>
        </w:rPr>
        <w:t>;</w:t>
      </w:r>
    </w:p>
    <w:p>
      <w:pPr>
        <w:spacing w:after="0" w:line="245" w:lineRule="exact"/>
        <w:rPr>
          <w:sz w:val="20"/>
          <w:szCs w:val="20"/>
          <w:color w:val="auto"/>
        </w:rPr>
      </w:pPr>
    </w:p>
    <w:p>
      <w:pPr>
        <w:ind w:left="1440" w:hanging="784"/>
        <w:spacing w:after="0"/>
        <w:tabs>
          <w:tab w:leader="none" w:pos="1440" w:val="left"/>
        </w:tabs>
        <w:numPr>
          <w:ilvl w:val="0"/>
          <w:numId w:val="1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insolvency</w:t>
      </w:r>
      <w:r>
        <w:rPr>
          <w:rFonts w:ascii="Arial" w:cs="Arial" w:eastAsia="Arial" w:hAnsi="Arial"/>
          <w:sz w:val="22"/>
          <w:szCs w:val="22"/>
          <w:color w:val="auto"/>
        </w:rPr>
        <w:t>” includes a bankruptcy and moratorium;</w:t>
      </w:r>
    </w:p>
    <w:p>
      <w:pPr>
        <w:spacing w:after="0" w:line="233" w:lineRule="exact"/>
        <w:rPr>
          <w:rFonts w:ascii="Arial" w:cs="Arial" w:eastAsia="Arial" w:hAnsi="Arial"/>
          <w:sz w:val="22"/>
          <w:szCs w:val="22"/>
          <w:color w:val="auto"/>
        </w:rPr>
      </w:pPr>
    </w:p>
    <w:p>
      <w:pPr>
        <w:ind w:left="1440" w:hanging="784"/>
        <w:spacing w:after="0"/>
        <w:tabs>
          <w:tab w:leader="none" w:pos="1440" w:val="left"/>
        </w:tabs>
        <w:numPr>
          <w:ilvl w:val="0"/>
          <w:numId w:val="1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negligence</w:t>
      </w:r>
      <w:r>
        <w:rPr>
          <w:rFonts w:ascii="Arial" w:cs="Arial" w:eastAsia="Arial" w:hAnsi="Arial"/>
          <w:sz w:val="22"/>
          <w:szCs w:val="22"/>
          <w:color w:val="auto"/>
        </w:rPr>
        <w:t xml:space="preserve">” means, where Dutch law is applicable, </w:t>
      </w:r>
      <w:r>
        <w:rPr>
          <w:rFonts w:ascii="Arial" w:cs="Arial" w:eastAsia="Arial" w:hAnsi="Arial"/>
          <w:sz w:val="22"/>
          <w:szCs w:val="22"/>
          <w:i w:val="1"/>
          <w:iCs w:val="1"/>
          <w:color w:val="auto"/>
        </w:rPr>
        <w:t>schuld</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656"/>
        <w:spacing w:after="0" w:line="238" w:lineRule="auto"/>
        <w:tabs>
          <w:tab w:leader="none" w:pos="1487" w:val="left"/>
        </w:tabs>
        <w:numPr>
          <w:ilvl w:val="0"/>
          <w:numId w:val="151"/>
        </w:numPr>
        <w:rPr>
          <w:rFonts w:ascii="Arial" w:cs="Arial" w:eastAsia="Arial" w:hAnsi="Arial"/>
          <w:sz w:val="22"/>
          <w:szCs w:val="22"/>
          <w:color w:val="auto"/>
        </w:rPr>
      </w:pPr>
      <w:r>
        <w:rPr>
          <w:rFonts w:ascii="Arial" w:cs="Arial" w:eastAsia="Arial" w:hAnsi="Arial"/>
          <w:sz w:val="22"/>
          <w:szCs w:val="22"/>
          <w:color w:val="auto"/>
        </w:rPr>
        <w:t>any authorization by all necessary corporate or other organizational action, where applicable, includes without limitation (i) any action required to comply with the Dutch Works Council Act (</w:t>
      </w:r>
      <w:r>
        <w:rPr>
          <w:rFonts w:ascii="Arial" w:cs="Arial" w:eastAsia="Arial" w:hAnsi="Arial"/>
          <w:sz w:val="22"/>
          <w:szCs w:val="22"/>
          <w:i w:val="1"/>
          <w:iCs w:val="1"/>
          <w:color w:val="auto"/>
        </w:rPr>
        <w:t>Wet op de ondernemingsraden</w:t>
      </w:r>
      <w:r>
        <w:rPr>
          <w:rFonts w:ascii="Arial" w:cs="Arial" w:eastAsia="Arial" w:hAnsi="Arial"/>
          <w:sz w:val="22"/>
          <w:szCs w:val="22"/>
          <w:color w:val="auto"/>
        </w:rPr>
        <w:t>) or (ii) obtaining an advice (</w:t>
      </w:r>
      <w:r>
        <w:rPr>
          <w:rFonts w:ascii="Arial" w:cs="Arial" w:eastAsia="Arial" w:hAnsi="Arial"/>
          <w:sz w:val="22"/>
          <w:szCs w:val="22"/>
          <w:i w:val="1"/>
          <w:iCs w:val="1"/>
          <w:color w:val="auto"/>
        </w:rPr>
        <w:t>advies</w:t>
      </w:r>
      <w:r>
        <w:rPr>
          <w:rFonts w:ascii="Arial" w:cs="Arial" w:eastAsia="Arial" w:hAnsi="Arial"/>
          <w:sz w:val="22"/>
          <w:szCs w:val="22"/>
          <w:color w:val="auto"/>
        </w:rPr>
        <w:t>) from each competent works council according to which the entrepreneur (</w:t>
      </w:r>
      <w:r>
        <w:rPr>
          <w:rFonts w:ascii="Arial" w:cs="Arial" w:eastAsia="Arial" w:hAnsi="Arial"/>
          <w:sz w:val="22"/>
          <w:szCs w:val="22"/>
          <w:i w:val="1"/>
          <w:iCs w:val="1"/>
          <w:color w:val="auto"/>
        </w:rPr>
        <w:t>ondernemer</w:t>
      </w:r>
      <w:r>
        <w:rPr>
          <w:rFonts w:ascii="Arial" w:cs="Arial" w:eastAsia="Arial" w:hAnsi="Arial"/>
          <w:sz w:val="22"/>
          <w:szCs w:val="22"/>
          <w:color w:val="auto"/>
        </w:rPr>
        <w:t>) can pursue with the transactions contemplated;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3" w:name="page244"/>
    <w:bookmarkEnd w:id="243"/>
    <w:p>
      <w:pPr>
        <w:jc w:val="both"/>
        <w:ind w:firstLine="656"/>
        <w:spacing w:after="0" w:line="241" w:lineRule="auto"/>
        <w:tabs>
          <w:tab w:leader="none" w:pos="1395" w:val="left"/>
        </w:tabs>
        <w:numPr>
          <w:ilvl w:val="0"/>
          <w:numId w:val="152"/>
        </w:numPr>
        <w:rPr>
          <w:rFonts w:ascii="Arial" w:cs="Arial" w:eastAsia="Arial" w:hAnsi="Arial"/>
          <w:sz w:val="22"/>
          <w:szCs w:val="22"/>
          <w:color w:val="auto"/>
        </w:rPr>
      </w:pPr>
      <w:r>
        <w:rPr>
          <w:rFonts w:ascii="Arial" w:cs="Arial" w:eastAsia="Arial" w:hAnsi="Arial"/>
          <w:sz w:val="22"/>
          <w:szCs w:val="22"/>
          <w:color w:val="auto"/>
        </w:rPr>
        <w:t>a “</w:t>
      </w:r>
      <w:r>
        <w:rPr>
          <w:rFonts w:ascii="Arial" w:cs="Arial" w:eastAsia="Arial" w:hAnsi="Arial"/>
          <w:sz w:val="22"/>
          <w:szCs w:val="22"/>
          <w:u w:val="single" w:color="auto"/>
          <w:color w:val="auto"/>
        </w:rPr>
        <w:t>subsidiary</w:t>
      </w:r>
      <w:r>
        <w:rPr>
          <w:rFonts w:ascii="Arial" w:cs="Arial" w:eastAsia="Arial" w:hAnsi="Arial"/>
          <w:sz w:val="22"/>
          <w:szCs w:val="22"/>
          <w:color w:val="auto"/>
        </w:rPr>
        <w:t>” includes a ‘</w:t>
      </w:r>
      <w:r>
        <w:rPr>
          <w:rFonts w:ascii="Arial" w:cs="Arial" w:eastAsia="Arial" w:hAnsi="Arial"/>
          <w:sz w:val="22"/>
          <w:szCs w:val="22"/>
          <w:i w:val="1"/>
          <w:iCs w:val="1"/>
          <w:color w:val="auto"/>
        </w:rPr>
        <w:t>dochtermaatschappij</w:t>
      </w:r>
      <w:r>
        <w:rPr>
          <w:rFonts w:ascii="Arial" w:cs="Arial" w:eastAsia="Arial" w:hAnsi="Arial"/>
          <w:sz w:val="22"/>
          <w:szCs w:val="22"/>
          <w:color w:val="auto"/>
        </w:rPr>
        <w:t>’ within the meaning of section 2:24a of the Dutch Civil Code (</w:t>
      </w:r>
      <w:r>
        <w:rPr>
          <w:rFonts w:ascii="Arial" w:cs="Arial" w:eastAsia="Arial" w:hAnsi="Arial"/>
          <w:sz w:val="22"/>
          <w:szCs w:val="22"/>
          <w:i w:val="1"/>
          <w:iCs w:val="1"/>
          <w:color w:val="auto"/>
        </w:rPr>
        <w:t>Burgerlijk Wetboek</w:t>
      </w:r>
      <w:r>
        <w:rPr>
          <w:rFonts w:ascii="Arial" w:cs="Arial" w:eastAsia="Arial" w:hAnsi="Arial"/>
          <w:sz w:val="22"/>
          <w:szCs w:val="22"/>
          <w:color w:val="auto"/>
        </w:rPr>
        <w:t>) (regardless of whether the shares or voting rights in the shares in such company are held directly or indirectly through another ‘</w:t>
      </w:r>
      <w:r>
        <w:rPr>
          <w:rFonts w:ascii="Arial" w:cs="Arial" w:eastAsia="Arial" w:hAnsi="Arial"/>
          <w:sz w:val="22"/>
          <w:szCs w:val="22"/>
          <w:i w:val="1"/>
          <w:iCs w:val="1"/>
          <w:color w:val="auto"/>
        </w:rPr>
        <w:t>dochtermaatschappij’</w:t>
      </w:r>
      <w:r>
        <w:rPr>
          <w:rFonts w:ascii="Arial" w:cs="Arial" w:eastAsia="Arial" w:hAnsi="Arial"/>
          <w:sz w:val="22"/>
          <w:szCs w:val="22"/>
          <w:color w:val="auto"/>
        </w:rPr>
        <w:t>);</w:t>
      </w:r>
    </w:p>
    <w:p>
      <w:pPr>
        <w:spacing w:after="0" w:line="210" w:lineRule="exact"/>
        <w:rPr>
          <w:rFonts w:ascii="Arial" w:cs="Arial" w:eastAsia="Arial" w:hAnsi="Arial"/>
          <w:sz w:val="22"/>
          <w:szCs w:val="22"/>
          <w:color w:val="auto"/>
        </w:rPr>
      </w:pPr>
    </w:p>
    <w:p>
      <w:pPr>
        <w:jc w:val="both"/>
        <w:ind w:firstLine="656"/>
        <w:spacing w:after="0" w:line="297" w:lineRule="auto"/>
        <w:tabs>
          <w:tab w:leader="none" w:pos="1429" w:val="left"/>
        </w:tabs>
        <w:numPr>
          <w:ilvl w:val="0"/>
          <w:numId w:val="152"/>
        </w:numPr>
        <w:rPr>
          <w:rFonts w:ascii="Arial" w:cs="Arial" w:eastAsia="Arial" w:hAnsi="Arial"/>
          <w:sz w:val="19"/>
          <w:szCs w:val="19"/>
          <w:color w:val="auto"/>
        </w:rPr>
      </w:pPr>
      <w:r>
        <w:rPr>
          <w:rFonts w:ascii="Arial" w:cs="Arial" w:eastAsia="Arial" w:hAnsi="Arial"/>
          <w:sz w:val="19"/>
          <w:szCs w:val="19"/>
          <w:color w:val="auto"/>
        </w:rPr>
        <w:t>a “</w:t>
      </w:r>
      <w:r>
        <w:rPr>
          <w:rFonts w:ascii="Arial" w:cs="Arial" w:eastAsia="Arial" w:hAnsi="Arial"/>
          <w:sz w:val="19"/>
          <w:szCs w:val="19"/>
          <w:u w:val="single" w:color="auto"/>
          <w:color w:val="auto"/>
        </w:rPr>
        <w:t>security interest</w:t>
      </w:r>
      <w:r>
        <w:rPr>
          <w:rFonts w:ascii="Arial" w:cs="Arial" w:eastAsia="Arial" w:hAnsi="Arial"/>
          <w:sz w:val="19"/>
          <w:szCs w:val="19"/>
          <w:color w:val="auto"/>
        </w:rPr>
        <w:t>” includes any mortgage (</w:t>
      </w:r>
      <w:r>
        <w:rPr>
          <w:rFonts w:ascii="Arial" w:cs="Arial" w:eastAsia="Arial" w:hAnsi="Arial"/>
          <w:sz w:val="19"/>
          <w:szCs w:val="19"/>
          <w:i w:val="1"/>
          <w:iCs w:val="1"/>
          <w:color w:val="auto"/>
        </w:rPr>
        <w:t>hypotheek</w:t>
      </w:r>
      <w:r>
        <w:rPr>
          <w:rFonts w:ascii="Arial" w:cs="Arial" w:eastAsia="Arial" w:hAnsi="Arial"/>
          <w:sz w:val="19"/>
          <w:szCs w:val="19"/>
          <w:color w:val="auto"/>
        </w:rPr>
        <w:t>), pledge (</w:t>
      </w:r>
      <w:r>
        <w:rPr>
          <w:rFonts w:ascii="Arial" w:cs="Arial" w:eastAsia="Arial" w:hAnsi="Arial"/>
          <w:sz w:val="19"/>
          <w:szCs w:val="19"/>
          <w:i w:val="1"/>
          <w:iCs w:val="1"/>
          <w:color w:val="auto"/>
        </w:rPr>
        <w:t>pandrecht</w:t>
      </w:r>
      <w:r>
        <w:rPr>
          <w:rFonts w:ascii="Arial" w:cs="Arial" w:eastAsia="Arial" w:hAnsi="Arial"/>
          <w:sz w:val="19"/>
          <w:szCs w:val="19"/>
          <w:color w:val="auto"/>
        </w:rPr>
        <w:t>), retention of title arrangement (</w:t>
      </w:r>
      <w:r>
        <w:rPr>
          <w:rFonts w:ascii="Arial" w:cs="Arial" w:eastAsia="Arial" w:hAnsi="Arial"/>
          <w:sz w:val="19"/>
          <w:szCs w:val="19"/>
          <w:i w:val="1"/>
          <w:iCs w:val="1"/>
          <w:color w:val="auto"/>
        </w:rPr>
        <w:t>eigendomsvoorbehoud</w:t>
      </w:r>
      <w:r>
        <w:rPr>
          <w:rFonts w:ascii="Arial" w:cs="Arial" w:eastAsia="Arial" w:hAnsi="Arial"/>
          <w:sz w:val="19"/>
          <w:szCs w:val="19"/>
          <w:color w:val="auto"/>
        </w:rPr>
        <w:t>), privilege (</w:t>
      </w:r>
      <w:r>
        <w:rPr>
          <w:rFonts w:ascii="Arial" w:cs="Arial" w:eastAsia="Arial" w:hAnsi="Arial"/>
          <w:sz w:val="19"/>
          <w:szCs w:val="19"/>
          <w:i w:val="1"/>
          <w:iCs w:val="1"/>
          <w:color w:val="auto"/>
        </w:rPr>
        <w:t>voorrecht</w:t>
      </w:r>
      <w:r>
        <w:rPr>
          <w:rFonts w:ascii="Arial" w:cs="Arial" w:eastAsia="Arial" w:hAnsi="Arial"/>
          <w:sz w:val="19"/>
          <w:szCs w:val="19"/>
          <w:color w:val="auto"/>
        </w:rPr>
        <w:t>), right of retention (</w:t>
      </w:r>
      <w:r>
        <w:rPr>
          <w:rFonts w:ascii="Arial" w:cs="Arial" w:eastAsia="Arial" w:hAnsi="Arial"/>
          <w:sz w:val="19"/>
          <w:szCs w:val="19"/>
          <w:i w:val="1"/>
          <w:iCs w:val="1"/>
          <w:color w:val="auto"/>
        </w:rPr>
        <w:t>recht van retentie</w:t>
      </w:r>
      <w:r>
        <w:rPr>
          <w:rFonts w:ascii="Arial" w:cs="Arial" w:eastAsia="Arial" w:hAnsi="Arial"/>
          <w:sz w:val="19"/>
          <w:szCs w:val="19"/>
          <w:color w:val="auto"/>
        </w:rPr>
        <w:t>), right to reclaim goods (</w:t>
      </w:r>
      <w:r>
        <w:rPr>
          <w:rFonts w:ascii="Arial" w:cs="Arial" w:eastAsia="Arial" w:hAnsi="Arial"/>
          <w:sz w:val="19"/>
          <w:szCs w:val="19"/>
          <w:i w:val="1"/>
          <w:iCs w:val="1"/>
          <w:color w:val="auto"/>
        </w:rPr>
        <w:t>recht van reclame</w:t>
      </w:r>
      <w:r>
        <w:rPr>
          <w:rFonts w:ascii="Arial" w:cs="Arial" w:eastAsia="Arial" w:hAnsi="Arial"/>
          <w:sz w:val="19"/>
          <w:szCs w:val="19"/>
          <w:color w:val="auto"/>
        </w:rPr>
        <w:t>), and, in general, any right in rem (</w:t>
      </w:r>
      <w:r>
        <w:rPr>
          <w:rFonts w:ascii="Arial" w:cs="Arial" w:eastAsia="Arial" w:hAnsi="Arial"/>
          <w:sz w:val="19"/>
          <w:szCs w:val="19"/>
          <w:i w:val="1"/>
          <w:iCs w:val="1"/>
          <w:color w:val="auto"/>
        </w:rPr>
        <w:t>beperkt recht</w:t>
      </w:r>
      <w:r>
        <w:rPr>
          <w:rFonts w:ascii="Arial" w:cs="Arial" w:eastAsia="Arial" w:hAnsi="Arial"/>
          <w:sz w:val="19"/>
          <w:szCs w:val="19"/>
          <w:color w:val="auto"/>
        </w:rPr>
        <w:t>) created for the purpose of granting security (</w:t>
      </w:r>
      <w:r>
        <w:rPr>
          <w:rFonts w:ascii="Arial" w:cs="Arial" w:eastAsia="Arial" w:hAnsi="Arial"/>
          <w:sz w:val="19"/>
          <w:szCs w:val="19"/>
          <w:i w:val="1"/>
          <w:iCs w:val="1"/>
          <w:color w:val="auto"/>
        </w:rPr>
        <w:t>goederenrechtelijk zekerheidsrecht</w:t>
      </w:r>
      <w:r>
        <w:rPr>
          <w:rFonts w:ascii="Arial" w:cs="Arial" w:eastAsia="Arial" w:hAnsi="Arial"/>
          <w:sz w:val="19"/>
          <w:szCs w:val="19"/>
          <w:color w:val="auto"/>
        </w:rPr>
        <w:t>);</w:t>
      </w:r>
    </w:p>
    <w:p>
      <w:pPr>
        <w:spacing w:after="0" w:line="160" w:lineRule="exact"/>
        <w:rPr>
          <w:rFonts w:ascii="Arial" w:cs="Arial" w:eastAsia="Arial" w:hAnsi="Arial"/>
          <w:sz w:val="19"/>
          <w:szCs w:val="19"/>
          <w:color w:val="auto"/>
        </w:rPr>
      </w:pPr>
    </w:p>
    <w:p>
      <w:pPr>
        <w:jc w:val="both"/>
        <w:ind w:firstLine="656"/>
        <w:spacing w:after="0" w:line="282" w:lineRule="auto"/>
        <w:tabs>
          <w:tab w:leader="none" w:pos="1453" w:val="left"/>
        </w:tabs>
        <w:numPr>
          <w:ilvl w:val="0"/>
          <w:numId w:val="152"/>
        </w:numPr>
        <w:rPr>
          <w:rFonts w:ascii="Arial" w:cs="Arial" w:eastAsia="Arial" w:hAnsi="Arial"/>
          <w:sz w:val="19"/>
          <w:szCs w:val="19"/>
          <w:color w:val="auto"/>
        </w:rPr>
      </w:pPr>
      <w:r>
        <w:rPr>
          <w:rFonts w:ascii="Arial" w:cs="Arial" w:eastAsia="Arial" w:hAnsi="Arial"/>
          <w:sz w:val="19"/>
          <w:szCs w:val="19"/>
          <w:color w:val="auto"/>
        </w:rPr>
        <w:t>any “</w:t>
      </w:r>
      <w:r>
        <w:rPr>
          <w:rFonts w:ascii="Arial" w:cs="Arial" w:eastAsia="Arial" w:hAnsi="Arial"/>
          <w:sz w:val="19"/>
          <w:szCs w:val="19"/>
          <w:u w:val="single" w:color="auto"/>
          <w:color w:val="auto"/>
        </w:rPr>
        <w:t>procedure</w:t>
      </w:r>
      <w:r>
        <w:rPr>
          <w:rFonts w:ascii="Arial" w:cs="Arial" w:eastAsia="Arial" w:hAnsi="Arial"/>
          <w:sz w:val="19"/>
          <w:szCs w:val="19"/>
          <w:color w:val="auto"/>
        </w:rPr>
        <w:t>” or “</w:t>
      </w:r>
      <w:r>
        <w:rPr>
          <w:rFonts w:ascii="Arial" w:cs="Arial" w:eastAsia="Arial" w:hAnsi="Arial"/>
          <w:sz w:val="19"/>
          <w:szCs w:val="19"/>
          <w:u w:val="single" w:color="auto"/>
          <w:color w:val="auto"/>
        </w:rPr>
        <w:t>step</w:t>
      </w:r>
      <w:r>
        <w:rPr>
          <w:rFonts w:ascii="Arial" w:cs="Arial" w:eastAsia="Arial" w:hAnsi="Arial"/>
          <w:sz w:val="19"/>
          <w:szCs w:val="19"/>
          <w:color w:val="auto"/>
        </w:rPr>
        <w:t>” taken in connection with insolvency proceedings includes a Dutch entity having filed notice under section 36 of the Netherlands Tax Collection Act 1990 (</w:t>
      </w:r>
      <w:r>
        <w:rPr>
          <w:rFonts w:ascii="Arial" w:cs="Arial" w:eastAsia="Arial" w:hAnsi="Arial"/>
          <w:sz w:val="19"/>
          <w:szCs w:val="19"/>
          <w:i w:val="1"/>
          <w:iCs w:val="1"/>
          <w:color w:val="auto"/>
        </w:rPr>
        <w:t>Invorderingswet 1990</w:t>
      </w:r>
      <w:r>
        <w:rPr>
          <w:rFonts w:ascii="Arial" w:cs="Arial" w:eastAsia="Arial" w:hAnsi="Arial"/>
          <w:sz w:val="19"/>
          <w:szCs w:val="19"/>
          <w:color w:val="auto"/>
        </w:rPr>
        <w:t>), section 60 of the Social Insurance Financing Act of the Netherlands (</w:t>
      </w:r>
      <w:r>
        <w:rPr>
          <w:rFonts w:ascii="Arial" w:cs="Arial" w:eastAsia="Arial" w:hAnsi="Arial"/>
          <w:sz w:val="19"/>
          <w:szCs w:val="19"/>
          <w:i w:val="1"/>
          <w:iCs w:val="1"/>
          <w:color w:val="auto"/>
        </w:rPr>
        <w:t>Wet Financiering Sociale Verzekeringen</w:t>
      </w:r>
      <w:r>
        <w:rPr>
          <w:rFonts w:ascii="Arial" w:cs="Arial" w:eastAsia="Arial" w:hAnsi="Arial"/>
          <w:sz w:val="19"/>
          <w:szCs w:val="19"/>
          <w:color w:val="auto"/>
        </w:rPr>
        <w:t>) in conjunction with section 36 of the Tax Collection Act of the Netherlands (</w:t>
      </w:r>
      <w:r>
        <w:rPr>
          <w:rFonts w:ascii="Arial" w:cs="Arial" w:eastAsia="Arial" w:hAnsi="Arial"/>
          <w:sz w:val="19"/>
          <w:szCs w:val="19"/>
          <w:i w:val="1"/>
          <w:iCs w:val="1"/>
          <w:color w:val="auto"/>
        </w:rPr>
        <w:t>Invorderingswet 1990</w:t>
      </w:r>
      <w:r>
        <w:rPr>
          <w:rFonts w:ascii="Arial" w:cs="Arial" w:eastAsia="Arial" w:hAnsi="Arial"/>
          <w:sz w:val="19"/>
          <w:szCs w:val="19"/>
          <w:color w:val="auto"/>
        </w:rPr>
        <w:t xml:space="preserve">) or public and/or undisclosed preventive restructuring processes within the meaning of the second part </w:t>
      </w:r>
      <w:r>
        <w:rPr>
          <w:rFonts w:ascii="Arial" w:cs="Arial" w:eastAsia="Arial" w:hAnsi="Arial"/>
          <w:sz w:val="19"/>
          <w:szCs w:val="19"/>
          <w:i w:val="1"/>
          <w:iCs w:val="1"/>
          <w:color w:val="auto"/>
        </w:rPr>
        <w:t>(Tweede afdeling</w:t>
      </w:r>
      <w:r>
        <w:rPr>
          <w:rFonts w:ascii="Arial" w:cs="Arial" w:eastAsia="Arial" w:hAnsi="Arial"/>
          <w:sz w:val="19"/>
          <w:szCs w:val="19"/>
          <w:color w:val="auto"/>
        </w:rPr>
        <w:t xml:space="preserve">) of the Dutch Bankruptcy Act </w:t>
      </w:r>
      <w:r>
        <w:rPr>
          <w:rFonts w:ascii="Arial" w:cs="Arial" w:eastAsia="Arial" w:hAnsi="Arial"/>
          <w:sz w:val="19"/>
          <w:szCs w:val="19"/>
          <w:i w:val="1"/>
          <w:iCs w:val="1"/>
          <w:color w:val="auto"/>
        </w:rPr>
        <w:t>(Failissementswet</w:t>
      </w:r>
      <w:r>
        <w:rPr>
          <w:rFonts w:ascii="Arial" w:cs="Arial" w:eastAsia="Arial" w:hAnsi="Arial"/>
          <w:sz w:val="19"/>
          <w:szCs w:val="19"/>
          <w:color w:val="auto"/>
        </w:rPr>
        <w:t>) (sections 369 et seq.)</w:t>
      </w:r>
      <w:r>
        <w:rPr>
          <w:rFonts w:ascii="Arial" w:cs="Arial" w:eastAsia="Arial" w:hAnsi="Arial"/>
          <w:sz w:val="19"/>
          <w:szCs w:val="19"/>
          <w:i w:val="1"/>
          <w:iCs w:val="1"/>
          <w:color w:val="auto"/>
        </w:rPr>
        <w:t>;</w:t>
      </w:r>
    </w:p>
    <w:p>
      <w:pPr>
        <w:spacing w:after="0" w:line="174" w:lineRule="exact"/>
        <w:rPr>
          <w:rFonts w:ascii="Arial" w:cs="Arial" w:eastAsia="Arial" w:hAnsi="Arial"/>
          <w:sz w:val="19"/>
          <w:szCs w:val="19"/>
          <w:color w:val="auto"/>
        </w:rPr>
      </w:pPr>
    </w:p>
    <w:p>
      <w:pPr>
        <w:ind w:left="1400" w:hanging="744"/>
        <w:spacing w:after="0"/>
        <w:tabs>
          <w:tab w:leader="none" w:pos="1400" w:val="left"/>
        </w:tabs>
        <w:numPr>
          <w:ilvl w:val="0"/>
          <w:numId w:val="152"/>
        </w:numPr>
        <w:rPr>
          <w:rFonts w:ascii="Arial" w:cs="Arial" w:eastAsia="Arial" w:hAnsi="Arial"/>
          <w:sz w:val="22"/>
          <w:szCs w:val="22"/>
          <w:color w:val="auto"/>
        </w:rPr>
      </w:pPr>
      <w:r>
        <w:rPr>
          <w:rFonts w:ascii="Arial" w:cs="Arial" w:eastAsia="Arial" w:hAnsi="Arial"/>
          <w:sz w:val="22"/>
          <w:szCs w:val="22"/>
          <w:color w:val="auto"/>
        </w:rPr>
        <w:t>a “</w:t>
      </w:r>
      <w:r>
        <w:rPr>
          <w:rFonts w:ascii="Arial" w:cs="Arial" w:eastAsia="Arial" w:hAnsi="Arial"/>
          <w:sz w:val="22"/>
          <w:szCs w:val="22"/>
          <w:u w:val="single" w:color="auto"/>
          <w:color w:val="auto"/>
        </w:rPr>
        <w:t>trustee in bankruptcy</w:t>
      </w:r>
      <w:r>
        <w:rPr>
          <w:rFonts w:ascii="Arial" w:cs="Arial" w:eastAsia="Arial" w:hAnsi="Arial"/>
          <w:sz w:val="22"/>
          <w:szCs w:val="22"/>
          <w:color w:val="auto"/>
        </w:rPr>
        <w:t xml:space="preserve">” includes a </w:t>
      </w:r>
      <w:r>
        <w:rPr>
          <w:rFonts w:ascii="Arial" w:cs="Arial" w:eastAsia="Arial" w:hAnsi="Arial"/>
          <w:sz w:val="22"/>
          <w:szCs w:val="22"/>
          <w:i w:val="1"/>
          <w:iCs w:val="1"/>
          <w:color w:val="auto"/>
        </w:rPr>
        <w:t>curator</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400" w:hanging="744"/>
        <w:spacing w:after="0"/>
        <w:tabs>
          <w:tab w:leader="none" w:pos="1400" w:val="left"/>
        </w:tabs>
        <w:numPr>
          <w:ilvl w:val="0"/>
          <w:numId w:val="152"/>
        </w:numPr>
        <w:rPr>
          <w:rFonts w:ascii="Arial" w:cs="Arial" w:eastAsia="Arial" w:hAnsi="Arial"/>
          <w:sz w:val="22"/>
          <w:szCs w:val="22"/>
          <w:color w:val="auto"/>
        </w:rPr>
      </w:pPr>
      <w:r>
        <w:rPr>
          <w:rFonts w:ascii="Arial" w:cs="Arial" w:eastAsia="Arial" w:hAnsi="Arial"/>
          <w:sz w:val="22"/>
          <w:szCs w:val="22"/>
          <w:color w:val="auto"/>
        </w:rPr>
        <w:t>a “</w:t>
      </w:r>
      <w:r>
        <w:rPr>
          <w:rFonts w:ascii="Arial" w:cs="Arial" w:eastAsia="Arial" w:hAnsi="Arial"/>
          <w:sz w:val="22"/>
          <w:szCs w:val="22"/>
          <w:u w:val="single" w:color="auto"/>
          <w:color w:val="auto"/>
        </w:rPr>
        <w:t>liquidator</w:t>
      </w:r>
      <w:r>
        <w:rPr>
          <w:rFonts w:ascii="Arial" w:cs="Arial" w:eastAsia="Arial" w:hAnsi="Arial"/>
          <w:sz w:val="22"/>
          <w:szCs w:val="22"/>
          <w:color w:val="auto"/>
        </w:rPr>
        <w:t xml:space="preserve">” includes a </w:t>
      </w:r>
      <w:r>
        <w:rPr>
          <w:rFonts w:ascii="Arial" w:cs="Arial" w:eastAsia="Arial" w:hAnsi="Arial"/>
          <w:sz w:val="22"/>
          <w:szCs w:val="22"/>
          <w:i w:val="1"/>
          <w:iCs w:val="1"/>
          <w:color w:val="auto"/>
        </w:rPr>
        <w:t>curator</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400" w:hanging="744"/>
        <w:spacing w:after="0"/>
        <w:tabs>
          <w:tab w:leader="none" w:pos="1400" w:val="left"/>
        </w:tabs>
        <w:numPr>
          <w:ilvl w:val="0"/>
          <w:numId w:val="15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willful misconduct</w:t>
      </w:r>
      <w:r>
        <w:rPr>
          <w:rFonts w:ascii="Arial" w:cs="Arial" w:eastAsia="Arial" w:hAnsi="Arial"/>
          <w:sz w:val="22"/>
          <w:szCs w:val="22"/>
          <w:color w:val="auto"/>
        </w:rPr>
        <w:t xml:space="preserve">” means, where Dutch law is applicable, </w:t>
      </w:r>
      <w:r>
        <w:rPr>
          <w:rFonts w:ascii="Arial" w:cs="Arial" w:eastAsia="Arial" w:hAnsi="Arial"/>
          <w:sz w:val="22"/>
          <w:szCs w:val="22"/>
          <w:i w:val="1"/>
          <w:iCs w:val="1"/>
          <w:color w:val="auto"/>
        </w:rPr>
        <w:t>opzet</w:t>
      </w:r>
      <w:r>
        <w:rPr>
          <w:rFonts w:ascii="Arial" w:cs="Arial" w:eastAsia="Arial" w:hAnsi="Arial"/>
          <w:sz w:val="22"/>
          <w:szCs w:val="22"/>
          <w:color w:val="auto"/>
        </w:rPr>
        <w:t>; and</w:t>
      </w:r>
    </w:p>
    <w:p>
      <w:pPr>
        <w:spacing w:after="0" w:line="233" w:lineRule="exact"/>
        <w:rPr>
          <w:rFonts w:ascii="Arial" w:cs="Arial" w:eastAsia="Arial" w:hAnsi="Arial"/>
          <w:sz w:val="22"/>
          <w:szCs w:val="22"/>
          <w:color w:val="auto"/>
        </w:rPr>
      </w:pPr>
    </w:p>
    <w:p>
      <w:pPr>
        <w:ind w:right="20" w:firstLine="656"/>
        <w:spacing w:after="0" w:line="250" w:lineRule="auto"/>
        <w:tabs>
          <w:tab w:leader="none" w:pos="1410" w:val="left"/>
        </w:tabs>
        <w:numPr>
          <w:ilvl w:val="0"/>
          <w:numId w:val="152"/>
        </w:numPr>
        <w:rPr>
          <w:rFonts w:ascii="Arial" w:cs="Arial" w:eastAsia="Arial" w:hAnsi="Arial"/>
          <w:sz w:val="22"/>
          <w:szCs w:val="22"/>
          <w:color w:val="auto"/>
        </w:rPr>
      </w:pPr>
      <w:r>
        <w:rPr>
          <w:rFonts w:ascii="Arial" w:cs="Arial" w:eastAsia="Arial" w:hAnsi="Arial"/>
          <w:sz w:val="22"/>
          <w:szCs w:val="22"/>
          <w:color w:val="auto"/>
        </w:rPr>
        <w:t>a “</w:t>
      </w:r>
      <w:r>
        <w:rPr>
          <w:rFonts w:ascii="Arial" w:cs="Arial" w:eastAsia="Arial" w:hAnsi="Arial"/>
          <w:sz w:val="22"/>
          <w:szCs w:val="22"/>
          <w:u w:val="single" w:color="auto"/>
          <w:color w:val="auto"/>
        </w:rPr>
        <w:t>winding-up</w:t>
      </w:r>
      <w:r>
        <w:rPr>
          <w:rFonts w:ascii="Arial" w:cs="Arial" w:eastAsia="Arial" w:hAnsi="Arial"/>
          <w:sz w:val="22"/>
          <w:szCs w:val="22"/>
          <w:color w:val="auto"/>
        </w:rPr>
        <w:t>”, “</w:t>
      </w:r>
      <w:r>
        <w:rPr>
          <w:rFonts w:ascii="Arial" w:cs="Arial" w:eastAsia="Arial" w:hAnsi="Arial"/>
          <w:sz w:val="22"/>
          <w:szCs w:val="22"/>
          <w:u w:val="single" w:color="auto"/>
          <w:color w:val="auto"/>
        </w:rPr>
        <w:t>liquidation</w:t>
      </w:r>
      <w:r>
        <w:rPr>
          <w:rFonts w:ascii="Arial" w:cs="Arial" w:eastAsia="Arial" w:hAnsi="Arial"/>
          <w:sz w:val="22"/>
          <w:szCs w:val="22"/>
          <w:color w:val="auto"/>
        </w:rPr>
        <w:t>”, “</w:t>
      </w:r>
      <w:r>
        <w:rPr>
          <w:rFonts w:ascii="Arial" w:cs="Arial" w:eastAsia="Arial" w:hAnsi="Arial"/>
          <w:sz w:val="22"/>
          <w:szCs w:val="22"/>
          <w:u w:val="single" w:color="auto"/>
          <w:color w:val="auto"/>
        </w:rPr>
        <w:t>administration</w:t>
      </w:r>
      <w:r>
        <w:rPr>
          <w:rFonts w:ascii="Arial" w:cs="Arial" w:eastAsia="Arial" w:hAnsi="Arial"/>
          <w:sz w:val="22"/>
          <w:szCs w:val="22"/>
          <w:color w:val="auto"/>
        </w:rPr>
        <w:t>” or “</w:t>
      </w:r>
      <w:r>
        <w:rPr>
          <w:rFonts w:ascii="Arial" w:cs="Arial" w:eastAsia="Arial" w:hAnsi="Arial"/>
          <w:sz w:val="22"/>
          <w:szCs w:val="22"/>
          <w:u w:val="single" w:color="auto"/>
          <w:color w:val="auto"/>
        </w:rPr>
        <w:t>dissolution</w:t>
      </w:r>
      <w:r>
        <w:rPr>
          <w:rFonts w:ascii="Arial" w:cs="Arial" w:eastAsia="Arial" w:hAnsi="Arial"/>
          <w:sz w:val="22"/>
          <w:szCs w:val="22"/>
          <w:color w:val="auto"/>
        </w:rPr>
        <w:t>” (and any of those terms) includes a Dutch entity being declared bankrupt (</w:t>
      </w:r>
      <w:r>
        <w:rPr>
          <w:rFonts w:ascii="Arial" w:cs="Arial" w:eastAsia="Arial" w:hAnsi="Arial"/>
          <w:sz w:val="22"/>
          <w:szCs w:val="22"/>
          <w:i w:val="1"/>
          <w:iCs w:val="1"/>
          <w:color w:val="auto"/>
        </w:rPr>
        <w:t>failliet verklaard</w:t>
      </w:r>
      <w:r>
        <w:rPr>
          <w:rFonts w:ascii="Arial" w:cs="Arial" w:eastAsia="Arial" w:hAnsi="Arial"/>
          <w:sz w:val="22"/>
          <w:szCs w:val="22"/>
          <w:color w:val="auto"/>
        </w:rPr>
        <w:t>) or dissolved (</w:t>
      </w:r>
      <w:r>
        <w:rPr>
          <w:rFonts w:ascii="Arial" w:cs="Arial" w:eastAsia="Arial" w:hAnsi="Arial"/>
          <w:sz w:val="22"/>
          <w:szCs w:val="22"/>
          <w:i w:val="1"/>
          <w:iCs w:val="1"/>
          <w:color w:val="auto"/>
        </w:rPr>
        <w:t>ontbonden</w:t>
      </w:r>
      <w:r>
        <w:rPr>
          <w:rFonts w:ascii="Arial" w:cs="Arial" w:eastAsia="Arial" w:hAnsi="Arial"/>
          <w:sz w:val="22"/>
          <w:szCs w:val="22"/>
          <w:color w:val="auto"/>
        </w:rPr>
        <w: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The Credits</w:t>
      </w:r>
    </w:p>
    <w:p>
      <w:pPr>
        <w:spacing w:after="0" w:line="233"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 xml:space="preserve">SECTION 2.01. </w:t>
      </w:r>
      <w:r>
        <w:rPr>
          <w:rFonts w:ascii="Arial" w:cs="Arial" w:eastAsia="Arial" w:hAnsi="Arial"/>
          <w:sz w:val="22"/>
          <w:szCs w:val="22"/>
          <w:u w:val="single" w:color="auto"/>
          <w:color w:val="auto"/>
        </w:rPr>
        <w:t>Commitments</w:t>
      </w:r>
      <w:r>
        <w:rPr>
          <w:rFonts w:ascii="Arial" w:cs="Arial" w:eastAsia="Arial" w:hAnsi="Arial"/>
          <w:sz w:val="22"/>
          <w:szCs w:val="22"/>
          <w:color w:val="auto"/>
        </w:rPr>
        <w:t>. Subject to the terms and conditions set forth herein, each Lender agrees to make Revolving Loans denominated in dollars or in any Alternative Currency to the Borrowers from time to time, in each case during the Availability Period, in an aggregate principal amount that will not result in such Lender’s Revolving Exposure exceeding such Lender’s Commitment. Within the foregoing limits and subject to the terms and conditions set forth herein, the Borrowers may borrow, prepay and reborrow Revolving Loans.</w:t>
      </w:r>
    </w:p>
    <w:p>
      <w:pPr>
        <w:spacing w:after="0" w:line="214" w:lineRule="exact"/>
        <w:rPr>
          <w:sz w:val="20"/>
          <w:szCs w:val="20"/>
          <w:color w:val="auto"/>
        </w:rPr>
      </w:pPr>
    </w:p>
    <w:p>
      <w:pPr>
        <w:ind w:left="660"/>
        <w:spacing w:after="0"/>
        <w:tabs>
          <w:tab w:leader="none" w:pos="2300" w:val="left"/>
        </w:tabs>
        <w:rPr>
          <w:sz w:val="20"/>
          <w:szCs w:val="20"/>
          <w:color w:val="auto"/>
        </w:rPr>
      </w:pPr>
      <w:r>
        <w:rPr>
          <w:rFonts w:ascii="Arial" w:cs="Arial" w:eastAsia="Arial" w:hAnsi="Arial"/>
          <w:sz w:val="22"/>
          <w:szCs w:val="22"/>
          <w:color w:val="auto"/>
        </w:rPr>
        <w:t>SECTION 2.02.</w:t>
      </w:r>
      <w:r>
        <w:rPr>
          <w:sz w:val="20"/>
          <w:szCs w:val="20"/>
          <w:color w:val="auto"/>
        </w:rPr>
        <w:tab/>
      </w:r>
      <w:r>
        <w:rPr>
          <w:rFonts w:ascii="Arial" w:cs="Arial" w:eastAsia="Arial" w:hAnsi="Arial"/>
          <w:sz w:val="19"/>
          <w:szCs w:val="19"/>
          <w:u w:val="single" w:color="auto"/>
          <w:color w:val="auto"/>
        </w:rPr>
        <w:t>Loans and Borrowings</w:t>
      </w:r>
    </w:p>
    <w:p>
      <w:pPr>
        <w:spacing w:after="0" w:line="233" w:lineRule="exact"/>
        <w:rPr>
          <w:sz w:val="20"/>
          <w:szCs w:val="20"/>
          <w:color w:val="auto"/>
        </w:rPr>
      </w:pPr>
    </w:p>
    <w:p>
      <w:pPr>
        <w:jc w:val="both"/>
        <w:ind w:firstLine="656"/>
        <w:spacing w:after="0" w:line="252" w:lineRule="auto"/>
        <w:tabs>
          <w:tab w:leader="none" w:pos="1541" w:val="left"/>
        </w:tabs>
        <w:numPr>
          <w:ilvl w:val="0"/>
          <w:numId w:val="153"/>
        </w:numPr>
        <w:rPr>
          <w:rFonts w:ascii="Arial" w:cs="Arial" w:eastAsia="Arial" w:hAnsi="Arial"/>
          <w:sz w:val="21"/>
          <w:szCs w:val="21"/>
          <w:color w:val="auto"/>
        </w:rPr>
      </w:pPr>
      <w:r>
        <w:rPr>
          <w:rFonts w:ascii="Arial" w:cs="Arial" w:eastAsia="Arial" w:hAnsi="Arial"/>
          <w:sz w:val="21"/>
          <w:szCs w:val="21"/>
          <w:color w:val="auto"/>
        </w:rPr>
        <w:t xml:space="preserve">Each Loan shall be made as part of a Borrowing consisting of Loans of the same Type made by the Lenders ratably in accordance with their respective Commitments. The failure of any Lender to make any Loan required to be made by it shall not relieve any other Lender of its obligations hereunder;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Commitments of the Lenders are several and no Lender shall be responsible for any other Lender’s failure to make Loans as required.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4" w:name="page245"/>
    <w:bookmarkEnd w:id="244"/>
    <w:p>
      <w:pPr>
        <w:jc w:val="both"/>
        <w:ind w:firstLine="656"/>
        <w:spacing w:after="0" w:line="235" w:lineRule="auto"/>
        <w:tabs>
          <w:tab w:leader="none" w:pos="1386" w:val="left"/>
        </w:tabs>
        <w:numPr>
          <w:ilvl w:val="0"/>
          <w:numId w:val="154"/>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2.16</w:t>
      </w:r>
      <w:r>
        <w:rPr>
          <w:rFonts w:ascii="Arial" w:cs="Arial" w:eastAsia="Arial" w:hAnsi="Arial"/>
          <w:sz w:val="22"/>
          <w:szCs w:val="22"/>
          <w:color w:val="auto"/>
        </w:rPr>
        <w:t xml:space="preserve">, (i) each Borrowing denominated in dollars shall be comprised entirely of ABR Loans or Eurocurrency Loans as the Borrowers may request in accordance herewith and (ii) each Borrowing denominated in any Alternative Currency shall be comprised entirely of Eurocurrency Loans. Each Lender at its option may make any Eurocurrency Loan by causing any domestic or foreign branch or Affiliate of such Lender to make such Loan;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exercise of such option shall not affect the obligation of the applicable Borrower to repay such Loan in accordance with the terms of this Agreement.</w:t>
      </w:r>
    </w:p>
    <w:p>
      <w:pPr>
        <w:spacing w:after="0" w:line="215" w:lineRule="exact"/>
        <w:rPr>
          <w:rFonts w:ascii="Arial" w:cs="Arial" w:eastAsia="Arial" w:hAnsi="Arial"/>
          <w:sz w:val="22"/>
          <w:szCs w:val="22"/>
          <w:color w:val="auto"/>
        </w:rPr>
      </w:pPr>
    </w:p>
    <w:p>
      <w:pPr>
        <w:jc w:val="both"/>
        <w:ind w:firstLine="656"/>
        <w:spacing w:after="0" w:line="274" w:lineRule="auto"/>
        <w:tabs>
          <w:tab w:leader="none" w:pos="1486" w:val="left"/>
        </w:tabs>
        <w:numPr>
          <w:ilvl w:val="0"/>
          <w:numId w:val="154"/>
        </w:numPr>
        <w:rPr>
          <w:rFonts w:ascii="Arial" w:cs="Arial" w:eastAsia="Arial" w:hAnsi="Arial"/>
          <w:sz w:val="19"/>
          <w:szCs w:val="19"/>
          <w:color w:val="auto"/>
        </w:rPr>
      </w:pPr>
      <w:r>
        <w:rPr>
          <w:rFonts w:ascii="Arial" w:cs="Arial" w:eastAsia="Arial" w:hAnsi="Arial"/>
          <w:sz w:val="19"/>
          <w:szCs w:val="19"/>
          <w:color w:val="auto"/>
        </w:rPr>
        <w:t xml:space="preserve">At the commencement of each Interest Period for any Eurocurrency Borrowing, such Borrowing shall be in an aggregate amount that is an integral multiple of the Borrowing Multiple and not less than the Borrowing Minimum;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Eurocurrency Borrowing that results from a continuation of an outstanding Eurocurrency Borrowing may be in an aggregate amount that is equal to such outstanding Borrowing. At the time that each ABR Borrowing is made, such Borrowing shall be in an aggregate amount that is an integral multiple of $100,000 and not less than the Borrowing Minimum. Borrowings of more than one Type may be outstanding at the same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there shall not be more than a total of 10 Eurocurrency Borrowings in the aggregate at any time outstanding. Notwithstanding anything to the contrary herein, an ABR Revolving Borrowing may be in an aggregate amount that is equal to the entire unused balance of the Commitment or that is required to finance the reimbursement of an LC Disbursement as contemplated by </w:t>
      </w:r>
      <w:r>
        <w:rPr>
          <w:rFonts w:ascii="Arial" w:cs="Arial" w:eastAsia="Arial" w:hAnsi="Arial"/>
          <w:sz w:val="19"/>
          <w:szCs w:val="19"/>
          <w:u w:val="single" w:color="auto"/>
          <w:color w:val="auto"/>
        </w:rPr>
        <w:t>Section 2.05(e)</w:t>
      </w:r>
      <w:r>
        <w:rPr>
          <w:rFonts w:ascii="Arial" w:cs="Arial" w:eastAsia="Arial" w:hAnsi="Arial"/>
          <w:sz w:val="19"/>
          <w:szCs w:val="19"/>
          <w:color w:val="auto"/>
        </w:rPr>
        <w:t>.</w:t>
      </w:r>
    </w:p>
    <w:p>
      <w:pPr>
        <w:spacing w:after="0" w:line="185" w:lineRule="exact"/>
        <w:rPr>
          <w:sz w:val="20"/>
          <w:szCs w:val="20"/>
          <w:color w:val="auto"/>
        </w:rPr>
      </w:pPr>
    </w:p>
    <w:p>
      <w:pPr>
        <w:ind w:right="120" w:firstLine="648"/>
        <w:spacing w:after="0" w:line="275" w:lineRule="auto"/>
        <w:rPr>
          <w:sz w:val="20"/>
          <w:szCs w:val="20"/>
          <w:color w:val="auto"/>
        </w:rPr>
      </w:pPr>
      <w:r>
        <w:rPr>
          <w:rFonts w:ascii="Arial" w:cs="Arial" w:eastAsia="Arial" w:hAnsi="Arial"/>
          <w:sz w:val="19"/>
          <w:szCs w:val="19"/>
          <w:color w:val="auto"/>
        </w:rPr>
        <w:t xml:space="preserve">SECTION 2.03. </w:t>
      </w:r>
      <w:r>
        <w:rPr>
          <w:rFonts w:ascii="Arial" w:cs="Arial" w:eastAsia="Arial" w:hAnsi="Arial"/>
          <w:sz w:val="19"/>
          <w:szCs w:val="19"/>
          <w:u w:val="single" w:color="auto"/>
          <w:color w:val="auto"/>
        </w:rPr>
        <w:t>Requests for Borrowings</w:t>
      </w:r>
      <w:r>
        <w:rPr>
          <w:rFonts w:ascii="Arial" w:cs="Arial" w:eastAsia="Arial" w:hAnsi="Arial"/>
          <w:sz w:val="19"/>
          <w:szCs w:val="19"/>
          <w:color w:val="auto"/>
        </w:rPr>
        <w:t xml:space="preserve">. To request a Revolving Borrowing, a Borrower shall notify the Administrative Agent of such request by submitting a Borrowing Request (a) in the case of a Eurocurrency Borrowing, not later than 11:00 a.m., Local Time, three Business Days before the date of the proposed Borrowing or (b) in the case of an ABR Borrowing, not later than 11:00 a.m., New York City time, on the date of the proposed Borrowing;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notice shall be required for any deemed request of an ABR Revolving Borrowing to finance the reimbursement of an LC Disbursement denominated in dollars as contemplated by </w:t>
      </w:r>
      <w:r>
        <w:rPr>
          <w:rFonts w:ascii="Arial" w:cs="Arial" w:eastAsia="Arial" w:hAnsi="Arial"/>
          <w:sz w:val="19"/>
          <w:szCs w:val="19"/>
          <w:u w:val="single" w:color="auto"/>
          <w:color w:val="auto"/>
        </w:rPr>
        <w:t>Section 2.05(e)</w:t>
      </w:r>
      <w:r>
        <w:rPr>
          <w:rFonts w:ascii="Arial" w:cs="Arial" w:eastAsia="Arial" w:hAnsi="Arial"/>
          <w:sz w:val="19"/>
          <w:szCs w:val="19"/>
          <w:color w:val="auto"/>
        </w:rPr>
        <w:t xml:space="preserve">. Each such Borrowing Request shall be irrevocable and shall be signed by a Responsible Officer of the applicable Borrower. Each such Borrowing Request shall specify the following information (to the extent applicable, in compliance with </w:t>
      </w:r>
      <w:r>
        <w:rPr>
          <w:rFonts w:ascii="Arial" w:cs="Arial" w:eastAsia="Arial" w:hAnsi="Arial"/>
          <w:sz w:val="19"/>
          <w:szCs w:val="19"/>
          <w:u w:val="single" w:color="auto"/>
          <w:color w:val="auto"/>
        </w:rPr>
        <w:t>Sections 2.01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2.02</w:t>
      </w:r>
      <w:r>
        <w:rPr>
          <w:rFonts w:ascii="Arial" w:cs="Arial" w:eastAsia="Arial" w:hAnsi="Arial"/>
          <w:sz w:val="19"/>
          <w:szCs w:val="19"/>
          <w:color w:val="auto"/>
        </w:rPr>
        <w:t>):</w:t>
      </w:r>
    </w:p>
    <w:p>
      <w:pPr>
        <w:spacing w:after="0" w:line="184" w:lineRule="exact"/>
        <w:rPr>
          <w:sz w:val="20"/>
          <w:szCs w:val="20"/>
          <w:color w:val="auto"/>
        </w:rPr>
      </w:pPr>
    </w:p>
    <w:p>
      <w:pPr>
        <w:ind w:left="2160" w:hanging="856"/>
        <w:spacing w:after="0"/>
        <w:tabs>
          <w:tab w:leader="none" w:pos="216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the Borrower to which the requested Borrowing is to be made;</w:t>
      </w:r>
    </w:p>
    <w:p>
      <w:pPr>
        <w:spacing w:after="0" w:line="233" w:lineRule="exact"/>
        <w:rPr>
          <w:rFonts w:ascii="Arial" w:cs="Arial" w:eastAsia="Arial" w:hAnsi="Arial"/>
          <w:sz w:val="22"/>
          <w:szCs w:val="22"/>
          <w:color w:val="auto"/>
        </w:rPr>
      </w:pPr>
    </w:p>
    <w:p>
      <w:pPr>
        <w:ind w:left="2160" w:hanging="856"/>
        <w:spacing w:after="0"/>
        <w:tabs>
          <w:tab w:leader="none" w:pos="216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the currency and the aggregate amount of such Borrowing;</w:t>
      </w:r>
    </w:p>
    <w:p>
      <w:pPr>
        <w:spacing w:after="0" w:line="233" w:lineRule="exact"/>
        <w:rPr>
          <w:rFonts w:ascii="Arial" w:cs="Arial" w:eastAsia="Arial" w:hAnsi="Arial"/>
          <w:sz w:val="22"/>
          <w:szCs w:val="22"/>
          <w:color w:val="auto"/>
        </w:rPr>
      </w:pPr>
    </w:p>
    <w:p>
      <w:pPr>
        <w:ind w:left="2160" w:hanging="856"/>
        <w:spacing w:after="0"/>
        <w:tabs>
          <w:tab w:leader="none" w:pos="216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the requested date of such Borrowing, which shall be a Business Day;</w:t>
      </w:r>
    </w:p>
    <w:p>
      <w:pPr>
        <w:spacing w:after="0" w:line="233" w:lineRule="exact"/>
        <w:rPr>
          <w:rFonts w:ascii="Arial" w:cs="Arial" w:eastAsia="Arial" w:hAnsi="Arial"/>
          <w:sz w:val="22"/>
          <w:szCs w:val="22"/>
          <w:color w:val="auto"/>
        </w:rPr>
      </w:pPr>
    </w:p>
    <w:p>
      <w:pPr>
        <w:ind w:left="2160" w:hanging="856"/>
        <w:spacing w:after="0"/>
        <w:tabs>
          <w:tab w:leader="none" w:pos="216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whether such Borrowing is to be an ABR Borrowing or a Eurocurrency Borrowing;</w:t>
      </w:r>
    </w:p>
    <w:p>
      <w:pPr>
        <w:spacing w:after="0" w:line="233" w:lineRule="exact"/>
        <w:rPr>
          <w:rFonts w:ascii="Arial" w:cs="Arial" w:eastAsia="Arial" w:hAnsi="Arial"/>
          <w:sz w:val="22"/>
          <w:szCs w:val="22"/>
          <w:color w:val="auto"/>
        </w:rPr>
      </w:pPr>
    </w:p>
    <w:p>
      <w:pPr>
        <w:ind w:left="660" w:firstLine="644"/>
        <w:spacing w:after="0" w:line="250" w:lineRule="auto"/>
        <w:tabs>
          <w:tab w:leader="none" w:pos="2009" w:val="left"/>
        </w:tabs>
        <w:numPr>
          <w:ilvl w:val="0"/>
          <w:numId w:val="155"/>
        </w:numPr>
        <w:rPr>
          <w:rFonts w:ascii="Arial" w:cs="Arial" w:eastAsia="Arial" w:hAnsi="Arial"/>
          <w:sz w:val="22"/>
          <w:szCs w:val="22"/>
          <w:color w:val="auto"/>
        </w:rPr>
      </w:pPr>
      <w:r>
        <w:rPr>
          <w:rFonts w:ascii="Arial" w:cs="Arial" w:eastAsia="Arial" w:hAnsi="Arial"/>
          <w:sz w:val="22"/>
          <w:szCs w:val="22"/>
          <w:color w:val="auto"/>
        </w:rPr>
        <w:t>in the case of a Eurocurrency Borrowing, the initial Interest Period to be applicable thereto, which shall be a period contemplated by the definition of the term “Interest Period”;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5" w:name="page246"/>
    <w:bookmarkEnd w:id="245"/>
    <w:p>
      <w:pPr>
        <w:jc w:val="both"/>
        <w:ind w:left="660" w:firstLine="644"/>
        <w:spacing w:after="0" w:line="238" w:lineRule="auto"/>
        <w:tabs>
          <w:tab w:leader="none" w:pos="2115" w:val="left"/>
        </w:tabs>
        <w:numPr>
          <w:ilvl w:val="0"/>
          <w:numId w:val="156"/>
        </w:numPr>
        <w:rPr>
          <w:rFonts w:ascii="Arial" w:cs="Arial" w:eastAsia="Arial" w:hAnsi="Arial"/>
          <w:sz w:val="22"/>
          <w:szCs w:val="22"/>
          <w:color w:val="auto"/>
        </w:rPr>
      </w:pPr>
      <w:r>
        <w:rPr>
          <w:rFonts w:ascii="Arial" w:cs="Arial" w:eastAsia="Arial" w:hAnsi="Arial"/>
          <w:sz w:val="22"/>
          <w:szCs w:val="22"/>
          <w:color w:val="auto"/>
        </w:rPr>
        <w:t xml:space="preserve">the location and number of the applicable Borrower’s account to which funds are to be disbursed, which shall comply with the requirements of </w:t>
      </w:r>
      <w:r>
        <w:rPr>
          <w:rFonts w:ascii="Arial" w:cs="Arial" w:eastAsia="Arial" w:hAnsi="Arial"/>
          <w:sz w:val="22"/>
          <w:szCs w:val="22"/>
          <w:u w:val="single" w:color="auto"/>
          <w:color w:val="auto"/>
        </w:rPr>
        <w:t>Section 2.06(a)</w:t>
      </w:r>
      <w:r>
        <w:rPr>
          <w:rFonts w:ascii="Arial" w:cs="Arial" w:eastAsia="Arial" w:hAnsi="Arial"/>
          <w:sz w:val="22"/>
          <w:szCs w:val="22"/>
          <w:color w:val="auto"/>
        </w:rPr>
        <w:t xml:space="preserve">, or, if the Borrowing is being requested to finance the reimbursement of an LC Disbursement denominated in dollars in accordance with </w:t>
      </w:r>
      <w:r>
        <w:rPr>
          <w:rFonts w:ascii="Arial" w:cs="Arial" w:eastAsia="Arial" w:hAnsi="Arial"/>
          <w:sz w:val="22"/>
          <w:szCs w:val="22"/>
          <w:u w:val="single" w:color="auto"/>
          <w:color w:val="auto"/>
        </w:rPr>
        <w:t>Section 2.05(e)</w:t>
      </w:r>
      <w:r>
        <w:rPr>
          <w:rFonts w:ascii="Arial" w:cs="Arial" w:eastAsia="Arial" w:hAnsi="Arial"/>
          <w:sz w:val="22"/>
          <w:szCs w:val="22"/>
          <w:color w:val="auto"/>
        </w:rPr>
        <w:t>, the identity of the Issuing Bank that made such LC Disbursement; and</w:t>
      </w:r>
    </w:p>
    <w:p>
      <w:pPr>
        <w:spacing w:after="0" w:line="212" w:lineRule="exact"/>
        <w:rPr>
          <w:rFonts w:ascii="Arial" w:cs="Arial" w:eastAsia="Arial" w:hAnsi="Arial"/>
          <w:sz w:val="22"/>
          <w:szCs w:val="22"/>
          <w:color w:val="auto"/>
        </w:rPr>
      </w:pPr>
    </w:p>
    <w:p>
      <w:pPr>
        <w:jc w:val="both"/>
        <w:ind w:left="660" w:firstLine="644"/>
        <w:spacing w:after="0"/>
        <w:tabs>
          <w:tab w:leader="none" w:pos="2495" w:val="left"/>
        </w:tabs>
        <w:numPr>
          <w:ilvl w:val="0"/>
          <w:numId w:val="156"/>
        </w:numPr>
        <w:rPr>
          <w:rFonts w:ascii="Arial" w:cs="Arial" w:eastAsia="Arial" w:hAnsi="Arial"/>
          <w:sz w:val="22"/>
          <w:szCs w:val="22"/>
          <w:color w:val="auto"/>
        </w:rPr>
      </w:pPr>
      <w:r>
        <w:rPr>
          <w:rFonts w:ascii="Arial" w:cs="Arial" w:eastAsia="Arial" w:hAnsi="Arial"/>
          <w:sz w:val="22"/>
          <w:szCs w:val="22"/>
          <w:color w:val="auto"/>
        </w:rPr>
        <w:t xml:space="preserve">that as of the requested date of such Borrowing, (A) if such date shall be the Effective Date, the conditions set forth in </w:t>
      </w:r>
      <w:r>
        <w:rPr>
          <w:rFonts w:ascii="Arial" w:cs="Arial" w:eastAsia="Arial" w:hAnsi="Arial"/>
          <w:sz w:val="22"/>
          <w:szCs w:val="22"/>
          <w:u w:val="single" w:color="auto"/>
          <w:color w:val="auto"/>
        </w:rPr>
        <w:t>Section 4.01(o)</w:t>
      </w:r>
      <w:r>
        <w:rPr>
          <w:rFonts w:ascii="Arial" w:cs="Arial" w:eastAsia="Arial" w:hAnsi="Arial"/>
          <w:sz w:val="22"/>
          <w:szCs w:val="22"/>
          <w:color w:val="auto"/>
        </w:rPr>
        <w:t xml:space="preserve"> will be satisfied and (B) if such date is after the Effective Date, </w:t>
      </w:r>
      <w:r>
        <w:rPr>
          <w:rFonts w:ascii="Arial" w:cs="Arial" w:eastAsia="Arial" w:hAnsi="Arial"/>
          <w:sz w:val="22"/>
          <w:szCs w:val="22"/>
          <w:u w:val="single" w:color="auto"/>
          <w:color w:val="auto"/>
        </w:rPr>
        <w:t>Sections 4.02(a)</w:t>
      </w:r>
      <w:r>
        <w:rPr>
          <w:rFonts w:ascii="Arial" w:cs="Arial" w:eastAsia="Arial" w:hAnsi="Arial"/>
          <w:sz w:val="22"/>
          <w:szCs w:val="22"/>
          <w:color w:val="auto"/>
        </w:rPr>
        <w:t xml:space="preserve">, </w:t>
      </w:r>
      <w:r>
        <w:rPr>
          <w:rFonts w:ascii="Arial" w:cs="Arial" w:eastAsia="Arial" w:hAnsi="Arial"/>
          <w:sz w:val="22"/>
          <w:szCs w:val="22"/>
          <w:u w:val="single" w:color="auto"/>
          <w:color w:val="auto"/>
        </w:rPr>
        <w:t>4.02(b)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4.02(c)</w:t>
      </w:r>
      <w:r>
        <w:rPr>
          <w:rFonts w:ascii="Arial" w:cs="Arial" w:eastAsia="Arial" w:hAnsi="Arial"/>
          <w:sz w:val="22"/>
          <w:szCs w:val="22"/>
          <w:color w:val="auto"/>
        </w:rPr>
        <w:t xml:space="preserve"> will be satisfied.</w:t>
      </w:r>
    </w:p>
    <w:p>
      <w:pPr>
        <w:spacing w:after="0" w:line="21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If no election as to the Type of Borrowing is specified, other than with respect to Borrowings denominated in an Alternative Currency, then the requested Borrowing shall be an ABR Borrowing. If no Interest Period is specified with respect to any requested Eurocurrency Borrowing, then such Borrower shall be deemed to have selected an Interest Period of one month’s duration. If no currency is specified with respect to any requested Revolving Loan, the Company shall be deemed to have selected dollars. Promptly following receipt of a Borrowing Request in accordance with this Section, the Administrative Agent shall advise each Lender of the details thereof and of the amount of such Lender’s Loan to be made as part of the requested Borrowing.</w:t>
      </w:r>
    </w:p>
    <w:p>
      <w:pPr>
        <w:spacing w:after="0" w:line="218" w:lineRule="exact"/>
        <w:rPr>
          <w:sz w:val="20"/>
          <w:szCs w:val="20"/>
          <w:color w:val="auto"/>
        </w:rPr>
      </w:pPr>
    </w:p>
    <w:p>
      <w:pPr>
        <w:ind w:left="660"/>
        <w:spacing w:after="0"/>
        <w:tabs>
          <w:tab w:leader="none" w:pos="2300" w:val="left"/>
        </w:tabs>
        <w:rPr>
          <w:sz w:val="20"/>
          <w:szCs w:val="20"/>
          <w:color w:val="auto"/>
        </w:rPr>
      </w:pPr>
      <w:r>
        <w:rPr>
          <w:rFonts w:ascii="Arial" w:cs="Arial" w:eastAsia="Arial" w:hAnsi="Arial"/>
          <w:sz w:val="22"/>
          <w:szCs w:val="22"/>
          <w:color w:val="auto"/>
        </w:rPr>
        <w:t>SECTION 2.04.</w:t>
      </w:r>
      <w:r>
        <w:rPr>
          <w:sz w:val="20"/>
          <w:szCs w:val="20"/>
          <w:color w:val="auto"/>
        </w:rPr>
        <w:tab/>
      </w:r>
      <w:r>
        <w:rPr>
          <w:rFonts w:ascii="Arial" w:cs="Arial" w:eastAsia="Arial" w:hAnsi="Arial"/>
          <w:sz w:val="19"/>
          <w:szCs w:val="19"/>
          <w:u w:val="single" w:color="auto"/>
          <w:color w:val="auto"/>
        </w:rPr>
        <w:t>[Reserved]</w:t>
      </w:r>
    </w:p>
    <w:p>
      <w:pPr>
        <w:spacing w:after="0" w:line="233"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22"/>
          <w:szCs w:val="22"/>
          <w:color w:val="auto"/>
        </w:rPr>
        <w:t>SECTION 2.05.</w:t>
      </w:r>
      <w:r>
        <w:rPr>
          <w:sz w:val="20"/>
          <w:szCs w:val="20"/>
          <w:color w:val="auto"/>
        </w:rPr>
        <w:tab/>
      </w:r>
      <w:r>
        <w:rPr>
          <w:rFonts w:ascii="Arial" w:cs="Arial" w:eastAsia="Arial" w:hAnsi="Arial"/>
          <w:sz w:val="19"/>
          <w:szCs w:val="19"/>
          <w:u w:val="single" w:color="auto"/>
          <w:color w:val="auto"/>
        </w:rPr>
        <w:t>Letters of Credit</w:t>
      </w:r>
    </w:p>
    <w:p>
      <w:pPr>
        <w:spacing w:after="0" w:line="233" w:lineRule="exact"/>
        <w:rPr>
          <w:sz w:val="20"/>
          <w:szCs w:val="20"/>
          <w:color w:val="auto"/>
        </w:rPr>
      </w:pPr>
    </w:p>
    <w:p>
      <w:pPr>
        <w:ind w:right="80" w:firstLine="656"/>
        <w:spacing w:after="0" w:line="271" w:lineRule="auto"/>
        <w:tabs>
          <w:tab w:leader="none" w:pos="1428" w:val="left"/>
        </w:tabs>
        <w:numPr>
          <w:ilvl w:val="0"/>
          <w:numId w:val="157"/>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Subject to the terms and conditions set forth herein, a Borrower may request the issuance of Letters of Credit for its own account (or for the account of any Subsidiary so long as a Borrower is a joint and several co-applicant in respect of such Letter of Credit), denominated in dollars or in an Alternative Currency and in a form reasonably acceptable to the Administrative Agent and the applicable Issuing Bank, at any time and from time to time during the Availability Period. All Existing Letters of Credit shall be deemed, without further action by any party hereto, to have been issued on the Effective Date pursuant to this Agreement, and the Revolving Lenders shall thereupon acquire participations in the Existing Letters of Credit as if so issued without further action by any party hereto. Notwithstanding anything contained in any letter of credit application or other agreement (other than this Agreement or any Security Document) submitted by a Borrower to, or entered into a Borrower with, any Issuing Bank relating to any Letter of Credit, (i) all provisions of such letter of credit application or other agreement purporting to grant Liens in favor of such Issuing Bank to secure obligations in respect of such Letter of Credit shall be disregarded, it being agreed that such obligations shall be secured to the extent provided in this Agreement and in the Security Documents, (ii) in the event of any inconsistency between the terms and conditions of this Agreement and the terms and conditions of such letter of credit application or such other agreement, as applicable, the terms and conditions of this Agreement shall control, and (iii) an Issuing Bank shall be under no obligation to issue any Letter of Credit if the issuance of such Letter of Credit would violate (x) any Requirement of Law or (y) such Issuing Bank’s internal policies.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6" w:name="page247"/>
    <w:bookmarkEnd w:id="246"/>
    <w:p>
      <w:pPr>
        <w:jc w:val="both"/>
        <w:ind w:firstLine="656"/>
        <w:spacing w:after="0" w:line="268" w:lineRule="auto"/>
        <w:tabs>
          <w:tab w:leader="none" w:pos="1386" w:val="left"/>
        </w:tabs>
        <w:numPr>
          <w:ilvl w:val="1"/>
          <w:numId w:val="158"/>
        </w:numPr>
        <w:rPr>
          <w:rFonts w:ascii="Arial" w:cs="Arial" w:eastAsia="Arial" w:hAnsi="Arial"/>
          <w:sz w:val="19"/>
          <w:szCs w:val="19"/>
          <w:color w:val="auto"/>
        </w:rPr>
      </w:pPr>
      <w:r>
        <w:rPr>
          <w:rFonts w:ascii="Arial" w:cs="Arial" w:eastAsia="Arial" w:hAnsi="Arial"/>
          <w:sz w:val="19"/>
          <w:szCs w:val="19"/>
          <w:u w:val="single" w:color="auto"/>
          <w:color w:val="auto"/>
        </w:rPr>
        <w:t>Notice of Issuance, Amendment, Renewal, Extension; Certain Conditions</w:t>
      </w:r>
      <w:r>
        <w:rPr>
          <w:rFonts w:ascii="Arial" w:cs="Arial" w:eastAsia="Arial" w:hAnsi="Arial"/>
          <w:sz w:val="19"/>
          <w:szCs w:val="19"/>
          <w:color w:val="auto"/>
        </w:rPr>
        <w:t xml:space="preserve">. To request the issuance of a Letter of Credit or the amendment, renewal or extension of an outstanding Letter of Credit (other than any automatic renewal permitted pursuant to </w:t>
      </w:r>
      <w:r>
        <w:rPr>
          <w:rFonts w:ascii="Arial" w:cs="Arial" w:eastAsia="Arial" w:hAnsi="Arial"/>
          <w:sz w:val="19"/>
          <w:szCs w:val="19"/>
          <w:u w:val="single" w:color="auto"/>
          <w:color w:val="auto"/>
        </w:rPr>
        <w:t>paragraph (c)</w:t>
      </w:r>
      <w:r>
        <w:rPr>
          <w:rFonts w:ascii="Arial" w:cs="Arial" w:eastAsia="Arial" w:hAnsi="Arial"/>
          <w:sz w:val="19"/>
          <w:szCs w:val="19"/>
          <w:color w:val="auto"/>
        </w:rPr>
        <w:t xml:space="preserve"> of this Section), a Borrower shall hand deliver or fax (or transmit by electronic communication, if arrangements for doing so have been approved by such Issuing Bank) to the applicable Issuing Bank and the Administrative Agent (reasonably in advance of the requested date of issuance, amendment, renewal or extension) a notice requesting the issuance of a Letter of Credit, or identifying the Letter of Credit to be amended, renewed or extended, and specifying the requested date of issuance, amendment, renewal or extension (which shall be a Business Day), the date on which such Letter of Credit is to expire (which shall comply with </w:t>
      </w:r>
      <w:r>
        <w:rPr>
          <w:rFonts w:ascii="Arial" w:cs="Arial" w:eastAsia="Arial" w:hAnsi="Arial"/>
          <w:sz w:val="19"/>
          <w:szCs w:val="19"/>
          <w:u w:val="single" w:color="auto"/>
          <w:color w:val="auto"/>
        </w:rPr>
        <w:t>paragraph (c)</w:t>
      </w:r>
      <w:r>
        <w:rPr>
          <w:rFonts w:ascii="Arial" w:cs="Arial" w:eastAsia="Arial" w:hAnsi="Arial"/>
          <w:sz w:val="19"/>
          <w:szCs w:val="19"/>
          <w:color w:val="auto"/>
        </w:rPr>
        <w:t xml:space="preserve"> of this Section), the currency and amount of such Letter of Credit, the name and address of the beneficiary thereof and such other information as shall be requested by the applicable Issuing Bank as necessary to enable such Issuing Bank to prepare, amend, renew or extend such Letter of Credit. If requested by the applicable Issuing Bank, such Borrower also shall submit a letter of credit application on such Issuing Bank’s standard form in connection with any request for a Letter of Credit. A Letter of Credit shall be issued, amended, renewed or extended only if (and upon issuance, amendment, renewal or extension of any Letter of Credit the applicable Borrower shall be deemed to represent and warrant that), after giving effect to such issuance, amendment, renewal or extension, (i) the LC Exposure shall not exceed $450,000,000, (ii) the Total Revolving Exposure shall not exceed the Total Commitments, (iii) the aggregate amount of Letters of Credit issued by any Issuing Bank shall not exceed its Specified LC Sublimit and (iv) no Lender’s Revolving Exposure shall exceed its Commitment. Each Issuing Bank agrees that it shall not permit any issuance, amendment, renewal or extension of a Letter of Credit to occur unless it shall have given to the Administrative Agent written notice thereof as required under </w:t>
      </w:r>
      <w:r>
        <w:rPr>
          <w:rFonts w:ascii="Arial" w:cs="Arial" w:eastAsia="Arial" w:hAnsi="Arial"/>
          <w:sz w:val="19"/>
          <w:szCs w:val="19"/>
          <w:u w:val="single" w:color="auto"/>
          <w:color w:val="auto"/>
        </w:rPr>
        <w:t>paragraph</w:t>
      </w:r>
    </w:p>
    <w:p>
      <w:pPr>
        <w:ind w:left="260" w:hanging="252"/>
        <w:spacing w:after="0"/>
        <w:tabs>
          <w:tab w:leader="none" w:pos="260" w:val="left"/>
        </w:tabs>
        <w:numPr>
          <w:ilvl w:val="0"/>
          <w:numId w:val="159"/>
        </w:numPr>
        <w:rPr>
          <w:rFonts w:ascii="Arial" w:cs="Arial" w:eastAsia="Arial" w:hAnsi="Arial"/>
          <w:sz w:val="22"/>
          <w:szCs w:val="22"/>
          <w:u w:val="single" w:color="auto"/>
          <w:color w:val="auto"/>
        </w:rPr>
      </w:pPr>
      <w:r>
        <w:rPr>
          <w:rFonts w:ascii="Arial" w:cs="Arial" w:eastAsia="Arial" w:hAnsi="Arial"/>
          <w:sz w:val="22"/>
          <w:szCs w:val="22"/>
          <w:color w:val="auto"/>
        </w:rPr>
        <w:t>of this Section.</w:t>
      </w:r>
    </w:p>
    <w:p>
      <w:pPr>
        <w:spacing w:after="0" w:line="215" w:lineRule="exact"/>
        <w:rPr>
          <w:rFonts w:ascii="Arial" w:cs="Arial" w:eastAsia="Arial" w:hAnsi="Arial"/>
          <w:sz w:val="22"/>
          <w:szCs w:val="22"/>
          <w:u w:val="single" w:color="auto"/>
          <w:color w:val="auto"/>
        </w:rPr>
      </w:pPr>
    </w:p>
    <w:p>
      <w:pPr>
        <w:jc w:val="both"/>
        <w:ind w:firstLine="656"/>
        <w:spacing w:after="0" w:line="273" w:lineRule="auto"/>
        <w:tabs>
          <w:tab w:leader="none" w:pos="1549" w:val="left"/>
        </w:tabs>
        <w:numPr>
          <w:ilvl w:val="1"/>
          <w:numId w:val="159"/>
        </w:numPr>
        <w:rPr>
          <w:rFonts w:ascii="Arial" w:cs="Arial" w:eastAsia="Arial" w:hAnsi="Arial"/>
          <w:sz w:val="19"/>
          <w:szCs w:val="19"/>
          <w:color w:val="auto"/>
        </w:rPr>
      </w:pPr>
      <w:r>
        <w:rPr>
          <w:rFonts w:ascii="Arial" w:cs="Arial" w:eastAsia="Arial" w:hAnsi="Arial"/>
          <w:sz w:val="19"/>
          <w:szCs w:val="19"/>
          <w:u w:val="single" w:color="auto"/>
          <w:color w:val="auto"/>
        </w:rPr>
        <w:t>Expiration Date</w:t>
      </w:r>
      <w:r>
        <w:rPr>
          <w:rFonts w:ascii="Arial" w:cs="Arial" w:eastAsia="Arial" w:hAnsi="Arial"/>
          <w:sz w:val="19"/>
          <w:szCs w:val="19"/>
          <w:color w:val="auto"/>
        </w:rPr>
        <w:t xml:space="preserve">. Each Letter of Credit shall expire at or prior to the close of business on the earlier of (i) the date that is one year after the date of the issuance of such Letter of Credit (or, in the case of any renewal or extension thereof, one year after such renewal or extension) and (ii) the date that is five Business Days prior to the Maturity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(x) any Letter of Credit may, upon the request of a Borrower, include a provision whereby such Letter of Credit shall be renewed automatically for additional consecutive periods of one year or less (but not beyond the date that is five Business Days prior to the Maturity Date unless such Letter of Credit is cash collateralized or backstopped pursuant to arrangements reasonably satisfactory to the relevant Issuing Bank) unless the applicable Issuing Bank notifies the beneficiary thereof at least 30 days prior to the then-applicable expiration date that such Letter of Credit will not be renewed and (y) any Issuing Bank may agree to issue a Letter of Credit with expiry date beyond the date set forth in clause (i) in its sole discretion (but not beyond the date that is five Business Days prior to the Maturity Date unless such Letter of Credit is cash collateralized or backstopped pursuant to arrangements reasonably satisfactory to the relevant Issuing Bank).</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7" w:name="page248"/>
    <w:bookmarkEnd w:id="247"/>
    <w:p>
      <w:pPr>
        <w:jc w:val="both"/>
        <w:ind w:firstLine="656"/>
        <w:spacing w:after="0" w:line="269" w:lineRule="auto"/>
        <w:tabs>
          <w:tab w:leader="none" w:pos="1345" w:val="left"/>
        </w:tabs>
        <w:numPr>
          <w:ilvl w:val="0"/>
          <w:numId w:val="160"/>
        </w:numPr>
        <w:rPr>
          <w:rFonts w:ascii="Arial" w:cs="Arial" w:eastAsia="Arial" w:hAnsi="Arial"/>
          <w:sz w:val="19"/>
          <w:szCs w:val="19"/>
          <w:color w:val="auto"/>
        </w:rPr>
      </w:pPr>
      <w:r>
        <w:rPr>
          <w:rFonts w:ascii="Arial" w:cs="Arial" w:eastAsia="Arial" w:hAnsi="Arial"/>
          <w:sz w:val="19"/>
          <w:szCs w:val="19"/>
          <w:u w:val="single" w:color="auto"/>
          <w:color w:val="auto"/>
        </w:rPr>
        <w:t>Participations</w:t>
      </w:r>
      <w:r>
        <w:rPr>
          <w:rFonts w:ascii="Arial" w:cs="Arial" w:eastAsia="Arial" w:hAnsi="Arial"/>
          <w:sz w:val="19"/>
          <w:szCs w:val="19"/>
          <w:color w:val="auto"/>
        </w:rPr>
        <w:t xml:space="preserve">. By the issuance of a Letter of Credit (or an amendment to a Letter of Credit increasing the amount thereof) and without any further action on the part of the applicable Issuing Bank or the Lenders, the Issuing Bank that is the issuer of such Letter of Credit hereby grants to each Revolving Lender, and each Revolving Lender hereby acquires from such Issuing Bank, a participation in such Letter of Credit equal to such Revolving Lender’s Applicable Percentage of the aggregate amount available to be drawn under such Letter of Credit. In consideration and in furtherance of the foregoing, each Revolving Lender hereby absolutely and unconditionally agrees to pay to the Administrative Agent, for the account of the applicable Issuing Bank, such Revolving Lender’s Applicable Percentage of each LC Disbursement made by such Issuing Bank and not reimbursed by the applicable Borrower on the date due as provided in </w:t>
      </w:r>
      <w:r>
        <w:rPr>
          <w:rFonts w:ascii="Arial" w:cs="Arial" w:eastAsia="Arial" w:hAnsi="Arial"/>
          <w:sz w:val="19"/>
          <w:szCs w:val="19"/>
          <w:u w:val="single" w:color="auto"/>
          <w:color w:val="auto"/>
        </w:rPr>
        <w:t>paragraph (e)</w:t>
      </w:r>
      <w:r>
        <w:rPr>
          <w:rFonts w:ascii="Arial" w:cs="Arial" w:eastAsia="Arial" w:hAnsi="Arial"/>
          <w:sz w:val="19"/>
          <w:szCs w:val="19"/>
          <w:color w:val="auto"/>
        </w:rPr>
        <w:t xml:space="preserve"> of this Section, or of any reimbursement payment required to be refunded to such Borrower for any reason. Each Revolving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the occurrence and continuance of a Default or any reduction or termination of the Commitments, and that each such payment shall be made without any offset, abatement, withholding or reduction whatsoever. Each Revolving Lender further acknowledges and agrees that, in issuing, amending, renewing or extending any Letter of Credit, the applicable Issuing Bank shall be entitled to rely, and shall not incur any liability for relying, upon the representation and warranty of a Borrower deemed made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4.02</w:t>
      </w:r>
      <w:r>
        <w:rPr>
          <w:rFonts w:ascii="Arial" w:cs="Arial" w:eastAsia="Arial" w:hAnsi="Arial"/>
          <w:sz w:val="19"/>
          <w:szCs w:val="19"/>
          <w:color w:val="auto"/>
        </w:rPr>
        <w:t xml:space="preserve"> unless, at least one Business Day prior to the time such Letter of Credit is issued, amended, renewed or extended (or, in the case of an automatic renewal permitted pursuant to </w:t>
      </w:r>
      <w:r>
        <w:rPr>
          <w:rFonts w:ascii="Arial" w:cs="Arial" w:eastAsia="Arial" w:hAnsi="Arial"/>
          <w:sz w:val="19"/>
          <w:szCs w:val="19"/>
          <w:u w:val="single" w:color="auto"/>
          <w:color w:val="auto"/>
        </w:rPr>
        <w:t>paragraph (c)</w:t>
      </w:r>
      <w:r>
        <w:rPr>
          <w:rFonts w:ascii="Arial" w:cs="Arial" w:eastAsia="Arial" w:hAnsi="Arial"/>
          <w:sz w:val="19"/>
          <w:szCs w:val="19"/>
          <w:color w:val="auto"/>
        </w:rPr>
        <w:t xml:space="preserve"> of this Section, at least one Business Day prior to the time by which the election not to extend must be made by the applicable Issuing Bank), the Required Lenders shall have notified the applicable Issuing Bank (with a copy to the Administrative Agent) in writing that, as a result of one or more events or circumstances described in such notice, one or more of the conditions precedent set forth in </w:t>
      </w:r>
      <w:r>
        <w:rPr>
          <w:rFonts w:ascii="Arial" w:cs="Arial" w:eastAsia="Arial" w:hAnsi="Arial"/>
          <w:sz w:val="19"/>
          <w:szCs w:val="19"/>
          <w:u w:val="single" w:color="auto"/>
          <w:color w:val="auto"/>
        </w:rPr>
        <w:t>Section 4.02(a)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4.02(b)</w:t>
      </w:r>
      <w:r>
        <w:rPr>
          <w:rFonts w:ascii="Arial" w:cs="Arial" w:eastAsia="Arial" w:hAnsi="Arial"/>
          <w:sz w:val="19"/>
          <w:szCs w:val="19"/>
          <w:color w:val="auto"/>
        </w:rPr>
        <w:t xml:space="preserve"> would not be satisfied if such Letter of Credit were then issued, amended, renewed or extended (it being understood and agreed that, in the event any Issuing Bank shall have received any such notice, no Issuing Bank shall have any obligation to issue, amend, renew or extend any Letter of Credit until and unless it shall be satisfied that the events and circumstances described in such notice shall have been cured or otherwise shall have ceased to exist).</w:t>
      </w:r>
    </w:p>
    <w:p>
      <w:pPr>
        <w:spacing w:after="0" w:line="200" w:lineRule="exact"/>
        <w:rPr>
          <w:rFonts w:ascii="Arial" w:cs="Arial" w:eastAsia="Arial" w:hAnsi="Arial"/>
          <w:sz w:val="19"/>
          <w:szCs w:val="19"/>
          <w:color w:val="auto"/>
        </w:rPr>
      </w:pPr>
    </w:p>
    <w:p>
      <w:pPr>
        <w:spacing w:after="0" w:line="243" w:lineRule="exact"/>
        <w:rPr>
          <w:rFonts w:ascii="Arial" w:cs="Arial" w:eastAsia="Arial" w:hAnsi="Arial"/>
          <w:sz w:val="19"/>
          <w:szCs w:val="19"/>
          <w:color w:val="auto"/>
        </w:rPr>
      </w:pPr>
    </w:p>
    <w:p>
      <w:pPr>
        <w:jc w:val="both"/>
        <w:ind w:firstLine="656"/>
        <w:spacing w:after="0" w:line="269" w:lineRule="auto"/>
        <w:tabs>
          <w:tab w:leader="none" w:pos="1374" w:val="left"/>
        </w:tabs>
        <w:numPr>
          <w:ilvl w:val="0"/>
          <w:numId w:val="160"/>
        </w:numPr>
        <w:rPr>
          <w:rFonts w:ascii="Arial" w:cs="Arial" w:eastAsia="Arial" w:hAnsi="Arial"/>
          <w:sz w:val="19"/>
          <w:szCs w:val="19"/>
          <w:color w:val="auto"/>
        </w:rPr>
      </w:pPr>
      <w:r>
        <w:rPr>
          <w:rFonts w:ascii="Arial" w:cs="Arial" w:eastAsia="Arial" w:hAnsi="Arial"/>
          <w:sz w:val="19"/>
          <w:szCs w:val="19"/>
          <w:u w:val="single" w:color="auto"/>
          <w:color w:val="auto"/>
        </w:rPr>
        <w:t>Reimbursement</w:t>
      </w:r>
      <w:r>
        <w:rPr>
          <w:rFonts w:ascii="Arial" w:cs="Arial" w:eastAsia="Arial" w:hAnsi="Arial"/>
          <w:sz w:val="19"/>
          <w:szCs w:val="19"/>
          <w:color w:val="auto"/>
        </w:rPr>
        <w:t xml:space="preserve">. If an Issuing Bank shall make any LC Disbursement in respect of a Letter of Credit, then the applicable Borrower shall reimburse such LC Disbursement by paying to the Administrative Agent an amount equal to such LC Disbursement not later than (i) if such Borrower shall have received notice of such LC Disbursement prior to 12:00 noon, Local Time, on any Business Day, then 5:00 p.m., Local Time, on such Business Day, or (ii) otherwise, 10:00 a.m., Local Time, on the Business Day immediately following the day that such Borrower receives such notice;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unless such Borrower has notified the applicable Issuing Bank that it will reimburse such LC Disbursement by the required date and time, such Borrower shall, subject to the conditions to borrowing set forth herein, be deemed to have requested, and such Borrower does hereby request in such event that such payment be financed with an ABR Revolving Borrowing in an equivalent amount and, to the extent so financed, such Borrower’s obligation to make such payment shall be discharged and replaced by the resulting ABR Revolving Borrowing. In the case of any such reimbursement in dollars with respect to a Letter of Credit denominated in an Alternative Currency, the applicable Issuing Bank shall notify such Borrower of the Dollar Equivalent of the amount of the draft so paid promptly following the determination thereof. If such Borrower fails to reimburse any LC Disbursement by the time specified above in this paragraph, then the Administrative Agent shall notify each Revolving Lender, as the case may be, of the applicable LC Disbursement, the currency and amount of the payment then due from such Borrower in respect thereof and such Revolving Lender’s Applicable Percentage thereof, as applicable. Promptly following receipt of such notice, each Revolving Lender shall pay to the Administrative Agent its Applicable Percentage of the amount then due from such Borrower in the currency of the applicable LC Disbursement, in the same manner as provided in </w:t>
      </w:r>
      <w:r>
        <w:rPr>
          <w:rFonts w:ascii="Arial" w:cs="Arial" w:eastAsia="Arial" w:hAnsi="Arial"/>
          <w:sz w:val="19"/>
          <w:szCs w:val="19"/>
          <w:u w:val="single" w:color="auto"/>
          <w:color w:val="auto"/>
        </w:rPr>
        <w:t>Section 2.06</w:t>
      </w:r>
      <w:r>
        <w:rPr>
          <w:rFonts w:ascii="Arial" w:cs="Arial" w:eastAsia="Arial" w:hAnsi="Arial"/>
          <w:sz w:val="19"/>
          <w:szCs w:val="19"/>
          <w:color w:val="auto"/>
        </w:rPr>
        <w:t xml:space="preserve"> with respect to Loans made by such Lender (and </w:t>
      </w:r>
      <w:r>
        <w:rPr>
          <w:rFonts w:ascii="Arial" w:cs="Arial" w:eastAsia="Arial" w:hAnsi="Arial"/>
          <w:sz w:val="19"/>
          <w:szCs w:val="19"/>
          <w:u w:val="single" w:color="auto"/>
          <w:color w:val="auto"/>
        </w:rPr>
        <w:t>Section 2.06</w:t>
      </w:r>
      <w:r>
        <w:rPr>
          <w:rFonts w:ascii="Arial" w:cs="Arial" w:eastAsia="Arial" w:hAnsi="Arial"/>
          <w:sz w:val="19"/>
          <w:szCs w:val="19"/>
          <w:color w:val="auto"/>
        </w:rPr>
        <w:t xml:space="preserve"> shall apply, </w:t>
      </w:r>
      <w:r>
        <w:rPr>
          <w:rFonts w:ascii="Arial" w:cs="Arial" w:eastAsia="Arial" w:hAnsi="Arial"/>
          <w:sz w:val="19"/>
          <w:szCs w:val="19"/>
          <w:i w:val="1"/>
          <w:iCs w:val="1"/>
          <w:color w:val="auto"/>
        </w:rPr>
        <w:t>mutatis mutandis</w:t>
      </w:r>
      <w:r>
        <w:rPr>
          <w:rFonts w:ascii="Arial" w:cs="Arial" w:eastAsia="Arial" w:hAnsi="Arial"/>
          <w:sz w:val="19"/>
          <w:szCs w:val="19"/>
          <w:color w:val="auto"/>
        </w:rPr>
        <w:t>, to the payment obligations of the Revolving Lenders under this paragraph), and the Administrative Agent shall promptly remit to the applicable Issuing Bank the amounts so received by it from the applicable Revolving Lenders. Promptly following receipt by the Administrative Agent of any payment from a Borrower pursuant to this paragraph, the Administrative Agent shall distribute such payment to the applicable Issuing Bank or, to the extent that Revolving Lenders have made payments pursuant to this paragraph to reimburse such Issuing Bank, then to such Revolving Lenders and such Issuing Bank as their interests may appear. Any payment made by a Revolving Lender pursuant to this paragraph to reimburse an Issuing Bank for any LC Disbursement (other than the funding of an ABR Revolving Borrowing as contemplated above) shall not constitute a Loan and shall not relieve the applicable Borrower of its obligation to reimburse such LC Disbursement.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8" w:name="page249"/>
    <w:bookmarkEnd w:id="248"/>
    <w:p>
      <w:pPr>
        <w:jc w:val="both"/>
        <w:ind w:firstLine="656"/>
        <w:spacing w:after="0" w:line="269" w:lineRule="auto"/>
        <w:tabs>
          <w:tab w:leader="none" w:pos="1458" w:val="left"/>
        </w:tabs>
        <w:numPr>
          <w:ilvl w:val="0"/>
          <w:numId w:val="161"/>
        </w:numPr>
        <w:rPr>
          <w:rFonts w:ascii="Arial" w:cs="Arial" w:eastAsia="Arial" w:hAnsi="Arial"/>
          <w:sz w:val="19"/>
          <w:szCs w:val="19"/>
          <w:color w:val="auto"/>
        </w:rPr>
      </w:pPr>
      <w:r>
        <w:rPr>
          <w:rFonts w:ascii="Arial" w:cs="Arial" w:eastAsia="Arial" w:hAnsi="Arial"/>
          <w:sz w:val="19"/>
          <w:szCs w:val="19"/>
          <w:u w:val="single" w:color="auto"/>
          <w:color w:val="auto"/>
        </w:rPr>
        <w:t>Obligations Absolute</w:t>
      </w:r>
      <w:r>
        <w:rPr>
          <w:rFonts w:ascii="Arial" w:cs="Arial" w:eastAsia="Arial" w:hAnsi="Arial"/>
          <w:sz w:val="19"/>
          <w:szCs w:val="19"/>
          <w:color w:val="auto"/>
        </w:rPr>
        <w:t xml:space="preserve">. The Borrowers’ obligations to reimburse LC Disbursements as provided in </w:t>
      </w:r>
      <w:r>
        <w:rPr>
          <w:rFonts w:ascii="Arial" w:cs="Arial" w:eastAsia="Arial" w:hAnsi="Arial"/>
          <w:sz w:val="19"/>
          <w:szCs w:val="19"/>
          <w:u w:val="single" w:color="auto"/>
          <w:color w:val="auto"/>
        </w:rPr>
        <w:t>paragraph (e)</w:t>
      </w:r>
      <w:r>
        <w:rPr>
          <w:rFonts w:ascii="Arial" w:cs="Arial" w:eastAsia="Arial" w:hAnsi="Arial"/>
          <w:sz w:val="19"/>
          <w:szCs w:val="19"/>
          <w:color w:val="auto"/>
        </w:rPr>
        <w:t xml:space="preserve"> of this Section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thereof or hereof, (ii) any draft or other document presented under a Letter of Credit proving to be forged, fraudulent or invalid in any respect or any statement therein being untrue or inaccurate in any respect, (iii) payment by an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a Borrower’s obligations hereunder. None of the Administrative Agent, the Lenders, the Issuing Banks or any of their Related Parties shall have any liability or responsibility by reason of or in connection with the issuance or transfer of any Letter of Credit, any payment or failure to make any payment thereunder (irrespective of any of the circumstances referred to in the preceding sentence),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applicable Issuing Bank;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be construed to excuse any Issuing Bank from liability to a Borrower to the extent of any direct damages (as opposed to special, indirect, consequential or punitive damages, claims in respect of which are hereby waived by the Borrowers to the extent permitted by applicable law) suffered by a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 Issuing Bank (as finally determined by a court of competent jurisdiction in a final and nonappealable judgment), such Issuing Bank shall be deemed to have exercised care in each such determination. In furtherance of the foregoing and without limiting the generality thereof, the parties agree that, with respect to documents presented that appear on their face to be in substantial compliance with the terms of a Letter of Credit, an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 and any such acceptance or refusal shall be deemed not to constitute gross negligence or willful misconduct.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9" w:name="page250"/>
    <w:bookmarkEnd w:id="249"/>
    <w:p>
      <w:pPr>
        <w:jc w:val="both"/>
        <w:ind w:firstLine="656"/>
        <w:spacing w:after="0" w:line="277" w:lineRule="auto"/>
        <w:tabs>
          <w:tab w:leader="none" w:pos="1399" w:val="left"/>
        </w:tabs>
        <w:numPr>
          <w:ilvl w:val="0"/>
          <w:numId w:val="162"/>
        </w:numPr>
        <w:rPr>
          <w:rFonts w:ascii="Arial" w:cs="Arial" w:eastAsia="Arial" w:hAnsi="Arial"/>
          <w:sz w:val="19"/>
          <w:szCs w:val="19"/>
          <w:color w:val="auto"/>
        </w:rPr>
      </w:pPr>
      <w:r>
        <w:rPr>
          <w:rFonts w:ascii="Arial" w:cs="Arial" w:eastAsia="Arial" w:hAnsi="Arial"/>
          <w:sz w:val="19"/>
          <w:szCs w:val="19"/>
          <w:u w:val="single" w:color="auto"/>
          <w:color w:val="auto"/>
        </w:rPr>
        <w:t>Disbursement Procedures</w:t>
      </w:r>
      <w:r>
        <w:rPr>
          <w:rFonts w:ascii="Arial" w:cs="Arial" w:eastAsia="Arial" w:hAnsi="Arial"/>
          <w:sz w:val="19"/>
          <w:szCs w:val="19"/>
          <w:color w:val="auto"/>
        </w:rPr>
        <w:t xml:space="preserve">. The Issuing Bank for any Letter of Credit shall, within the time allowed by applicable law or the specific terms of the Letter of Credit following its receipt thereof, examine all documents purporting to represent a demand for payment under such Letter of Credit. Such Issuing Bank shall promptly after such examination notify the Administrative Agent and the applicable Borrower by telephone (confirmed by telecopy or electronic mail) of such demand for payment if such Issuing Bank has made or will make an LC Disbursement thereunder;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failure to give or delay in giving such notice shall not relieve the applicable Borrower of its obligation to reimburse such Issuing Bank and the Revolving Lenders with respect to any such LC Disbursement in accordance with </w:t>
      </w:r>
      <w:r>
        <w:rPr>
          <w:rFonts w:ascii="Arial" w:cs="Arial" w:eastAsia="Arial" w:hAnsi="Arial"/>
          <w:sz w:val="19"/>
          <w:szCs w:val="19"/>
          <w:u w:val="single" w:color="auto"/>
          <w:color w:val="auto"/>
        </w:rPr>
        <w:t>paragraph (e)</w:t>
      </w:r>
      <w:r>
        <w:rPr>
          <w:rFonts w:ascii="Arial" w:cs="Arial" w:eastAsia="Arial" w:hAnsi="Arial"/>
          <w:sz w:val="19"/>
          <w:szCs w:val="19"/>
          <w:color w:val="auto"/>
        </w:rPr>
        <w:t xml:space="preserve"> of this Section.</w:t>
      </w:r>
    </w:p>
    <w:p>
      <w:pPr>
        <w:spacing w:after="0" w:line="179" w:lineRule="exact"/>
        <w:rPr>
          <w:rFonts w:ascii="Arial" w:cs="Arial" w:eastAsia="Arial" w:hAnsi="Arial"/>
          <w:sz w:val="19"/>
          <w:szCs w:val="19"/>
          <w:color w:val="auto"/>
        </w:rPr>
      </w:pPr>
    </w:p>
    <w:p>
      <w:pPr>
        <w:jc w:val="both"/>
        <w:ind w:firstLine="656"/>
        <w:spacing w:after="0" w:line="272" w:lineRule="auto"/>
        <w:tabs>
          <w:tab w:leader="none" w:pos="1278" w:val="left"/>
        </w:tabs>
        <w:numPr>
          <w:ilvl w:val="0"/>
          <w:numId w:val="162"/>
        </w:numPr>
        <w:rPr>
          <w:rFonts w:ascii="Arial" w:cs="Arial" w:eastAsia="Arial" w:hAnsi="Arial"/>
          <w:sz w:val="19"/>
          <w:szCs w:val="19"/>
          <w:color w:val="auto"/>
        </w:rPr>
      </w:pPr>
      <w:r>
        <w:rPr>
          <w:rFonts w:ascii="Arial" w:cs="Arial" w:eastAsia="Arial" w:hAnsi="Arial"/>
          <w:sz w:val="19"/>
          <w:szCs w:val="19"/>
          <w:u w:val="single" w:color="auto"/>
          <w:color w:val="auto"/>
        </w:rPr>
        <w:t>Interim Interest</w:t>
      </w:r>
      <w:r>
        <w:rPr>
          <w:rFonts w:ascii="Arial" w:cs="Arial" w:eastAsia="Arial" w:hAnsi="Arial"/>
          <w:sz w:val="19"/>
          <w:szCs w:val="19"/>
          <w:color w:val="auto"/>
        </w:rPr>
        <w:t xml:space="preserve">. If an Issuing Bank shall make any LC Disbursement, then, unless the applicable Borrower shall reimburse such LC Disbursement in full on the date such LC Disbursement is made, the unpaid amount thereof shall bear interest, for each day from and including the date such LC Disbursement is made to but excluding the date that the such Borrower reimburses such LC Disbursement in full, at (i) in the case of any LC Disbursement denominated in dollars, the rate per annum then applicable to ABR Revolving Loans and (ii) in the case of an LC Disbursement denominated in any Alternative Currency, a rate per annum determined by the applicable Issuing Bank (which determination will be conclusive absent manifest error) to represent its cost of funds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Applicable Rate used to determine interest applicable to Eurocurrency Revolving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applicable Borrower fails to reimburse such LC Disbursement in full when due pursuant to </w:t>
      </w:r>
      <w:r>
        <w:rPr>
          <w:rFonts w:ascii="Arial" w:cs="Arial" w:eastAsia="Arial" w:hAnsi="Arial"/>
          <w:sz w:val="19"/>
          <w:szCs w:val="19"/>
          <w:u w:val="single" w:color="auto"/>
          <w:color w:val="auto"/>
        </w:rPr>
        <w:t>paragraph (e)</w:t>
      </w:r>
      <w:r>
        <w:rPr>
          <w:rFonts w:ascii="Arial" w:cs="Arial" w:eastAsia="Arial" w:hAnsi="Arial"/>
          <w:sz w:val="19"/>
          <w:szCs w:val="19"/>
          <w:color w:val="auto"/>
        </w:rPr>
        <w:t xml:space="preserve"> of this Section, then </w:t>
      </w:r>
      <w:r>
        <w:rPr>
          <w:rFonts w:ascii="Arial" w:cs="Arial" w:eastAsia="Arial" w:hAnsi="Arial"/>
          <w:sz w:val="19"/>
          <w:szCs w:val="19"/>
          <w:u w:val="single" w:color="auto"/>
          <w:color w:val="auto"/>
        </w:rPr>
        <w:t>Section 2.13(c)</w:t>
      </w:r>
      <w:r>
        <w:rPr>
          <w:rFonts w:ascii="Arial" w:cs="Arial" w:eastAsia="Arial" w:hAnsi="Arial"/>
          <w:sz w:val="19"/>
          <w:szCs w:val="19"/>
          <w:color w:val="auto"/>
        </w:rPr>
        <w:t xml:space="preserve"> shall apply. Interest accrued pursuant to this paragraph shall be paid to the Administrative Agent, for the account of the applicable Issuing Bank, except that interest accrued on and after the date of payment by any Revolving Lender pursuant to </w:t>
      </w:r>
      <w:r>
        <w:rPr>
          <w:rFonts w:ascii="Arial" w:cs="Arial" w:eastAsia="Arial" w:hAnsi="Arial"/>
          <w:sz w:val="19"/>
          <w:szCs w:val="19"/>
          <w:u w:val="single" w:color="auto"/>
          <w:color w:val="auto"/>
        </w:rPr>
        <w:t>paragraph (e)</w:t>
      </w:r>
      <w:r>
        <w:rPr>
          <w:rFonts w:ascii="Arial" w:cs="Arial" w:eastAsia="Arial" w:hAnsi="Arial"/>
          <w:sz w:val="19"/>
          <w:szCs w:val="19"/>
          <w:color w:val="auto"/>
        </w:rPr>
        <w:t xml:space="preserve"> of this Section to reimburse such Issuing Bank shall be for the account of such Lender to the extent of such payment, and shall be payable on demand or, if no demand has been made, on the date on which the applicable Borrower reimburses the applicable LC Disbursement in full.</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0" w:name="page251"/>
    <w:bookmarkEnd w:id="250"/>
    <w:p>
      <w:pPr>
        <w:jc w:val="both"/>
        <w:ind w:left="-656" w:firstLine="656"/>
        <w:spacing w:after="0" w:line="268" w:lineRule="auto"/>
        <w:tabs>
          <w:tab w:leader="none" w:pos="803" w:val="left"/>
        </w:tabs>
        <w:numPr>
          <w:ilvl w:val="0"/>
          <w:numId w:val="163"/>
        </w:numPr>
        <w:rPr>
          <w:rFonts w:ascii="Arial" w:cs="Arial" w:eastAsia="Arial" w:hAnsi="Arial"/>
          <w:sz w:val="19"/>
          <w:szCs w:val="19"/>
          <w:color w:val="auto"/>
        </w:rPr>
      </w:pPr>
      <w:r>
        <w:rPr>
          <w:rFonts w:ascii="Arial" w:cs="Arial" w:eastAsia="Arial" w:hAnsi="Arial"/>
          <w:sz w:val="19"/>
          <w:szCs w:val="19"/>
          <w:u w:val="single" w:color="auto"/>
          <w:color w:val="auto"/>
        </w:rPr>
        <w:t>Cash Collateralization</w:t>
      </w:r>
      <w:r>
        <w:rPr>
          <w:rFonts w:ascii="Arial" w:cs="Arial" w:eastAsia="Arial" w:hAnsi="Arial"/>
          <w:sz w:val="19"/>
          <w:szCs w:val="19"/>
          <w:color w:val="auto"/>
        </w:rPr>
        <w:t xml:space="preserve">. If any Event of Default shall occur and be continuing, on the Business Day on which the Company receives notice from the Administrative Agent or the Required Lenders, the Borrowers shall deposit in an account with the Administrative Agent, in the name of the Administrative Agent and for the benefit of the Revolving Lenders, an amount in cash and in the currency of each applicable Letter of Credit equal to the LC Exposure as of such date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any accrued and unpaid interest thereon;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any Borrower described in clause (h) or (i) of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The Borrowers also shall deposit cash collateral in accordance with this paragraph as and to the extent required by </w:t>
      </w:r>
      <w:r>
        <w:rPr>
          <w:rFonts w:ascii="Arial" w:cs="Arial" w:eastAsia="Arial" w:hAnsi="Arial"/>
          <w:sz w:val="19"/>
          <w:szCs w:val="19"/>
          <w:u w:val="single" w:color="auto"/>
          <w:color w:val="auto"/>
        </w:rPr>
        <w:t>Section 2.11(b)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2.20(c)</w:t>
      </w:r>
      <w:r>
        <w:rPr>
          <w:rFonts w:ascii="Arial" w:cs="Arial" w:eastAsia="Arial" w:hAnsi="Arial"/>
          <w:sz w:val="19"/>
          <w:szCs w:val="19"/>
          <w:color w:val="auto"/>
        </w:rPr>
        <w:t xml:space="preserve">. Each such deposit shall be held by the Administrative Agent as collateral for the payment and performance of the obligations of the Borrowers under this Agreement. The Administrative Agent shall have exclusive dominion and control, including the exclusive right of withdrawal, over such account.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such account. Notwithstanding the terms of any Security Document, moneys in such account shall be applied by the Administrative Agent to reimburse the Issuing Banks for LC Disbursements for which they have not been reimbursed and, to the extent not so applied, shall be held for the satisfaction of the reimbursement obligations of the Borrowers for the LC Exposure at such time or, if the maturity of the Loans has been accelerated (but subject to (i) the consent of the Required Lenders and (ii) in the case of any such application at a time when any Revolving Lender is a Defaulting Lender (but only if, after giving effect thereto, the remaining cash collateral shall be less than the aggregate LC Exposure of all the Defaulting Lenders), the consent of each Issuing Bank), be applied to satisfy other obligations of the Borrowers under this Agreement. If the Borrowers are required to provide an amount of cash collateral hereunder as a result of the occurrence of an Event of Default, such amount (to the extent not applied as aforesaid) shall be returned to the Borrowers within three Business Days after all Events of Default have been cured or waived. If the Borrowers are required to provide an amount of cash collateral hereunder pursuant to </w:t>
      </w:r>
      <w:r>
        <w:rPr>
          <w:rFonts w:ascii="Arial" w:cs="Arial" w:eastAsia="Arial" w:hAnsi="Arial"/>
          <w:sz w:val="19"/>
          <w:szCs w:val="19"/>
          <w:u w:val="single" w:color="auto"/>
          <w:color w:val="auto"/>
        </w:rPr>
        <w:t>Section 2.11(b)</w:t>
      </w:r>
      <w:r>
        <w:rPr>
          <w:rFonts w:ascii="Arial" w:cs="Arial" w:eastAsia="Arial" w:hAnsi="Arial"/>
          <w:sz w:val="19"/>
          <w:szCs w:val="19"/>
          <w:color w:val="auto"/>
        </w:rPr>
        <w:t xml:space="preserve">, such amount (to the extent not applied as aforesaid) shall be returned to the Borrowers to the extent that, after giving effect to such return, the Total Revolving Exposure would not exceed the Total Commitments and no Default shall have occurred and be continuing. If the Borrowers are required to provide an amount of cash collateral hereunder pursuant to Section 2.11(c), such amount shall be returned to the Borrowers to the extent that, after giving effect to such return, the Consolidated Cash Balance as of the end of the month would not exceed $225,000,000. If the Borrowers are required to provide an amount of cash collateral hereunder pursuant to </w:t>
      </w:r>
      <w:r>
        <w:rPr>
          <w:rFonts w:ascii="Arial" w:cs="Arial" w:eastAsia="Arial" w:hAnsi="Arial"/>
          <w:sz w:val="19"/>
          <w:szCs w:val="19"/>
          <w:u w:val="single" w:color="auto"/>
          <w:color w:val="auto"/>
        </w:rPr>
        <w:t>Section 2.20(c)</w:t>
      </w:r>
      <w:r>
        <w:rPr>
          <w:rFonts w:ascii="Arial" w:cs="Arial" w:eastAsia="Arial" w:hAnsi="Arial"/>
          <w:sz w:val="19"/>
          <w:szCs w:val="19"/>
          <w:color w:val="auto"/>
        </w:rPr>
        <w:t>, such amount (to the extent not applied as aforesaid) shall be returned to the Borrowers to the extent that, after giving effect to such return, no Issuing Bank shall have any exposure in respect of any outstanding Letter of Credit that is not fully covered by the Commitments of the non-Defaulting Lenders and/or the remaining cash collateral and no Default shall have occurred and be continuing.</w:t>
      </w:r>
    </w:p>
    <w:p>
      <w:pPr>
        <w:spacing w:after="0" w:line="200" w:lineRule="exact"/>
        <w:rPr>
          <w:rFonts w:ascii="Arial" w:cs="Arial" w:eastAsia="Arial" w:hAnsi="Arial"/>
          <w:sz w:val="19"/>
          <w:szCs w:val="19"/>
          <w:color w:val="auto"/>
        </w:rPr>
      </w:pPr>
    </w:p>
    <w:p>
      <w:pPr>
        <w:spacing w:after="0" w:line="256" w:lineRule="exact"/>
        <w:rPr>
          <w:rFonts w:ascii="Arial" w:cs="Arial" w:eastAsia="Arial" w:hAnsi="Arial"/>
          <w:sz w:val="19"/>
          <w:szCs w:val="19"/>
          <w:color w:val="auto"/>
        </w:rPr>
      </w:pPr>
    </w:p>
    <w:p>
      <w:pPr>
        <w:jc w:val="both"/>
        <w:ind w:left="-656" w:firstLine="656"/>
        <w:spacing w:after="0" w:line="275" w:lineRule="auto"/>
        <w:tabs>
          <w:tab w:leader="none" w:pos="979" w:val="left"/>
        </w:tabs>
        <w:numPr>
          <w:ilvl w:val="0"/>
          <w:numId w:val="163"/>
        </w:numPr>
        <w:rPr>
          <w:rFonts w:ascii="Arial" w:cs="Arial" w:eastAsia="Arial" w:hAnsi="Arial"/>
          <w:sz w:val="19"/>
          <w:szCs w:val="19"/>
          <w:color w:val="auto"/>
        </w:rPr>
      </w:pPr>
      <w:r>
        <w:rPr>
          <w:rFonts w:ascii="Arial" w:cs="Arial" w:eastAsia="Arial" w:hAnsi="Arial"/>
          <w:sz w:val="19"/>
          <w:szCs w:val="19"/>
          <w:u w:val="single" w:color="auto"/>
          <w:color w:val="auto"/>
        </w:rPr>
        <w:t>Designation of Additional Issuing Banks</w:t>
      </w:r>
      <w:r>
        <w:rPr>
          <w:rFonts w:ascii="Arial" w:cs="Arial" w:eastAsia="Arial" w:hAnsi="Arial"/>
          <w:sz w:val="19"/>
          <w:szCs w:val="19"/>
          <w:color w:val="auto"/>
        </w:rPr>
        <w:t>. The Company may, at any time and from time to time, with the consent of the Administrative Agent (which consent shall not be unreasonably withheld), designate as additional Issuing Banks one or more Revolving Lenders that agree to serve in such capacity as provided below. The acceptance by a Revolving Lender of an appointment as an Issuing Bank hereunder shall be evidenced by an agreement, which shall be in form and substance reasonably satisfactory to the Administrative Agent, executed by the Borrowers, the Administrative Agent and such designated Revolving Lender and, from and after the effective date of such agreement, (i) such Revolving Lender shall have all the rights and obligations of an Issuing Bank, as applicable, under this Agreement and (ii) references herein to the term “Issuing Bank” shall be deemed to include such Revolving Lender in its capacity as an issuer of Letters of Credit hereunder.</w:t>
      </w:r>
    </w:p>
    <w:p>
      <w:pPr>
        <w:spacing w:after="0" w:line="184" w:lineRule="exact"/>
        <w:rPr>
          <w:rFonts w:ascii="Arial" w:cs="Arial" w:eastAsia="Arial" w:hAnsi="Arial"/>
          <w:sz w:val="19"/>
          <w:szCs w:val="19"/>
          <w:color w:val="auto"/>
        </w:rPr>
      </w:pPr>
    </w:p>
    <w:p>
      <w:pPr>
        <w:jc w:val="both"/>
        <w:ind w:left="-656" w:firstLine="656"/>
        <w:spacing w:after="0" w:line="271" w:lineRule="auto"/>
        <w:tabs>
          <w:tab w:leader="none" w:pos="784" w:val="left"/>
        </w:tabs>
        <w:numPr>
          <w:ilvl w:val="0"/>
          <w:numId w:val="163"/>
        </w:numPr>
        <w:rPr>
          <w:rFonts w:ascii="Arial" w:cs="Arial" w:eastAsia="Arial" w:hAnsi="Arial"/>
          <w:sz w:val="19"/>
          <w:szCs w:val="19"/>
          <w:color w:val="auto"/>
        </w:rPr>
      </w:pPr>
      <w:r>
        <w:rPr>
          <w:rFonts w:ascii="Arial" w:cs="Arial" w:eastAsia="Arial" w:hAnsi="Arial"/>
          <w:sz w:val="19"/>
          <w:szCs w:val="19"/>
          <w:u w:val="single" w:color="auto"/>
          <w:color w:val="auto"/>
        </w:rPr>
        <w:t>Termination or Resignation of an Issuing Bank</w:t>
      </w:r>
      <w:r>
        <w:rPr>
          <w:rFonts w:ascii="Arial" w:cs="Arial" w:eastAsia="Arial" w:hAnsi="Arial"/>
          <w:sz w:val="19"/>
          <w:szCs w:val="19"/>
          <w:color w:val="auto"/>
        </w:rPr>
        <w:t xml:space="preserve">. The Borrowers may terminate the appointment of any Issuing Bank as an “Issuing Bank” hereunder by providing a written notice thereof to such Issuing Bank, with a copy to the Administrative Agent. Any such termination shall become effective upon the earlier of (i) such Issuing Bank acknowledging receipt of such notice and (ii) the tenth Business Day following the date of the delivery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termination shall become effective until and unless the LC Exposure attributable to Letters of Credit issued by such Issuing Bank (or its Affiliates) shall have been reduced to zero. At the time any such termination shall become effective, the Borrowers shall pay all unpaid fees accrued for the account of the terminated Issuing Bank pursuant to </w:t>
      </w:r>
      <w:r>
        <w:rPr>
          <w:rFonts w:ascii="Arial" w:cs="Arial" w:eastAsia="Arial" w:hAnsi="Arial"/>
          <w:sz w:val="19"/>
          <w:szCs w:val="19"/>
          <w:u w:val="single" w:color="auto"/>
          <w:color w:val="auto"/>
        </w:rPr>
        <w:t>Section 2.12(b)</w:t>
      </w:r>
      <w:r>
        <w:rPr>
          <w:rFonts w:ascii="Arial" w:cs="Arial" w:eastAsia="Arial" w:hAnsi="Arial"/>
          <w:sz w:val="19"/>
          <w:szCs w:val="19"/>
          <w:color w:val="auto"/>
        </w:rPr>
        <w:t>. Notwithstanding the effectiveness of any such termination, the terminated Issuing Bank shall remain a party hereto and shall continue to have all the rights of an Issuing Bank under this Agreement with respect to Letters of Credit issued by it prior to such termination, but shall not issue any additional Letters of Credit. Any Issuing Bank may resign at any time by giving 30 days prior notice to the Administrative Agent, the Revolving Lenders, and the Borrowers. After the resignation of an Issuing Bank hereunder, the retiring Issuing Bank shall remain a party hereto and shall continue to have all the rights and obligations of an Issuing Bank under this Agreement and the other Loan Documents with respect to Letters of Credit issued by it prior to such resignation, but shall not be required to issue additional Letters of Credit or to extend, renew or increase any existing Letter of Credit.</w:t>
      </w:r>
    </w:p>
    <w:p>
      <w:pPr>
        <w:sectPr>
          <w:pgSz w:w="11900" w:h="16838" w:orient="portrait"/>
          <w:cols w:equalWidth="0" w:num="1">
            <w:col w:w="10584"/>
          </w:cols>
          <w:pgMar w:left="976" w:top="118" w:right="339" w:bottom="1440" w:gutter="0" w:footer="0" w:header="0"/>
        </w:sectPr>
      </w:pPr>
    </w:p>
    <w:p>
      <w:pPr>
        <w:spacing w:after="0" w:line="369" w:lineRule="exact"/>
        <w:rPr>
          <w:sz w:val="20"/>
          <w:szCs w:val="20"/>
          <w:color w:val="auto"/>
        </w:rPr>
      </w:pPr>
    </w:p>
    <w:p>
      <w:pPr>
        <w:jc w:val="center"/>
        <w:ind w:right="636"/>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52705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8" w:right="339" w:bottom="1440" w:gutter="0" w:footer="0" w:header="0"/>
          <w:type w:val="continuous"/>
        </w:sectPr>
      </w:pPr>
    </w:p>
    <w:bookmarkStart w:id="251" w:name="page252"/>
    <w:bookmarkEnd w:id="251"/>
    <w:p>
      <w:pPr>
        <w:jc w:val="both"/>
        <w:ind w:firstLine="656"/>
        <w:spacing w:after="0" w:line="272" w:lineRule="auto"/>
        <w:tabs>
          <w:tab w:leader="none" w:pos="1473" w:val="left"/>
        </w:tabs>
        <w:numPr>
          <w:ilvl w:val="0"/>
          <w:numId w:val="164"/>
        </w:numPr>
        <w:rPr>
          <w:rFonts w:ascii="Arial" w:cs="Arial" w:eastAsia="Arial" w:hAnsi="Arial"/>
          <w:sz w:val="19"/>
          <w:szCs w:val="19"/>
          <w:color w:val="auto"/>
        </w:rPr>
      </w:pPr>
      <w:r>
        <w:rPr>
          <w:rFonts w:ascii="Arial" w:cs="Arial" w:eastAsia="Arial" w:hAnsi="Arial"/>
          <w:sz w:val="19"/>
          <w:szCs w:val="19"/>
          <w:u w:val="single" w:color="auto"/>
          <w:color w:val="auto"/>
        </w:rPr>
        <w:t>Issuing Bank Reports to the Administrative Agent</w:t>
      </w:r>
      <w:r>
        <w:rPr>
          <w:rFonts w:ascii="Arial" w:cs="Arial" w:eastAsia="Arial" w:hAnsi="Arial"/>
          <w:sz w:val="19"/>
          <w:szCs w:val="19"/>
          <w:color w:val="auto"/>
        </w:rPr>
        <w:t>. Unless otherwise agreed by the Administrative Agent, each Issuing Bank shall, in addition to its notification obligations set forth elsewhere in this Section, report in writing to the Administrative Agent (i) periodic activity (for such period or recurrent periods as shall be requested by the Administrative Agent) in respect of Letters of Credit issued by such Issuing Bank, including all issuances, extensions, amendments and renewals, all expirations and cancelations and all disbursements and reimbursements, (ii) reasonably prior to the time that such Issuing Bank issues, amends, renews or extends any Letter of Credit, the date of such issuance, amendment, renewal or extension, and the stated amount of the Letters of Credit issued, amended, renewed or extended by it and outstanding after giving effect to such issuance, amendment, renewal or extension (and whether the amounts thereof shall have changed), (iii) on each Business Day on which such Issuing Bank makes any LC Disbursement, the date and amount of such LC Disbursement, (iv) on any Business Day on which a Borrower fails to reimburse an LC Disbursement required to be reimbursed to such Issuing Bank on such day, the date of such failure and the currency and amount of such LC Disbursement and (v) on any other Business Day, such other information as the Administrative Agent shall reasonably request as to the Letters of Credit issued by such Issuing Bank.</w:t>
      </w:r>
    </w:p>
    <w:p>
      <w:pPr>
        <w:spacing w:after="0" w:line="188" w:lineRule="exact"/>
        <w:rPr>
          <w:rFonts w:ascii="Arial" w:cs="Arial" w:eastAsia="Arial" w:hAnsi="Arial"/>
          <w:sz w:val="19"/>
          <w:szCs w:val="19"/>
          <w:color w:val="auto"/>
        </w:rPr>
      </w:pPr>
    </w:p>
    <w:p>
      <w:pPr>
        <w:jc w:val="both"/>
        <w:ind w:firstLine="656"/>
        <w:spacing w:after="0" w:line="238" w:lineRule="auto"/>
        <w:tabs>
          <w:tab w:leader="none" w:pos="1513" w:val="left"/>
        </w:tabs>
        <w:numPr>
          <w:ilvl w:val="0"/>
          <w:numId w:val="164"/>
        </w:numPr>
        <w:rPr>
          <w:rFonts w:ascii="Arial" w:cs="Arial" w:eastAsia="Arial" w:hAnsi="Arial"/>
          <w:sz w:val="22"/>
          <w:szCs w:val="22"/>
          <w:color w:val="auto"/>
        </w:rPr>
      </w:pPr>
      <w:r>
        <w:rPr>
          <w:rFonts w:ascii="Arial" w:cs="Arial" w:eastAsia="Arial" w:hAnsi="Arial"/>
          <w:sz w:val="22"/>
          <w:szCs w:val="22"/>
          <w:u w:val="single" w:color="auto"/>
          <w:color w:val="auto"/>
        </w:rPr>
        <w:t>LC Exposure Determination</w:t>
      </w:r>
      <w:r>
        <w:rPr>
          <w:rFonts w:ascii="Arial" w:cs="Arial" w:eastAsia="Arial" w:hAnsi="Arial"/>
          <w:sz w:val="22"/>
          <w:szCs w:val="22"/>
          <w:color w:val="auto"/>
        </w:rPr>
        <w:t>. For all purposes of this Agreement, the amount of a Letter of Credit that, by its terms or the terms of any document related thereto, provides for one or more automatic increases in the stated amount thereof shall be deemed to be the maximum stated amount of such Letter of Credit after giving effect to all such increases, whether or not such maximum stated amount is in effect at the time of determination.</w:t>
      </w:r>
    </w:p>
    <w:p>
      <w:pPr>
        <w:spacing w:after="0" w:line="211" w:lineRule="exact"/>
        <w:rPr>
          <w:rFonts w:ascii="Arial" w:cs="Arial" w:eastAsia="Arial" w:hAnsi="Arial"/>
          <w:sz w:val="22"/>
          <w:szCs w:val="22"/>
          <w:color w:val="auto"/>
        </w:rPr>
      </w:pPr>
    </w:p>
    <w:p>
      <w:pPr>
        <w:jc w:val="both"/>
        <w:ind w:firstLine="656"/>
        <w:spacing w:after="0" w:line="238" w:lineRule="auto"/>
        <w:tabs>
          <w:tab w:leader="none" w:pos="1548" w:val="left"/>
        </w:tabs>
        <w:numPr>
          <w:ilvl w:val="0"/>
          <w:numId w:val="164"/>
        </w:numPr>
        <w:rPr>
          <w:rFonts w:ascii="Arial" w:cs="Arial" w:eastAsia="Arial" w:hAnsi="Arial"/>
          <w:sz w:val="22"/>
          <w:szCs w:val="22"/>
          <w:color w:val="auto"/>
        </w:rPr>
      </w:pPr>
      <w:r>
        <w:rPr>
          <w:rFonts w:ascii="Arial" w:cs="Arial" w:eastAsia="Arial" w:hAnsi="Arial"/>
          <w:sz w:val="22"/>
          <w:szCs w:val="22"/>
          <w:u w:val="single" w:color="auto"/>
          <w:color w:val="auto"/>
        </w:rPr>
        <w:t>Applicability of ISP and UCP; Governing Law</w:t>
      </w:r>
      <w:r>
        <w:rPr>
          <w:rFonts w:ascii="Arial" w:cs="Arial" w:eastAsia="Arial" w:hAnsi="Arial"/>
          <w:sz w:val="22"/>
          <w:szCs w:val="22"/>
          <w:color w:val="auto"/>
        </w:rPr>
        <w:t>. Unless otherwise expressly agreed by the applicable Issuing Bank and the applicable Borrower when a Letter of Credit is issued, (i) the rules of the ISP or UCP shall apply to each standby Letter of Credit, (ii) the rules of the UCP shall apply to each commercial Letter of Credit and (iii) each Letter of Credit shall be governed by, and construed in accordance with, the law of the State of New York.</w:t>
      </w:r>
    </w:p>
    <w:p>
      <w:pPr>
        <w:spacing w:after="0" w:line="212" w:lineRule="exact"/>
        <w:rPr>
          <w:sz w:val="20"/>
          <w:szCs w:val="20"/>
          <w:color w:val="auto"/>
        </w:rPr>
      </w:pPr>
    </w:p>
    <w:p>
      <w:pPr>
        <w:ind w:left="660"/>
        <w:spacing w:after="0"/>
        <w:tabs>
          <w:tab w:leader="none" w:pos="2300" w:val="left"/>
        </w:tabs>
        <w:rPr>
          <w:sz w:val="20"/>
          <w:szCs w:val="20"/>
          <w:color w:val="auto"/>
        </w:rPr>
      </w:pPr>
      <w:r>
        <w:rPr>
          <w:rFonts w:ascii="Arial" w:cs="Arial" w:eastAsia="Arial" w:hAnsi="Arial"/>
          <w:sz w:val="22"/>
          <w:szCs w:val="22"/>
          <w:color w:val="auto"/>
        </w:rPr>
        <w:t>SECTION 2.06.</w:t>
      </w:r>
      <w:r>
        <w:rPr>
          <w:sz w:val="20"/>
          <w:szCs w:val="20"/>
          <w:color w:val="auto"/>
        </w:rPr>
        <w:tab/>
      </w:r>
      <w:r>
        <w:rPr>
          <w:rFonts w:ascii="Arial" w:cs="Arial" w:eastAsia="Arial" w:hAnsi="Arial"/>
          <w:sz w:val="19"/>
          <w:szCs w:val="19"/>
          <w:u w:val="single" w:color="auto"/>
          <w:color w:val="auto"/>
        </w:rPr>
        <w:t>Funding of Borrowings</w:t>
      </w:r>
    </w:p>
    <w:p>
      <w:pPr>
        <w:spacing w:after="0" w:line="233" w:lineRule="exact"/>
        <w:rPr>
          <w:sz w:val="20"/>
          <w:szCs w:val="20"/>
          <w:color w:val="auto"/>
        </w:rPr>
      </w:pPr>
    </w:p>
    <w:p>
      <w:pPr>
        <w:jc w:val="both"/>
        <w:ind w:firstLine="656"/>
        <w:spacing w:after="0" w:line="275" w:lineRule="auto"/>
        <w:tabs>
          <w:tab w:leader="none" w:pos="1466" w:val="left"/>
        </w:tabs>
        <w:numPr>
          <w:ilvl w:val="0"/>
          <w:numId w:val="165"/>
        </w:numPr>
        <w:rPr>
          <w:rFonts w:ascii="Arial" w:cs="Arial" w:eastAsia="Arial" w:hAnsi="Arial"/>
          <w:sz w:val="19"/>
          <w:szCs w:val="19"/>
          <w:color w:val="auto"/>
        </w:rPr>
      </w:pPr>
      <w:r>
        <w:rPr>
          <w:rFonts w:ascii="Arial" w:cs="Arial" w:eastAsia="Arial" w:hAnsi="Arial"/>
          <w:sz w:val="19"/>
          <w:szCs w:val="19"/>
          <w:color w:val="auto"/>
        </w:rPr>
        <w:t xml:space="preserve">Each Lender shall make each Loan to be made by it hereunder on the proposed date thereof by wire transfer of immediately available funds by 12:00 noon, Local Time, to the account of the Administrative Agent most recently designated by it for such purpose by notice to the Lenders. The Administrative Agent will make such Loans available to the applicable Borrower by promptly crediting the amounts so received, in like funds, to an account of such Borrower and designated by such Borrower in the applicable Borrowing Request;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ABR Revolving Loans made to finance the reimbursement of an LC Disbursement denominated in dollars as provided in </w:t>
      </w:r>
      <w:r>
        <w:rPr>
          <w:rFonts w:ascii="Arial" w:cs="Arial" w:eastAsia="Arial" w:hAnsi="Arial"/>
          <w:sz w:val="19"/>
          <w:szCs w:val="19"/>
          <w:u w:val="single" w:color="auto"/>
          <w:color w:val="auto"/>
        </w:rPr>
        <w:t>Section 2.05(e)</w:t>
      </w:r>
      <w:r>
        <w:rPr>
          <w:rFonts w:ascii="Arial" w:cs="Arial" w:eastAsia="Arial" w:hAnsi="Arial"/>
          <w:sz w:val="19"/>
          <w:szCs w:val="19"/>
          <w:color w:val="auto"/>
        </w:rPr>
        <w:t xml:space="preserve"> shall be remitted by the Administrative Agent to the applicable Issuing Bank or, to the extent that Revolving Lenders have made payments pursuant to </w:t>
      </w:r>
      <w:r>
        <w:rPr>
          <w:rFonts w:ascii="Arial" w:cs="Arial" w:eastAsia="Arial" w:hAnsi="Arial"/>
          <w:sz w:val="19"/>
          <w:szCs w:val="19"/>
          <w:u w:val="single" w:color="auto"/>
          <w:color w:val="auto"/>
        </w:rPr>
        <w:t>Section 2.05(e)</w:t>
      </w:r>
      <w:r>
        <w:rPr>
          <w:rFonts w:ascii="Arial" w:cs="Arial" w:eastAsia="Arial" w:hAnsi="Arial"/>
          <w:sz w:val="19"/>
          <w:szCs w:val="19"/>
          <w:color w:val="auto"/>
        </w:rPr>
        <w:t xml:space="preserve"> to reimburse such Issuing Bank, then to such Revolving Lenders and such Issuing Bank as their interests may appear.</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2" w:name="page253"/>
    <w:bookmarkEnd w:id="252"/>
    <w:p>
      <w:pPr>
        <w:jc w:val="both"/>
        <w:ind w:firstLine="656"/>
        <w:spacing w:after="0" w:line="270" w:lineRule="auto"/>
        <w:tabs>
          <w:tab w:leader="none" w:pos="1526" w:val="left"/>
        </w:tabs>
        <w:numPr>
          <w:ilvl w:val="0"/>
          <w:numId w:val="166"/>
        </w:numPr>
        <w:rPr>
          <w:rFonts w:ascii="Arial" w:cs="Arial" w:eastAsia="Arial" w:hAnsi="Arial"/>
          <w:sz w:val="19"/>
          <w:szCs w:val="19"/>
          <w:color w:val="auto"/>
        </w:rPr>
      </w:pPr>
      <w:r>
        <w:rPr>
          <w:rFonts w:ascii="Arial" w:cs="Arial" w:eastAsia="Arial" w:hAnsi="Arial"/>
          <w:sz w:val="19"/>
          <w:szCs w:val="19"/>
          <w:color w:val="auto"/>
        </w:rPr>
        <w:t xml:space="preserve">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9"/>
          <w:szCs w:val="19"/>
          <w:u w:val="single" w:color="auto"/>
          <w:color w:val="auto"/>
        </w:rPr>
        <w:t>paragraph (a)</w:t>
      </w:r>
      <w:r>
        <w:rPr>
          <w:rFonts w:ascii="Arial" w:cs="Arial" w:eastAsia="Arial" w:hAnsi="Arial"/>
          <w:sz w:val="19"/>
          <w:szCs w:val="19"/>
          <w:color w:val="auto"/>
        </w:rPr>
        <w:t xml:space="preserve"> of this Section and may, in reliance upon such assumption and in its sole discretion, make available to the applicable Borrower a corresponding amount. In such event, if a Lender has not in fact made its share of the applicable Borrowing available to the Administrative Agent, then the applicable Lender and such Borrower severally agrees to pay to the Administrative Agent forthwith on demand such corresponding amount with interest thereon, for each day from and including the date such amount is made available to the such Borrower to but excluding the date of payment to the Administrative Agent, at (i) in the case of such Lender, (A) in the case of Loans denominated in dollars, the greater of the NYFRB Rate and a rate determined by the Administrative Agent in accordance with banking industry rules on interbank compensation and (B) in the case of Loans denominated in an Alternative Currency, the rate determined by the Administrative Agent to be the cost to it of funding such amount (which determination will be conclusive absent manifest error) or (ii) in the case of the Borrowers, the interest rate applicable to (A) in the case of Loans denominated in dollars, ABR Loans and (B) in the case of Loans denominated in an Alternative Currency, the interest rate applicable to the subject Loan pursuant to </w:t>
      </w:r>
      <w:r>
        <w:rPr>
          <w:rFonts w:ascii="Arial" w:cs="Arial" w:eastAsia="Arial" w:hAnsi="Arial"/>
          <w:sz w:val="19"/>
          <w:szCs w:val="19"/>
          <w:u w:val="single" w:color="auto"/>
          <w:color w:val="auto"/>
        </w:rPr>
        <w:t>Section 2.13</w:t>
      </w:r>
      <w:r>
        <w:rPr>
          <w:rFonts w:ascii="Arial" w:cs="Arial" w:eastAsia="Arial" w:hAnsi="Arial"/>
          <w:sz w:val="19"/>
          <w:szCs w:val="19"/>
          <w:color w:val="auto"/>
        </w:rPr>
        <w:t>. If the applicable Borrower and such Lender shall pay such interest to the Administrative Agent for the same or an overlapping period, the Administrative Agent shall promptly remit to such Borrower the amount of such interest paid by such Borrower for such period. If such Lender pays such amount to the Administrative Agent, then such amount shall constitute such Lender’s Loan included in such Borrowing.</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2.07. </w:t>
      </w:r>
      <w:r>
        <w:rPr>
          <w:rFonts w:ascii="Arial" w:cs="Arial" w:eastAsia="Arial" w:hAnsi="Arial"/>
          <w:sz w:val="22"/>
          <w:szCs w:val="22"/>
          <w:u w:val="single" w:color="auto"/>
          <w:color w:val="auto"/>
        </w:rPr>
        <w:t>Interest Elections</w:t>
      </w:r>
    </w:p>
    <w:p>
      <w:pPr>
        <w:spacing w:after="0" w:line="233" w:lineRule="exact"/>
        <w:rPr>
          <w:sz w:val="20"/>
          <w:szCs w:val="20"/>
          <w:color w:val="auto"/>
        </w:rPr>
      </w:pPr>
    </w:p>
    <w:p>
      <w:pPr>
        <w:jc w:val="both"/>
        <w:ind w:firstLine="656"/>
        <w:spacing w:after="0" w:line="275" w:lineRule="auto"/>
        <w:tabs>
          <w:tab w:leader="none" w:pos="1637" w:val="left"/>
        </w:tabs>
        <w:numPr>
          <w:ilvl w:val="0"/>
          <w:numId w:val="167"/>
        </w:numPr>
        <w:rPr>
          <w:rFonts w:ascii="Arial" w:cs="Arial" w:eastAsia="Arial" w:hAnsi="Arial"/>
          <w:sz w:val="19"/>
          <w:szCs w:val="19"/>
          <w:color w:val="auto"/>
        </w:rPr>
      </w:pPr>
      <w:r>
        <w:rPr>
          <w:rFonts w:ascii="Arial" w:cs="Arial" w:eastAsia="Arial" w:hAnsi="Arial"/>
          <w:sz w:val="19"/>
          <w:szCs w:val="19"/>
          <w:color w:val="auto"/>
        </w:rPr>
        <w:t xml:space="preserve">Each Revolving Borrowing initially shall be of the Type specified in the applicable Borrowing Request or designated by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and, in the case of a Eurocurrency Borrowing, shall have an initial Interest Period as specified in such Borrowing Request or designated by </w:t>
      </w:r>
      <w:r>
        <w:rPr>
          <w:rFonts w:ascii="Arial" w:cs="Arial" w:eastAsia="Arial" w:hAnsi="Arial"/>
          <w:sz w:val="19"/>
          <w:szCs w:val="19"/>
          <w:u w:val="single" w:color="auto"/>
          <w:color w:val="auto"/>
        </w:rPr>
        <w:t>Section 2.03</w:t>
      </w:r>
      <w:r>
        <w:rPr>
          <w:rFonts w:ascii="Arial" w:cs="Arial" w:eastAsia="Arial" w:hAnsi="Arial"/>
          <w:sz w:val="19"/>
          <w:szCs w:val="19"/>
          <w:color w:val="auto"/>
        </w:rPr>
        <w:t>. Thereafter, the applicable Borrower may elect to convert such Borrowing to a Borrowing of a different Type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Eurocurrency Borrowings denominated in an Alternative Currency may not be converted into ABR Borrowings) or to continue such Borrowing and, in the case of a Eurocurrency Borrowing, may elect Interest Periods therefor, all as provided in this Section. The Company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spacing w:after="0" w:line="184" w:lineRule="exact"/>
        <w:rPr>
          <w:rFonts w:ascii="Arial" w:cs="Arial" w:eastAsia="Arial" w:hAnsi="Arial"/>
          <w:sz w:val="19"/>
          <w:szCs w:val="19"/>
          <w:color w:val="auto"/>
        </w:rPr>
      </w:pPr>
    </w:p>
    <w:p>
      <w:pPr>
        <w:jc w:val="both"/>
        <w:ind w:firstLine="656"/>
        <w:spacing w:after="0" w:line="287" w:lineRule="auto"/>
        <w:tabs>
          <w:tab w:leader="none" w:pos="1493" w:val="left"/>
        </w:tabs>
        <w:numPr>
          <w:ilvl w:val="0"/>
          <w:numId w:val="167"/>
        </w:numPr>
        <w:rPr>
          <w:rFonts w:ascii="Arial" w:cs="Arial" w:eastAsia="Arial" w:hAnsi="Arial"/>
          <w:sz w:val="19"/>
          <w:szCs w:val="19"/>
          <w:color w:val="auto"/>
        </w:rPr>
      </w:pPr>
      <w:r>
        <w:rPr>
          <w:rFonts w:ascii="Arial" w:cs="Arial" w:eastAsia="Arial" w:hAnsi="Arial"/>
          <w:sz w:val="19"/>
          <w:szCs w:val="19"/>
          <w:color w:val="auto"/>
        </w:rPr>
        <w:t xml:space="preserve">To make an election pursuant to this Section, the applicable Borrower shall notify the Administrative Agent of such election by the time that a Borrowing Request would be required under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if the Company was requesting a Revolving Borrowing of the Type resulting from such election to be made on the effective date of such election. Each such Interest Election Request shall be irrevocable and shall be signed by a Responsible Officer of such Borrower.</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3" w:name="page254"/>
    <w:bookmarkEnd w:id="253"/>
    <w:p>
      <w:pPr>
        <w:ind w:left="1440" w:hanging="784"/>
        <w:spacing w:after="0"/>
        <w:tabs>
          <w:tab w:leader="none" w:pos="1440" w:val="left"/>
        </w:tabs>
        <w:numPr>
          <w:ilvl w:val="0"/>
          <w:numId w:val="168"/>
        </w:numPr>
        <w:rPr>
          <w:rFonts w:ascii="Arial" w:cs="Arial" w:eastAsia="Arial" w:hAnsi="Arial"/>
          <w:sz w:val="21"/>
          <w:szCs w:val="21"/>
          <w:color w:val="auto"/>
        </w:rPr>
      </w:pPr>
      <w:r>
        <w:rPr>
          <w:rFonts w:ascii="Arial" w:cs="Arial" w:eastAsia="Arial" w:hAnsi="Arial"/>
          <w:sz w:val="21"/>
          <w:szCs w:val="21"/>
          <w:color w:val="auto"/>
        </w:rPr>
        <w:t xml:space="preserve">Each Interest Election Request shall specify the following information in compliance with </w:t>
      </w:r>
      <w:r>
        <w:rPr>
          <w:rFonts w:ascii="Arial" w:cs="Arial" w:eastAsia="Arial" w:hAnsi="Arial"/>
          <w:sz w:val="21"/>
          <w:szCs w:val="21"/>
          <w:u w:val="single" w:color="auto"/>
          <w:color w:val="auto"/>
        </w:rPr>
        <w:t>Section 2.02</w:t>
      </w:r>
      <w:r>
        <w:rPr>
          <w:rFonts w:ascii="Arial" w:cs="Arial" w:eastAsia="Arial" w:hAnsi="Arial"/>
          <w:sz w:val="21"/>
          <w:szCs w:val="21"/>
          <w:color w:val="auto"/>
        </w:rPr>
        <w:t>:</w:t>
      </w:r>
    </w:p>
    <w:p>
      <w:pPr>
        <w:spacing w:after="0" w:line="245" w:lineRule="exact"/>
        <w:rPr>
          <w:rFonts w:ascii="Arial" w:cs="Arial" w:eastAsia="Arial" w:hAnsi="Arial"/>
          <w:sz w:val="21"/>
          <w:szCs w:val="21"/>
          <w:color w:val="auto"/>
        </w:rPr>
      </w:pPr>
    </w:p>
    <w:p>
      <w:pPr>
        <w:jc w:val="both"/>
        <w:ind w:left="660" w:firstLine="644"/>
        <w:spacing w:after="0" w:line="297" w:lineRule="auto"/>
        <w:tabs>
          <w:tab w:leader="none" w:pos="2122" w:val="left"/>
        </w:tabs>
        <w:numPr>
          <w:ilvl w:val="1"/>
          <w:numId w:val="168"/>
        </w:numPr>
        <w:rPr>
          <w:rFonts w:ascii="Arial" w:cs="Arial" w:eastAsia="Arial" w:hAnsi="Arial"/>
          <w:sz w:val="19"/>
          <w:szCs w:val="19"/>
          <w:color w:val="auto"/>
        </w:rPr>
      </w:pPr>
      <w:r>
        <w:rPr>
          <w:rFonts w:ascii="Arial" w:cs="Arial" w:eastAsia="Arial" w:hAnsi="Arial"/>
          <w:sz w:val="19"/>
          <w:szCs w:val="19"/>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60" w:lineRule="exact"/>
        <w:rPr>
          <w:rFonts w:ascii="Arial" w:cs="Arial" w:eastAsia="Arial" w:hAnsi="Arial"/>
          <w:sz w:val="19"/>
          <w:szCs w:val="19"/>
          <w:color w:val="auto"/>
        </w:rPr>
      </w:pPr>
    </w:p>
    <w:p>
      <w:pPr>
        <w:ind w:left="2400" w:hanging="1096"/>
        <w:spacing w:after="0"/>
        <w:tabs>
          <w:tab w:leader="none" w:pos="2400" w:val="left"/>
        </w:tabs>
        <w:numPr>
          <w:ilvl w:val="1"/>
          <w:numId w:val="168"/>
        </w:numPr>
        <w:rPr>
          <w:rFonts w:ascii="Arial" w:cs="Arial" w:eastAsia="Arial" w:hAnsi="Arial"/>
          <w:sz w:val="19"/>
          <w:szCs w:val="19"/>
          <w:color w:val="auto"/>
        </w:rPr>
      </w:pPr>
      <w:r>
        <w:rPr>
          <w:rFonts w:ascii="Arial" w:cs="Arial" w:eastAsia="Arial" w:hAnsi="Arial"/>
          <w:sz w:val="19"/>
          <w:szCs w:val="19"/>
          <w:color w:val="auto"/>
        </w:rPr>
        <w:t>the effective date of the election made pursuant to such Interest Election Request, which shall be a</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Business Day;</w:t>
      </w:r>
    </w:p>
    <w:p>
      <w:pPr>
        <w:spacing w:after="0" w:line="215" w:lineRule="exact"/>
        <w:rPr>
          <w:rFonts w:ascii="Arial" w:cs="Arial" w:eastAsia="Arial" w:hAnsi="Arial"/>
          <w:sz w:val="19"/>
          <w:szCs w:val="19"/>
          <w:color w:val="auto"/>
        </w:rPr>
      </w:pPr>
    </w:p>
    <w:p>
      <w:pPr>
        <w:ind w:left="2160" w:hanging="856"/>
        <w:spacing w:after="0"/>
        <w:tabs>
          <w:tab w:leader="none" w:pos="2160" w:val="left"/>
        </w:tabs>
        <w:numPr>
          <w:ilvl w:val="1"/>
          <w:numId w:val="168"/>
        </w:numPr>
        <w:rPr>
          <w:rFonts w:ascii="Arial" w:cs="Arial" w:eastAsia="Arial" w:hAnsi="Arial"/>
          <w:sz w:val="21"/>
          <w:szCs w:val="21"/>
          <w:color w:val="auto"/>
        </w:rPr>
      </w:pPr>
      <w:r>
        <w:rPr>
          <w:rFonts w:ascii="Arial" w:cs="Arial" w:eastAsia="Arial" w:hAnsi="Arial"/>
          <w:sz w:val="21"/>
          <w:szCs w:val="21"/>
          <w:color w:val="auto"/>
        </w:rPr>
        <w:t>whether the resulting Borrowing is to be an ABR Borrowing or a Eurocurrency Borrowing; and</w:t>
      </w:r>
    </w:p>
    <w:p>
      <w:pPr>
        <w:spacing w:after="0" w:line="244" w:lineRule="exact"/>
        <w:rPr>
          <w:rFonts w:ascii="Arial" w:cs="Arial" w:eastAsia="Arial" w:hAnsi="Arial"/>
          <w:sz w:val="21"/>
          <w:szCs w:val="21"/>
          <w:color w:val="auto"/>
        </w:rPr>
      </w:pPr>
    </w:p>
    <w:p>
      <w:pPr>
        <w:ind w:left="660" w:firstLine="644"/>
        <w:spacing w:after="0" w:line="328" w:lineRule="auto"/>
        <w:tabs>
          <w:tab w:leader="none" w:pos="2130" w:val="left"/>
        </w:tabs>
        <w:numPr>
          <w:ilvl w:val="1"/>
          <w:numId w:val="168"/>
        </w:numPr>
        <w:rPr>
          <w:rFonts w:ascii="Arial" w:cs="Arial" w:eastAsia="Arial" w:hAnsi="Arial"/>
          <w:sz w:val="19"/>
          <w:szCs w:val="19"/>
          <w:color w:val="auto"/>
        </w:rPr>
      </w:pPr>
      <w:r>
        <w:rPr>
          <w:rFonts w:ascii="Arial" w:cs="Arial" w:eastAsia="Arial" w:hAnsi="Arial"/>
          <w:sz w:val="19"/>
          <w:szCs w:val="19"/>
          <w:color w:val="auto"/>
        </w:rPr>
        <w:t>if the resulting Borrowing is to be a Eurocurrency Borrowing, the Interest Period to be applicable thereto after giving effect to such election, which shall be a period contemplated by the definition of the term “Interest Period.”</w:t>
      </w:r>
    </w:p>
    <w:p>
      <w:pPr>
        <w:spacing w:after="0" w:line="13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If any such Interest Election Request requests a Eurocurrency Borrowing but does not specify an Interest Period, then such Borrower shall be deemed to have selected an Interest Period of one month’s duration.</w:t>
      </w:r>
    </w:p>
    <w:p>
      <w:pPr>
        <w:spacing w:after="0" w:line="202" w:lineRule="exact"/>
        <w:rPr>
          <w:sz w:val="20"/>
          <w:szCs w:val="20"/>
          <w:color w:val="auto"/>
        </w:rPr>
      </w:pPr>
    </w:p>
    <w:p>
      <w:pPr>
        <w:ind w:firstLine="656"/>
        <w:spacing w:after="0" w:line="250" w:lineRule="auto"/>
        <w:tabs>
          <w:tab w:leader="none" w:pos="1411" w:val="left"/>
        </w:tabs>
        <w:numPr>
          <w:ilvl w:val="0"/>
          <w:numId w:val="169"/>
        </w:numPr>
        <w:rPr>
          <w:rFonts w:ascii="Arial" w:cs="Arial" w:eastAsia="Arial" w:hAnsi="Arial"/>
          <w:sz w:val="22"/>
          <w:szCs w:val="22"/>
          <w:color w:val="auto"/>
        </w:rPr>
      </w:pPr>
      <w:r>
        <w:rPr>
          <w:rFonts w:ascii="Arial" w:cs="Arial" w:eastAsia="Arial" w:hAnsi="Arial"/>
          <w:sz w:val="22"/>
          <w:szCs w:val="22"/>
          <w:color w:val="auto"/>
        </w:rPr>
        <w:t>Promptly following receipt of an Interest Election Request, the Administrative Agent shall advise each Lender of the details thereof and of such Lender’s portion of each resulting Borrowing.</w:t>
      </w:r>
    </w:p>
    <w:p>
      <w:pPr>
        <w:spacing w:after="0" w:line="201" w:lineRule="exact"/>
        <w:rPr>
          <w:rFonts w:ascii="Arial" w:cs="Arial" w:eastAsia="Arial" w:hAnsi="Arial"/>
          <w:sz w:val="22"/>
          <w:szCs w:val="22"/>
          <w:color w:val="auto"/>
        </w:rPr>
      </w:pPr>
    </w:p>
    <w:p>
      <w:pPr>
        <w:jc w:val="both"/>
        <w:ind w:firstLine="656"/>
        <w:spacing w:after="0" w:line="272" w:lineRule="auto"/>
        <w:tabs>
          <w:tab w:leader="none" w:pos="1374" w:val="left"/>
        </w:tabs>
        <w:numPr>
          <w:ilvl w:val="0"/>
          <w:numId w:val="169"/>
        </w:numPr>
        <w:rPr>
          <w:rFonts w:ascii="Arial" w:cs="Arial" w:eastAsia="Arial" w:hAnsi="Arial"/>
          <w:sz w:val="19"/>
          <w:szCs w:val="19"/>
          <w:color w:val="auto"/>
        </w:rPr>
      </w:pPr>
      <w:r>
        <w:rPr>
          <w:rFonts w:ascii="Arial" w:cs="Arial" w:eastAsia="Arial" w:hAnsi="Arial"/>
          <w:sz w:val="19"/>
          <w:szCs w:val="19"/>
          <w:color w:val="auto"/>
        </w:rPr>
        <w:t xml:space="preserve">If a Borrower fails to deliver a timely Interest Election Request with respect to a Eurocurrency Borrowing prior to the end of the Interest Period applicable thereto, then, unless such Borrowing is repaid as provided herein, at the end of such Interest Period (i) in the case of a Eurocurrency Borrowing denominated in dollars, such Borrowing shall be converted to an ABR Borrowing and (ii) in the case of a Eurocurrency Borrowing denominated in an Alternative Currency, such Borrowing shall be continued as a Borrowing of the applicable Type for an Interest Period of one month. Notwithstanding any contrary provision hereof, if an Event of Default under clause (h) or (i) of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has occurred and is continuing with respect to a Borrower, or if any other Event of Default has occurred and is continuing and the Administrative Agent, at the request of the Required Lenders has notified the Borrowers of the election to give effect to this sentence on account of such other Event of Default, then, in each such case, so long as such Event of Default is continuing, (i) no outstanding Borrowing denominated in dollars may be converted to or continued as a Eurocurrency Borrowing, (ii) unless repaid, each Eurocurrency Borrowing denominated in dollars shall be converted to an ABR Borrowing at the end of the Interest Period applicable thereto and (iii) unless repaid, each Eurocurrency Borrowing denominated in an Alternative Currency shall be continued as a Eurocurrency Borrowing, with an Interest Period of one month’s duration.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880"/>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4" w:name="page255"/>
    <w:bookmarkEnd w:id="254"/>
    <w:p>
      <w:pPr>
        <w:ind w:left="660"/>
        <w:spacing w:after="0"/>
        <w:tabs>
          <w:tab w:leader="none" w:pos="2300" w:val="left"/>
        </w:tabs>
        <w:rPr>
          <w:sz w:val="20"/>
          <w:szCs w:val="20"/>
          <w:color w:val="auto"/>
        </w:rPr>
      </w:pPr>
      <w:r>
        <w:rPr>
          <w:rFonts w:ascii="Arial" w:cs="Arial" w:eastAsia="Arial" w:hAnsi="Arial"/>
          <w:sz w:val="22"/>
          <w:szCs w:val="22"/>
          <w:color w:val="auto"/>
        </w:rPr>
        <w:t>SECTION 2.08.</w:t>
      </w:r>
      <w:r>
        <w:rPr>
          <w:sz w:val="20"/>
          <w:szCs w:val="20"/>
          <w:color w:val="auto"/>
        </w:rPr>
        <w:tab/>
      </w:r>
      <w:r>
        <w:rPr>
          <w:rFonts w:ascii="Arial" w:cs="Arial" w:eastAsia="Arial" w:hAnsi="Arial"/>
          <w:sz w:val="19"/>
          <w:szCs w:val="19"/>
          <w:u w:val="single" w:color="auto"/>
          <w:color w:val="auto"/>
        </w:rPr>
        <w:t>Termination and Reduction of Commitments</w:t>
      </w:r>
    </w:p>
    <w:p>
      <w:pPr>
        <w:spacing w:after="0" w:line="234" w:lineRule="exact"/>
        <w:rPr>
          <w:sz w:val="20"/>
          <w:szCs w:val="20"/>
          <w:color w:val="auto"/>
        </w:rPr>
      </w:pPr>
    </w:p>
    <w:p>
      <w:pPr>
        <w:ind w:left="1440" w:hanging="784"/>
        <w:spacing w:after="0"/>
        <w:tabs>
          <w:tab w:leader="none" w:pos="1440" w:val="left"/>
        </w:tabs>
        <w:numPr>
          <w:ilvl w:val="0"/>
          <w:numId w:val="170"/>
        </w:numPr>
        <w:rPr>
          <w:rFonts w:ascii="Arial" w:cs="Arial" w:eastAsia="Arial" w:hAnsi="Arial"/>
          <w:sz w:val="22"/>
          <w:szCs w:val="22"/>
          <w:color w:val="auto"/>
        </w:rPr>
      </w:pPr>
      <w:r>
        <w:rPr>
          <w:rFonts w:ascii="Arial" w:cs="Arial" w:eastAsia="Arial" w:hAnsi="Arial"/>
          <w:sz w:val="22"/>
          <w:szCs w:val="22"/>
          <w:color w:val="auto"/>
        </w:rPr>
        <w:t>Unless previously terminated, the Commitments shall automatically terminate on the Maturity Date.</w:t>
      </w:r>
    </w:p>
    <w:p>
      <w:pPr>
        <w:spacing w:after="0" w:line="233" w:lineRule="exact"/>
        <w:rPr>
          <w:rFonts w:ascii="Arial" w:cs="Arial" w:eastAsia="Arial" w:hAnsi="Arial"/>
          <w:sz w:val="22"/>
          <w:szCs w:val="22"/>
          <w:color w:val="auto"/>
        </w:rPr>
      </w:pPr>
    </w:p>
    <w:p>
      <w:pPr>
        <w:jc w:val="both"/>
        <w:ind w:firstLine="656"/>
        <w:spacing w:after="0" w:line="236" w:lineRule="auto"/>
        <w:tabs>
          <w:tab w:leader="none" w:pos="1439" w:val="left"/>
        </w:tabs>
        <w:numPr>
          <w:ilvl w:val="0"/>
          <w:numId w:val="170"/>
        </w:numPr>
        <w:rPr>
          <w:rFonts w:ascii="Arial" w:cs="Arial" w:eastAsia="Arial" w:hAnsi="Arial"/>
          <w:sz w:val="22"/>
          <w:szCs w:val="22"/>
          <w:color w:val="auto"/>
        </w:rPr>
      </w:pPr>
      <w:r>
        <w:rPr>
          <w:rFonts w:ascii="Arial" w:cs="Arial" w:eastAsia="Arial" w:hAnsi="Arial"/>
          <w:sz w:val="22"/>
          <w:szCs w:val="22"/>
          <w:color w:val="auto"/>
        </w:rPr>
        <w:t xml:space="preserve">The Company may at any time terminate, or from time to time permanently reduce, the Commitments;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 each partial reduction of the Commitments shall be in an amount that is an integral multiple of $1,000,000 and not less than $10,000,000 and (ii) the Company shall not terminate or reduce the Commitments if, after giving effect to any concurrent prepayment of the Revolving Loans in accordance with </w:t>
      </w:r>
      <w:r>
        <w:rPr>
          <w:rFonts w:ascii="Arial" w:cs="Arial" w:eastAsia="Arial" w:hAnsi="Arial"/>
          <w:sz w:val="22"/>
          <w:szCs w:val="22"/>
          <w:u w:val="single" w:color="auto"/>
          <w:color w:val="auto"/>
        </w:rPr>
        <w:t>Section 2.11</w:t>
      </w:r>
      <w:r>
        <w:rPr>
          <w:rFonts w:ascii="Arial" w:cs="Arial" w:eastAsia="Arial" w:hAnsi="Arial"/>
          <w:sz w:val="22"/>
          <w:szCs w:val="22"/>
          <w:color w:val="auto"/>
        </w:rPr>
        <w:t>, the Total Revolving Exposure would exceed the Total Commitments.</w:t>
      </w:r>
    </w:p>
    <w:p>
      <w:pPr>
        <w:spacing w:after="0" w:line="214" w:lineRule="exact"/>
        <w:rPr>
          <w:rFonts w:ascii="Arial" w:cs="Arial" w:eastAsia="Arial" w:hAnsi="Arial"/>
          <w:sz w:val="22"/>
          <w:szCs w:val="22"/>
          <w:color w:val="auto"/>
        </w:rPr>
      </w:pPr>
    </w:p>
    <w:p>
      <w:pPr>
        <w:jc w:val="both"/>
        <w:ind w:firstLine="656"/>
        <w:spacing w:after="0" w:line="274" w:lineRule="auto"/>
        <w:tabs>
          <w:tab w:leader="none" w:pos="1584" w:val="left"/>
        </w:tabs>
        <w:numPr>
          <w:ilvl w:val="0"/>
          <w:numId w:val="170"/>
        </w:numPr>
        <w:rPr>
          <w:rFonts w:ascii="Arial" w:cs="Arial" w:eastAsia="Arial" w:hAnsi="Arial"/>
          <w:sz w:val="19"/>
          <w:szCs w:val="19"/>
          <w:color w:val="auto"/>
        </w:rPr>
      </w:pPr>
      <w:r>
        <w:rPr>
          <w:rFonts w:ascii="Arial" w:cs="Arial" w:eastAsia="Arial" w:hAnsi="Arial"/>
          <w:sz w:val="19"/>
          <w:szCs w:val="19"/>
          <w:color w:val="auto"/>
        </w:rPr>
        <w:t xml:space="preserve">The Company shall notify the Administrative Agent of any election to terminate or reduce the Commitments under </w:t>
      </w:r>
      <w:r>
        <w:rPr>
          <w:rFonts w:ascii="Arial" w:cs="Arial" w:eastAsia="Arial" w:hAnsi="Arial"/>
          <w:sz w:val="19"/>
          <w:szCs w:val="19"/>
          <w:u w:val="single" w:color="auto"/>
          <w:color w:val="auto"/>
        </w:rPr>
        <w:t>paragraph (b)</w:t>
      </w:r>
      <w:r>
        <w:rPr>
          <w:rFonts w:ascii="Arial" w:cs="Arial" w:eastAsia="Arial" w:hAnsi="Arial"/>
          <w:sz w:val="19"/>
          <w:szCs w:val="19"/>
          <w:color w:val="auto"/>
        </w:rPr>
        <w:t xml:space="preserve"> of this Section at least three Business Days prior to the effective date of such termination or reduction, specifying such election and the effective date thereof. Promptly following receipt of any such notice, the Administrative Agent shall advise the Lenders of the contents thereof. Each notice delivered by the Company pursuant to this Section shall be irrevocable;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notice of termination or reduction of the Commitments delivered under this paragraph may state that such notice is conditioned upon the occurrence of one or more events specified therein, in which case such notice may be revoked by the Company (by notice to the Administrative Agent on or prior to the specified effective date) if such condition is not satisfied. Any termination or reduction of the Commitments shall be permanent. Each reduction of the Commitments shall be made ratably among the Lenders in accordance with their respective Commitments.</w:t>
      </w:r>
    </w:p>
    <w:p>
      <w:pPr>
        <w:spacing w:after="0" w:line="185" w:lineRule="exact"/>
        <w:rPr>
          <w:sz w:val="20"/>
          <w:szCs w:val="20"/>
          <w:color w:val="auto"/>
        </w:rPr>
      </w:pPr>
    </w:p>
    <w:p>
      <w:pPr>
        <w:ind w:left="660"/>
        <w:spacing w:after="0"/>
        <w:tabs>
          <w:tab w:leader="none" w:pos="2300" w:val="left"/>
        </w:tabs>
        <w:rPr>
          <w:sz w:val="20"/>
          <w:szCs w:val="20"/>
          <w:color w:val="auto"/>
        </w:rPr>
      </w:pPr>
      <w:r>
        <w:rPr>
          <w:rFonts w:ascii="Arial" w:cs="Arial" w:eastAsia="Arial" w:hAnsi="Arial"/>
          <w:sz w:val="22"/>
          <w:szCs w:val="22"/>
          <w:color w:val="auto"/>
        </w:rPr>
        <w:t>SECTION 2.09.</w:t>
      </w:r>
      <w:r>
        <w:rPr>
          <w:sz w:val="20"/>
          <w:szCs w:val="20"/>
          <w:color w:val="auto"/>
        </w:rPr>
        <w:tab/>
      </w:r>
      <w:r>
        <w:rPr>
          <w:rFonts w:ascii="Arial" w:cs="Arial" w:eastAsia="Arial" w:hAnsi="Arial"/>
          <w:sz w:val="19"/>
          <w:szCs w:val="19"/>
          <w:u w:val="single" w:color="auto"/>
          <w:color w:val="auto"/>
        </w:rPr>
        <w:t>Repayment of Loans; Evidence of Debt</w:t>
      </w:r>
    </w:p>
    <w:p>
      <w:pPr>
        <w:spacing w:after="0" w:line="233" w:lineRule="exact"/>
        <w:rPr>
          <w:sz w:val="20"/>
          <w:szCs w:val="20"/>
          <w:color w:val="auto"/>
        </w:rPr>
      </w:pPr>
    </w:p>
    <w:p>
      <w:pPr>
        <w:ind w:firstLine="656"/>
        <w:spacing w:after="0" w:line="328" w:lineRule="auto"/>
        <w:tabs>
          <w:tab w:leader="none" w:pos="1617" w:val="left"/>
        </w:tabs>
        <w:numPr>
          <w:ilvl w:val="0"/>
          <w:numId w:val="171"/>
        </w:numPr>
        <w:rPr>
          <w:rFonts w:ascii="Arial" w:cs="Arial" w:eastAsia="Arial" w:hAnsi="Arial"/>
          <w:sz w:val="19"/>
          <w:szCs w:val="19"/>
          <w:color w:val="auto"/>
        </w:rPr>
      </w:pPr>
      <w:r>
        <w:rPr>
          <w:rFonts w:ascii="Arial" w:cs="Arial" w:eastAsia="Arial" w:hAnsi="Arial"/>
          <w:sz w:val="19"/>
          <w:szCs w:val="19"/>
          <w:color w:val="auto"/>
        </w:rPr>
        <w:t>Each Borrower hereby unconditionally promise to pay to the Administrative Agent for the account of each Revolving Lender the then unpaid principal amount of each Revolving Loan of such Revolving Lender on the Maturity Date.</w:t>
      </w:r>
    </w:p>
    <w:p>
      <w:pPr>
        <w:spacing w:after="0" w:line="131" w:lineRule="exact"/>
        <w:rPr>
          <w:rFonts w:ascii="Arial" w:cs="Arial" w:eastAsia="Arial" w:hAnsi="Arial"/>
          <w:sz w:val="19"/>
          <w:szCs w:val="19"/>
          <w:color w:val="auto"/>
        </w:rPr>
      </w:pPr>
    </w:p>
    <w:p>
      <w:pPr>
        <w:jc w:val="both"/>
        <w:ind w:firstLine="656"/>
        <w:spacing w:after="0" w:line="236" w:lineRule="auto"/>
        <w:tabs>
          <w:tab w:leader="none" w:pos="1640" w:val="left"/>
        </w:tabs>
        <w:numPr>
          <w:ilvl w:val="0"/>
          <w:numId w:val="171"/>
        </w:numPr>
        <w:rPr>
          <w:rFonts w:ascii="Arial" w:cs="Arial" w:eastAsia="Arial" w:hAnsi="Arial"/>
          <w:sz w:val="22"/>
          <w:szCs w:val="22"/>
          <w:color w:val="auto"/>
        </w:rPr>
      </w:pPr>
      <w:r>
        <w:rPr>
          <w:rFonts w:ascii="Arial" w:cs="Arial" w:eastAsia="Arial" w:hAnsi="Arial"/>
          <w:sz w:val="22"/>
          <w:szCs w:val="22"/>
          <w:color w:val="auto"/>
        </w:rPr>
        <w:t xml:space="preserve">The records maintained by the Administrative Agent and the Lenders shall be </w:t>
      </w:r>
      <w:r>
        <w:rPr>
          <w:rFonts w:ascii="Arial" w:cs="Arial" w:eastAsia="Arial" w:hAnsi="Arial"/>
          <w:sz w:val="22"/>
          <w:szCs w:val="22"/>
          <w:i w:val="1"/>
          <w:iCs w:val="1"/>
          <w:color w:val="auto"/>
        </w:rPr>
        <w:t>prima facie</w:t>
      </w:r>
      <w:r>
        <w:rPr>
          <w:rFonts w:ascii="Arial" w:cs="Arial" w:eastAsia="Arial" w:hAnsi="Arial"/>
          <w:sz w:val="22"/>
          <w:szCs w:val="22"/>
          <w:color w:val="auto"/>
        </w:rPr>
        <w:t xml:space="preserve"> evidence of the existence and amounts of the obligations of each Borrower in respect of Loans, LC Disbursements, interest and fees due or accrued hereunder;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failure of the Administrative Agent or any Lender to maintain such records or any error therein shall not in any manner affect the obligation of the Borrowers to pay any amounts due hereunder in accordance with the terms of this Agreement.</w:t>
      </w:r>
    </w:p>
    <w:p>
      <w:pPr>
        <w:spacing w:after="0" w:line="214" w:lineRule="exact"/>
        <w:rPr>
          <w:rFonts w:ascii="Arial" w:cs="Arial" w:eastAsia="Arial" w:hAnsi="Arial"/>
          <w:sz w:val="22"/>
          <w:szCs w:val="22"/>
          <w:color w:val="auto"/>
        </w:rPr>
      </w:pPr>
    </w:p>
    <w:p>
      <w:pPr>
        <w:jc w:val="both"/>
        <w:ind w:firstLine="656"/>
        <w:spacing w:after="0" w:line="287" w:lineRule="auto"/>
        <w:tabs>
          <w:tab w:leader="none" w:pos="1389" w:val="left"/>
        </w:tabs>
        <w:numPr>
          <w:ilvl w:val="0"/>
          <w:numId w:val="171"/>
        </w:numPr>
        <w:rPr>
          <w:rFonts w:ascii="Arial" w:cs="Arial" w:eastAsia="Arial" w:hAnsi="Arial"/>
          <w:sz w:val="19"/>
          <w:szCs w:val="19"/>
          <w:color w:val="auto"/>
        </w:rPr>
      </w:pPr>
      <w:r>
        <w:rPr>
          <w:rFonts w:ascii="Arial" w:cs="Arial" w:eastAsia="Arial" w:hAnsi="Arial"/>
          <w:sz w:val="19"/>
          <w:szCs w:val="19"/>
          <w:color w:val="auto"/>
        </w:rPr>
        <w:t xml:space="preserve">Any Lender may request that Loans made by it be evidenced by a Note. In such event, the applicable Borrower shall prepare, execute and deliver to such Lender a promissory note payable to such Lender in substantially the form of </w:t>
      </w:r>
      <w:r>
        <w:rPr>
          <w:rFonts w:ascii="Arial" w:cs="Arial" w:eastAsia="Arial" w:hAnsi="Arial"/>
          <w:sz w:val="19"/>
          <w:szCs w:val="19"/>
          <w:u w:val="single" w:color="auto"/>
          <w:color w:val="auto"/>
        </w:rPr>
        <w:t>Exhibit J</w:t>
      </w:r>
      <w:r>
        <w:rPr>
          <w:rFonts w:ascii="Arial" w:cs="Arial" w:eastAsia="Arial" w:hAnsi="Arial"/>
          <w:sz w:val="19"/>
          <w:szCs w:val="19"/>
          <w:color w:val="auto"/>
        </w:rPr>
        <w:t xml:space="preserve"> attached hereto (each, a “</w:t>
      </w:r>
      <w:r>
        <w:rPr>
          <w:rFonts w:ascii="Arial" w:cs="Arial" w:eastAsia="Arial" w:hAnsi="Arial"/>
          <w:sz w:val="19"/>
          <w:szCs w:val="19"/>
          <w:u w:val="single" w:color="auto"/>
          <w:color w:val="auto"/>
        </w:rPr>
        <w:t>Note</w:t>
      </w:r>
      <w:r>
        <w:rPr>
          <w:rFonts w:ascii="Arial" w:cs="Arial" w:eastAsia="Arial" w:hAnsi="Arial"/>
          <w:sz w:val="19"/>
          <w:szCs w:val="19"/>
          <w:color w:val="auto"/>
        </w:rPr>
        <w:t xml:space="preserve">”). Thereafter, the Loans evidenced by such Note and interest thereon shall at all times (including after assignment pursuant to </w:t>
      </w:r>
      <w:r>
        <w:rPr>
          <w:rFonts w:ascii="Arial" w:cs="Arial" w:eastAsia="Arial" w:hAnsi="Arial"/>
          <w:sz w:val="19"/>
          <w:szCs w:val="19"/>
          <w:u w:val="single" w:color="auto"/>
          <w:color w:val="auto"/>
        </w:rPr>
        <w:t>Section 9.04</w:t>
      </w:r>
      <w:r>
        <w:rPr>
          <w:rFonts w:ascii="Arial" w:cs="Arial" w:eastAsia="Arial" w:hAnsi="Arial"/>
          <w:sz w:val="19"/>
          <w:szCs w:val="19"/>
          <w:color w:val="auto"/>
        </w:rPr>
        <w:t>) be represented by a Note in such form payable to such payee and its registered assigns.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2.10. </w:t>
      </w:r>
      <w:r>
        <w:rPr>
          <w:rFonts w:ascii="Arial" w:cs="Arial" w:eastAsia="Arial" w:hAnsi="Arial"/>
          <w:sz w:val="22"/>
          <w:szCs w:val="22"/>
          <w:u w:val="single" w:color="auto"/>
          <w:color w:val="auto"/>
        </w:rPr>
        <w:t>[Reserved]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5" w:name="page256"/>
    <w:bookmarkEnd w:id="255"/>
    <w:p>
      <w:pPr>
        <w:ind w:left="660"/>
        <w:spacing w:after="0"/>
        <w:tabs>
          <w:tab w:leader="none" w:pos="2300" w:val="left"/>
        </w:tabs>
        <w:rPr>
          <w:sz w:val="20"/>
          <w:szCs w:val="20"/>
          <w:color w:val="auto"/>
        </w:rPr>
      </w:pPr>
      <w:r>
        <w:rPr>
          <w:rFonts w:ascii="Arial" w:cs="Arial" w:eastAsia="Arial" w:hAnsi="Arial"/>
          <w:sz w:val="22"/>
          <w:szCs w:val="22"/>
          <w:color w:val="auto"/>
        </w:rPr>
        <w:t>SECTION 2.11.</w:t>
      </w:r>
      <w:r>
        <w:rPr>
          <w:sz w:val="20"/>
          <w:szCs w:val="20"/>
          <w:color w:val="auto"/>
        </w:rPr>
        <w:tab/>
      </w:r>
      <w:r>
        <w:rPr>
          <w:rFonts w:ascii="Arial" w:cs="Arial" w:eastAsia="Arial" w:hAnsi="Arial"/>
          <w:sz w:val="19"/>
          <w:szCs w:val="19"/>
          <w:u w:val="single" w:color="auto"/>
          <w:color w:val="auto"/>
        </w:rPr>
        <w:t>Prepayment of Loans</w:t>
      </w:r>
    </w:p>
    <w:p>
      <w:pPr>
        <w:spacing w:after="0" w:line="234" w:lineRule="exact"/>
        <w:rPr>
          <w:sz w:val="20"/>
          <w:szCs w:val="20"/>
          <w:color w:val="auto"/>
        </w:rPr>
      </w:pPr>
    </w:p>
    <w:p>
      <w:pPr>
        <w:ind w:firstLine="656"/>
        <w:spacing w:after="0" w:line="250" w:lineRule="auto"/>
        <w:tabs>
          <w:tab w:leader="none" w:pos="1479" w:val="left"/>
        </w:tabs>
        <w:numPr>
          <w:ilvl w:val="0"/>
          <w:numId w:val="172"/>
        </w:numPr>
        <w:rPr>
          <w:rFonts w:ascii="Arial" w:cs="Arial" w:eastAsia="Arial" w:hAnsi="Arial"/>
          <w:sz w:val="22"/>
          <w:szCs w:val="22"/>
          <w:color w:val="auto"/>
        </w:rPr>
      </w:pPr>
      <w:r>
        <w:rPr>
          <w:rFonts w:ascii="Arial" w:cs="Arial" w:eastAsia="Arial" w:hAnsi="Arial"/>
          <w:sz w:val="22"/>
          <w:szCs w:val="22"/>
          <w:color w:val="auto"/>
        </w:rPr>
        <w:t xml:space="preserve">Each Borrower shall have the right at any time and from time to time to prepay any Borrowing, in whole or in part, without premium or penalty, subject to </w:t>
      </w:r>
      <w:r>
        <w:rPr>
          <w:rFonts w:ascii="Arial" w:cs="Arial" w:eastAsia="Arial" w:hAnsi="Arial"/>
          <w:sz w:val="22"/>
          <w:szCs w:val="22"/>
          <w:u w:val="single" w:color="auto"/>
          <w:color w:val="auto"/>
        </w:rPr>
        <w:t>Section 2.16</w:t>
      </w:r>
      <w:r>
        <w:rPr>
          <w:rFonts w:ascii="Arial" w:cs="Arial" w:eastAsia="Arial" w:hAnsi="Arial"/>
          <w:sz w:val="22"/>
          <w:szCs w:val="22"/>
          <w:color w:val="auto"/>
        </w:rPr>
        <w:t>.</w:t>
      </w:r>
    </w:p>
    <w:p>
      <w:pPr>
        <w:spacing w:after="0" w:line="201" w:lineRule="exact"/>
        <w:rPr>
          <w:rFonts w:ascii="Arial" w:cs="Arial" w:eastAsia="Arial" w:hAnsi="Arial"/>
          <w:sz w:val="22"/>
          <w:szCs w:val="22"/>
          <w:color w:val="auto"/>
        </w:rPr>
      </w:pPr>
    </w:p>
    <w:p>
      <w:pPr>
        <w:jc w:val="both"/>
        <w:ind w:firstLine="656"/>
        <w:spacing w:after="0" w:line="234" w:lineRule="auto"/>
        <w:tabs>
          <w:tab w:leader="none" w:pos="1475" w:val="left"/>
        </w:tabs>
        <w:numPr>
          <w:ilvl w:val="0"/>
          <w:numId w:val="172"/>
        </w:numPr>
        <w:rPr>
          <w:rFonts w:ascii="Arial" w:cs="Arial" w:eastAsia="Arial" w:hAnsi="Arial"/>
          <w:sz w:val="22"/>
          <w:szCs w:val="22"/>
          <w:color w:val="auto"/>
        </w:rPr>
      </w:pPr>
      <w:r>
        <w:rPr>
          <w:rFonts w:ascii="Arial" w:cs="Arial" w:eastAsia="Arial" w:hAnsi="Arial"/>
          <w:sz w:val="22"/>
          <w:szCs w:val="22"/>
          <w:color w:val="auto"/>
        </w:rPr>
        <w:t xml:space="preserve">In the event and on each occasion that (i) the Total Revolving Exposure exceeds the Total Commitments (other than as a result of any revaluation of the Dollar Equivalent of Revolving Loans or the LC Exposure on any Revaluation Date in accordance with </w:t>
      </w:r>
      <w:r>
        <w:rPr>
          <w:rFonts w:ascii="Arial" w:cs="Arial" w:eastAsia="Arial" w:hAnsi="Arial"/>
          <w:sz w:val="22"/>
          <w:szCs w:val="22"/>
          <w:u w:val="single" w:color="auto"/>
          <w:color w:val="auto"/>
        </w:rPr>
        <w:t>Section 1.06</w:t>
      </w:r>
      <w:r>
        <w:rPr>
          <w:rFonts w:ascii="Arial" w:cs="Arial" w:eastAsia="Arial" w:hAnsi="Arial"/>
          <w:sz w:val="22"/>
          <w:szCs w:val="22"/>
          <w:color w:val="auto"/>
        </w:rPr>
        <w:t xml:space="preserve">) or (ii) the Total Revolving Exposure exceeds 105% of the Total Commitments solely as a result of any revaluation of the Dollar Equivalent of Revolving Loans or the LC Exposure on any Revaluation Date in accordance with </w:t>
      </w:r>
      <w:r>
        <w:rPr>
          <w:rFonts w:ascii="Arial" w:cs="Arial" w:eastAsia="Arial" w:hAnsi="Arial"/>
          <w:sz w:val="22"/>
          <w:szCs w:val="22"/>
          <w:u w:val="single" w:color="auto"/>
          <w:color w:val="auto"/>
        </w:rPr>
        <w:t>Section 1.06</w:t>
      </w:r>
      <w:r>
        <w:rPr>
          <w:rFonts w:ascii="Arial" w:cs="Arial" w:eastAsia="Arial" w:hAnsi="Arial"/>
          <w:sz w:val="22"/>
          <w:szCs w:val="22"/>
          <w:color w:val="auto"/>
        </w:rPr>
        <w:t xml:space="preserve">, the Borrowers shall prepay Revolving Borrowings (or, if no such Borrowings are outstanding, deposit cash collateral in an account with the Administrative Agent in accordance with </w:t>
      </w:r>
      <w:r>
        <w:rPr>
          <w:rFonts w:ascii="Arial" w:cs="Arial" w:eastAsia="Arial" w:hAnsi="Arial"/>
          <w:sz w:val="22"/>
          <w:szCs w:val="22"/>
          <w:u w:val="single" w:color="auto"/>
          <w:color w:val="auto"/>
        </w:rPr>
        <w:t>Section 2.05(i)</w:t>
      </w:r>
      <w:r>
        <w:rPr>
          <w:rFonts w:ascii="Arial" w:cs="Arial" w:eastAsia="Arial" w:hAnsi="Arial"/>
          <w:sz w:val="22"/>
          <w:szCs w:val="22"/>
          <w:color w:val="auto"/>
        </w:rPr>
        <w:t>) in an aggregate amount equal to such excess.</w:t>
      </w:r>
    </w:p>
    <w:p>
      <w:pPr>
        <w:spacing w:after="0" w:line="217" w:lineRule="exact"/>
        <w:rPr>
          <w:rFonts w:ascii="Arial" w:cs="Arial" w:eastAsia="Arial" w:hAnsi="Arial"/>
          <w:sz w:val="22"/>
          <w:szCs w:val="22"/>
          <w:color w:val="auto"/>
        </w:rPr>
      </w:pPr>
    </w:p>
    <w:p>
      <w:pPr>
        <w:jc w:val="both"/>
        <w:ind w:firstLine="656"/>
        <w:spacing w:after="0" w:line="249" w:lineRule="auto"/>
        <w:tabs>
          <w:tab w:leader="none" w:pos="1440" w:val="left"/>
        </w:tabs>
        <w:numPr>
          <w:ilvl w:val="0"/>
          <w:numId w:val="172"/>
        </w:numPr>
        <w:rPr>
          <w:rFonts w:ascii="Arial" w:cs="Arial" w:eastAsia="Arial" w:hAnsi="Arial"/>
          <w:sz w:val="21"/>
          <w:szCs w:val="21"/>
          <w:color w:val="auto"/>
        </w:rPr>
      </w:pPr>
      <w:r>
        <w:rPr>
          <w:rFonts w:ascii="Arial" w:cs="Arial" w:eastAsia="Arial" w:hAnsi="Arial"/>
          <w:sz w:val="21"/>
          <w:szCs w:val="21"/>
          <w:color w:val="auto"/>
        </w:rPr>
        <w:t xml:space="preserve">If, at any time while Revolving Loans are outstanding, the Consolidated Cash Balance exceeds $225,000,000 as of the last calendar day of any month, then the Borrowers shall, within three (3) Business Days, prepay Revolving Borrowings in an aggregate amount equal to such excess, and if any excess remains after prepaying all outstanding Revolving Borrowings as a result of LC Exposure, the Borrowers shall deposit cash collateral in an account with the Administrative Agent in accordance with </w:t>
      </w:r>
      <w:r>
        <w:rPr>
          <w:rFonts w:ascii="Arial" w:cs="Arial" w:eastAsia="Arial" w:hAnsi="Arial"/>
          <w:sz w:val="21"/>
          <w:szCs w:val="21"/>
          <w:u w:val="single" w:color="auto"/>
          <w:color w:val="auto"/>
        </w:rPr>
        <w:t>Section 2.05(i)</w:t>
      </w:r>
      <w:r>
        <w:rPr>
          <w:rFonts w:ascii="Arial" w:cs="Arial" w:eastAsia="Arial" w:hAnsi="Arial"/>
          <w:sz w:val="21"/>
          <w:szCs w:val="21"/>
          <w:color w:val="auto"/>
        </w:rPr>
        <w:t xml:space="preserve"> in an amount equal to such excess.</w:t>
      </w:r>
    </w:p>
    <w:p>
      <w:pPr>
        <w:spacing w:after="0" w:line="205" w:lineRule="exact"/>
        <w:rPr>
          <w:rFonts w:ascii="Arial" w:cs="Arial" w:eastAsia="Arial" w:hAnsi="Arial"/>
          <w:sz w:val="21"/>
          <w:szCs w:val="21"/>
          <w:color w:val="auto"/>
        </w:rPr>
      </w:pPr>
    </w:p>
    <w:p>
      <w:pPr>
        <w:jc w:val="both"/>
        <w:ind w:firstLine="656"/>
        <w:spacing w:after="0"/>
        <w:tabs>
          <w:tab w:leader="none" w:pos="1425" w:val="left"/>
        </w:tabs>
        <w:numPr>
          <w:ilvl w:val="0"/>
          <w:numId w:val="172"/>
        </w:numPr>
        <w:rPr>
          <w:rFonts w:ascii="Arial" w:cs="Arial" w:eastAsia="Arial" w:hAnsi="Arial"/>
          <w:sz w:val="22"/>
          <w:szCs w:val="22"/>
          <w:color w:val="auto"/>
        </w:rPr>
      </w:pPr>
      <w:r>
        <w:rPr>
          <w:rFonts w:ascii="Arial" w:cs="Arial" w:eastAsia="Arial" w:hAnsi="Arial"/>
          <w:sz w:val="22"/>
          <w:szCs w:val="22"/>
          <w:color w:val="auto"/>
        </w:rPr>
        <w:t xml:space="preserve">Prior to any optional or mandatory prepayment of Borrowings under this Section, the Borrowers shall, subject to the next sentence, select the Borrowing or Borrowings to be prepaid and shall specify such selection in the notice of such prepayment delivered pursuant to </w:t>
      </w:r>
      <w:r>
        <w:rPr>
          <w:rFonts w:ascii="Arial" w:cs="Arial" w:eastAsia="Arial" w:hAnsi="Arial"/>
          <w:sz w:val="22"/>
          <w:szCs w:val="22"/>
          <w:u w:val="single" w:color="auto"/>
          <w:color w:val="auto"/>
        </w:rPr>
        <w:t>paragraph (e)</w:t>
      </w:r>
      <w:r>
        <w:rPr>
          <w:rFonts w:ascii="Arial" w:cs="Arial" w:eastAsia="Arial" w:hAnsi="Arial"/>
          <w:sz w:val="22"/>
          <w:szCs w:val="22"/>
          <w:color w:val="auto"/>
        </w:rPr>
        <w:t xml:space="preserve"> of this Section.</w:t>
      </w:r>
    </w:p>
    <w:p>
      <w:pPr>
        <w:spacing w:after="0" w:line="213" w:lineRule="exact"/>
        <w:rPr>
          <w:rFonts w:ascii="Arial" w:cs="Arial" w:eastAsia="Arial" w:hAnsi="Arial"/>
          <w:sz w:val="22"/>
          <w:szCs w:val="22"/>
          <w:color w:val="auto"/>
        </w:rPr>
      </w:pPr>
    </w:p>
    <w:p>
      <w:pPr>
        <w:jc w:val="both"/>
        <w:ind w:firstLine="656"/>
        <w:spacing w:after="0" w:line="272" w:lineRule="auto"/>
        <w:tabs>
          <w:tab w:leader="none" w:pos="1432" w:val="left"/>
        </w:tabs>
        <w:numPr>
          <w:ilvl w:val="0"/>
          <w:numId w:val="172"/>
        </w:numPr>
        <w:rPr>
          <w:rFonts w:ascii="Arial" w:cs="Arial" w:eastAsia="Arial" w:hAnsi="Arial"/>
          <w:sz w:val="19"/>
          <w:szCs w:val="19"/>
          <w:color w:val="auto"/>
        </w:rPr>
      </w:pPr>
      <w:r>
        <w:rPr>
          <w:rFonts w:ascii="Arial" w:cs="Arial" w:eastAsia="Arial" w:hAnsi="Arial"/>
          <w:sz w:val="19"/>
          <w:szCs w:val="19"/>
          <w:color w:val="auto"/>
        </w:rPr>
        <w:t xml:space="preserve">The Company and/or the applicable Borrower shall notify the Administrative Agent by telephone (confirmed by hand delivery, facsimile or other electronic imaging) of any prepayment hereunder (i) in the case of prepayment of a Eurocurrency Borrowing, not later than 11:00 a.m., Local Time, three Business Days before the date of prepayment, or (ii) in the case of prepayment of an ABR Borrowing, not later than 11:00 a.m., New York City time, on the date of prepayment. Each such notice shall be irrevocable and shall specify the prepayment date, the principal amount of each Borrowing or portion thereof to be prepaid and, in the case of a mandatory prepayment, a reasonably detailed calculation of the amount of such prepayment;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 notice of optional prepayment is given in connection with a conditional notice of termination of the Commitments as contemplated by </w:t>
      </w:r>
      <w:r>
        <w:rPr>
          <w:rFonts w:ascii="Arial" w:cs="Arial" w:eastAsia="Arial" w:hAnsi="Arial"/>
          <w:sz w:val="19"/>
          <w:szCs w:val="19"/>
          <w:u w:val="single" w:color="auto"/>
          <w:color w:val="auto"/>
        </w:rPr>
        <w:t>Section 2.08</w:t>
      </w:r>
      <w:r>
        <w:rPr>
          <w:rFonts w:ascii="Arial" w:cs="Arial" w:eastAsia="Arial" w:hAnsi="Arial"/>
          <w:sz w:val="19"/>
          <w:szCs w:val="19"/>
          <w:color w:val="auto"/>
        </w:rPr>
        <w:t xml:space="preserve">, then such notice of prepayment may be revoked if such notice of termination is revoked in accordance with </w:t>
      </w:r>
      <w:r>
        <w:rPr>
          <w:rFonts w:ascii="Arial" w:cs="Arial" w:eastAsia="Arial" w:hAnsi="Arial"/>
          <w:sz w:val="19"/>
          <w:szCs w:val="19"/>
          <w:u w:val="single" w:color="auto"/>
          <w:color w:val="auto"/>
        </w:rPr>
        <w:t>Section 2.08</w:t>
      </w:r>
      <w:r>
        <w:rPr>
          <w:rFonts w:ascii="Arial" w:cs="Arial" w:eastAsia="Arial" w:hAnsi="Arial"/>
          <w:sz w:val="19"/>
          <w:szCs w:val="19"/>
          <w:color w:val="auto"/>
        </w:rPr>
        <w:t xml:space="preserve">. Promptly following receipt of any such notice, the Administrative Agent shall advise the Lenders of the contents thereof. Each partial prepayment of any Borrowing shall be in an amount that would be permitted in the case of an advance of a Borrowing of the same Type as provided in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except as necessary to apply fully the required amount of a mandatory prepayment. Each prepayment of a Borrowing shall be applied ratably to the Loans included in the prepaid Borrowing. Prepayments shall be accompanied by accrued interest to the extent required by </w:t>
      </w:r>
      <w:r>
        <w:rPr>
          <w:rFonts w:ascii="Arial" w:cs="Arial" w:eastAsia="Arial" w:hAnsi="Arial"/>
          <w:sz w:val="19"/>
          <w:szCs w:val="19"/>
          <w:u w:val="single" w:color="auto"/>
          <w:color w:val="auto"/>
        </w:rPr>
        <w:t>Section 2.13</w:t>
      </w:r>
      <w:r>
        <w:rPr>
          <w:rFonts w:ascii="Arial" w:cs="Arial" w:eastAsia="Arial" w:hAnsi="Arial"/>
          <w:sz w:val="19"/>
          <w:szCs w:val="19"/>
          <w:color w:val="auto"/>
        </w:rPr>
        <w: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6" w:name="page257"/>
    <w:bookmarkEnd w:id="256"/>
    <w:p>
      <w:pPr>
        <w:ind w:left="660"/>
        <w:spacing w:after="0"/>
        <w:tabs>
          <w:tab w:leader="none" w:pos="2300" w:val="left"/>
        </w:tabs>
        <w:rPr>
          <w:sz w:val="20"/>
          <w:szCs w:val="20"/>
          <w:color w:val="auto"/>
        </w:rPr>
      </w:pPr>
      <w:r>
        <w:rPr>
          <w:rFonts w:ascii="Arial" w:cs="Arial" w:eastAsia="Arial" w:hAnsi="Arial"/>
          <w:sz w:val="22"/>
          <w:szCs w:val="22"/>
          <w:color w:val="auto"/>
        </w:rPr>
        <w:t>SECTION 2.12.</w:t>
      </w:r>
      <w:r>
        <w:rPr>
          <w:sz w:val="20"/>
          <w:szCs w:val="20"/>
          <w:color w:val="auto"/>
        </w:rPr>
        <w:tab/>
      </w:r>
      <w:r>
        <w:rPr>
          <w:rFonts w:ascii="Arial" w:cs="Arial" w:eastAsia="Arial" w:hAnsi="Arial"/>
          <w:sz w:val="17"/>
          <w:szCs w:val="17"/>
          <w:u w:val="single" w:color="auto"/>
          <w:color w:val="auto"/>
        </w:rPr>
        <w:t>Fees</w:t>
      </w:r>
    </w:p>
    <w:p>
      <w:pPr>
        <w:spacing w:after="0" w:line="234" w:lineRule="exact"/>
        <w:rPr>
          <w:sz w:val="20"/>
          <w:szCs w:val="20"/>
          <w:color w:val="auto"/>
        </w:rPr>
      </w:pPr>
    </w:p>
    <w:p>
      <w:pPr>
        <w:jc w:val="both"/>
        <w:ind w:firstLine="656"/>
        <w:spacing w:after="0" w:line="277" w:lineRule="auto"/>
        <w:tabs>
          <w:tab w:leader="none" w:pos="1361" w:val="left"/>
        </w:tabs>
        <w:numPr>
          <w:ilvl w:val="0"/>
          <w:numId w:val="173"/>
        </w:numPr>
        <w:rPr>
          <w:rFonts w:ascii="Arial" w:cs="Arial" w:eastAsia="Arial" w:hAnsi="Arial"/>
          <w:sz w:val="19"/>
          <w:szCs w:val="19"/>
          <w:color w:val="auto"/>
        </w:rPr>
      </w:pPr>
      <w:r>
        <w:rPr>
          <w:rFonts w:ascii="Arial" w:cs="Arial" w:eastAsia="Arial" w:hAnsi="Arial"/>
          <w:sz w:val="19"/>
          <w:szCs w:val="19"/>
          <w:color w:val="auto"/>
        </w:rPr>
        <w:t>The Borrowers agree to pay to the Administrative Agent for the account of each Revolving Lender for the period from and including the Effective Date to but excluding the date on which the Commitments terminate (or are otherwise reduced to zero), a commitment fee which shall accrue at the Applicable Rate on the average daily unused amount of the Commitment of such Revolving Lender. Such accrued commitment fees shall be payable in arrears on the last Business Day of March, June, September and December of each year and on the date on which all the Commitments terminate, commencing on the first such date to occur after the Effective Date. For purposes of computing commitment fees, a Commitment shall be deemed to be used to the extent of the outstanding Revolving Loans and LC Exposure of such Lender.</w:t>
      </w:r>
    </w:p>
    <w:p>
      <w:pPr>
        <w:spacing w:after="0" w:line="178" w:lineRule="exact"/>
        <w:rPr>
          <w:rFonts w:ascii="Arial" w:cs="Arial" w:eastAsia="Arial" w:hAnsi="Arial"/>
          <w:sz w:val="19"/>
          <w:szCs w:val="19"/>
          <w:color w:val="auto"/>
        </w:rPr>
      </w:pPr>
    </w:p>
    <w:p>
      <w:pPr>
        <w:jc w:val="both"/>
        <w:ind w:firstLine="656"/>
        <w:spacing w:after="0" w:line="271" w:lineRule="auto"/>
        <w:tabs>
          <w:tab w:leader="none" w:pos="1634" w:val="left"/>
        </w:tabs>
        <w:numPr>
          <w:ilvl w:val="0"/>
          <w:numId w:val="173"/>
        </w:numPr>
        <w:rPr>
          <w:rFonts w:ascii="Arial" w:cs="Arial" w:eastAsia="Arial" w:hAnsi="Arial"/>
          <w:sz w:val="19"/>
          <w:szCs w:val="19"/>
          <w:color w:val="auto"/>
        </w:rPr>
      </w:pPr>
      <w:r>
        <w:rPr>
          <w:rFonts w:ascii="Arial" w:cs="Arial" w:eastAsia="Arial" w:hAnsi="Arial"/>
          <w:sz w:val="19"/>
          <w:szCs w:val="19"/>
          <w:color w:val="auto"/>
        </w:rPr>
        <w:t xml:space="preserve">The Borrowers agree to pay (i) to the Administrative Agent for the account of each Revolving Lender a participation fee with respect to its participations in Letters of Credit, which shall accrue at the same Applicable Rate then used to determine the interest rate applicable to Eurocurrency Revolving Loans on the average daily amount of such Lender’s LC Exposure (excluding any portion thereof attributable to unreimbursed LC Disbursements) during the period from and including the Effective Date to but excluding the later of the date on which such Lender’s Commitment terminates and the date on which such Lender ceases to have any LC Exposure and (ii) to each Issuing Bank a fronting fee, which shall accrue at a rate per annum equal to 0.20% on the average daily amount of the LC Exposure attributable to Letters of Credit issued by such Issuing Bank (excluding any portion thereof attributable to unreimbursed LC Disbursements) during the period from and including the Effective Date to but excluding the later of the date of termination of all the Commitments and the date on which there ceases to be any such LC Exposure, as well as such Issuing Bank’s standard fees with respect to the issuance, amendment, renewal or extension of any Letter of Credit or processing of drawings thereunder. Participation fees and fronting fees accrued through and including the last day of March, June, September and December of each year shall be payable on the third Business Day following such last day, commencing on the first such date to occur after the Effective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such fees shall be payable on the date on which all the Commitments terminate and any such fees accruing after the date on which all the Commitments terminate shall be payable on demand. Any other fees payable to an Issuing Bank pursuant to this paragraph shall be payable within the time periods separately agreed by the applicable Borrower and such Issuing Bank.</w:t>
      </w:r>
    </w:p>
    <w:p>
      <w:pPr>
        <w:spacing w:after="0" w:line="183" w:lineRule="exact"/>
        <w:rPr>
          <w:rFonts w:ascii="Arial" w:cs="Arial" w:eastAsia="Arial" w:hAnsi="Arial"/>
          <w:sz w:val="19"/>
          <w:szCs w:val="19"/>
          <w:color w:val="auto"/>
        </w:rPr>
      </w:pPr>
    </w:p>
    <w:p>
      <w:pPr>
        <w:ind w:firstLine="656"/>
        <w:spacing w:after="0" w:line="250" w:lineRule="auto"/>
        <w:tabs>
          <w:tab w:leader="none" w:pos="1413" w:val="left"/>
        </w:tabs>
        <w:numPr>
          <w:ilvl w:val="0"/>
          <w:numId w:val="173"/>
        </w:numPr>
        <w:rPr>
          <w:rFonts w:ascii="Arial" w:cs="Arial" w:eastAsia="Arial" w:hAnsi="Arial"/>
          <w:sz w:val="22"/>
          <w:szCs w:val="22"/>
          <w:color w:val="auto"/>
        </w:rPr>
      </w:pPr>
      <w:r>
        <w:rPr>
          <w:rFonts w:ascii="Arial" w:cs="Arial" w:eastAsia="Arial" w:hAnsi="Arial"/>
          <w:sz w:val="22"/>
          <w:szCs w:val="22"/>
          <w:color w:val="auto"/>
        </w:rPr>
        <w:t>The Borrowers agree to pay to the Administrative Agent, for its own account, fees payable in the amounts and at the times separately agreed upon between the Borrowers and the Administrative Agent.</w:t>
      </w:r>
    </w:p>
    <w:p>
      <w:pPr>
        <w:spacing w:after="0" w:line="201" w:lineRule="exact"/>
        <w:rPr>
          <w:rFonts w:ascii="Arial" w:cs="Arial" w:eastAsia="Arial" w:hAnsi="Arial"/>
          <w:sz w:val="22"/>
          <w:szCs w:val="22"/>
          <w:color w:val="auto"/>
        </w:rPr>
      </w:pPr>
    </w:p>
    <w:p>
      <w:pPr>
        <w:jc w:val="both"/>
        <w:ind w:firstLine="656"/>
        <w:spacing w:after="0" w:line="238" w:lineRule="auto"/>
        <w:tabs>
          <w:tab w:leader="none" w:pos="1414" w:val="left"/>
        </w:tabs>
        <w:numPr>
          <w:ilvl w:val="0"/>
          <w:numId w:val="173"/>
        </w:numPr>
        <w:rPr>
          <w:rFonts w:ascii="Arial" w:cs="Arial" w:eastAsia="Arial" w:hAnsi="Arial"/>
          <w:sz w:val="22"/>
          <w:szCs w:val="22"/>
          <w:color w:val="auto"/>
        </w:rPr>
      </w:pPr>
      <w:r>
        <w:rPr>
          <w:rFonts w:ascii="Arial" w:cs="Arial" w:eastAsia="Arial" w:hAnsi="Arial"/>
          <w:sz w:val="22"/>
          <w:szCs w:val="22"/>
          <w:color w:val="auto"/>
        </w:rPr>
        <w:t>All fees payable hereunder shall be paid on the dates due, in immediately available funds, to the Administrative Agent (or to the applicable Issuing Bank, in the case of fees payable to it) for distribution, in the case of commitment fees and participation fees, to the Revolving Lenders entitled thereto. Fees paid hereunder shall not be refundable under any circumstances.</w:t>
      </w:r>
    </w:p>
    <w:p>
      <w:pPr>
        <w:spacing w:after="0" w:line="211" w:lineRule="exact"/>
        <w:rPr>
          <w:rFonts w:ascii="Arial" w:cs="Arial" w:eastAsia="Arial" w:hAnsi="Arial"/>
          <w:sz w:val="22"/>
          <w:szCs w:val="22"/>
          <w:color w:val="auto"/>
        </w:rPr>
      </w:pPr>
    </w:p>
    <w:p>
      <w:pPr>
        <w:jc w:val="both"/>
        <w:ind w:firstLine="656"/>
        <w:spacing w:after="0"/>
        <w:tabs>
          <w:tab w:leader="none" w:pos="1385" w:val="left"/>
        </w:tabs>
        <w:numPr>
          <w:ilvl w:val="0"/>
          <w:numId w:val="173"/>
        </w:numPr>
        <w:rPr>
          <w:rFonts w:ascii="Arial" w:cs="Arial" w:eastAsia="Arial" w:hAnsi="Arial"/>
          <w:sz w:val="22"/>
          <w:szCs w:val="22"/>
          <w:color w:val="auto"/>
        </w:rPr>
      </w:pPr>
      <w:r>
        <w:rPr>
          <w:rFonts w:ascii="Arial" w:cs="Arial" w:eastAsia="Arial" w:hAnsi="Arial"/>
          <w:sz w:val="22"/>
          <w:szCs w:val="22"/>
          <w:color w:val="auto"/>
        </w:rPr>
        <w:t xml:space="preserve">All commitment fees, participation fees and fronting fees payable pursuant to this </w:t>
      </w:r>
      <w:r>
        <w:rPr>
          <w:rFonts w:ascii="Arial" w:cs="Arial" w:eastAsia="Arial" w:hAnsi="Arial"/>
          <w:sz w:val="22"/>
          <w:szCs w:val="22"/>
          <w:u w:val="single" w:color="auto"/>
          <w:color w:val="auto"/>
        </w:rPr>
        <w:t>Section 2.12</w:t>
      </w:r>
      <w:r>
        <w:rPr>
          <w:rFonts w:ascii="Arial" w:cs="Arial" w:eastAsia="Arial" w:hAnsi="Arial"/>
          <w:sz w:val="22"/>
          <w:szCs w:val="22"/>
          <w:color w:val="auto"/>
        </w:rPr>
        <w:t xml:space="preserve"> shall be computed on the basis of a year of 360 days and shall be payable for the actual number of days elapsed (including the first day but excluding the last day).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7" w:name="page258"/>
    <w:bookmarkEnd w:id="257"/>
    <w:p>
      <w:pPr>
        <w:ind w:left="660"/>
        <w:spacing w:after="0"/>
        <w:tabs>
          <w:tab w:leader="none" w:pos="2300" w:val="left"/>
        </w:tabs>
        <w:rPr>
          <w:sz w:val="20"/>
          <w:szCs w:val="20"/>
          <w:color w:val="auto"/>
        </w:rPr>
      </w:pPr>
      <w:r>
        <w:rPr>
          <w:rFonts w:ascii="Arial" w:cs="Arial" w:eastAsia="Arial" w:hAnsi="Arial"/>
          <w:sz w:val="22"/>
          <w:szCs w:val="22"/>
          <w:color w:val="auto"/>
        </w:rPr>
        <w:t>SECTION 2.13.</w:t>
      </w:r>
      <w:r>
        <w:rPr>
          <w:sz w:val="20"/>
          <w:szCs w:val="20"/>
          <w:color w:val="auto"/>
        </w:rPr>
        <w:tab/>
      </w:r>
      <w:r>
        <w:rPr>
          <w:rFonts w:ascii="Arial" w:cs="Arial" w:eastAsia="Arial" w:hAnsi="Arial"/>
          <w:sz w:val="19"/>
          <w:szCs w:val="19"/>
          <w:u w:val="single" w:color="auto"/>
          <w:color w:val="auto"/>
        </w:rPr>
        <w:t>Interest</w:t>
      </w:r>
    </w:p>
    <w:p>
      <w:pPr>
        <w:spacing w:after="0" w:line="234" w:lineRule="exact"/>
        <w:rPr>
          <w:sz w:val="20"/>
          <w:szCs w:val="20"/>
          <w:color w:val="auto"/>
        </w:rPr>
      </w:pPr>
    </w:p>
    <w:p>
      <w:pPr>
        <w:ind w:left="1540" w:hanging="884"/>
        <w:spacing w:after="0"/>
        <w:tabs>
          <w:tab w:leader="none" w:pos="1540" w:val="left"/>
        </w:tabs>
        <w:numPr>
          <w:ilvl w:val="0"/>
          <w:numId w:val="174"/>
        </w:numPr>
        <w:rPr>
          <w:rFonts w:ascii="Arial" w:cs="Arial" w:eastAsia="Arial" w:hAnsi="Arial"/>
          <w:sz w:val="19"/>
          <w:szCs w:val="19"/>
          <w:color w:val="auto"/>
        </w:rPr>
      </w:pPr>
      <w:r>
        <w:rPr>
          <w:rFonts w:ascii="Arial" w:cs="Arial" w:eastAsia="Arial" w:hAnsi="Arial"/>
          <w:sz w:val="19"/>
          <w:szCs w:val="19"/>
          <w:color w:val="auto"/>
        </w:rPr>
        <w:t xml:space="preserve">The Loans comprising each ABR Borrowing shall bear interest at the Alternate Base Rate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Applicable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Rate.</w:t>
      </w:r>
    </w:p>
    <w:p>
      <w:pPr>
        <w:spacing w:after="0" w:line="215" w:lineRule="exact"/>
        <w:rPr>
          <w:sz w:val="20"/>
          <w:szCs w:val="20"/>
          <w:color w:val="auto"/>
        </w:rPr>
      </w:pPr>
    </w:p>
    <w:p>
      <w:pPr>
        <w:jc w:val="both"/>
        <w:ind w:firstLine="656"/>
        <w:spacing w:after="0"/>
        <w:tabs>
          <w:tab w:leader="none" w:pos="1393" w:val="left"/>
        </w:tabs>
        <w:numPr>
          <w:ilvl w:val="0"/>
          <w:numId w:val="175"/>
        </w:numPr>
        <w:rPr>
          <w:rFonts w:ascii="Arial" w:cs="Arial" w:eastAsia="Arial" w:hAnsi="Arial"/>
          <w:sz w:val="22"/>
          <w:szCs w:val="22"/>
          <w:color w:val="auto"/>
        </w:rPr>
      </w:pPr>
      <w:r>
        <w:rPr>
          <w:rFonts w:ascii="Arial" w:cs="Arial" w:eastAsia="Arial" w:hAnsi="Arial"/>
          <w:sz w:val="22"/>
          <w:szCs w:val="22"/>
          <w:color w:val="auto"/>
        </w:rPr>
        <w:t>The Loans comprising each Eurocurrency Borrowing shall bear interest in the case of a Eurocurrency Revolving Loan, at the Adjusted LIBO Rate or the Adjusted EURIBOR Rate, as applicable, for the Interest Period in effect for such Borrowing plus the Applicable Rate.</w:t>
      </w:r>
    </w:p>
    <w:p>
      <w:pPr>
        <w:spacing w:after="0" w:line="213" w:lineRule="exact"/>
        <w:rPr>
          <w:rFonts w:ascii="Arial" w:cs="Arial" w:eastAsia="Arial" w:hAnsi="Arial"/>
          <w:sz w:val="22"/>
          <w:szCs w:val="22"/>
          <w:color w:val="auto"/>
        </w:rPr>
      </w:pPr>
    </w:p>
    <w:p>
      <w:pPr>
        <w:jc w:val="both"/>
        <w:ind w:firstLine="656"/>
        <w:spacing w:after="0" w:line="274" w:lineRule="auto"/>
        <w:tabs>
          <w:tab w:leader="none" w:pos="1551" w:val="left"/>
        </w:tabs>
        <w:numPr>
          <w:ilvl w:val="0"/>
          <w:numId w:val="175"/>
        </w:numPr>
        <w:rPr>
          <w:rFonts w:ascii="Arial" w:cs="Arial" w:eastAsia="Arial" w:hAnsi="Arial"/>
          <w:sz w:val="19"/>
          <w:szCs w:val="19"/>
          <w:color w:val="auto"/>
        </w:rPr>
      </w:pPr>
      <w:r>
        <w:rPr>
          <w:rFonts w:ascii="Arial" w:cs="Arial" w:eastAsia="Arial" w:hAnsi="Arial"/>
          <w:sz w:val="19"/>
          <w:szCs w:val="19"/>
          <w:color w:val="auto"/>
        </w:rPr>
        <w:t xml:space="preserve">Notwithstanding the foregoing, (i) upon the occurrence of an Event of Default described in </w:t>
      </w:r>
      <w:r>
        <w:rPr>
          <w:rFonts w:ascii="Arial" w:cs="Arial" w:eastAsia="Arial" w:hAnsi="Arial"/>
          <w:sz w:val="19"/>
          <w:szCs w:val="19"/>
          <w:u w:val="single" w:color="auto"/>
          <w:color w:val="auto"/>
        </w:rPr>
        <w:t>Section 7.01(h)</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7.01(i)</w:t>
      </w:r>
      <w:r>
        <w:rPr>
          <w:rFonts w:ascii="Arial" w:cs="Arial" w:eastAsia="Arial" w:hAnsi="Arial"/>
          <w:sz w:val="19"/>
          <w:szCs w:val="19"/>
          <w:color w:val="auto"/>
        </w:rPr>
        <w:t xml:space="preserve"> or (ii) if any principal of or interest on any Loan or any fee or other amount payable by a Borrower hereunder is not paid when due, whether at stated maturity, upon acceleration or otherwise, such overdue amount shall bear interest, after as well as before judgment, at a rate per annum equal to (i) in the case of overdue principal of any Loan, 2.00% per annum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rate otherwise applicable to such Loan as provided in the preceding paragraphs of this Section or (ii) in the case of any other overdue amount, 2.00% per annum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rate applicable to ABR Revolving Loans as provided in </w:t>
      </w:r>
      <w:r>
        <w:rPr>
          <w:rFonts w:ascii="Arial" w:cs="Arial" w:eastAsia="Arial" w:hAnsi="Arial"/>
          <w:sz w:val="19"/>
          <w:szCs w:val="19"/>
          <w:u w:val="single" w:color="auto"/>
          <w:color w:val="auto"/>
        </w:rPr>
        <w:t>paragraph (a)</w:t>
      </w:r>
      <w:r>
        <w:rPr>
          <w:rFonts w:ascii="Arial" w:cs="Arial" w:eastAsia="Arial" w:hAnsi="Arial"/>
          <w:sz w:val="19"/>
          <w:szCs w:val="19"/>
          <w:color w:val="auto"/>
        </w:rPr>
        <w:t xml:space="preserve"> of this Section. Payment or acceptance of the increased rates of interest provided for in this </w:t>
      </w:r>
      <w:r>
        <w:rPr>
          <w:rFonts w:ascii="Arial" w:cs="Arial" w:eastAsia="Arial" w:hAnsi="Arial"/>
          <w:sz w:val="19"/>
          <w:szCs w:val="19"/>
          <w:u w:val="single" w:color="auto"/>
          <w:color w:val="auto"/>
        </w:rPr>
        <w:t>paragraph (c)</w:t>
      </w:r>
      <w:r>
        <w:rPr>
          <w:rFonts w:ascii="Arial" w:cs="Arial" w:eastAsia="Arial" w:hAnsi="Arial"/>
          <w:sz w:val="19"/>
          <w:szCs w:val="19"/>
          <w:color w:val="auto"/>
        </w:rPr>
        <w:t xml:space="preserve"> is not a permitted alternative to timely payment and shall not constitute a waiver of any Event of Default or otherwise prejudice or limit any rights or remedies of the Administrative Agent, any Issuing Bank or any Lender.</w:t>
      </w:r>
    </w:p>
    <w:p>
      <w:pPr>
        <w:spacing w:after="0" w:line="185" w:lineRule="exact"/>
        <w:rPr>
          <w:rFonts w:ascii="Arial" w:cs="Arial" w:eastAsia="Arial" w:hAnsi="Arial"/>
          <w:sz w:val="19"/>
          <w:szCs w:val="19"/>
          <w:color w:val="auto"/>
        </w:rPr>
      </w:pPr>
    </w:p>
    <w:p>
      <w:pPr>
        <w:jc w:val="both"/>
        <w:ind w:firstLine="656"/>
        <w:spacing w:after="0" w:line="279" w:lineRule="auto"/>
        <w:tabs>
          <w:tab w:leader="none" w:pos="1332" w:val="left"/>
        </w:tabs>
        <w:numPr>
          <w:ilvl w:val="0"/>
          <w:numId w:val="175"/>
        </w:numPr>
        <w:rPr>
          <w:rFonts w:ascii="Arial" w:cs="Arial" w:eastAsia="Arial" w:hAnsi="Arial"/>
          <w:sz w:val="19"/>
          <w:szCs w:val="19"/>
          <w:color w:val="auto"/>
        </w:rPr>
      </w:pPr>
      <w:r>
        <w:rPr>
          <w:rFonts w:ascii="Arial" w:cs="Arial" w:eastAsia="Arial" w:hAnsi="Arial"/>
          <w:sz w:val="19"/>
          <w:szCs w:val="19"/>
          <w:color w:val="auto"/>
        </w:rPr>
        <w:t xml:space="preserve">Accrued interest on each Loan shall be payable in arrears on each Interest Payment Date for such Loan and upon termination of the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interest accrued pursuant to </w:t>
      </w:r>
      <w:r>
        <w:rPr>
          <w:rFonts w:ascii="Arial" w:cs="Arial" w:eastAsia="Arial" w:hAnsi="Arial"/>
          <w:sz w:val="19"/>
          <w:szCs w:val="19"/>
          <w:u w:val="single" w:color="auto"/>
          <w:color w:val="auto"/>
        </w:rPr>
        <w:t>paragraph (c)</w:t>
      </w:r>
      <w:r>
        <w:rPr>
          <w:rFonts w:ascii="Arial" w:cs="Arial" w:eastAsia="Arial" w:hAnsi="Arial"/>
          <w:sz w:val="19"/>
          <w:szCs w:val="19"/>
          <w:color w:val="auto"/>
        </w:rPr>
        <w:t xml:space="preserve"> of this Section shall be payable on demand, (ii) in the event of any repayment or prepayment of any Loan (other than a prepayment of an ABR Revolving Loan prior to the end of the Availability Period), accrued interest on the principal amount repaid or prepaid shall be payable on the date of such repayment or prepayment and (iii) in the event of any conversion of a Eurocurrency Loan prior to the end of the current Interest Period therefor, accrued interest on such Loan shall be payable on the effective date of such conversion.</w:t>
      </w:r>
    </w:p>
    <w:p>
      <w:pPr>
        <w:spacing w:after="0" w:line="177" w:lineRule="exact"/>
        <w:rPr>
          <w:rFonts w:ascii="Arial" w:cs="Arial" w:eastAsia="Arial" w:hAnsi="Arial"/>
          <w:sz w:val="19"/>
          <w:szCs w:val="19"/>
          <w:color w:val="auto"/>
        </w:rPr>
      </w:pPr>
    </w:p>
    <w:p>
      <w:pPr>
        <w:jc w:val="both"/>
        <w:ind w:firstLine="656"/>
        <w:spacing w:after="0" w:line="277" w:lineRule="auto"/>
        <w:tabs>
          <w:tab w:leader="none" w:pos="1472" w:val="left"/>
        </w:tabs>
        <w:numPr>
          <w:ilvl w:val="0"/>
          <w:numId w:val="175"/>
        </w:numPr>
        <w:rPr>
          <w:rFonts w:ascii="Arial" w:cs="Arial" w:eastAsia="Arial" w:hAnsi="Arial"/>
          <w:sz w:val="19"/>
          <w:szCs w:val="19"/>
          <w:color w:val="auto"/>
        </w:rPr>
      </w:pPr>
      <w:r>
        <w:rPr>
          <w:rFonts w:ascii="Arial" w:cs="Arial" w:eastAsia="Arial" w:hAnsi="Arial"/>
          <w:sz w:val="19"/>
          <w:szCs w:val="19"/>
          <w:color w:val="auto"/>
        </w:rPr>
        <w:t>Interest computed by reference to the LIBO Rate (other than with respect to Loans denominated in Sterling) or the EURIBOR Rate hereunder shall be computed on the basis of a year of 360 days. Interest computed by reference to the LIBO Rate (with respect to Loans denominated in Sterling only) or the Alternate Base Rate at times when the Alternate Base Rate is based on the Prime Rate shall be computed on the basis of a year of 365 days (or 366 days in a leap year). In each case interest shall be payable for the actual number of days elapsed (including the first day but excluding the last day). The applicable Alternate Base Rate, Adjusted LIBO Rate, LIBO Rate, Adjusted EURIBOR Rate or EURIBOR Rate shall be determined by the Administrative Agent, and such determination shall be conclusive absent manifest error.</w:t>
      </w:r>
    </w:p>
    <w:p>
      <w:pPr>
        <w:spacing w:after="0" w:line="179"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22"/>
          <w:szCs w:val="22"/>
          <w:color w:val="auto"/>
        </w:rPr>
        <w:t>SECTION 2.14.</w:t>
      </w:r>
      <w:r>
        <w:rPr>
          <w:sz w:val="20"/>
          <w:szCs w:val="20"/>
          <w:color w:val="auto"/>
        </w:rPr>
        <w:tab/>
      </w:r>
      <w:r>
        <w:rPr>
          <w:rFonts w:ascii="Arial" w:cs="Arial" w:eastAsia="Arial" w:hAnsi="Arial"/>
          <w:sz w:val="19"/>
          <w:szCs w:val="19"/>
          <w:u w:val="single" w:color="auto"/>
          <w:color w:val="auto"/>
        </w:rPr>
        <w:t>Alternate Rate of Interest</w:t>
      </w:r>
    </w:p>
    <w:p>
      <w:pPr>
        <w:spacing w:after="0" w:line="233" w:lineRule="exact"/>
        <w:rPr>
          <w:sz w:val="20"/>
          <w:szCs w:val="20"/>
          <w:color w:val="auto"/>
        </w:rPr>
      </w:pPr>
    </w:p>
    <w:p>
      <w:pPr>
        <w:ind w:firstLine="656"/>
        <w:spacing w:after="0" w:line="250" w:lineRule="auto"/>
        <w:tabs>
          <w:tab w:leader="none" w:pos="1395" w:val="left"/>
        </w:tabs>
        <w:numPr>
          <w:ilvl w:val="0"/>
          <w:numId w:val="176"/>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clauses (b)</w:t>
      </w:r>
      <w:r>
        <w:rPr>
          <w:rFonts w:ascii="Arial" w:cs="Arial" w:eastAsia="Arial" w:hAnsi="Arial"/>
          <w:sz w:val="22"/>
          <w:szCs w:val="22"/>
          <w:color w:val="auto"/>
        </w:rPr>
        <w:t xml:space="preserve">, </w:t>
      </w:r>
      <w:r>
        <w:rPr>
          <w:rFonts w:ascii="Arial" w:cs="Arial" w:eastAsia="Arial" w:hAnsi="Arial"/>
          <w:sz w:val="22"/>
          <w:szCs w:val="22"/>
          <w:u w:val="single" w:color="auto"/>
          <w:color w:val="auto"/>
        </w:rPr>
        <w:t>(c)</w:t>
      </w:r>
      <w:r>
        <w:rPr>
          <w:rFonts w:ascii="Arial" w:cs="Arial" w:eastAsia="Arial" w:hAnsi="Arial"/>
          <w:sz w:val="22"/>
          <w:szCs w:val="22"/>
          <w:color w:val="auto"/>
        </w:rPr>
        <w:t xml:space="preserve">, </w:t>
      </w:r>
      <w:r>
        <w:rPr>
          <w:rFonts w:ascii="Arial" w:cs="Arial" w:eastAsia="Arial" w:hAnsi="Arial"/>
          <w:sz w:val="22"/>
          <w:szCs w:val="22"/>
          <w:u w:val="single" w:color="auto"/>
          <w:color w:val="auto"/>
        </w:rPr>
        <w:t>(d)</w:t>
      </w:r>
      <w:r>
        <w:rPr>
          <w:rFonts w:ascii="Arial" w:cs="Arial" w:eastAsia="Arial" w:hAnsi="Arial"/>
          <w:sz w:val="22"/>
          <w:szCs w:val="22"/>
          <w:color w:val="auto"/>
        </w:rPr>
        <w:t xml:space="preserve">, </w:t>
      </w:r>
      <w:r>
        <w:rPr>
          <w:rFonts w:ascii="Arial" w:cs="Arial" w:eastAsia="Arial" w:hAnsi="Arial"/>
          <w:sz w:val="22"/>
          <w:szCs w:val="22"/>
          <w:u w:val="single" w:color="auto"/>
          <w:color w:val="auto"/>
        </w:rPr>
        <w:t>(e)</w:t>
      </w:r>
      <w:r>
        <w:rPr>
          <w:rFonts w:ascii="Arial" w:cs="Arial" w:eastAsia="Arial" w:hAnsi="Arial"/>
          <w:sz w:val="22"/>
          <w:szCs w:val="22"/>
          <w:color w:val="auto"/>
        </w:rPr>
        <w:t xml:space="preserve">, </w:t>
      </w:r>
      <w:r>
        <w:rPr>
          <w:rFonts w:ascii="Arial" w:cs="Arial" w:eastAsia="Arial" w:hAnsi="Arial"/>
          <w:sz w:val="22"/>
          <w:szCs w:val="22"/>
          <w:u w:val="single" w:color="auto"/>
          <w:color w:val="auto"/>
        </w:rPr>
        <w:t>(f)</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(g)</w:t>
      </w:r>
      <w:r>
        <w:rPr>
          <w:rFonts w:ascii="Arial" w:cs="Arial" w:eastAsia="Arial" w:hAnsi="Arial"/>
          <w:sz w:val="22"/>
          <w:szCs w:val="22"/>
          <w:color w:val="auto"/>
        </w:rPr>
        <w:t xml:space="preserve"> of this </w:t>
      </w:r>
      <w:r>
        <w:rPr>
          <w:rFonts w:ascii="Arial" w:cs="Arial" w:eastAsia="Arial" w:hAnsi="Arial"/>
          <w:sz w:val="22"/>
          <w:szCs w:val="22"/>
          <w:u w:val="single" w:color="auto"/>
          <w:color w:val="auto"/>
        </w:rPr>
        <w:t>Section 2.14</w:t>
      </w:r>
      <w:r>
        <w:rPr>
          <w:rFonts w:ascii="Arial" w:cs="Arial" w:eastAsia="Arial" w:hAnsi="Arial"/>
          <w:sz w:val="22"/>
          <w:szCs w:val="22"/>
          <w:color w:val="auto"/>
        </w:rPr>
        <w:t>, if prior to the commencement of any Interest Period for a Eurocurrency Borrowing:</w:t>
      </w:r>
    </w:p>
    <w:p>
      <w:pPr>
        <w:spacing w:after="0" w:line="201" w:lineRule="exact"/>
        <w:rPr>
          <w:rFonts w:ascii="Arial" w:cs="Arial" w:eastAsia="Arial" w:hAnsi="Arial"/>
          <w:sz w:val="22"/>
          <w:szCs w:val="22"/>
          <w:color w:val="auto"/>
        </w:rPr>
      </w:pPr>
    </w:p>
    <w:p>
      <w:pPr>
        <w:jc w:val="both"/>
        <w:ind w:left="660" w:firstLine="644"/>
        <w:spacing w:after="0" w:line="249" w:lineRule="auto"/>
        <w:tabs>
          <w:tab w:leader="none" w:pos="2076" w:val="left"/>
        </w:tabs>
        <w:numPr>
          <w:ilvl w:val="1"/>
          <w:numId w:val="176"/>
        </w:numPr>
        <w:rPr>
          <w:rFonts w:ascii="Arial" w:cs="Arial" w:eastAsia="Arial" w:hAnsi="Arial"/>
          <w:sz w:val="21"/>
          <w:szCs w:val="21"/>
          <w:color w:val="auto"/>
        </w:rPr>
      </w:pPr>
      <w:r>
        <w:rPr>
          <w:rFonts w:ascii="Arial" w:cs="Arial" w:eastAsia="Arial" w:hAnsi="Arial"/>
          <w:sz w:val="21"/>
          <w:szCs w:val="21"/>
          <w:color w:val="auto"/>
        </w:rPr>
        <w:t>the Administrative Agent determines (which determination shall be conclusive absent manifest error) that adequate and reasonable means do not exist for ascertaining the Adjusted LIBO Rate, the LIBO Rate, the Adjusted EURIBOR Rate or the EURIBOR Rate, as applicable (including, without limitation, because the Relevant Screen Rate is not available or published on a current basis), for the applicable Agreed Currency and such Interest Period, provided that no Benchmark Transition Event shall have occurred at such time; or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8" w:name="page259"/>
    <w:bookmarkEnd w:id="258"/>
    <w:p>
      <w:pPr>
        <w:jc w:val="both"/>
        <w:ind w:left="660" w:firstLine="644"/>
        <w:spacing w:after="0" w:line="249" w:lineRule="auto"/>
        <w:tabs>
          <w:tab w:leader="none" w:pos="2417" w:val="left"/>
        </w:tabs>
        <w:numPr>
          <w:ilvl w:val="0"/>
          <w:numId w:val="177"/>
        </w:numPr>
        <w:rPr>
          <w:rFonts w:ascii="Arial" w:cs="Arial" w:eastAsia="Arial" w:hAnsi="Arial"/>
          <w:sz w:val="21"/>
          <w:szCs w:val="21"/>
          <w:color w:val="auto"/>
        </w:rPr>
      </w:pPr>
      <w:r>
        <w:rPr>
          <w:rFonts w:ascii="Arial" w:cs="Arial" w:eastAsia="Arial" w:hAnsi="Arial"/>
          <w:sz w:val="21"/>
          <w:szCs w:val="21"/>
          <w:color w:val="auto"/>
        </w:rPr>
        <w:t>the Administrative Agent is advised by the Required Lenders (or, in the case of a Eurocurrency Competitive Loan, the Lender that is required to make such Loan) that the Adjusted LIBO Rate, the LIBO Rate, the Adjusted EURIBOR Rate or the EURIBOR Rate, as applicable, for the applicable Agreed Currency and such Interest Period will not adequately and fairly reflect the cost to such Lenders (or Lender) of making or maintaining their Loans (or its Loan) included in such Borrowing for the applicable Agreed Currency and such Interest Period;</w:t>
      </w:r>
    </w:p>
    <w:p>
      <w:pPr>
        <w:spacing w:after="0" w:line="206"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 xml:space="preserve">then the Administrative Agent shall give notice thereof to the Company and the Lenders by telephone, telecopy or electronic mail as promptly as practicable thereafter and, until the Administrative Agent notifies the Company and the Lenders that the circumstances giving rise to such notice no longer exist, (A) any Interest Election Request that requests the conversion of any Revolving Borrowing to, or continuation of any Revolving Borrowing as, a Eurocurrency Borrowing shall be ineffective and (B) if any Borrowing Request requests a Eurocurrency Revolving Borrowing in dollars, such Borrowing shall be made as an ABR Borrowing and (C) if any Borrowing Request requests a Eurocurrency Borrowing in an Alternative Currency, then such request shall be ineffective. Furthermore, if any Eurocurrency Loan in any Agreed Currency is outstanding on the date of the Company’s receipt of the notice from the Administrative Agent referred to in this </w:t>
      </w:r>
      <w:r>
        <w:rPr>
          <w:rFonts w:ascii="Arial" w:cs="Arial" w:eastAsia="Arial" w:hAnsi="Arial"/>
          <w:sz w:val="19"/>
          <w:szCs w:val="19"/>
          <w:u w:val="single" w:color="auto"/>
          <w:color w:val="auto"/>
        </w:rPr>
        <w:t>Section 2.14(a)</w:t>
      </w:r>
      <w:r>
        <w:rPr>
          <w:rFonts w:ascii="Arial" w:cs="Arial" w:eastAsia="Arial" w:hAnsi="Arial"/>
          <w:sz w:val="19"/>
          <w:szCs w:val="19"/>
          <w:color w:val="auto"/>
        </w:rPr>
        <w:t xml:space="preserve"> with respect to a Relevant Rate applicable to such Eurocurrency Loan, then until the Administrative Agent notifies the Borrower and the Lenders that the circumstances giving rise to such notice no longer exist, (i) if such Eurocurrency Loan is denominated in dollars, then on the last day of the Interest Period applicable to such Loan (or the next succeeding Business Day if such day is not a Business Day), such Loan shall be converted by the Administrative Agent to, and shall constitute, an ABR Loan denominated in dollars on such day and (ii) if such Eurocurrency Loan is denominated in any Agreed Currency other than dollars, then such Loan shall, on the last day of the Interest Period applicable to such Loan (or the next succeeding Business Day if such day is not a Business Day), at the Company’s election prior to such day: (A) be prepaid by the applicable Borrower on such day or (B) solely for the purpose of calculating the interest rate applicable to such Eurocurrency Loan, such Eurocurrency Loan denominated in any Agreed Currency other than dollars shall be deemed to be a Eurocurrency Loan denominated in dollars and shall accrue interest at the same interest rate applicable to Eurocurrency Loans denominated in dollars at such time.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9" w:name="page260"/>
    <w:bookmarkEnd w:id="259"/>
    <w:p>
      <w:pPr>
        <w:jc w:val="both"/>
        <w:ind w:firstLine="656"/>
        <w:spacing w:after="0" w:line="271" w:lineRule="auto"/>
        <w:tabs>
          <w:tab w:leader="none" w:pos="1497" w:val="left"/>
        </w:tabs>
        <w:numPr>
          <w:ilvl w:val="1"/>
          <w:numId w:val="178"/>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herein or in any other Loan Document (and any Hedging Agreement shall be deemed not to be a “Loan Document” for purposes of this </w:t>
      </w:r>
      <w:r>
        <w:rPr>
          <w:rFonts w:ascii="Arial" w:cs="Arial" w:eastAsia="Arial" w:hAnsi="Arial"/>
          <w:sz w:val="19"/>
          <w:szCs w:val="19"/>
          <w:u w:val="single" w:color="auto"/>
          <w:color w:val="auto"/>
        </w:rPr>
        <w:t>Section 2.14</w:t>
      </w:r>
      <w:r>
        <w:rPr>
          <w:rFonts w:ascii="Arial" w:cs="Arial" w:eastAsia="Arial" w:hAnsi="Arial"/>
          <w:sz w:val="19"/>
          <w:szCs w:val="19"/>
          <w:color w:val="auto"/>
        </w:rPr>
        <w:t>), if a Benchmark Transition Event or an Early Opt-in Election, as applicable, and its related Benchmark Replacement Date have occurred prior to the Reference Time in respect of any setting of the then-current Benchmark, then (x) if a Benchmark Replacement is determined in accordance with clause (1) or (2)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(3)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91" w:lineRule="exact"/>
        <w:rPr>
          <w:rFonts w:ascii="Arial" w:cs="Arial" w:eastAsia="Arial" w:hAnsi="Arial"/>
          <w:sz w:val="19"/>
          <w:szCs w:val="19"/>
          <w:color w:val="auto"/>
        </w:rPr>
      </w:pPr>
    </w:p>
    <w:p>
      <w:pPr>
        <w:jc w:val="both"/>
        <w:ind w:firstLine="656"/>
        <w:spacing w:after="0" w:line="273" w:lineRule="auto"/>
        <w:tabs>
          <w:tab w:leader="none" w:pos="1397" w:val="left"/>
        </w:tabs>
        <w:numPr>
          <w:ilvl w:val="1"/>
          <w:numId w:val="178"/>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herein or in any other Loan Document and subject to the proviso below in this paragraph, (x) with respect to a Loan denominated in dollars, if a Term SOFR Transition Event and its related Benchmark Replacement Date or (y) with respect to a Loan denominated in Euros, if a Term ESTR Transition Event and its related Benchmark Replacement Date, as applicable, have occurred prior to the Reference Time in respect of any setting of the then-current Benchmark, then the applicable Benchmark Replacement will replace the then-current Benchmark for all purposes hereunder or under any Loan Document in respect of such Benchmark setting and subsequent Benchmark settings, without any amendment to, or further action or consent of any other party to, this Agreement or any other Loan Document;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clause (c) shall not be effective unless the Administrative Agent has delivered to the Lenders and the Company a Term SOFR Notice or a Term ESTR Notice, as applicable. For the avoidance of doubt, the Administrative Agent shall not be required to deliver any (x) Term SOFR Notice after the occurrence of a Term SOFR Transition Event or (y) Term ESTR Notice after the occurrence of a Term ESTR Transition Event, and may do so in its sole discretion.</w:t>
      </w:r>
    </w:p>
    <w:p>
      <w:pPr>
        <w:spacing w:after="0" w:line="182" w:lineRule="exact"/>
        <w:rPr>
          <w:rFonts w:ascii="Arial" w:cs="Arial" w:eastAsia="Arial" w:hAnsi="Arial"/>
          <w:sz w:val="19"/>
          <w:szCs w:val="19"/>
          <w:color w:val="auto"/>
        </w:rPr>
      </w:pPr>
    </w:p>
    <w:p>
      <w:pPr>
        <w:jc w:val="both"/>
        <w:ind w:firstLine="656"/>
        <w:spacing w:after="0" w:line="287" w:lineRule="auto"/>
        <w:tabs>
          <w:tab w:leader="none" w:pos="1295" w:val="left"/>
        </w:tabs>
        <w:numPr>
          <w:ilvl w:val="1"/>
          <w:numId w:val="178"/>
        </w:numPr>
        <w:rPr>
          <w:rFonts w:ascii="Arial" w:cs="Arial" w:eastAsia="Arial" w:hAnsi="Arial"/>
          <w:sz w:val="19"/>
          <w:szCs w:val="19"/>
          <w:color w:val="auto"/>
        </w:rPr>
      </w:pPr>
      <w:r>
        <w:rPr>
          <w:rFonts w:ascii="Arial" w:cs="Arial" w:eastAsia="Arial" w:hAnsi="Arial"/>
          <w:sz w:val="19"/>
          <w:szCs w:val="19"/>
          <w:color w:val="auto"/>
        </w:rPr>
        <w:t>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69" w:lineRule="exact"/>
        <w:rPr>
          <w:rFonts w:ascii="Arial" w:cs="Arial" w:eastAsia="Arial" w:hAnsi="Arial"/>
          <w:sz w:val="19"/>
          <w:szCs w:val="19"/>
          <w:color w:val="auto"/>
        </w:rPr>
      </w:pPr>
    </w:p>
    <w:p>
      <w:pPr>
        <w:jc w:val="both"/>
        <w:ind w:firstLine="656"/>
        <w:spacing w:after="0" w:line="276" w:lineRule="auto"/>
        <w:tabs>
          <w:tab w:leader="none" w:pos="1694" w:val="left"/>
        </w:tabs>
        <w:numPr>
          <w:ilvl w:val="1"/>
          <w:numId w:val="178"/>
        </w:numPr>
        <w:rPr>
          <w:rFonts w:ascii="Arial" w:cs="Arial" w:eastAsia="Arial" w:hAnsi="Arial"/>
          <w:sz w:val="19"/>
          <w:szCs w:val="19"/>
          <w:color w:val="auto"/>
        </w:rPr>
      </w:pPr>
      <w:r>
        <w:rPr>
          <w:rFonts w:ascii="Arial" w:cs="Arial" w:eastAsia="Arial" w:hAnsi="Arial"/>
          <w:sz w:val="19"/>
          <w:szCs w:val="19"/>
          <w:color w:val="auto"/>
        </w:rPr>
        <w:t>The Administrative Agent will promptly notify the Company and the Lenders of (i) any occurrence of a Benchmark Transition Event or an Early Opt-in Election, as applicable, (ii) the implementation of any Benchmark Replacement,</w:t>
      </w:r>
    </w:p>
    <w:p>
      <w:pPr>
        <w:spacing w:after="0" w:line="1" w:lineRule="exact"/>
        <w:rPr>
          <w:rFonts w:ascii="Arial" w:cs="Arial" w:eastAsia="Arial" w:hAnsi="Arial"/>
          <w:sz w:val="19"/>
          <w:szCs w:val="19"/>
          <w:color w:val="auto"/>
        </w:rPr>
      </w:pPr>
    </w:p>
    <w:p>
      <w:pPr>
        <w:jc w:val="both"/>
        <w:ind w:firstLine="8"/>
        <w:spacing w:after="0" w:line="232" w:lineRule="auto"/>
        <w:tabs>
          <w:tab w:leader="none" w:pos="391" w:val="left"/>
        </w:tabs>
        <w:numPr>
          <w:ilvl w:val="0"/>
          <w:numId w:val="179"/>
        </w:numPr>
        <w:rPr>
          <w:rFonts w:ascii="Arial" w:cs="Arial" w:eastAsia="Arial" w:hAnsi="Arial"/>
          <w:sz w:val="22"/>
          <w:szCs w:val="22"/>
          <w:color w:val="auto"/>
        </w:rPr>
      </w:pPr>
      <w:r>
        <w:rPr>
          <w:rFonts w:ascii="Arial" w:cs="Arial" w:eastAsia="Arial" w:hAnsi="Arial"/>
          <w:sz w:val="22"/>
          <w:szCs w:val="22"/>
          <w:color w:val="auto"/>
        </w:rPr>
        <w:t xml:space="preserve">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Administrative Agent or, if applicable, any Lender (or group of Lenders) pursuant to this </w:t>
      </w:r>
      <w:r>
        <w:rPr>
          <w:rFonts w:ascii="Arial" w:cs="Arial" w:eastAsia="Arial" w:hAnsi="Arial"/>
          <w:sz w:val="22"/>
          <w:szCs w:val="22"/>
          <w:u w:val="single" w:color="auto"/>
          <w:color w:val="auto"/>
        </w:rPr>
        <w:t>Section 2.14</w:t>
      </w:r>
      <w:r>
        <w:rPr>
          <w:rFonts w:ascii="Arial" w:cs="Arial" w:eastAsia="Arial" w:hAnsi="Arial"/>
          <w:sz w:val="22"/>
          <w:szCs w:val="22"/>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Arial" w:cs="Arial" w:eastAsia="Arial" w:hAnsi="Arial"/>
          <w:sz w:val="22"/>
          <w:szCs w:val="22"/>
          <w:u w:val="single" w:color="auto"/>
          <w:color w:val="auto"/>
        </w:rPr>
        <w:t>Section 2.14</w:t>
      </w:r>
      <w:r>
        <w:rPr>
          <w:rFonts w:ascii="Arial" w:cs="Arial" w:eastAsia="Arial" w:hAnsi="Arial"/>
          <w:sz w:val="22"/>
          <w:szCs w:val="22"/>
          <w:color w:val="auto"/>
        </w:rPr>
        <w: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0" w:name="page261"/>
    <w:bookmarkEnd w:id="260"/>
    <w:p>
      <w:pPr>
        <w:jc w:val="both"/>
        <w:ind w:firstLine="656"/>
        <w:spacing w:after="0" w:line="244" w:lineRule="auto"/>
        <w:tabs>
          <w:tab w:leader="none" w:pos="1607" w:val="left"/>
        </w:tabs>
        <w:numPr>
          <w:ilvl w:val="0"/>
          <w:numId w:val="180"/>
        </w:numPr>
        <w:rPr>
          <w:rFonts w:ascii="Arial" w:cs="Arial" w:eastAsia="Arial" w:hAnsi="Arial"/>
          <w:sz w:val="21"/>
          <w:szCs w:val="21"/>
          <w:color w:val="auto"/>
        </w:rPr>
      </w:pPr>
      <w:r>
        <w:rPr>
          <w:rFonts w:ascii="Arial" w:cs="Arial" w:eastAsia="Arial" w:hAnsi="Arial"/>
          <w:sz w:val="21"/>
          <w:szCs w:val="21"/>
          <w:color w:val="auto"/>
        </w:rPr>
        <w:t>Notwithstanding anything to the contrary herein or in any other Loan Document, at any time (including in connection with the implementation of a Benchmark Replacement), (i) if the then-current Benchmark is a term rate (including Term SOFR, Term ESTR, LIBO Rate or EURIBOR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213" w:lineRule="exact"/>
        <w:rPr>
          <w:rFonts w:ascii="Arial" w:cs="Arial" w:eastAsia="Arial" w:hAnsi="Arial"/>
          <w:sz w:val="21"/>
          <w:szCs w:val="21"/>
          <w:color w:val="auto"/>
        </w:rPr>
      </w:pPr>
    </w:p>
    <w:p>
      <w:pPr>
        <w:jc w:val="both"/>
        <w:ind w:firstLine="656"/>
        <w:spacing w:after="0" w:line="270" w:lineRule="auto"/>
        <w:tabs>
          <w:tab w:leader="none" w:pos="1666" w:val="left"/>
        </w:tabs>
        <w:numPr>
          <w:ilvl w:val="0"/>
          <w:numId w:val="180"/>
        </w:numPr>
        <w:rPr>
          <w:rFonts w:ascii="Arial" w:cs="Arial" w:eastAsia="Arial" w:hAnsi="Arial"/>
          <w:sz w:val="19"/>
          <w:szCs w:val="19"/>
          <w:color w:val="auto"/>
        </w:rPr>
      </w:pPr>
      <w:r>
        <w:rPr>
          <w:rFonts w:ascii="Arial" w:cs="Arial" w:eastAsia="Arial" w:hAnsi="Arial"/>
          <w:sz w:val="19"/>
          <w:szCs w:val="19"/>
          <w:color w:val="auto"/>
        </w:rPr>
        <w:t xml:space="preserve">Upon the Company’s receipt of notice of the commencement of a Benchmark Unavailability Period, the applicable Borrower may revoke any request for a Eurocurrency Borrowing of, conversion to or continuation of Eurocurrency Loans to be made, converted or continued during any Benchmark Unavailability Period and, failing that, either (x) such Borrower will be deemed to have converted any request for a Eurocurrency Borrowing denominated in dollars into a request for a Borrowing of or conversion to ABR Loans or (y) any Eurocurrency Borrowing denominated in an Alternative Currency shall be ineffective.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Eurocurrency Loan in any Agreed Currency is outstanding on the date of the Company’s receipt of notice of the commencement of a Benchmark Unavailability Period with respect to a Relevant Rate applicable to such Eurocurrency Loan, then until such time as a Benchmark Replacement for such Agreed Currency is implemented pursuant to this </w:t>
      </w:r>
      <w:r>
        <w:rPr>
          <w:rFonts w:ascii="Arial" w:cs="Arial" w:eastAsia="Arial" w:hAnsi="Arial"/>
          <w:sz w:val="19"/>
          <w:szCs w:val="19"/>
          <w:u w:val="single" w:color="auto"/>
          <w:color w:val="auto"/>
        </w:rPr>
        <w:t>Section 2.14</w:t>
      </w:r>
      <w:r>
        <w:rPr>
          <w:rFonts w:ascii="Arial" w:cs="Arial" w:eastAsia="Arial" w:hAnsi="Arial"/>
          <w:sz w:val="19"/>
          <w:szCs w:val="19"/>
          <w:color w:val="auto"/>
        </w:rPr>
        <w:t>, (i) if such Eurocurrency Loan is denominated in dollars, then on the last day of the Interest Period applicable to such Loan (or the next succeeding Business Day if such day is not a Business Day), such Loan shall be converted by the Administrative Agent to, and shall constitute, an ABR Loan denominated in dollars on such day or (ii) if such Eurocurrency Loan is denominated in any Agreed Currency other than dollars, then such Loan shall, on the last day of the Interest Period applicable to such Loan (or the next succeeding Business Day if such day is not a Business Day), at the Company’s election prior to such day: (A) be prepaid by the applicable Borrower on such day or (B) solely for the purpose of calculating the interest rate applicable to such Eurocurrency Loan, such Eurocurrency Loan denominated in any Agreed Currency other than dollars shall be deemed to be a Eurocurrency Loan denominated in dollars and shall accrue interest at the same interest rate applicable to Eurocurrency Loans denominated in dollars at such time.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1" w:name="page262"/>
    <w:bookmarkEnd w:id="261"/>
    <w:p>
      <w:pPr>
        <w:ind w:left="660"/>
        <w:spacing w:after="0"/>
        <w:rPr>
          <w:sz w:val="20"/>
          <w:szCs w:val="20"/>
          <w:color w:val="auto"/>
        </w:rPr>
      </w:pPr>
      <w:r>
        <w:rPr>
          <w:rFonts w:ascii="Arial" w:cs="Arial" w:eastAsia="Arial" w:hAnsi="Arial"/>
          <w:sz w:val="22"/>
          <w:szCs w:val="22"/>
          <w:color w:val="auto"/>
        </w:rPr>
        <w:t xml:space="preserve">SECTION 2.15.  </w:t>
      </w:r>
      <w:r>
        <w:rPr>
          <w:rFonts w:ascii="Arial" w:cs="Arial" w:eastAsia="Arial" w:hAnsi="Arial"/>
          <w:sz w:val="22"/>
          <w:szCs w:val="22"/>
          <w:u w:val="single" w:color="auto"/>
          <w:color w:val="auto"/>
        </w:rPr>
        <w:t>Increased Costs</w:t>
      </w:r>
    </w:p>
    <w:p>
      <w:pPr>
        <w:spacing w:after="0" w:line="234" w:lineRule="exact"/>
        <w:rPr>
          <w:sz w:val="20"/>
          <w:szCs w:val="20"/>
          <w:color w:val="auto"/>
        </w:rPr>
      </w:pPr>
    </w:p>
    <w:p>
      <w:pPr>
        <w:ind w:left="1440" w:hanging="784"/>
        <w:spacing w:after="0"/>
        <w:tabs>
          <w:tab w:leader="none" w:pos="1440" w:val="left"/>
        </w:tabs>
        <w:numPr>
          <w:ilvl w:val="0"/>
          <w:numId w:val="181"/>
        </w:numPr>
        <w:rPr>
          <w:rFonts w:ascii="Arial" w:cs="Arial" w:eastAsia="Arial" w:hAnsi="Arial"/>
          <w:sz w:val="22"/>
          <w:szCs w:val="22"/>
          <w:color w:val="auto"/>
        </w:rPr>
      </w:pPr>
      <w:r>
        <w:rPr>
          <w:rFonts w:ascii="Arial" w:cs="Arial" w:eastAsia="Arial" w:hAnsi="Arial"/>
          <w:sz w:val="22"/>
          <w:szCs w:val="22"/>
          <w:color w:val="auto"/>
        </w:rPr>
        <w:t>If any Change in Law shall:</w:t>
      </w:r>
    </w:p>
    <w:p>
      <w:pPr>
        <w:spacing w:after="0" w:line="233" w:lineRule="exact"/>
        <w:rPr>
          <w:rFonts w:ascii="Arial" w:cs="Arial" w:eastAsia="Arial" w:hAnsi="Arial"/>
          <w:sz w:val="22"/>
          <w:szCs w:val="22"/>
          <w:color w:val="auto"/>
        </w:rPr>
      </w:pPr>
    </w:p>
    <w:p>
      <w:pPr>
        <w:jc w:val="both"/>
        <w:ind w:left="660" w:firstLine="644"/>
        <w:spacing w:after="0" w:line="238" w:lineRule="auto"/>
        <w:tabs>
          <w:tab w:leader="none" w:pos="2242" w:val="left"/>
        </w:tabs>
        <w:numPr>
          <w:ilvl w:val="1"/>
          <w:numId w:val="181"/>
        </w:numPr>
        <w:rPr>
          <w:rFonts w:ascii="Arial" w:cs="Arial" w:eastAsia="Arial" w:hAnsi="Arial"/>
          <w:sz w:val="22"/>
          <w:szCs w:val="22"/>
          <w:color w:val="auto"/>
        </w:rPr>
      </w:pPr>
      <w:r>
        <w:rPr>
          <w:rFonts w:ascii="Arial" w:cs="Arial" w:eastAsia="Arial" w:hAnsi="Arial"/>
          <w:sz w:val="22"/>
          <w:szCs w:val="22"/>
          <w:color w:val="auto"/>
        </w:rPr>
        <w:t>impose, modify or deem applicable any reserve, special deposit, compulsory loan, insurance charge or similar requirement against assets of, deposits with or for the account of, or credit extended or participated in by, any Lender (except any such reserve requirement reflected in the Adjusted LIBO Rate or the Adjusted EURIBOR Rate, as applicable) or any Issuing Bank;</w:t>
      </w:r>
    </w:p>
    <w:p>
      <w:pPr>
        <w:spacing w:after="0" w:line="211" w:lineRule="exact"/>
        <w:rPr>
          <w:rFonts w:ascii="Arial" w:cs="Arial" w:eastAsia="Arial" w:hAnsi="Arial"/>
          <w:sz w:val="22"/>
          <w:szCs w:val="22"/>
          <w:color w:val="auto"/>
        </w:rPr>
      </w:pPr>
    </w:p>
    <w:p>
      <w:pPr>
        <w:jc w:val="both"/>
        <w:ind w:left="660" w:firstLine="644"/>
        <w:spacing w:after="0"/>
        <w:tabs>
          <w:tab w:leader="none" w:pos="2182" w:val="left"/>
        </w:tabs>
        <w:numPr>
          <w:ilvl w:val="1"/>
          <w:numId w:val="181"/>
        </w:numPr>
        <w:rPr>
          <w:rFonts w:ascii="Arial" w:cs="Arial" w:eastAsia="Arial" w:hAnsi="Arial"/>
          <w:sz w:val="22"/>
          <w:szCs w:val="22"/>
          <w:color w:val="auto"/>
        </w:rPr>
      </w:pPr>
      <w:r>
        <w:rPr>
          <w:rFonts w:ascii="Arial" w:cs="Arial" w:eastAsia="Arial" w:hAnsi="Arial"/>
          <w:sz w:val="22"/>
          <w:szCs w:val="22"/>
          <w:color w:val="auto"/>
        </w:rPr>
        <w:t>impose on any Lender or any Issuing Bank or the London interbank market any other condition, cost or expense (other than Taxes) affecting this Agreement or Loans made by such Lender or any Letter of Credit or participation therein; or</w:t>
      </w:r>
    </w:p>
    <w:p>
      <w:pPr>
        <w:spacing w:after="0" w:line="213" w:lineRule="exact"/>
        <w:rPr>
          <w:rFonts w:ascii="Arial" w:cs="Arial" w:eastAsia="Arial" w:hAnsi="Arial"/>
          <w:sz w:val="22"/>
          <w:szCs w:val="22"/>
          <w:color w:val="auto"/>
        </w:rPr>
      </w:pPr>
    </w:p>
    <w:p>
      <w:pPr>
        <w:jc w:val="both"/>
        <w:ind w:left="660" w:firstLine="644"/>
        <w:spacing w:after="0" w:line="297" w:lineRule="auto"/>
        <w:tabs>
          <w:tab w:leader="none" w:pos="2142" w:val="left"/>
        </w:tabs>
        <w:numPr>
          <w:ilvl w:val="1"/>
          <w:numId w:val="181"/>
        </w:numPr>
        <w:rPr>
          <w:rFonts w:ascii="Arial" w:cs="Arial" w:eastAsia="Arial" w:hAnsi="Arial"/>
          <w:sz w:val="19"/>
          <w:szCs w:val="19"/>
          <w:color w:val="auto"/>
        </w:rPr>
      </w:pPr>
      <w:r>
        <w:rPr>
          <w:rFonts w:ascii="Arial" w:cs="Arial" w:eastAsia="Arial" w:hAnsi="Arial"/>
          <w:sz w:val="19"/>
          <w:szCs w:val="19"/>
          <w:color w:val="auto"/>
        </w:rPr>
        <w:t>subject any Recipient to any Taxes (other than (A) Indemnified Taxes, (B) Taxes described in clauses (b) through (e) of the definition of Excluded Taxes and (C) Connection Income Taxes) in respect of its loans, letters of credit, commitments or other obligations, or its deposits, reserves, other liabilities or capital attributable thereto;</w:t>
      </w:r>
    </w:p>
    <w:p>
      <w:pPr>
        <w:spacing w:after="0" w:line="161"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and the result of any of the foregoing shall be to increase the cost to such Lender or such other Recipient of making, converting to, continuing or maintaining any Loan (or of maintaining its obligation to make any such Loan) or to increase the cost to such Lender, such Issuing Bank or such other Recipient of participating in, issuing or maintaining any Letter of Credit (or of maintaining its obligation to participate in or to issue any Letter of Credit) or to reduce the amount of any sum received or receivable by such Lender, such Issuing Bank or such other Recipient hereunder (whether of principal, interest or otherwise), then, from time to time upon request of such Lender, such Issuing Bank or such other Recipient, the Borrowers will pay to such Lender, such Issuing Bank or such other Recipient, as applicable, such additional amount or amounts as will compensate such Lender, such Issuing Bank or such other Recipient, as applicable, for such additional costs or expenses incurred or reduction suffered.</w:t>
      </w:r>
    </w:p>
    <w:p>
      <w:pPr>
        <w:spacing w:after="0" w:line="220" w:lineRule="exact"/>
        <w:rPr>
          <w:sz w:val="20"/>
          <w:szCs w:val="20"/>
          <w:color w:val="auto"/>
        </w:rPr>
      </w:pPr>
    </w:p>
    <w:p>
      <w:pPr>
        <w:jc w:val="both"/>
        <w:ind w:firstLine="656"/>
        <w:spacing w:after="0" w:line="273" w:lineRule="auto"/>
        <w:tabs>
          <w:tab w:leader="none" w:pos="1400" w:val="left"/>
        </w:tabs>
        <w:numPr>
          <w:ilvl w:val="0"/>
          <w:numId w:val="182"/>
        </w:numPr>
        <w:rPr>
          <w:rFonts w:ascii="Arial" w:cs="Arial" w:eastAsia="Arial" w:hAnsi="Arial"/>
          <w:sz w:val="19"/>
          <w:szCs w:val="19"/>
          <w:color w:val="auto"/>
        </w:rPr>
      </w:pPr>
      <w:r>
        <w:rPr>
          <w:rFonts w:ascii="Arial" w:cs="Arial" w:eastAsia="Arial" w:hAnsi="Arial"/>
          <w:sz w:val="19"/>
          <w:szCs w:val="19"/>
          <w:color w:val="auto"/>
        </w:rPr>
        <w:t>If any Lender or any Issuing Bank determines that any Change in Law regarding capital or liquidity requirements has had or would have the effect of reducing the rate of return on such Lender’s or such Issuing Bank’s capital or on the capital of such Lender’s or such Issuing Bank’s holding company, if any, as a consequence of this Agreement, the Commitments of such Lender or the Loans made by, or participations in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then, from time to time upon the request of such Lender or such Issuing Bank, the Borrowers will pay to such Lender or such Issuing Bank, as applicable, such additional amount or amounts as will compensate such Lender or such Issuing Bank or such Lender’s or such Issuing Bank’s holding company for any such reduction suffered.</w:t>
      </w:r>
    </w:p>
    <w:p>
      <w:pPr>
        <w:spacing w:after="0" w:line="187" w:lineRule="exact"/>
        <w:rPr>
          <w:rFonts w:ascii="Arial" w:cs="Arial" w:eastAsia="Arial" w:hAnsi="Arial"/>
          <w:sz w:val="19"/>
          <w:szCs w:val="19"/>
          <w:color w:val="auto"/>
        </w:rPr>
      </w:pPr>
    </w:p>
    <w:p>
      <w:pPr>
        <w:jc w:val="both"/>
        <w:ind w:firstLine="656"/>
        <w:spacing w:after="0" w:line="236" w:lineRule="auto"/>
        <w:tabs>
          <w:tab w:leader="none" w:pos="1352" w:val="left"/>
        </w:tabs>
        <w:numPr>
          <w:ilvl w:val="0"/>
          <w:numId w:val="182"/>
        </w:numPr>
        <w:rPr>
          <w:rFonts w:ascii="Arial" w:cs="Arial" w:eastAsia="Arial" w:hAnsi="Arial"/>
          <w:sz w:val="22"/>
          <w:szCs w:val="22"/>
          <w:color w:val="auto"/>
        </w:rPr>
      </w:pPr>
      <w:r>
        <w:rPr>
          <w:rFonts w:ascii="Arial" w:cs="Arial" w:eastAsia="Arial" w:hAnsi="Arial"/>
          <w:sz w:val="22"/>
          <w:szCs w:val="22"/>
          <w:color w:val="auto"/>
        </w:rPr>
        <w:t xml:space="preserve">A certificate of a Lender or an Issuing Bank setting forth in reasonable detail the amount or amounts necessary to compensate such Lender or such Issuing Bank or its holding company, as applicable, as specified in </w:t>
      </w:r>
      <w:r>
        <w:rPr>
          <w:rFonts w:ascii="Arial" w:cs="Arial" w:eastAsia="Arial" w:hAnsi="Arial"/>
          <w:sz w:val="22"/>
          <w:szCs w:val="22"/>
          <w:u w:val="single" w:color="auto"/>
          <w:color w:val="auto"/>
        </w:rPr>
        <w:t>paragraph (a)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(b)</w:t>
      </w:r>
      <w:r>
        <w:rPr>
          <w:rFonts w:ascii="Arial" w:cs="Arial" w:eastAsia="Arial" w:hAnsi="Arial"/>
          <w:sz w:val="22"/>
          <w:szCs w:val="22"/>
          <w:color w:val="auto"/>
        </w:rPr>
        <w:t xml:space="preserve"> of this Section and the calculation thereof shall be delivered to the Company and shall be conclusive absent manifest error. The Borrowers shall pay such Lender or such Issuing Bank, as applicable, the amount shown as due on any such certificate within 30 days after receipt thereof.</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2" w:name="page263"/>
    <w:bookmarkEnd w:id="262"/>
    <w:p>
      <w:pPr>
        <w:jc w:val="both"/>
        <w:ind w:firstLine="656"/>
        <w:spacing w:after="0" w:line="246" w:lineRule="auto"/>
        <w:tabs>
          <w:tab w:leader="none" w:pos="1429" w:val="left"/>
        </w:tabs>
        <w:numPr>
          <w:ilvl w:val="0"/>
          <w:numId w:val="183"/>
        </w:numPr>
        <w:rPr>
          <w:rFonts w:ascii="Arial" w:cs="Arial" w:eastAsia="Arial" w:hAnsi="Arial"/>
          <w:sz w:val="21"/>
          <w:szCs w:val="21"/>
          <w:color w:val="auto"/>
        </w:rPr>
      </w:pPr>
      <w:r>
        <w:rPr>
          <w:rFonts w:ascii="Arial" w:cs="Arial" w:eastAsia="Arial" w:hAnsi="Arial"/>
          <w:sz w:val="21"/>
          <w:szCs w:val="21"/>
          <w:color w:val="auto"/>
        </w:rPr>
        <w:t xml:space="preserve">Failure or delay on the part of any Lender or any Issuing Bank to demand compensation pursuant to this Section shall not constitute a waiver of such Lender’s or such Issuing Bank’s right to demand such compensation;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Borrowers shall not be required to compensate a Lender or an Issuing Bank pursuant to this Section for any increased costs or expenses incurred or reductions suffered more than 180 days prior to the date that such Lender or such Issuing Bank, as applicable, notifies the Company of the Change in Law giving rise to such increased costs or expenses or reductions and of such Lender’s or such Issuing Bank’s intention to claim compensation therefor;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if the Change in Law giving rise to such increased costs or expenses or reductions is retroactive, then the 180-day period referred to above shall be extended to include the period of retroactive effect thereof.</w:t>
      </w:r>
    </w:p>
    <w:p>
      <w:pPr>
        <w:spacing w:after="0" w:line="207" w:lineRule="exact"/>
        <w:rPr>
          <w:rFonts w:ascii="Arial" w:cs="Arial" w:eastAsia="Arial" w:hAnsi="Arial"/>
          <w:sz w:val="21"/>
          <w:szCs w:val="21"/>
          <w:color w:val="auto"/>
        </w:rPr>
      </w:pPr>
    </w:p>
    <w:p>
      <w:pPr>
        <w:jc w:val="both"/>
        <w:ind w:firstLine="656"/>
        <w:spacing w:after="0" w:line="297" w:lineRule="auto"/>
        <w:tabs>
          <w:tab w:leader="none" w:pos="1334" w:val="left"/>
        </w:tabs>
        <w:numPr>
          <w:ilvl w:val="0"/>
          <w:numId w:val="183"/>
        </w:numPr>
        <w:rPr>
          <w:rFonts w:ascii="Arial" w:cs="Arial" w:eastAsia="Arial" w:hAnsi="Arial"/>
          <w:sz w:val="19"/>
          <w:szCs w:val="19"/>
          <w:color w:val="auto"/>
        </w:rPr>
      </w:pPr>
      <w:r>
        <w:rPr>
          <w:rFonts w:ascii="Arial" w:cs="Arial" w:eastAsia="Arial" w:hAnsi="Arial"/>
          <w:sz w:val="19"/>
          <w:szCs w:val="19"/>
          <w:color w:val="auto"/>
        </w:rPr>
        <w:t>Notwithstanding any other provision of this Section, no Lender shall demand compensation for any increased cost or reduction pursuant to this Section unless such Lender has certified in writing to the Company that it is the general policy or practice of such Lender to demand such compensation in similar circumstances from similarly-situated borrowers.</w:t>
      </w:r>
    </w:p>
    <w:p>
      <w:pPr>
        <w:spacing w:after="0" w:line="161" w:lineRule="exact"/>
        <w:rPr>
          <w:sz w:val="20"/>
          <w:szCs w:val="20"/>
          <w:color w:val="auto"/>
        </w:rPr>
      </w:pPr>
    </w:p>
    <w:p>
      <w:pPr>
        <w:ind w:right="20" w:firstLine="648"/>
        <w:spacing w:after="0" w:line="270" w:lineRule="auto"/>
        <w:rPr>
          <w:sz w:val="20"/>
          <w:szCs w:val="20"/>
          <w:color w:val="auto"/>
        </w:rPr>
      </w:pPr>
      <w:r>
        <w:rPr>
          <w:rFonts w:ascii="Arial" w:cs="Arial" w:eastAsia="Arial" w:hAnsi="Arial"/>
          <w:sz w:val="19"/>
          <w:szCs w:val="19"/>
          <w:color w:val="auto"/>
        </w:rPr>
        <w:t xml:space="preserve">SECTION 2.16. </w:t>
      </w:r>
      <w:r>
        <w:rPr>
          <w:rFonts w:ascii="Arial" w:cs="Arial" w:eastAsia="Arial" w:hAnsi="Arial"/>
          <w:sz w:val="19"/>
          <w:szCs w:val="19"/>
          <w:u w:val="single" w:color="auto"/>
          <w:color w:val="auto"/>
        </w:rPr>
        <w:t>Break Funding Payments</w:t>
      </w:r>
      <w:r>
        <w:rPr>
          <w:rFonts w:ascii="Arial" w:cs="Arial" w:eastAsia="Arial" w:hAnsi="Arial"/>
          <w:sz w:val="19"/>
          <w:szCs w:val="19"/>
          <w:color w:val="auto"/>
        </w:rPr>
        <w:t xml:space="preserve">. In the event of (a) the payment of any principal of any Eurocurrency Loan other than on the last day of an Interest Period applicable thereto (including as a result of an Event of Default), (b) the conversion of any Eurocurrency Loan other than on the last day of the Interest Period applicable thereto, (c) the failure to borrow, convert, continue or prepay any Eurocurrency Loan on the date specified in any notice delivered pursuant hereto (whether or not such notice may be revoked in accordance with the terms hereof) or (d) the assignment of any Eurocurrency Loan other than on the last day of the Interest Period applicable thereto as a result of a request by the Company pursuant to </w:t>
      </w:r>
      <w:r>
        <w:rPr>
          <w:rFonts w:ascii="Arial" w:cs="Arial" w:eastAsia="Arial" w:hAnsi="Arial"/>
          <w:sz w:val="19"/>
          <w:szCs w:val="19"/>
          <w:u w:val="single" w:color="auto"/>
          <w:color w:val="auto"/>
        </w:rPr>
        <w:t>Section 2.19(b)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9.02(c)</w:t>
      </w:r>
      <w:r>
        <w:rPr>
          <w:rFonts w:ascii="Arial" w:cs="Arial" w:eastAsia="Arial" w:hAnsi="Arial"/>
          <w:sz w:val="19"/>
          <w:szCs w:val="19"/>
          <w:color w:val="auto"/>
        </w:rPr>
        <w:t>, then, in any such event, the Borrowers shall compensate each Lender for the loss, cost and expense attributable to such event. In the case of a Eurocurrency Loan, such loss, cost or expense to any Lender shall be deemed to include an amount determined by such Lender to be the excess, if any, of (i) the amount of interest that would have accrued on the principal amount of such Loan had such event not occurred, at the Adjusted LIBO Rate or the Adjusted EURIBOR Rate, as applicable, that would have been applicable to such Loan (but not including the Applicable Rate applicable thereto), for the period from the date of such event to the last day of the then current Interest Period therefor (or, in the case of a failure to borrow, convert or continue, for the period that would have been the Interest Period for such Loan), over (ii) the amount of interest that would accrue on such principal amount for such period at the interest rate that such Lender would bid were it to bid, at the commencement of such period, for dollar deposits of a comparable amount and period from other banks in the London interbank market. A certificate of any Lender setting forth in reasonable detail any amount or amounts that such Lender is entitled to receive pursuant to this Section, and showing the calculation thereof, shall be delivered to the Company and shall be conclusive absent manifest error. The Borrowers shall pay such Lender the amount shown as due on any such certificate within 30 days after receipt thereof.</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2.17. </w:t>
      </w:r>
      <w:r>
        <w:rPr>
          <w:rFonts w:ascii="Arial" w:cs="Arial" w:eastAsia="Arial" w:hAnsi="Arial"/>
          <w:sz w:val="22"/>
          <w:szCs w:val="22"/>
          <w:u w:val="single" w:color="auto"/>
          <w:color w:val="auto"/>
        </w:rPr>
        <w:t>Taxes</w:t>
      </w:r>
    </w:p>
    <w:p>
      <w:pPr>
        <w:spacing w:after="0" w:line="233" w:lineRule="exact"/>
        <w:rPr>
          <w:sz w:val="20"/>
          <w:szCs w:val="20"/>
          <w:color w:val="auto"/>
        </w:rPr>
      </w:pPr>
    </w:p>
    <w:p>
      <w:pPr>
        <w:ind w:firstLine="656"/>
        <w:spacing w:after="0" w:line="273" w:lineRule="auto"/>
        <w:tabs>
          <w:tab w:leader="none" w:pos="1428" w:val="left"/>
        </w:tabs>
        <w:numPr>
          <w:ilvl w:val="0"/>
          <w:numId w:val="184"/>
        </w:numPr>
        <w:rPr>
          <w:rFonts w:ascii="Arial" w:cs="Arial" w:eastAsia="Arial" w:hAnsi="Arial"/>
          <w:sz w:val="19"/>
          <w:szCs w:val="19"/>
          <w:color w:val="auto"/>
        </w:rPr>
      </w:pPr>
      <w:r>
        <w:rPr>
          <w:rFonts w:ascii="Arial" w:cs="Arial" w:eastAsia="Arial" w:hAnsi="Arial"/>
          <w:sz w:val="19"/>
          <w:szCs w:val="19"/>
          <w:u w:val="single" w:color="auto"/>
          <w:color w:val="auto"/>
        </w:rPr>
        <w:t>Payment Free of Taxes</w:t>
      </w:r>
      <w:r>
        <w:rPr>
          <w:rFonts w:ascii="Arial" w:cs="Arial" w:eastAsia="Arial" w:hAnsi="Arial"/>
          <w:sz w:val="19"/>
          <w:szCs w:val="19"/>
          <w:color w:val="auto"/>
        </w:rPr>
        <w:t xml:space="preserve">. All payments by or on account of any obligation of any Loan Party under this Agreement or any other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w:t>
      </w:r>
      <w:r>
        <w:rPr>
          <w:rFonts w:ascii="Arial" w:cs="Arial" w:eastAsia="Arial" w:hAnsi="Arial"/>
          <w:sz w:val="19"/>
          <w:szCs w:val="19"/>
          <w:u w:val="single" w:color="auto"/>
          <w:color w:val="auto"/>
        </w:rPr>
        <w:t>Section 2.17</w:t>
      </w:r>
      <w:r>
        <w:rPr>
          <w:rFonts w:ascii="Arial" w:cs="Arial" w:eastAsia="Arial" w:hAnsi="Arial"/>
          <w:sz w:val="19"/>
          <w:szCs w:val="19"/>
          <w:color w:val="auto"/>
        </w:rPr>
        <w:t>) the applicable Lender (or, in the case of a payment made to the Administrative Agent for its own account, the Administrative Agent) receives an amount equal to the sum it would have received had no such deduction or withholding been made.</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3" w:name="page264"/>
    <w:bookmarkEnd w:id="263"/>
    <w:p>
      <w:pPr>
        <w:jc w:val="both"/>
        <w:ind w:firstLine="656"/>
        <w:spacing w:after="0"/>
        <w:tabs>
          <w:tab w:leader="none" w:pos="1413" w:val="left"/>
        </w:tabs>
        <w:numPr>
          <w:ilvl w:val="0"/>
          <w:numId w:val="185"/>
        </w:numPr>
        <w:rPr>
          <w:rFonts w:ascii="Arial" w:cs="Arial" w:eastAsia="Arial" w:hAnsi="Arial"/>
          <w:sz w:val="22"/>
          <w:szCs w:val="22"/>
          <w:color w:val="auto"/>
        </w:rPr>
      </w:pPr>
      <w:r>
        <w:rPr>
          <w:rFonts w:ascii="Arial" w:cs="Arial" w:eastAsia="Arial" w:hAnsi="Arial"/>
          <w:sz w:val="22"/>
          <w:szCs w:val="22"/>
          <w:u w:val="single" w:color="auto"/>
          <w:color w:val="auto"/>
        </w:rPr>
        <w:t>Payment of Other Taxes by the Loan Parties</w:t>
      </w:r>
      <w:r>
        <w:rPr>
          <w:rFonts w:ascii="Arial" w:cs="Arial" w:eastAsia="Arial" w:hAnsi="Arial"/>
          <w:sz w:val="22"/>
          <w:szCs w:val="22"/>
          <w:color w:val="auto"/>
        </w:rPr>
        <w:t>. The Loan Parties shall timely pay to the relevant Governmental Authority in accordance with applicable law, or at the option of the Administrative Agent reimburse it for the payment of, any Other Taxes.</w:t>
      </w:r>
    </w:p>
    <w:p>
      <w:pPr>
        <w:spacing w:after="0" w:line="213" w:lineRule="exact"/>
        <w:rPr>
          <w:rFonts w:ascii="Arial" w:cs="Arial" w:eastAsia="Arial" w:hAnsi="Arial"/>
          <w:sz w:val="22"/>
          <w:szCs w:val="22"/>
          <w:color w:val="auto"/>
        </w:rPr>
      </w:pPr>
    </w:p>
    <w:p>
      <w:pPr>
        <w:jc w:val="both"/>
        <w:ind w:firstLine="656"/>
        <w:spacing w:after="0" w:line="252" w:lineRule="auto"/>
        <w:tabs>
          <w:tab w:leader="none" w:pos="1428" w:val="left"/>
        </w:tabs>
        <w:numPr>
          <w:ilvl w:val="0"/>
          <w:numId w:val="185"/>
        </w:numPr>
        <w:rPr>
          <w:rFonts w:ascii="Arial" w:cs="Arial" w:eastAsia="Arial" w:hAnsi="Arial"/>
          <w:sz w:val="21"/>
          <w:szCs w:val="21"/>
          <w:color w:val="auto"/>
        </w:rPr>
      </w:pPr>
      <w:r>
        <w:rPr>
          <w:rFonts w:ascii="Arial" w:cs="Arial" w:eastAsia="Arial" w:hAnsi="Arial"/>
          <w:sz w:val="21"/>
          <w:szCs w:val="21"/>
          <w:u w:val="single" w:color="auto"/>
          <w:color w:val="auto"/>
        </w:rPr>
        <w:t>Evidence of Payment</w:t>
      </w:r>
      <w:r>
        <w:rPr>
          <w:rFonts w:ascii="Arial" w:cs="Arial" w:eastAsia="Arial" w:hAnsi="Arial"/>
          <w:sz w:val="21"/>
          <w:szCs w:val="21"/>
          <w:color w:val="auto"/>
        </w:rPr>
        <w:t xml:space="preserve">. As soon as practicable after any payment of Taxes by any Loan Party to a Governmental Authority pursuant to this </w:t>
      </w:r>
      <w:r>
        <w:rPr>
          <w:rFonts w:ascii="Arial" w:cs="Arial" w:eastAsia="Arial" w:hAnsi="Arial"/>
          <w:sz w:val="21"/>
          <w:szCs w:val="21"/>
          <w:u w:val="single" w:color="auto"/>
          <w:color w:val="auto"/>
        </w:rPr>
        <w:t>Section 2.17</w:t>
      </w:r>
      <w:r>
        <w:rPr>
          <w:rFonts w:ascii="Arial" w:cs="Arial" w:eastAsia="Arial" w:hAnsi="Arial"/>
          <w:sz w:val="21"/>
          <w:szCs w:val="21"/>
          <w:color w:val="auto"/>
        </w:rPr>
        <w:t>,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200" w:lineRule="exact"/>
        <w:rPr>
          <w:rFonts w:ascii="Arial" w:cs="Arial" w:eastAsia="Arial" w:hAnsi="Arial"/>
          <w:sz w:val="21"/>
          <w:szCs w:val="21"/>
          <w:color w:val="auto"/>
        </w:rPr>
      </w:pPr>
    </w:p>
    <w:p>
      <w:pPr>
        <w:jc w:val="both"/>
        <w:ind w:firstLine="656"/>
        <w:spacing w:after="0" w:line="277" w:lineRule="auto"/>
        <w:tabs>
          <w:tab w:leader="none" w:pos="1561" w:val="left"/>
        </w:tabs>
        <w:numPr>
          <w:ilvl w:val="0"/>
          <w:numId w:val="185"/>
        </w:numPr>
        <w:rPr>
          <w:rFonts w:ascii="Arial" w:cs="Arial" w:eastAsia="Arial" w:hAnsi="Arial"/>
          <w:sz w:val="19"/>
          <w:szCs w:val="19"/>
          <w:color w:val="auto"/>
        </w:rPr>
      </w:pPr>
      <w:r>
        <w:rPr>
          <w:rFonts w:ascii="Arial" w:cs="Arial" w:eastAsia="Arial" w:hAnsi="Arial"/>
          <w:sz w:val="19"/>
          <w:szCs w:val="19"/>
          <w:u w:val="single" w:color="auto"/>
          <w:color w:val="auto"/>
        </w:rPr>
        <w:t>Indemnification by the Loan Parties</w:t>
      </w:r>
      <w:r>
        <w:rPr>
          <w:rFonts w:ascii="Arial" w:cs="Arial" w:eastAsia="Arial" w:hAnsi="Arial"/>
          <w:sz w:val="19"/>
          <w:szCs w:val="19"/>
          <w:color w:val="auto"/>
        </w:rPr>
        <w:t xml:space="preserve">. The Loan Parties shall jointly and severally indemnify each Recipient, within 10 days after demand therefor, for the full amount of any Indemnified Taxes (including Indemnified Taxes imposed or asserted on or attributable to amounts payable under this </w:t>
      </w:r>
      <w:r>
        <w:rPr>
          <w:rFonts w:ascii="Arial" w:cs="Arial" w:eastAsia="Arial" w:hAnsi="Arial"/>
          <w:sz w:val="19"/>
          <w:szCs w:val="19"/>
          <w:u w:val="single" w:color="auto"/>
          <w:color w:val="auto"/>
        </w:rPr>
        <w:t>Section 2.17</w:t>
      </w:r>
      <w:r>
        <w:rPr>
          <w:rFonts w:ascii="Arial" w:cs="Arial" w:eastAsia="Arial" w:hAnsi="Arial"/>
          <w:sz w:val="19"/>
          <w:szCs w:val="19"/>
          <w:color w:val="auto"/>
        </w:rPr>
        <w:t>)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Company by a Lender (with a copy to the Administrative Agent), or by the Administrative Agent on its own behalf or on behalf of a Lender, shall be conclusive absent manifest error.</w:t>
      </w:r>
    </w:p>
    <w:p>
      <w:pPr>
        <w:spacing w:after="0" w:line="178" w:lineRule="exact"/>
        <w:rPr>
          <w:rFonts w:ascii="Arial" w:cs="Arial" w:eastAsia="Arial" w:hAnsi="Arial"/>
          <w:sz w:val="19"/>
          <w:szCs w:val="19"/>
          <w:color w:val="auto"/>
        </w:rPr>
      </w:pPr>
    </w:p>
    <w:p>
      <w:pPr>
        <w:ind w:left="1440" w:hanging="784"/>
        <w:spacing w:after="0"/>
        <w:tabs>
          <w:tab w:leader="none" w:pos="1440" w:val="left"/>
        </w:tabs>
        <w:numPr>
          <w:ilvl w:val="0"/>
          <w:numId w:val="185"/>
        </w:numPr>
        <w:rPr>
          <w:rFonts w:ascii="Arial" w:cs="Arial" w:eastAsia="Arial" w:hAnsi="Arial"/>
          <w:sz w:val="22"/>
          <w:szCs w:val="22"/>
          <w:color w:val="auto"/>
        </w:rPr>
      </w:pPr>
      <w:r>
        <w:rPr>
          <w:rFonts w:ascii="Arial" w:cs="Arial" w:eastAsia="Arial" w:hAnsi="Arial"/>
          <w:sz w:val="22"/>
          <w:szCs w:val="22"/>
          <w:u w:val="single" w:color="auto"/>
          <w:color w:val="auto"/>
        </w:rPr>
        <w:t>Status of Lenders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660" w:firstLine="644"/>
        <w:spacing w:after="0" w:line="271" w:lineRule="auto"/>
        <w:tabs>
          <w:tab w:leader="none" w:pos="2322" w:val="left"/>
        </w:tabs>
        <w:numPr>
          <w:ilvl w:val="1"/>
          <w:numId w:val="185"/>
        </w:numPr>
        <w:rPr>
          <w:rFonts w:ascii="Arial" w:cs="Arial" w:eastAsia="Arial" w:hAnsi="Arial"/>
          <w:sz w:val="19"/>
          <w:szCs w:val="19"/>
          <w:color w:val="auto"/>
        </w:rPr>
      </w:pPr>
      <w:r>
        <w:rPr>
          <w:rFonts w:ascii="Arial" w:cs="Arial" w:eastAsia="Arial" w:hAnsi="Arial"/>
          <w:sz w:val="19"/>
          <w:szCs w:val="19"/>
          <w:color w:val="auto"/>
        </w:rPr>
        <w:t xml:space="preserve">Any Lender that is entitled to an exemption from, or reduction of, withholding Tax with respect to payments made under this Agreement or any other Loan Document shall deliver to the Company and the Administrative Agent, at the time or times reasonably requested by the Company or the Administrative Agent, such properly completed and executed documentation reasonably requested by the Company or the Administrative Agent as will permit such payments to be made without withholding or at a reduced rate of withholding;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however, that a Lender that is not qualified for full exemption from U.S. withholding tax at the time it becomes a Lender shall not be entitled to any gross-up or indemnity for any U.S. withholding tax resulting from any change in law. In addition, any Lender, if reasonably requested by the Company or the Administrative Agent, shall deliver such other documentation prescribed by applicable law or reasonably requested by the Company or the Administrative Agent as will enable the Company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9"/>
          <w:szCs w:val="19"/>
          <w:u w:val="single" w:color="auto"/>
          <w:color w:val="auto"/>
        </w:rPr>
        <w:t>Section 2.17(e)(ii)(A)</w:t>
      </w:r>
      <w:r>
        <w:rPr>
          <w:rFonts w:ascii="Arial" w:cs="Arial" w:eastAsia="Arial" w:hAnsi="Arial"/>
          <w:sz w:val="19"/>
          <w:szCs w:val="19"/>
          <w:color w:val="auto"/>
        </w:rPr>
        <w:t xml:space="preserve">, </w:t>
      </w:r>
      <w:r>
        <w:rPr>
          <w:rFonts w:ascii="Arial" w:cs="Arial" w:eastAsia="Arial" w:hAnsi="Arial"/>
          <w:sz w:val="19"/>
          <w:szCs w:val="19"/>
          <w:u w:val="single" w:color="auto"/>
          <w:color w:val="auto"/>
        </w:rPr>
        <w:t>2.17(e)(ii)(B)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2.17(e)(ii)(D)</w:t>
      </w:r>
      <w:r>
        <w:rPr>
          <w:rFonts w:ascii="Arial" w:cs="Arial" w:eastAsia="Arial" w:hAnsi="Arial"/>
          <w:sz w:val="19"/>
          <w:szCs w:val="19"/>
          <w:color w:val="auto"/>
        </w:rPr>
        <w:t>)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4" w:name="page265"/>
    <w:bookmarkEnd w:id="264"/>
    <w:p>
      <w:pPr>
        <w:ind w:left="1160" w:hanging="976"/>
        <w:spacing w:after="0"/>
        <w:tabs>
          <w:tab w:leader="none" w:pos="1160" w:val="left"/>
        </w:tabs>
        <w:numPr>
          <w:ilvl w:val="0"/>
          <w:numId w:val="186"/>
        </w:numPr>
        <w:rPr>
          <w:rFonts w:ascii="Arial" w:cs="Arial" w:eastAsia="Arial" w:hAnsi="Arial"/>
          <w:sz w:val="22"/>
          <w:szCs w:val="22"/>
          <w:color w:val="auto"/>
        </w:rPr>
      </w:pPr>
      <w:r>
        <w:rPr>
          <w:rFonts w:ascii="Arial" w:cs="Arial" w:eastAsia="Arial" w:hAnsi="Arial"/>
          <w:sz w:val="22"/>
          <w:szCs w:val="22"/>
          <w:color w:val="auto"/>
        </w:rPr>
        <w:t>Without limiting the generality of the foregoing:</w:t>
      </w:r>
    </w:p>
    <w:p>
      <w:pPr>
        <w:spacing w:after="0" w:line="233" w:lineRule="exact"/>
        <w:rPr>
          <w:rFonts w:ascii="Arial" w:cs="Arial" w:eastAsia="Arial" w:hAnsi="Arial"/>
          <w:sz w:val="22"/>
          <w:szCs w:val="22"/>
          <w:color w:val="auto"/>
        </w:rPr>
      </w:pPr>
    </w:p>
    <w:p>
      <w:pPr>
        <w:jc w:val="both"/>
        <w:ind w:left="180" w:firstLine="814"/>
        <w:spacing w:after="0" w:line="252" w:lineRule="auto"/>
        <w:tabs>
          <w:tab w:leader="none" w:pos="1573" w:val="left"/>
        </w:tabs>
        <w:numPr>
          <w:ilvl w:val="1"/>
          <w:numId w:val="186"/>
        </w:numPr>
        <w:rPr>
          <w:rFonts w:ascii="Arial" w:cs="Arial" w:eastAsia="Arial" w:hAnsi="Arial"/>
          <w:sz w:val="21"/>
          <w:szCs w:val="21"/>
          <w:color w:val="auto"/>
        </w:rPr>
      </w:pPr>
      <w:r>
        <w:rPr>
          <w:rFonts w:ascii="Arial" w:cs="Arial" w:eastAsia="Arial" w:hAnsi="Arial"/>
          <w:sz w:val="21"/>
          <w:szCs w:val="21"/>
          <w:color w:val="auto"/>
        </w:rPr>
        <w:t>any Lender that is a U.S. Person shall deliver to the Company and the Administrative Agent on or prior to the date on which such Lender becomes a Lender under this Agreement (and from time to time thereafter upon the reasonable request of the Company or the Administrative Agent), executed copies of IRS Form W-9 certifying that such Lender is exempt from U.S. Federal backup withholding Tax;</w:t>
      </w:r>
    </w:p>
    <w:p>
      <w:pPr>
        <w:spacing w:after="0" w:line="200" w:lineRule="exact"/>
        <w:rPr>
          <w:rFonts w:ascii="Arial" w:cs="Arial" w:eastAsia="Arial" w:hAnsi="Arial"/>
          <w:sz w:val="21"/>
          <w:szCs w:val="21"/>
          <w:color w:val="auto"/>
        </w:rPr>
      </w:pPr>
    </w:p>
    <w:p>
      <w:pPr>
        <w:jc w:val="both"/>
        <w:ind w:left="180" w:firstLine="814"/>
        <w:spacing w:after="0" w:line="238" w:lineRule="auto"/>
        <w:tabs>
          <w:tab w:leader="none" w:pos="1629" w:val="left"/>
        </w:tabs>
        <w:numPr>
          <w:ilvl w:val="1"/>
          <w:numId w:val="186"/>
        </w:numPr>
        <w:rPr>
          <w:rFonts w:ascii="Arial" w:cs="Arial" w:eastAsia="Arial" w:hAnsi="Arial"/>
          <w:sz w:val="22"/>
          <w:szCs w:val="22"/>
          <w:color w:val="auto"/>
        </w:rPr>
      </w:pPr>
      <w:r>
        <w:rPr>
          <w:rFonts w:ascii="Arial" w:cs="Arial" w:eastAsia="Arial" w:hAnsi="Arial"/>
          <w:sz w:val="22"/>
          <w:szCs w:val="22"/>
          <w:color w:val="auto"/>
        </w:rPr>
        <w:t>each Foreign Lender, to the extent it is legally entitled to do so, shall deliver to the Company and the Administrative Agent on or prior to the date on which such Foreign Lender becomes a Lender under this Agreement (and from time to time thereafter upon the reasonable request of the Company or the Administrative Agent), two of whichever of the following is applicable:</w:t>
      </w:r>
    </w:p>
    <w:p>
      <w:pPr>
        <w:spacing w:after="0" w:line="211" w:lineRule="exact"/>
        <w:rPr>
          <w:rFonts w:ascii="Arial" w:cs="Arial" w:eastAsia="Arial" w:hAnsi="Arial"/>
          <w:sz w:val="22"/>
          <w:szCs w:val="22"/>
          <w:color w:val="auto"/>
        </w:rPr>
      </w:pPr>
    </w:p>
    <w:p>
      <w:pPr>
        <w:jc w:val="both"/>
        <w:ind w:left="1000" w:firstLine="480"/>
        <w:spacing w:after="0" w:line="297" w:lineRule="auto"/>
        <w:tabs>
          <w:tab w:leader="none" w:pos="2197" w:val="left"/>
        </w:tabs>
        <w:numPr>
          <w:ilvl w:val="2"/>
          <w:numId w:val="186"/>
        </w:numPr>
        <w:rPr>
          <w:rFonts w:ascii="Arial" w:cs="Arial" w:eastAsia="Arial" w:hAnsi="Arial"/>
          <w:sz w:val="19"/>
          <w:szCs w:val="19"/>
          <w:color w:val="auto"/>
        </w:rPr>
      </w:pPr>
      <w:r>
        <w:rPr>
          <w:rFonts w:ascii="Arial" w:cs="Arial" w:eastAsia="Arial" w:hAnsi="Arial"/>
          <w:sz w:val="19"/>
          <w:szCs w:val="19"/>
          <w:color w:val="auto"/>
        </w:rPr>
        <w:t>in the case of a Foreign Lender claiming the benefits of an income tax treaty to which the United States is a party, executed copies of IRS Form W-8BEN or IRS Form W-8BEN-E (as applicable) establishing an exemption from U.S. federal withholding Tax pursuant to such tax treaty;</w:t>
      </w:r>
    </w:p>
    <w:p>
      <w:pPr>
        <w:spacing w:after="0" w:line="160" w:lineRule="exact"/>
        <w:rPr>
          <w:rFonts w:ascii="Arial" w:cs="Arial" w:eastAsia="Arial" w:hAnsi="Arial"/>
          <w:sz w:val="19"/>
          <w:szCs w:val="19"/>
          <w:color w:val="auto"/>
        </w:rPr>
      </w:pPr>
    </w:p>
    <w:p>
      <w:pPr>
        <w:ind w:left="2100" w:hanging="620"/>
        <w:spacing w:after="0"/>
        <w:tabs>
          <w:tab w:leader="none" w:pos="2100" w:val="left"/>
        </w:tabs>
        <w:numPr>
          <w:ilvl w:val="2"/>
          <w:numId w:val="186"/>
        </w:numPr>
        <w:rPr>
          <w:rFonts w:ascii="Arial" w:cs="Arial" w:eastAsia="Arial" w:hAnsi="Arial"/>
          <w:sz w:val="22"/>
          <w:szCs w:val="22"/>
          <w:color w:val="auto"/>
        </w:rPr>
      </w:pPr>
      <w:r>
        <w:rPr>
          <w:rFonts w:ascii="Arial" w:cs="Arial" w:eastAsia="Arial" w:hAnsi="Arial"/>
          <w:sz w:val="22"/>
          <w:szCs w:val="22"/>
          <w:color w:val="auto"/>
        </w:rPr>
        <w:t>executed copies of IRS Form W-8ECI;</w:t>
      </w:r>
    </w:p>
    <w:p>
      <w:pPr>
        <w:spacing w:after="0" w:line="233" w:lineRule="exact"/>
        <w:rPr>
          <w:rFonts w:ascii="Arial" w:cs="Arial" w:eastAsia="Arial" w:hAnsi="Arial"/>
          <w:sz w:val="22"/>
          <w:szCs w:val="22"/>
          <w:color w:val="auto"/>
        </w:rPr>
      </w:pPr>
    </w:p>
    <w:p>
      <w:pPr>
        <w:jc w:val="both"/>
        <w:ind w:left="1000" w:firstLine="480"/>
        <w:spacing w:after="0" w:line="279" w:lineRule="auto"/>
        <w:tabs>
          <w:tab w:leader="none" w:pos="2156" w:val="left"/>
        </w:tabs>
        <w:numPr>
          <w:ilvl w:val="2"/>
          <w:numId w:val="186"/>
        </w:numPr>
        <w:rPr>
          <w:rFonts w:ascii="Arial" w:cs="Arial" w:eastAsia="Arial" w:hAnsi="Arial"/>
          <w:sz w:val="19"/>
          <w:szCs w:val="19"/>
          <w:color w:val="auto"/>
        </w:rPr>
      </w:pPr>
      <w:r>
        <w:rPr>
          <w:rFonts w:ascii="Arial" w:cs="Arial" w:eastAsia="Arial" w:hAnsi="Arial"/>
          <w:sz w:val="19"/>
          <w:szCs w:val="19"/>
          <w:color w:val="auto"/>
        </w:rPr>
        <w:t xml:space="preserve">in the case of a Foreign Lender claiming the benefits of the exemption for portfolio interest under Section 881(c) of the Code, (x) a certificate substantially in the form of </w:t>
      </w:r>
      <w:r>
        <w:rPr>
          <w:rFonts w:ascii="Arial" w:cs="Arial" w:eastAsia="Arial" w:hAnsi="Arial"/>
          <w:sz w:val="19"/>
          <w:szCs w:val="19"/>
          <w:u w:val="single" w:color="auto"/>
          <w:color w:val="auto"/>
        </w:rPr>
        <w:t>Exhibit I-1</w:t>
      </w:r>
      <w:r>
        <w:rPr>
          <w:rFonts w:ascii="Arial" w:cs="Arial" w:eastAsia="Arial" w:hAnsi="Arial"/>
          <w:sz w:val="19"/>
          <w:szCs w:val="19"/>
          <w:color w:val="auto"/>
        </w:rPr>
        <w:t xml:space="preserve"> to the effect that such Foreign Lender is not a “bank” within the meaning of Section 881(c)(3)(A) of the Code, a “10-percent shareholder” of the Borrowers within the meaning of Section 871(h)(3)(B) of the Code or a “controlled foreign corporation” described in Section 881(c)(3)(C) of the Code (a “</w:t>
      </w:r>
      <w:r>
        <w:rPr>
          <w:rFonts w:ascii="Arial" w:cs="Arial" w:eastAsia="Arial" w:hAnsi="Arial"/>
          <w:sz w:val="19"/>
          <w:szCs w:val="19"/>
          <w:u w:val="single" w:color="auto"/>
          <w:color w:val="auto"/>
        </w:rPr>
        <w:t>U.S. Tax Compliance</w:t>
      </w:r>
      <w:r>
        <w:rPr>
          <w:rFonts w:ascii="Arial" w:cs="Arial" w:eastAsia="Arial" w:hAnsi="Arial"/>
          <w:sz w:val="19"/>
          <w:szCs w:val="19"/>
          <w:color w:val="auto"/>
        </w:rPr>
        <w:t xml:space="preserve"> </w:t>
      </w:r>
      <w:r>
        <w:rPr>
          <w:rFonts w:ascii="Arial" w:cs="Arial" w:eastAsia="Arial" w:hAnsi="Arial"/>
          <w:sz w:val="19"/>
          <w:szCs w:val="19"/>
          <w:u w:val="single" w:color="auto"/>
          <w:color w:val="auto"/>
        </w:rPr>
        <w:t>Certificate</w:t>
      </w:r>
      <w:r>
        <w:rPr>
          <w:rFonts w:ascii="Arial" w:cs="Arial" w:eastAsia="Arial" w:hAnsi="Arial"/>
          <w:sz w:val="19"/>
          <w:szCs w:val="19"/>
          <w:color w:val="auto"/>
        </w:rPr>
        <w:t>”) and (y) executed copies of IRS Form W-8BEN or W-8BEN-E (as applicable); or</w:t>
      </w:r>
    </w:p>
    <w:p>
      <w:pPr>
        <w:spacing w:after="0" w:line="177" w:lineRule="exact"/>
        <w:rPr>
          <w:rFonts w:ascii="Arial" w:cs="Arial" w:eastAsia="Arial" w:hAnsi="Arial"/>
          <w:sz w:val="19"/>
          <w:szCs w:val="19"/>
          <w:color w:val="auto"/>
        </w:rPr>
      </w:pPr>
    </w:p>
    <w:p>
      <w:pPr>
        <w:jc w:val="both"/>
        <w:ind w:left="1000" w:firstLine="480"/>
        <w:spacing w:after="0" w:line="275" w:lineRule="auto"/>
        <w:tabs>
          <w:tab w:leader="none" w:pos="2089" w:val="left"/>
        </w:tabs>
        <w:numPr>
          <w:ilvl w:val="2"/>
          <w:numId w:val="186"/>
        </w:numPr>
        <w:rPr>
          <w:rFonts w:ascii="Arial" w:cs="Arial" w:eastAsia="Arial" w:hAnsi="Arial"/>
          <w:sz w:val="19"/>
          <w:szCs w:val="19"/>
          <w:color w:val="auto"/>
        </w:rPr>
      </w:pPr>
      <w:r>
        <w:rPr>
          <w:rFonts w:ascii="Arial" w:cs="Arial" w:eastAsia="Arial" w:hAnsi="Arial"/>
          <w:sz w:val="19"/>
          <w:szCs w:val="19"/>
          <w:color w:val="auto"/>
        </w:rPr>
        <w:t xml:space="preserve">to the extent a Foreign Lender is not the beneficial owner (for example, where the Lender is a partnership, or is a participating Lender), executed copies of IRS Form W-8IMY, accompanied by IRS Form W-8ECI, IRS Form W-8BEN or W-8BEN-E (as applicable), a U.S. Tax Compliance Certificate substantially in the form of </w:t>
      </w:r>
      <w:r>
        <w:rPr>
          <w:rFonts w:ascii="Arial" w:cs="Arial" w:eastAsia="Arial" w:hAnsi="Arial"/>
          <w:sz w:val="19"/>
          <w:szCs w:val="19"/>
          <w:u w:val="single" w:color="auto"/>
          <w:color w:val="auto"/>
        </w:rPr>
        <w:t>Exhibit I-2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Exhibit I-3</w:t>
      </w:r>
      <w:r>
        <w:rPr>
          <w:rFonts w:ascii="Arial" w:cs="Arial" w:eastAsia="Arial" w:hAnsi="Arial"/>
          <w:sz w:val="19"/>
          <w:szCs w:val="19"/>
          <w:color w:val="auto"/>
        </w:rPr>
        <w:t xml:space="preserve">, IRS Form W-9 and/or another certification document from each beneficial owner,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Foreign Lender is a partnership (and not a participating Lender)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9"/>
          <w:szCs w:val="19"/>
          <w:u w:val="single" w:color="auto"/>
          <w:color w:val="auto"/>
        </w:rPr>
        <w:t>Exhibit I-4</w:t>
      </w:r>
      <w:r>
        <w:rPr>
          <w:rFonts w:ascii="Arial" w:cs="Arial" w:eastAsia="Arial" w:hAnsi="Arial"/>
          <w:sz w:val="19"/>
          <w:szCs w:val="19"/>
          <w:color w:val="auto"/>
        </w:rPr>
        <w:t xml:space="preserve"> on behalf of each such direct or indirect partner;</w:t>
      </w:r>
    </w:p>
    <w:p>
      <w:pPr>
        <w:spacing w:after="0" w:line="362"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265" w:name="page266"/>
    <w:bookmarkEnd w:id="265"/>
    <w:p>
      <w:pPr>
        <w:jc w:val="both"/>
        <w:ind w:left="1300" w:firstLine="814"/>
        <w:spacing w:after="0" w:line="277" w:lineRule="auto"/>
        <w:tabs>
          <w:tab w:leader="none" w:pos="2762" w:val="left"/>
        </w:tabs>
        <w:numPr>
          <w:ilvl w:val="0"/>
          <w:numId w:val="187"/>
        </w:numPr>
        <w:rPr>
          <w:rFonts w:ascii="Arial" w:cs="Arial" w:eastAsia="Arial" w:hAnsi="Arial"/>
          <w:sz w:val="19"/>
          <w:szCs w:val="19"/>
          <w:color w:val="auto"/>
        </w:rPr>
      </w:pPr>
      <w:r>
        <w:rPr>
          <w:rFonts w:ascii="Arial" w:cs="Arial" w:eastAsia="Arial" w:hAnsi="Arial"/>
          <w:sz w:val="19"/>
          <w:szCs w:val="19"/>
          <w:color w:val="auto"/>
        </w:rPr>
        <w:t>any Foreign Lender shall, to the extent it is legally eligible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Company or the Administrative Agent to determine the withholding or deduction required to be made; and</w:t>
      </w:r>
    </w:p>
    <w:p>
      <w:pPr>
        <w:spacing w:after="0" w:line="179" w:lineRule="exact"/>
        <w:rPr>
          <w:rFonts w:ascii="Arial" w:cs="Arial" w:eastAsia="Arial" w:hAnsi="Arial"/>
          <w:sz w:val="19"/>
          <w:szCs w:val="19"/>
          <w:color w:val="auto"/>
        </w:rPr>
      </w:pPr>
    </w:p>
    <w:p>
      <w:pPr>
        <w:jc w:val="both"/>
        <w:ind w:left="1300" w:firstLine="814"/>
        <w:spacing w:after="0" w:line="273" w:lineRule="auto"/>
        <w:tabs>
          <w:tab w:leader="none" w:pos="2977" w:val="left"/>
        </w:tabs>
        <w:numPr>
          <w:ilvl w:val="0"/>
          <w:numId w:val="187"/>
        </w:numPr>
        <w:rPr>
          <w:rFonts w:ascii="Arial" w:cs="Arial" w:eastAsia="Arial" w:hAnsi="Arial"/>
          <w:sz w:val="19"/>
          <w:szCs w:val="19"/>
          <w:color w:val="auto"/>
        </w:rPr>
      </w:pPr>
      <w:r>
        <w:rPr>
          <w:rFonts w:ascii="Arial" w:cs="Arial" w:eastAsia="Arial" w:hAnsi="Arial"/>
          <w:sz w:val="19"/>
          <w:szCs w:val="19"/>
          <w:color w:val="auto"/>
        </w:rPr>
        <w:t>if a payment made to a Lender under this Agreement or any other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to determine whether such Lender has complied with such Lender’s obligations under FATCA and to determine the amount, if any, to deduct and withhold from such payment. Solely for purposes of this clause (D), “FATCA” shall include any amendments made to FATCA after the Effective Date.</w:t>
      </w:r>
    </w:p>
    <w:p>
      <w:pPr>
        <w:spacing w:after="0" w:line="18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 xml:space="preserve">Each Lender agrees that if any documentation it previously delivered expires or becomes obsolete or inaccurate in any respect, it shall update such documentation or promptly notify the Company and the Administrative Agent in writing of its legal ineligibility to do so. Notwithstanding any other provision of this </w:t>
      </w:r>
      <w:r>
        <w:rPr>
          <w:rFonts w:ascii="Arial" w:cs="Arial" w:eastAsia="Arial" w:hAnsi="Arial"/>
          <w:sz w:val="21"/>
          <w:szCs w:val="21"/>
          <w:u w:val="single" w:color="auto"/>
          <w:color w:val="auto"/>
        </w:rPr>
        <w:t>Section 2.17</w:t>
      </w:r>
      <w:r>
        <w:rPr>
          <w:rFonts w:ascii="Arial" w:cs="Arial" w:eastAsia="Arial" w:hAnsi="Arial"/>
          <w:sz w:val="21"/>
          <w:szCs w:val="21"/>
          <w:color w:val="auto"/>
        </w:rPr>
        <w:t xml:space="preserve">, a Lender shall not be required to provide any documentation pursuant to this </w:t>
      </w:r>
      <w:r>
        <w:rPr>
          <w:rFonts w:ascii="Arial" w:cs="Arial" w:eastAsia="Arial" w:hAnsi="Arial"/>
          <w:sz w:val="21"/>
          <w:szCs w:val="21"/>
          <w:u w:val="single" w:color="auto"/>
          <w:color w:val="auto"/>
        </w:rPr>
        <w:t>Section 2.17(e)</w:t>
      </w:r>
      <w:r>
        <w:rPr>
          <w:rFonts w:ascii="Arial" w:cs="Arial" w:eastAsia="Arial" w:hAnsi="Arial"/>
          <w:sz w:val="21"/>
          <w:szCs w:val="21"/>
          <w:color w:val="auto"/>
        </w:rPr>
        <w:t xml:space="preserve"> that such Lender is not legally eligible to provide.</w:t>
      </w:r>
    </w:p>
    <w:p>
      <w:pPr>
        <w:spacing w:after="0" w:line="201"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 xml:space="preserve">Each Lender hereby authorizes the Administrative Agent to deliver to the Loan Parties and to any successor Administrative Agent any documentation provided by such Lender to the Administrative Agent pursuant to this </w:t>
      </w:r>
      <w:r>
        <w:rPr>
          <w:rFonts w:ascii="Arial" w:cs="Arial" w:eastAsia="Arial" w:hAnsi="Arial"/>
          <w:sz w:val="19"/>
          <w:szCs w:val="19"/>
          <w:u w:val="single" w:color="auto"/>
          <w:color w:val="auto"/>
        </w:rPr>
        <w:t>Section 2.17(e)</w:t>
      </w:r>
      <w:r>
        <w:rPr>
          <w:rFonts w:ascii="Arial" w:cs="Arial" w:eastAsia="Arial" w:hAnsi="Arial"/>
          <w:sz w:val="19"/>
          <w:szCs w:val="19"/>
          <w:color w:val="auto"/>
        </w:rPr>
        <w:t>.</w:t>
      </w:r>
    </w:p>
    <w:p>
      <w:pPr>
        <w:spacing w:after="0" w:line="132" w:lineRule="exact"/>
        <w:rPr>
          <w:sz w:val="20"/>
          <w:szCs w:val="20"/>
          <w:color w:val="auto"/>
        </w:rPr>
      </w:pPr>
    </w:p>
    <w:p>
      <w:pPr>
        <w:ind w:left="1420" w:hanging="764"/>
        <w:spacing w:after="0"/>
        <w:tabs>
          <w:tab w:leader="none" w:pos="1420" w:val="left"/>
        </w:tabs>
        <w:numPr>
          <w:ilvl w:val="0"/>
          <w:numId w:val="188"/>
        </w:numPr>
        <w:rPr>
          <w:rFonts w:ascii="Arial" w:cs="Arial" w:eastAsia="Arial" w:hAnsi="Arial"/>
          <w:sz w:val="22"/>
          <w:szCs w:val="22"/>
          <w:color w:val="auto"/>
        </w:rPr>
      </w:pPr>
      <w:r>
        <w:rPr>
          <w:rFonts w:ascii="Arial" w:cs="Arial" w:eastAsia="Arial" w:hAnsi="Arial"/>
          <w:sz w:val="22"/>
          <w:szCs w:val="22"/>
          <w:u w:val="single" w:color="auto"/>
          <w:color w:val="auto"/>
        </w:rPr>
        <w:t>Additional United Kingdom Withholding Tax Matters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660" w:firstLine="644"/>
        <w:spacing w:after="0"/>
        <w:tabs>
          <w:tab w:leader="none" w:pos="2071" w:val="left"/>
        </w:tabs>
        <w:numPr>
          <w:ilvl w:val="1"/>
          <w:numId w:val="188"/>
        </w:numPr>
        <w:rPr>
          <w:rFonts w:ascii="Arial" w:cs="Arial" w:eastAsia="Arial" w:hAnsi="Arial"/>
          <w:sz w:val="22"/>
          <w:szCs w:val="22"/>
          <w:color w:val="auto"/>
        </w:rPr>
      </w:pPr>
      <w:r>
        <w:rPr>
          <w:rFonts w:ascii="Arial" w:cs="Arial" w:eastAsia="Arial" w:hAnsi="Arial"/>
          <w:sz w:val="22"/>
          <w:szCs w:val="22"/>
          <w:color w:val="auto"/>
        </w:rPr>
        <w:t>Subject to (ii) below, each UK Treaty Lender and each UK Borrower which makes a payment to such UK Treaty Lender shall cooperate in completing any procedural formalities necessary for such UK Borrower to obtain authorization to make such payment without UK Withholding Tax.</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6" w:name="page267"/>
    <w:bookmarkEnd w:id="266"/>
    <w:p>
      <w:pPr>
        <w:jc w:val="both"/>
        <w:ind w:left="-460" w:firstLine="644"/>
        <w:spacing w:after="0" w:line="238" w:lineRule="auto"/>
        <w:tabs>
          <w:tab w:leader="none" w:pos="992" w:val="left"/>
        </w:tabs>
        <w:numPr>
          <w:ilvl w:val="0"/>
          <w:numId w:val="189"/>
        </w:numPr>
        <w:rPr>
          <w:rFonts w:ascii="Arial" w:cs="Arial" w:eastAsia="Arial" w:hAnsi="Arial"/>
          <w:sz w:val="22"/>
          <w:szCs w:val="22"/>
          <w:color w:val="auto"/>
        </w:rPr>
      </w:pPr>
      <w:r>
        <w:rPr>
          <w:rFonts w:ascii="Arial" w:cs="Arial" w:eastAsia="Arial" w:hAnsi="Arial"/>
          <w:sz w:val="22"/>
          <w:szCs w:val="22"/>
          <w:color w:val="auto"/>
        </w:rPr>
        <w:t xml:space="preserve">(a) A Lender which becomes a Lender hereunder on the Effective Date that (x) holds a passport under the HM Revenue &amp; Customs DT Treaty Passport scheme and (y) wishes such scheme to apply to this Agreement, shall provide its scheme reference number and its jurisdiction of tax residence to each UK Borrower and the Administrative Agent in </w:t>
      </w:r>
      <w:r>
        <w:rPr>
          <w:rFonts w:ascii="Arial" w:cs="Arial" w:eastAsia="Arial" w:hAnsi="Arial"/>
          <w:sz w:val="22"/>
          <w:szCs w:val="22"/>
          <w:u w:val="single" w:color="auto"/>
          <w:color w:val="auto"/>
        </w:rPr>
        <w:t>Schedule 2.01</w:t>
      </w:r>
      <w:r>
        <w:rPr>
          <w:rFonts w:ascii="Arial" w:cs="Arial" w:eastAsia="Arial" w:hAnsi="Arial"/>
          <w:sz w:val="22"/>
          <w:szCs w:val="22"/>
          <w:color w:val="auto"/>
        </w:rPr>
        <w:t xml:space="preserve"> hereto; and</w:t>
      </w:r>
    </w:p>
    <w:p>
      <w:pPr>
        <w:spacing w:after="0" w:line="212" w:lineRule="exact"/>
        <w:rPr>
          <w:rFonts w:ascii="Arial" w:cs="Arial" w:eastAsia="Arial" w:hAnsi="Arial"/>
          <w:sz w:val="22"/>
          <w:szCs w:val="22"/>
          <w:color w:val="auto"/>
        </w:rPr>
      </w:pPr>
    </w:p>
    <w:p>
      <w:pPr>
        <w:ind w:left="1680" w:hanging="686"/>
        <w:spacing w:after="0"/>
        <w:tabs>
          <w:tab w:leader="none" w:pos="1680" w:val="left"/>
        </w:tabs>
        <w:numPr>
          <w:ilvl w:val="1"/>
          <w:numId w:val="189"/>
        </w:numPr>
        <w:rPr>
          <w:rFonts w:ascii="Arial" w:cs="Arial" w:eastAsia="Arial" w:hAnsi="Arial"/>
          <w:sz w:val="19"/>
          <w:szCs w:val="19"/>
          <w:color w:val="auto"/>
        </w:rPr>
      </w:pPr>
      <w:r>
        <w:rPr>
          <w:rFonts w:ascii="Arial" w:cs="Arial" w:eastAsia="Arial" w:hAnsi="Arial"/>
          <w:sz w:val="19"/>
          <w:szCs w:val="19"/>
          <w:color w:val="auto"/>
        </w:rPr>
        <w:t>a Lender which becomes a Lender hereunder after the day on which this Agreement closes that</w:t>
      </w:r>
    </w:p>
    <w:p>
      <w:pPr>
        <w:spacing w:after="0" w:line="42" w:lineRule="exact"/>
        <w:rPr>
          <w:rFonts w:ascii="Arial" w:cs="Arial" w:eastAsia="Arial" w:hAnsi="Arial"/>
          <w:sz w:val="19"/>
          <w:szCs w:val="19"/>
          <w:color w:val="auto"/>
        </w:rPr>
      </w:pPr>
    </w:p>
    <w:p>
      <w:pPr>
        <w:jc w:val="both"/>
        <w:ind w:left="180" w:firstLine="4"/>
        <w:spacing w:after="0" w:line="233" w:lineRule="auto"/>
        <w:tabs>
          <w:tab w:leader="none" w:pos="486" w:val="left"/>
        </w:tabs>
        <w:numPr>
          <w:ilvl w:val="0"/>
          <w:numId w:val="190"/>
        </w:numPr>
        <w:rPr>
          <w:rFonts w:ascii="Arial" w:cs="Arial" w:eastAsia="Arial" w:hAnsi="Arial"/>
          <w:sz w:val="22"/>
          <w:szCs w:val="22"/>
          <w:color w:val="auto"/>
        </w:rPr>
      </w:pPr>
      <w:r>
        <w:rPr>
          <w:rFonts w:ascii="Arial" w:cs="Arial" w:eastAsia="Arial" w:hAnsi="Arial"/>
          <w:sz w:val="22"/>
          <w:szCs w:val="22"/>
          <w:color w:val="auto"/>
        </w:rPr>
        <w:t>holds a passport under the HM Revenue &amp; Customs DT Treaty Passport scheme and (y) wishes such scheme to apply to this Agreement, shall provide its scheme reference number and its jurisdiction of tax residence to each UK Borrower and the Administrative Agent in the documentation which it executes on becoming a party as a Lender, and</w:t>
      </w:r>
    </w:p>
    <w:p>
      <w:pPr>
        <w:spacing w:after="0" w:line="214" w:lineRule="exact"/>
        <w:rPr>
          <w:rFonts w:ascii="Arial" w:cs="Arial" w:eastAsia="Arial" w:hAnsi="Arial"/>
          <w:sz w:val="22"/>
          <w:szCs w:val="22"/>
          <w:color w:val="auto"/>
        </w:rPr>
      </w:pPr>
    </w:p>
    <w:p>
      <w:pPr>
        <w:ind w:left="180" w:firstLine="814"/>
        <w:spacing w:after="0" w:line="250" w:lineRule="auto"/>
        <w:tabs>
          <w:tab w:leader="none" w:pos="1723" w:val="left"/>
        </w:tabs>
        <w:numPr>
          <w:ilvl w:val="1"/>
          <w:numId w:val="190"/>
        </w:numPr>
        <w:rPr>
          <w:rFonts w:ascii="Arial" w:cs="Arial" w:eastAsia="Arial" w:hAnsi="Arial"/>
          <w:sz w:val="22"/>
          <w:szCs w:val="22"/>
          <w:color w:val="auto"/>
        </w:rPr>
      </w:pPr>
      <w:r>
        <w:rPr>
          <w:rFonts w:ascii="Arial" w:cs="Arial" w:eastAsia="Arial" w:hAnsi="Arial"/>
          <w:sz w:val="22"/>
          <w:szCs w:val="22"/>
          <w:color w:val="auto"/>
        </w:rPr>
        <w:t xml:space="preserve">Upon satisfying either clause (A) or (B) above, such Lender shall have satisfied its obligation under </w:t>
      </w:r>
      <w:r>
        <w:rPr>
          <w:rFonts w:ascii="Arial" w:cs="Arial" w:eastAsia="Arial" w:hAnsi="Arial"/>
          <w:sz w:val="22"/>
          <w:szCs w:val="22"/>
          <w:u w:val="single" w:color="auto"/>
          <w:color w:val="auto"/>
        </w:rPr>
        <w:t>paragraphs (e)(i) and (f)(i)</w:t>
      </w:r>
      <w:r>
        <w:rPr>
          <w:rFonts w:ascii="Arial" w:cs="Arial" w:eastAsia="Arial" w:hAnsi="Arial"/>
          <w:sz w:val="22"/>
          <w:szCs w:val="22"/>
          <w:color w:val="auto"/>
        </w:rPr>
        <w:t xml:space="preserve"> above.</w:t>
      </w:r>
    </w:p>
    <w:p>
      <w:pPr>
        <w:spacing w:after="0" w:line="201" w:lineRule="exact"/>
        <w:rPr>
          <w:rFonts w:ascii="Arial" w:cs="Arial" w:eastAsia="Arial" w:hAnsi="Arial"/>
          <w:sz w:val="22"/>
          <w:szCs w:val="22"/>
          <w:color w:val="auto"/>
        </w:rPr>
      </w:pPr>
    </w:p>
    <w:p>
      <w:pPr>
        <w:jc w:val="both"/>
        <w:ind w:left="-460" w:firstLine="644"/>
        <w:spacing w:after="0"/>
        <w:tabs>
          <w:tab w:leader="none" w:pos="1500" w:val="left"/>
        </w:tabs>
        <w:numPr>
          <w:ilvl w:val="0"/>
          <w:numId w:val="191"/>
        </w:numPr>
        <w:rPr>
          <w:rFonts w:ascii="Arial" w:cs="Arial" w:eastAsia="Arial" w:hAnsi="Arial"/>
          <w:sz w:val="22"/>
          <w:szCs w:val="22"/>
          <w:color w:val="auto"/>
        </w:rPr>
      </w:pPr>
      <w:r>
        <w:rPr>
          <w:rFonts w:ascii="Arial" w:cs="Arial" w:eastAsia="Arial" w:hAnsi="Arial"/>
          <w:sz w:val="22"/>
          <w:szCs w:val="22"/>
          <w:color w:val="auto"/>
        </w:rPr>
        <w:t xml:space="preserve">If a Lender has confirmed its scheme reference number and its jurisdiction of tax residence in accordance with </w:t>
      </w:r>
      <w:r>
        <w:rPr>
          <w:rFonts w:ascii="Arial" w:cs="Arial" w:eastAsia="Arial" w:hAnsi="Arial"/>
          <w:sz w:val="22"/>
          <w:szCs w:val="22"/>
          <w:u w:val="single" w:color="auto"/>
          <w:color w:val="auto"/>
        </w:rPr>
        <w:t>paragraph (f)(ii)</w:t>
      </w:r>
      <w:r>
        <w:rPr>
          <w:rFonts w:ascii="Arial" w:cs="Arial" w:eastAsia="Arial" w:hAnsi="Arial"/>
          <w:sz w:val="22"/>
          <w:szCs w:val="22"/>
          <w:color w:val="auto"/>
        </w:rPr>
        <w:t xml:space="preserve"> above, each UK Borrower shall make a Borrower DTTP Filing with respect to such Lender; provided that, if:</w:t>
      </w:r>
    </w:p>
    <w:p>
      <w:pPr>
        <w:spacing w:after="0" w:line="213" w:lineRule="exact"/>
        <w:rPr>
          <w:rFonts w:ascii="Arial" w:cs="Arial" w:eastAsia="Arial" w:hAnsi="Arial"/>
          <w:sz w:val="22"/>
          <w:szCs w:val="22"/>
          <w:color w:val="auto"/>
        </w:rPr>
      </w:pPr>
    </w:p>
    <w:p>
      <w:pPr>
        <w:ind w:left="180" w:firstLine="814"/>
        <w:spacing w:after="0" w:line="250" w:lineRule="auto"/>
        <w:tabs>
          <w:tab w:leader="none" w:pos="1762" w:val="left"/>
        </w:tabs>
        <w:numPr>
          <w:ilvl w:val="1"/>
          <w:numId w:val="191"/>
        </w:numPr>
        <w:rPr>
          <w:rFonts w:ascii="Arial" w:cs="Arial" w:eastAsia="Arial" w:hAnsi="Arial"/>
          <w:sz w:val="22"/>
          <w:szCs w:val="22"/>
          <w:color w:val="auto"/>
        </w:rPr>
      </w:pPr>
      <w:r>
        <w:rPr>
          <w:rFonts w:ascii="Arial" w:cs="Arial" w:eastAsia="Arial" w:hAnsi="Arial"/>
          <w:sz w:val="22"/>
          <w:szCs w:val="22"/>
          <w:color w:val="auto"/>
        </w:rPr>
        <w:t>each UK Borrower making a payment to such Lender has not made a Borrower DTTP Filing in respect of such Lender; or</w:t>
      </w:r>
    </w:p>
    <w:p>
      <w:pPr>
        <w:spacing w:after="0" w:line="201" w:lineRule="exact"/>
        <w:rPr>
          <w:rFonts w:ascii="Arial" w:cs="Arial" w:eastAsia="Arial" w:hAnsi="Arial"/>
          <w:sz w:val="22"/>
          <w:szCs w:val="22"/>
          <w:color w:val="auto"/>
        </w:rPr>
      </w:pPr>
    </w:p>
    <w:p>
      <w:pPr>
        <w:ind w:left="180" w:firstLine="814"/>
        <w:spacing w:after="0" w:line="250" w:lineRule="auto"/>
        <w:tabs>
          <w:tab w:leader="none" w:pos="1818" w:val="left"/>
        </w:tabs>
        <w:numPr>
          <w:ilvl w:val="1"/>
          <w:numId w:val="191"/>
        </w:numPr>
        <w:rPr>
          <w:rFonts w:ascii="Arial" w:cs="Arial" w:eastAsia="Arial" w:hAnsi="Arial"/>
          <w:sz w:val="22"/>
          <w:szCs w:val="22"/>
          <w:color w:val="auto"/>
        </w:rPr>
      </w:pPr>
      <w:r>
        <w:rPr>
          <w:rFonts w:ascii="Arial" w:cs="Arial" w:eastAsia="Arial" w:hAnsi="Arial"/>
          <w:sz w:val="22"/>
          <w:szCs w:val="22"/>
          <w:color w:val="auto"/>
        </w:rPr>
        <w:t>each UK Borrower making a payment to such Lender has made a Borrower DTTP Filing in respect of such Lender but:</w:t>
      </w:r>
    </w:p>
    <w:p>
      <w:pPr>
        <w:spacing w:after="0" w:line="201" w:lineRule="exact"/>
        <w:rPr>
          <w:rFonts w:ascii="Arial" w:cs="Arial" w:eastAsia="Arial" w:hAnsi="Arial"/>
          <w:sz w:val="22"/>
          <w:szCs w:val="22"/>
          <w:color w:val="auto"/>
        </w:rPr>
      </w:pPr>
    </w:p>
    <w:p>
      <w:pPr>
        <w:ind w:left="2060" w:hanging="580"/>
        <w:spacing w:after="0"/>
        <w:tabs>
          <w:tab w:leader="none" w:pos="2060" w:val="left"/>
        </w:tabs>
        <w:numPr>
          <w:ilvl w:val="2"/>
          <w:numId w:val="191"/>
        </w:numPr>
        <w:rPr>
          <w:rFonts w:ascii="Arial" w:cs="Arial" w:eastAsia="Arial" w:hAnsi="Arial"/>
          <w:sz w:val="22"/>
          <w:szCs w:val="22"/>
          <w:color w:val="auto"/>
        </w:rPr>
      </w:pPr>
      <w:r>
        <w:rPr>
          <w:rFonts w:ascii="Arial" w:cs="Arial" w:eastAsia="Arial" w:hAnsi="Arial"/>
          <w:sz w:val="22"/>
          <w:szCs w:val="22"/>
          <w:color w:val="auto"/>
        </w:rPr>
        <w:t>such Borrower DTTP Filing has been rejected by HM Revenue &amp; Customs; or</w:t>
      </w:r>
    </w:p>
    <w:p>
      <w:pPr>
        <w:spacing w:after="0" w:line="233" w:lineRule="exact"/>
        <w:rPr>
          <w:rFonts w:ascii="Arial" w:cs="Arial" w:eastAsia="Arial" w:hAnsi="Arial"/>
          <w:sz w:val="22"/>
          <w:szCs w:val="22"/>
          <w:color w:val="auto"/>
        </w:rPr>
      </w:pPr>
    </w:p>
    <w:p>
      <w:pPr>
        <w:ind w:left="1000" w:firstLine="480"/>
        <w:spacing w:after="0" w:line="328" w:lineRule="auto"/>
        <w:tabs>
          <w:tab w:leader="none" w:pos="2089" w:val="left"/>
        </w:tabs>
        <w:numPr>
          <w:ilvl w:val="2"/>
          <w:numId w:val="191"/>
        </w:numPr>
        <w:rPr>
          <w:rFonts w:ascii="Arial" w:cs="Arial" w:eastAsia="Arial" w:hAnsi="Arial"/>
          <w:sz w:val="19"/>
          <w:szCs w:val="19"/>
          <w:color w:val="auto"/>
        </w:rPr>
      </w:pPr>
      <w:r>
        <w:rPr>
          <w:rFonts w:ascii="Arial" w:cs="Arial" w:eastAsia="Arial" w:hAnsi="Arial"/>
          <w:sz w:val="19"/>
          <w:szCs w:val="19"/>
          <w:color w:val="auto"/>
        </w:rPr>
        <w:t>HM Revenue &amp; Customs has not given such UK Borrower authority to make payments to such Lender without UK Withholding Tax within 60 days of the date of such Borrower DTTP Filing; or</w:t>
      </w:r>
    </w:p>
    <w:p>
      <w:pPr>
        <w:spacing w:after="0" w:line="131" w:lineRule="exact"/>
        <w:rPr>
          <w:rFonts w:ascii="Arial" w:cs="Arial" w:eastAsia="Arial" w:hAnsi="Arial"/>
          <w:sz w:val="19"/>
          <w:szCs w:val="19"/>
          <w:color w:val="auto"/>
        </w:rPr>
      </w:pPr>
    </w:p>
    <w:p>
      <w:pPr>
        <w:ind w:left="1000" w:firstLine="480"/>
        <w:spacing w:after="0" w:line="274" w:lineRule="auto"/>
        <w:tabs>
          <w:tab w:leader="none" w:pos="2075" w:val="left"/>
        </w:tabs>
        <w:numPr>
          <w:ilvl w:val="2"/>
          <w:numId w:val="191"/>
        </w:numPr>
        <w:rPr>
          <w:rFonts w:ascii="Arial" w:cs="Arial" w:eastAsia="Arial" w:hAnsi="Arial"/>
          <w:sz w:val="21"/>
          <w:szCs w:val="21"/>
          <w:color w:val="auto"/>
        </w:rPr>
      </w:pPr>
      <w:r>
        <w:rPr>
          <w:rFonts w:ascii="Arial" w:cs="Arial" w:eastAsia="Arial" w:hAnsi="Arial"/>
          <w:sz w:val="21"/>
          <w:szCs w:val="21"/>
          <w:color w:val="auto"/>
        </w:rPr>
        <w:t>HM Revenue &amp; Customs has given the Borrower authority to make payments to that Lender without UK Withholding Tax but such authority has subsequently been revoked or expired,</w:t>
      </w:r>
    </w:p>
    <w:p>
      <w:pPr>
        <w:spacing w:after="0" w:line="178" w:lineRule="exact"/>
        <w:rPr>
          <w:sz w:val="20"/>
          <w:szCs w:val="20"/>
          <w:color w:val="auto"/>
        </w:rPr>
      </w:pPr>
    </w:p>
    <w:p>
      <w:pPr>
        <w:jc w:val="both"/>
        <w:ind w:left="180"/>
        <w:spacing w:after="0" w:line="238" w:lineRule="auto"/>
        <w:rPr>
          <w:sz w:val="20"/>
          <w:szCs w:val="20"/>
          <w:color w:val="auto"/>
        </w:rPr>
      </w:pPr>
      <w:r>
        <w:rPr>
          <w:rFonts w:ascii="Arial" w:cs="Arial" w:eastAsia="Arial" w:hAnsi="Arial"/>
          <w:sz w:val="22"/>
          <w:szCs w:val="22"/>
          <w:color w:val="auto"/>
        </w:rPr>
        <w:t>and in each case, such UK Borrower has notified that Lender in writing of either (A), (B)(1), (B)(2) or (B)(3) above, then such Lender and such UK Borrower shall co-operate in completing any additional procedural formalities necessary for such UK Borrower to obtain authorization to make that payment without UK Withholding Tax.</w:t>
      </w:r>
    </w:p>
    <w:p>
      <w:pPr>
        <w:spacing w:after="0" w:line="390"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267" w:name="page268"/>
    <w:bookmarkEnd w:id="267"/>
    <w:p>
      <w:pPr>
        <w:jc w:val="both"/>
        <w:ind w:left="660" w:firstLine="644"/>
        <w:spacing w:after="0" w:line="238" w:lineRule="auto"/>
        <w:tabs>
          <w:tab w:leader="none" w:pos="2532" w:val="left"/>
        </w:tabs>
        <w:numPr>
          <w:ilvl w:val="0"/>
          <w:numId w:val="192"/>
        </w:numPr>
        <w:rPr>
          <w:rFonts w:ascii="Arial" w:cs="Arial" w:eastAsia="Arial" w:hAnsi="Arial"/>
          <w:sz w:val="22"/>
          <w:szCs w:val="22"/>
          <w:color w:val="auto"/>
        </w:rPr>
      </w:pPr>
      <w:r>
        <w:rPr>
          <w:rFonts w:ascii="Arial" w:cs="Arial" w:eastAsia="Arial" w:hAnsi="Arial"/>
          <w:sz w:val="22"/>
          <w:szCs w:val="22"/>
          <w:color w:val="auto"/>
        </w:rPr>
        <w:t xml:space="preserve">If a Lender has not confirmed its scheme reference number and jurisdiction of tax residence in accordance with </w:t>
      </w:r>
      <w:r>
        <w:rPr>
          <w:rFonts w:ascii="Arial" w:cs="Arial" w:eastAsia="Arial" w:hAnsi="Arial"/>
          <w:sz w:val="22"/>
          <w:szCs w:val="22"/>
          <w:u w:val="single" w:color="auto"/>
          <w:color w:val="auto"/>
        </w:rPr>
        <w:t>paragraph (f)(ii)</w:t>
      </w:r>
      <w:r>
        <w:rPr>
          <w:rFonts w:ascii="Arial" w:cs="Arial" w:eastAsia="Arial" w:hAnsi="Arial"/>
          <w:sz w:val="22"/>
          <w:szCs w:val="22"/>
          <w:color w:val="auto"/>
        </w:rPr>
        <w:t xml:space="preserve"> above, no UK Borrower shall make a Borrower DTTP Filing or file any other form relating to the HMRC DT Treaty Passport scheme in respect of that Lender’s Commitment(s) or its participation in any Loan unless the Lender otherwise agrees.</w:t>
      </w:r>
    </w:p>
    <w:p>
      <w:pPr>
        <w:spacing w:after="0" w:line="212" w:lineRule="exact"/>
        <w:rPr>
          <w:rFonts w:ascii="Arial" w:cs="Arial" w:eastAsia="Arial" w:hAnsi="Arial"/>
          <w:sz w:val="22"/>
          <w:szCs w:val="22"/>
          <w:color w:val="auto"/>
        </w:rPr>
      </w:pPr>
    </w:p>
    <w:p>
      <w:pPr>
        <w:ind w:left="660" w:right="20" w:firstLine="644"/>
        <w:spacing w:after="0" w:line="250" w:lineRule="auto"/>
        <w:tabs>
          <w:tab w:leader="none" w:pos="2075" w:val="left"/>
        </w:tabs>
        <w:numPr>
          <w:ilvl w:val="0"/>
          <w:numId w:val="192"/>
        </w:numPr>
        <w:rPr>
          <w:rFonts w:ascii="Arial" w:cs="Arial" w:eastAsia="Arial" w:hAnsi="Arial"/>
          <w:sz w:val="22"/>
          <w:szCs w:val="22"/>
          <w:color w:val="auto"/>
        </w:rPr>
      </w:pPr>
      <w:r>
        <w:rPr>
          <w:rFonts w:ascii="Arial" w:cs="Arial" w:eastAsia="Arial" w:hAnsi="Arial"/>
          <w:sz w:val="22"/>
          <w:szCs w:val="22"/>
          <w:color w:val="auto"/>
        </w:rPr>
        <w:t>Each UK Borrower shall, promptly on making a Borrower DTTP Filing, deliver a copy of such Borrower DTTP Filing to the Administrative Agent for delivery to the relevant Lender.</w:t>
      </w:r>
    </w:p>
    <w:p>
      <w:pPr>
        <w:spacing w:after="0" w:line="201" w:lineRule="exact"/>
        <w:rPr>
          <w:rFonts w:ascii="Arial" w:cs="Arial" w:eastAsia="Arial" w:hAnsi="Arial"/>
          <w:sz w:val="22"/>
          <w:szCs w:val="22"/>
          <w:color w:val="auto"/>
        </w:rPr>
      </w:pPr>
    </w:p>
    <w:p>
      <w:pPr>
        <w:jc w:val="both"/>
        <w:ind w:left="660" w:firstLine="644"/>
        <w:spacing w:after="0" w:line="236" w:lineRule="auto"/>
        <w:tabs>
          <w:tab w:leader="none" w:pos="2244" w:val="left"/>
        </w:tabs>
        <w:numPr>
          <w:ilvl w:val="0"/>
          <w:numId w:val="192"/>
        </w:numPr>
        <w:rPr>
          <w:rFonts w:ascii="Arial" w:cs="Arial" w:eastAsia="Arial" w:hAnsi="Arial"/>
          <w:sz w:val="22"/>
          <w:szCs w:val="22"/>
          <w:color w:val="auto"/>
        </w:rPr>
      </w:pPr>
      <w:r>
        <w:rPr>
          <w:rFonts w:ascii="Arial" w:cs="Arial" w:eastAsia="Arial" w:hAnsi="Arial"/>
          <w:sz w:val="22"/>
          <w:szCs w:val="22"/>
          <w:color w:val="auto"/>
        </w:rPr>
        <w:t xml:space="preserve">A UK Non-Bank Lender which is a party to this Agreement on the Effective Date shall give a UK Tax Confirmation in </w:t>
      </w:r>
      <w:r>
        <w:rPr>
          <w:rFonts w:ascii="Arial" w:cs="Arial" w:eastAsia="Arial" w:hAnsi="Arial"/>
          <w:sz w:val="22"/>
          <w:szCs w:val="22"/>
          <w:u w:val="single" w:color="auto"/>
          <w:color w:val="auto"/>
        </w:rPr>
        <w:t>Schedule 2.01</w:t>
      </w:r>
      <w:r>
        <w:rPr>
          <w:rFonts w:ascii="Arial" w:cs="Arial" w:eastAsia="Arial" w:hAnsi="Arial"/>
          <w:sz w:val="22"/>
          <w:szCs w:val="22"/>
          <w:color w:val="auto"/>
        </w:rPr>
        <w:t>. A UK Non-Bank Lender which becomes a party to this Agreement after the Effective Date shall give a UK Tax Confirmation in the documentation which it executes on becoming a party. A UK Non-Bank Lender shall promptly notify any UK Borrower and the Administrative Agent if there is any change in the position from that set out in the UK Tax Confirmation.</w:t>
      </w:r>
    </w:p>
    <w:p>
      <w:pPr>
        <w:spacing w:after="0" w:line="214" w:lineRule="exact"/>
        <w:rPr>
          <w:rFonts w:ascii="Arial" w:cs="Arial" w:eastAsia="Arial" w:hAnsi="Arial"/>
          <w:sz w:val="22"/>
          <w:szCs w:val="22"/>
          <w:color w:val="auto"/>
        </w:rPr>
      </w:pPr>
    </w:p>
    <w:p>
      <w:pPr>
        <w:jc w:val="both"/>
        <w:ind w:left="660" w:right="20" w:firstLine="644"/>
        <w:spacing w:after="0"/>
        <w:tabs>
          <w:tab w:leader="none" w:pos="2251" w:val="left"/>
        </w:tabs>
        <w:numPr>
          <w:ilvl w:val="0"/>
          <w:numId w:val="192"/>
        </w:numPr>
        <w:rPr>
          <w:rFonts w:ascii="Arial" w:cs="Arial" w:eastAsia="Arial" w:hAnsi="Arial"/>
          <w:sz w:val="22"/>
          <w:szCs w:val="22"/>
          <w:color w:val="auto"/>
        </w:rPr>
      </w:pPr>
      <w:r>
        <w:rPr>
          <w:rFonts w:ascii="Arial" w:cs="Arial" w:eastAsia="Arial" w:hAnsi="Arial"/>
          <w:sz w:val="22"/>
          <w:szCs w:val="22"/>
          <w:color w:val="auto"/>
        </w:rPr>
        <w:t>Each UK Treaty Lender shall notify the Borrowers and Administrative Agent if it determines in its sole discretion that it is ceases to be entitled to claim the benefits of UK Treaty with respect to payments made by any UK Borrower hereunder.</w:t>
      </w:r>
    </w:p>
    <w:p>
      <w:pPr>
        <w:spacing w:after="0" w:line="213" w:lineRule="exact"/>
        <w:rPr>
          <w:rFonts w:ascii="Arial" w:cs="Arial" w:eastAsia="Arial" w:hAnsi="Arial"/>
          <w:sz w:val="22"/>
          <w:szCs w:val="22"/>
          <w:color w:val="auto"/>
        </w:rPr>
      </w:pPr>
    </w:p>
    <w:p>
      <w:pPr>
        <w:ind w:left="660" w:firstLine="644"/>
        <w:spacing w:after="0" w:line="274" w:lineRule="auto"/>
        <w:tabs>
          <w:tab w:leader="none" w:pos="2495" w:val="left"/>
        </w:tabs>
        <w:numPr>
          <w:ilvl w:val="0"/>
          <w:numId w:val="192"/>
        </w:numPr>
        <w:rPr>
          <w:rFonts w:ascii="Arial" w:cs="Arial" w:eastAsia="Arial" w:hAnsi="Arial"/>
          <w:sz w:val="21"/>
          <w:szCs w:val="21"/>
          <w:color w:val="auto"/>
        </w:rPr>
      </w:pPr>
      <w:r>
        <w:rPr>
          <w:rFonts w:ascii="Arial" w:cs="Arial" w:eastAsia="Arial" w:hAnsi="Arial"/>
          <w:sz w:val="21"/>
          <w:szCs w:val="21"/>
          <w:color w:val="auto"/>
        </w:rPr>
        <w:t xml:space="preserve">Each Lender shall indicate, in </w:t>
      </w:r>
      <w:r>
        <w:rPr>
          <w:rFonts w:ascii="Arial" w:cs="Arial" w:eastAsia="Arial" w:hAnsi="Arial"/>
          <w:sz w:val="21"/>
          <w:szCs w:val="21"/>
          <w:u w:val="single" w:color="auto"/>
          <w:color w:val="auto"/>
        </w:rPr>
        <w:t>Schedule 2.01</w:t>
      </w:r>
      <w:r>
        <w:rPr>
          <w:rFonts w:ascii="Arial" w:cs="Arial" w:eastAsia="Arial" w:hAnsi="Arial"/>
          <w:sz w:val="21"/>
          <w:szCs w:val="21"/>
          <w:color w:val="auto"/>
        </w:rPr>
        <w:t xml:space="preserve"> or, as the case may be, the documentation which it executes on becoming a Lender, which of the following categories it falls in in respect of a UK Borrower:</w:t>
      </w:r>
    </w:p>
    <w:p>
      <w:pPr>
        <w:spacing w:after="0" w:line="177" w:lineRule="exact"/>
        <w:rPr>
          <w:rFonts w:ascii="Arial" w:cs="Arial" w:eastAsia="Arial" w:hAnsi="Arial"/>
          <w:sz w:val="21"/>
          <w:szCs w:val="21"/>
          <w:color w:val="auto"/>
        </w:rPr>
      </w:pPr>
    </w:p>
    <w:p>
      <w:pPr>
        <w:ind w:left="2740" w:hanging="626"/>
        <w:spacing w:after="0"/>
        <w:tabs>
          <w:tab w:leader="none" w:pos="2740" w:val="left"/>
        </w:tabs>
        <w:numPr>
          <w:ilvl w:val="1"/>
          <w:numId w:val="192"/>
        </w:numPr>
        <w:rPr>
          <w:rFonts w:ascii="Arial" w:cs="Arial" w:eastAsia="Arial" w:hAnsi="Arial"/>
          <w:sz w:val="22"/>
          <w:szCs w:val="22"/>
          <w:color w:val="auto"/>
        </w:rPr>
      </w:pPr>
      <w:r>
        <w:rPr>
          <w:rFonts w:ascii="Arial" w:cs="Arial" w:eastAsia="Arial" w:hAnsi="Arial"/>
          <w:sz w:val="22"/>
          <w:szCs w:val="22"/>
          <w:color w:val="auto"/>
        </w:rPr>
        <w:t>Not a Qualifying Lender;</w:t>
      </w:r>
    </w:p>
    <w:p>
      <w:pPr>
        <w:spacing w:after="0" w:line="233" w:lineRule="exact"/>
        <w:rPr>
          <w:rFonts w:ascii="Arial" w:cs="Arial" w:eastAsia="Arial" w:hAnsi="Arial"/>
          <w:sz w:val="22"/>
          <w:szCs w:val="22"/>
          <w:color w:val="auto"/>
        </w:rPr>
      </w:pPr>
    </w:p>
    <w:p>
      <w:pPr>
        <w:ind w:left="2720" w:hanging="606"/>
        <w:spacing w:after="0"/>
        <w:tabs>
          <w:tab w:leader="none" w:pos="2720" w:val="left"/>
        </w:tabs>
        <w:numPr>
          <w:ilvl w:val="1"/>
          <w:numId w:val="192"/>
        </w:numPr>
        <w:rPr>
          <w:rFonts w:ascii="Arial" w:cs="Arial" w:eastAsia="Arial" w:hAnsi="Arial"/>
          <w:sz w:val="22"/>
          <w:szCs w:val="22"/>
          <w:color w:val="auto"/>
        </w:rPr>
      </w:pPr>
      <w:r>
        <w:rPr>
          <w:rFonts w:ascii="Arial" w:cs="Arial" w:eastAsia="Arial" w:hAnsi="Arial"/>
          <w:sz w:val="22"/>
          <w:szCs w:val="22"/>
          <w:color w:val="auto"/>
        </w:rPr>
        <w:t>A Qualifying Lender (other than a UK Treaty Lender or a UK Non-Bank Lender);</w:t>
      </w:r>
    </w:p>
    <w:p>
      <w:pPr>
        <w:spacing w:after="0" w:line="233" w:lineRule="exact"/>
        <w:rPr>
          <w:rFonts w:ascii="Arial" w:cs="Arial" w:eastAsia="Arial" w:hAnsi="Arial"/>
          <w:sz w:val="22"/>
          <w:szCs w:val="22"/>
          <w:color w:val="auto"/>
        </w:rPr>
      </w:pPr>
    </w:p>
    <w:p>
      <w:pPr>
        <w:ind w:left="2780" w:hanging="666"/>
        <w:spacing w:after="0"/>
        <w:tabs>
          <w:tab w:leader="none" w:pos="2780" w:val="left"/>
        </w:tabs>
        <w:numPr>
          <w:ilvl w:val="1"/>
          <w:numId w:val="192"/>
        </w:numPr>
        <w:rPr>
          <w:rFonts w:ascii="Arial" w:cs="Arial" w:eastAsia="Arial" w:hAnsi="Arial"/>
          <w:sz w:val="22"/>
          <w:szCs w:val="22"/>
          <w:color w:val="auto"/>
        </w:rPr>
      </w:pPr>
      <w:r>
        <w:rPr>
          <w:rFonts w:ascii="Arial" w:cs="Arial" w:eastAsia="Arial" w:hAnsi="Arial"/>
          <w:sz w:val="22"/>
          <w:szCs w:val="22"/>
          <w:color w:val="auto"/>
        </w:rPr>
        <w:t>A UK Non-Bank Lender; or</w:t>
      </w:r>
    </w:p>
    <w:p>
      <w:pPr>
        <w:spacing w:after="0" w:line="233" w:lineRule="exact"/>
        <w:rPr>
          <w:rFonts w:ascii="Arial" w:cs="Arial" w:eastAsia="Arial" w:hAnsi="Arial"/>
          <w:sz w:val="22"/>
          <w:szCs w:val="22"/>
          <w:color w:val="auto"/>
        </w:rPr>
      </w:pPr>
    </w:p>
    <w:p>
      <w:pPr>
        <w:ind w:left="2740" w:hanging="626"/>
        <w:spacing w:after="0"/>
        <w:tabs>
          <w:tab w:leader="none" w:pos="2740" w:val="left"/>
        </w:tabs>
        <w:numPr>
          <w:ilvl w:val="1"/>
          <w:numId w:val="192"/>
        </w:numPr>
        <w:rPr>
          <w:rFonts w:ascii="Arial" w:cs="Arial" w:eastAsia="Arial" w:hAnsi="Arial"/>
          <w:sz w:val="19"/>
          <w:szCs w:val="19"/>
          <w:color w:val="auto"/>
        </w:rPr>
      </w:pPr>
      <w:r>
        <w:rPr>
          <w:rFonts w:ascii="Arial" w:cs="Arial" w:eastAsia="Arial" w:hAnsi="Arial"/>
          <w:sz w:val="19"/>
          <w:szCs w:val="19"/>
          <w:color w:val="auto"/>
        </w:rPr>
        <w:t>A UK Treaty Lender (on the assumption that all procedural formalities have been completed).</w:t>
      </w:r>
    </w:p>
    <w:p>
      <w:pPr>
        <w:spacing w:after="0" w:line="26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If a Lender fails to indicate its status in accordance with this paragraph (viii), then such Lender shall be treated for the purposes of this Agreement (including by each UK Borrower) as if it is not a Qualifying Lender until such time as it notifies the Administrative Agent which category applies (and the Administrative Agent, upon receipt of such notification, shall inform each UK Borrower).</w:t>
      </w:r>
    </w:p>
    <w:p>
      <w:pPr>
        <w:spacing w:after="0" w:line="212" w:lineRule="exact"/>
        <w:rPr>
          <w:sz w:val="20"/>
          <w:szCs w:val="20"/>
          <w:color w:val="auto"/>
        </w:rPr>
      </w:pPr>
    </w:p>
    <w:p>
      <w:pPr>
        <w:jc w:val="both"/>
        <w:ind w:left="660" w:firstLine="644"/>
        <w:spacing w:after="0" w:line="245" w:lineRule="auto"/>
        <w:tabs>
          <w:tab w:leader="none" w:pos="2357" w:val="left"/>
        </w:tabs>
        <w:numPr>
          <w:ilvl w:val="0"/>
          <w:numId w:val="193"/>
        </w:numPr>
        <w:rPr>
          <w:rFonts w:ascii="Arial" w:cs="Arial" w:eastAsia="Arial" w:hAnsi="Arial"/>
          <w:sz w:val="21"/>
          <w:szCs w:val="21"/>
          <w:color w:val="auto"/>
        </w:rPr>
      </w:pPr>
      <w:r>
        <w:rPr>
          <w:rFonts w:ascii="Arial" w:cs="Arial" w:eastAsia="Arial" w:hAnsi="Arial"/>
          <w:sz w:val="21"/>
          <w:szCs w:val="21"/>
          <w:color w:val="auto"/>
        </w:rPr>
        <w:t xml:space="preserve">Notwithstanding anything to the contrary herein, if a Lender assigns or transfers any of its rights or obligations with respect to a Loan or changes its lending office in respect of such Loan, and as a result of circumstances existing at the date the assignment, transfer or change occurs, a Loan Party would be obliged to make a payment to the successor or assign or Lender acting through its new lending office under </w:t>
      </w:r>
      <w:r>
        <w:rPr>
          <w:rFonts w:ascii="Arial" w:cs="Arial" w:eastAsia="Arial" w:hAnsi="Arial"/>
          <w:sz w:val="21"/>
          <w:szCs w:val="21"/>
          <w:u w:val="single" w:color="auto"/>
          <w:color w:val="auto"/>
        </w:rPr>
        <w:t>Section 2.15</w:t>
      </w:r>
      <w:r>
        <w:rPr>
          <w:rFonts w:ascii="Arial" w:cs="Arial" w:eastAsia="Arial" w:hAnsi="Arial"/>
          <w:sz w:val="21"/>
          <w:szCs w:val="21"/>
          <w:color w:val="auto"/>
        </w:rPr>
        <w:t xml:space="preserve"> in respect of a UK Withholding Tax, then such successor or assign or Lender acting through its new lending office is only entitled to receive payment under that Section to the same extent as the assigning or transferring Lender or Lender acting through its previous lending office would have been if the assignment, transfer or change had not occurred. This paragraph (ix) shall not apply in respect of an assignment or transfer made in the ordinary course of the primary syndication of the credit facilities provided for herein.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8" w:name="page269"/>
    <w:bookmarkEnd w:id="268"/>
    <w:p>
      <w:pPr>
        <w:jc w:val="both"/>
        <w:ind w:firstLine="656"/>
        <w:spacing w:after="0" w:line="271" w:lineRule="auto"/>
        <w:tabs>
          <w:tab w:leader="none" w:pos="1467" w:val="left"/>
        </w:tabs>
        <w:numPr>
          <w:ilvl w:val="0"/>
          <w:numId w:val="194"/>
        </w:numPr>
        <w:rPr>
          <w:rFonts w:ascii="Arial" w:cs="Arial" w:eastAsia="Arial" w:hAnsi="Arial"/>
          <w:sz w:val="19"/>
          <w:szCs w:val="19"/>
          <w:color w:val="auto"/>
        </w:rPr>
      </w:pPr>
      <w:r>
        <w:rPr>
          <w:rFonts w:ascii="Arial" w:cs="Arial" w:eastAsia="Arial" w:hAnsi="Arial"/>
          <w:sz w:val="19"/>
          <w:szCs w:val="19"/>
          <w:u w:val="single" w:color="auto"/>
          <w:color w:val="auto"/>
        </w:rPr>
        <w:t>Treatment of Certain Refunds</w:t>
      </w:r>
      <w:r>
        <w:rPr>
          <w:rFonts w:ascii="Arial" w:cs="Arial" w:eastAsia="Arial" w:hAnsi="Arial"/>
          <w:sz w:val="19"/>
          <w:szCs w:val="19"/>
          <w:color w:val="auto"/>
        </w:rPr>
        <w:t xml:space="preserve">. If any party determines, in its sole discretion exercised in good faith, that it has received a refund of any Taxes as to which it has been indemnified pursuant to this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(including by the payment of additional amounts paid pursuant to this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it shall pay to the indemnifying party an amount equal to such refund (but only to the extent of indemnity payments made under this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any penalties, interest or other charges imposed by the relevant Governmental Authority) in the event that such indemnified party is required to repay such refund to such Governmental Authority. Notwithstanding anything to the contrary in this paragraph, in no event will any indemnified party be required to pay any amount to any indemnifying party pursuant to this paragraph the payment of which would place such indemnified party in a less favorable net after-Tax position than such indemnified party would have been in if the Tax subject to indemnification and giving rise to such refund had not been deducted or withheld and the indemnification payments or additional amounts in respect of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200" w:lineRule="exact"/>
        <w:rPr>
          <w:rFonts w:ascii="Arial" w:cs="Arial" w:eastAsia="Arial" w:hAnsi="Arial"/>
          <w:sz w:val="19"/>
          <w:szCs w:val="19"/>
          <w:color w:val="auto"/>
        </w:rPr>
      </w:pPr>
    </w:p>
    <w:p>
      <w:pPr>
        <w:spacing w:after="0" w:line="234" w:lineRule="exact"/>
        <w:rPr>
          <w:rFonts w:ascii="Arial" w:cs="Arial" w:eastAsia="Arial" w:hAnsi="Arial"/>
          <w:sz w:val="19"/>
          <w:szCs w:val="19"/>
          <w:color w:val="auto"/>
        </w:rPr>
      </w:pPr>
    </w:p>
    <w:p>
      <w:pPr>
        <w:jc w:val="both"/>
        <w:ind w:firstLine="656"/>
        <w:spacing w:after="0"/>
        <w:tabs>
          <w:tab w:leader="none" w:pos="1341" w:val="left"/>
        </w:tabs>
        <w:numPr>
          <w:ilvl w:val="0"/>
          <w:numId w:val="194"/>
        </w:numPr>
        <w:rPr>
          <w:rFonts w:ascii="Arial" w:cs="Arial" w:eastAsia="Arial" w:hAnsi="Arial"/>
          <w:sz w:val="22"/>
          <w:szCs w:val="22"/>
          <w:color w:val="auto"/>
        </w:rPr>
      </w:pPr>
      <w:r>
        <w:rPr>
          <w:rFonts w:ascii="Arial" w:cs="Arial" w:eastAsia="Arial" w:hAnsi="Arial"/>
          <w:sz w:val="22"/>
          <w:szCs w:val="22"/>
          <w:color w:val="auto"/>
        </w:rPr>
        <w:t>Each party’s obligations under this Section 2.17 shall survive the resignation or replacement of the Administrative Agent or any assignment of rights by, or the replacement of, a Lender, the termination of the Commitments and the repayment, satisfaction or discharge of all Loan Document Obligations.</w:t>
      </w:r>
    </w:p>
    <w:p>
      <w:pPr>
        <w:spacing w:after="0" w:line="213" w:lineRule="exact"/>
        <w:rPr>
          <w:rFonts w:ascii="Arial" w:cs="Arial" w:eastAsia="Arial" w:hAnsi="Arial"/>
          <w:sz w:val="22"/>
          <w:szCs w:val="22"/>
          <w:color w:val="auto"/>
        </w:rPr>
      </w:pPr>
    </w:p>
    <w:p>
      <w:pPr>
        <w:ind w:left="1460" w:hanging="804"/>
        <w:spacing w:after="0"/>
        <w:tabs>
          <w:tab w:leader="none" w:pos="1460" w:val="left"/>
        </w:tabs>
        <w:numPr>
          <w:ilvl w:val="0"/>
          <w:numId w:val="194"/>
        </w:numPr>
        <w:rPr>
          <w:rFonts w:ascii="Arial" w:cs="Arial" w:eastAsia="Arial" w:hAnsi="Arial"/>
          <w:sz w:val="22"/>
          <w:szCs w:val="22"/>
          <w:color w:val="auto"/>
        </w:rPr>
      </w:pPr>
      <w:r>
        <w:rPr>
          <w:rFonts w:ascii="Arial" w:cs="Arial" w:eastAsia="Arial" w:hAnsi="Arial"/>
          <w:sz w:val="22"/>
          <w:szCs w:val="22"/>
          <w:color w:val="auto"/>
        </w:rPr>
        <w:t>VAT</w:t>
      </w:r>
    </w:p>
    <w:p>
      <w:pPr>
        <w:spacing w:after="0" w:line="233" w:lineRule="exact"/>
        <w:rPr>
          <w:rFonts w:ascii="Arial" w:cs="Arial" w:eastAsia="Arial" w:hAnsi="Arial"/>
          <w:sz w:val="22"/>
          <w:szCs w:val="22"/>
          <w:color w:val="auto"/>
        </w:rPr>
      </w:pPr>
    </w:p>
    <w:p>
      <w:pPr>
        <w:jc w:val="both"/>
        <w:ind w:left="660" w:firstLine="644"/>
        <w:spacing w:after="0" w:line="246" w:lineRule="auto"/>
        <w:tabs>
          <w:tab w:leader="none" w:pos="2268" w:val="left"/>
        </w:tabs>
        <w:numPr>
          <w:ilvl w:val="1"/>
          <w:numId w:val="194"/>
        </w:numPr>
        <w:rPr>
          <w:rFonts w:ascii="Arial" w:cs="Arial" w:eastAsia="Arial" w:hAnsi="Arial"/>
          <w:sz w:val="21"/>
          <w:szCs w:val="21"/>
          <w:color w:val="auto"/>
        </w:rPr>
      </w:pPr>
      <w:r>
        <w:rPr>
          <w:rFonts w:ascii="Arial" w:cs="Arial" w:eastAsia="Arial" w:hAnsi="Arial"/>
          <w:sz w:val="21"/>
          <w:szCs w:val="21"/>
          <w:color w:val="auto"/>
        </w:rPr>
        <w:t>All amounts expressed to be payable under a Loan Document by any party to a Credit Party which (in whole or in part) constitute the consideration for any supply for VAT purposes are deemed to be exclusive of any VAT which is chargeable on that supply, and accordingly, subject to paragraph (ii) below, if VAT is or becomes chargeable on any supply made by any Credit Party to any party under a Loan Document and such Credit Party is required to account to the relevant tax authority for the VAT, that party must pay to such Credit Party (in addition to and at the same time as paying any other consideration for such supply) an amount equal to the amount of the VAT (and such Credit Party must promptly provide an appropriate VAT invoice to that party).</w:t>
      </w:r>
    </w:p>
    <w:p>
      <w:pPr>
        <w:spacing w:after="0" w:line="211" w:lineRule="exact"/>
        <w:rPr>
          <w:rFonts w:ascii="Arial" w:cs="Arial" w:eastAsia="Arial" w:hAnsi="Arial"/>
          <w:sz w:val="21"/>
          <w:szCs w:val="21"/>
          <w:color w:val="auto"/>
        </w:rPr>
      </w:pPr>
    </w:p>
    <w:p>
      <w:pPr>
        <w:jc w:val="both"/>
        <w:ind w:left="660" w:firstLine="644"/>
        <w:spacing w:after="0" w:line="287" w:lineRule="auto"/>
        <w:tabs>
          <w:tab w:leader="none" w:pos="2280" w:val="left"/>
        </w:tabs>
        <w:numPr>
          <w:ilvl w:val="1"/>
          <w:numId w:val="194"/>
        </w:numPr>
        <w:rPr>
          <w:rFonts w:ascii="Arial" w:cs="Arial" w:eastAsia="Arial" w:hAnsi="Arial"/>
          <w:sz w:val="19"/>
          <w:szCs w:val="19"/>
          <w:color w:val="auto"/>
        </w:rPr>
      </w:pPr>
      <w:r>
        <w:rPr>
          <w:rFonts w:ascii="Arial" w:cs="Arial" w:eastAsia="Arial" w:hAnsi="Arial"/>
          <w:sz w:val="19"/>
          <w:szCs w:val="19"/>
          <w:color w:val="auto"/>
        </w:rPr>
        <w:t>If VAT is or becomes chargeable on any supply made by any Credit Party (the “</w:t>
      </w:r>
      <w:r>
        <w:rPr>
          <w:rFonts w:ascii="Arial" w:cs="Arial" w:eastAsia="Arial" w:hAnsi="Arial"/>
          <w:sz w:val="19"/>
          <w:szCs w:val="19"/>
          <w:u w:val="single" w:color="auto"/>
          <w:color w:val="auto"/>
        </w:rPr>
        <w:t>Supplier</w:t>
      </w:r>
      <w:r>
        <w:rPr>
          <w:rFonts w:ascii="Arial" w:cs="Arial" w:eastAsia="Arial" w:hAnsi="Arial"/>
          <w:sz w:val="19"/>
          <w:szCs w:val="19"/>
          <w:color w:val="auto"/>
        </w:rPr>
        <w:t>”) to any other Credit Party (the “</w:t>
      </w:r>
      <w:r>
        <w:rPr>
          <w:rFonts w:ascii="Arial" w:cs="Arial" w:eastAsia="Arial" w:hAnsi="Arial"/>
          <w:sz w:val="19"/>
          <w:szCs w:val="19"/>
          <w:u w:val="single" w:color="auto"/>
          <w:color w:val="auto"/>
        </w:rPr>
        <w:t>Recipient</w:t>
      </w:r>
      <w:r>
        <w:rPr>
          <w:rFonts w:ascii="Arial" w:cs="Arial" w:eastAsia="Arial" w:hAnsi="Arial"/>
          <w:sz w:val="19"/>
          <w:szCs w:val="19"/>
          <w:color w:val="auto"/>
        </w:rPr>
        <w:t>”) under a Loan Document, and any party other than the Recipient (the “</w:t>
      </w:r>
      <w:r>
        <w:rPr>
          <w:rFonts w:ascii="Arial" w:cs="Arial" w:eastAsia="Arial" w:hAnsi="Arial"/>
          <w:sz w:val="19"/>
          <w:szCs w:val="19"/>
          <w:u w:val="single" w:color="auto"/>
          <w:color w:val="auto"/>
        </w:rPr>
        <w:t>Relevant Party</w:t>
      </w:r>
      <w:r>
        <w:rPr>
          <w:rFonts w:ascii="Arial" w:cs="Arial" w:eastAsia="Arial" w:hAnsi="Arial"/>
          <w:sz w:val="19"/>
          <w:szCs w:val="19"/>
          <w:color w:val="auto"/>
        </w:rPr>
        <w:t>”) is required by the terms of any Loan Document to pay an amount equal to the consideration for that supply to the Supplier (rather than being required to reimburse or indemnify the Recipient in respect of that consideration):</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9" w:name="page270"/>
    <w:bookmarkEnd w:id="269"/>
    <w:p>
      <w:pPr>
        <w:jc w:val="both"/>
        <w:ind w:left="1300" w:firstLine="814"/>
        <w:spacing w:after="0" w:line="282" w:lineRule="auto"/>
        <w:tabs>
          <w:tab w:leader="none" w:pos="2693" w:val="left"/>
        </w:tabs>
        <w:numPr>
          <w:ilvl w:val="2"/>
          <w:numId w:val="195"/>
        </w:numPr>
        <w:rPr>
          <w:rFonts w:ascii="Arial" w:cs="Arial" w:eastAsia="Arial" w:hAnsi="Arial"/>
          <w:sz w:val="19"/>
          <w:szCs w:val="19"/>
          <w:color w:val="auto"/>
        </w:rPr>
      </w:pPr>
      <w:r>
        <w:rPr>
          <w:rFonts w:ascii="Arial" w:cs="Arial" w:eastAsia="Arial" w:hAnsi="Arial"/>
          <w:sz w:val="19"/>
          <w:szCs w:val="19"/>
          <w:color w:val="auto"/>
        </w:rPr>
        <w:t>(where the Supplier is the person required to account to the relevant tax authority for the VAT) the Relevant Party must also pay to the Supplier (at the same time as paying that amount) an additional amount equal to the amount of the VAT. The Recipient must (where this paragraph (A) applies) promptly pay to the Relevant Party an amount equal to any credit or repayment the Recipient receives from the relevant tax authority which the Recipient reasonably determines relates to the VAT chargeable on that supply; and</w:t>
      </w:r>
    </w:p>
    <w:p>
      <w:pPr>
        <w:spacing w:after="0" w:line="174" w:lineRule="exact"/>
        <w:rPr>
          <w:rFonts w:ascii="Arial" w:cs="Arial" w:eastAsia="Arial" w:hAnsi="Arial"/>
          <w:sz w:val="19"/>
          <w:szCs w:val="19"/>
          <w:color w:val="auto"/>
        </w:rPr>
      </w:pPr>
    </w:p>
    <w:p>
      <w:pPr>
        <w:jc w:val="both"/>
        <w:ind w:left="1300" w:firstLine="814"/>
        <w:spacing w:after="0" w:line="287" w:lineRule="auto"/>
        <w:tabs>
          <w:tab w:leader="none" w:pos="2668" w:val="left"/>
        </w:tabs>
        <w:numPr>
          <w:ilvl w:val="2"/>
          <w:numId w:val="195"/>
        </w:numPr>
        <w:rPr>
          <w:rFonts w:ascii="Arial" w:cs="Arial" w:eastAsia="Arial" w:hAnsi="Arial"/>
          <w:sz w:val="19"/>
          <w:szCs w:val="19"/>
          <w:color w:val="auto"/>
        </w:rPr>
      </w:pPr>
      <w:r>
        <w:rPr>
          <w:rFonts w:ascii="Arial" w:cs="Arial" w:eastAsia="Arial" w:hAnsi="Arial"/>
          <w:sz w:val="19"/>
          <w:szCs w:val="19"/>
          <w:color w:val="auto"/>
        </w:rPr>
        <w:t>(where the Recipient is the person required to account to the relevant tax authority for the VAT) the Relevant Party must promptly, following demand from the Recipient, pay to the Recipient an amount equal to the VAT chargeable on that supply but only to the extent that the Recipient reasonably determines that it is not entitled to credit or repayment from the relevant tax authority in respect of that VAT.</w:t>
      </w:r>
    </w:p>
    <w:p>
      <w:pPr>
        <w:spacing w:after="0" w:line="169" w:lineRule="exact"/>
        <w:rPr>
          <w:rFonts w:ascii="Arial" w:cs="Arial" w:eastAsia="Arial" w:hAnsi="Arial"/>
          <w:sz w:val="19"/>
          <w:szCs w:val="19"/>
          <w:color w:val="auto"/>
        </w:rPr>
      </w:pPr>
    </w:p>
    <w:p>
      <w:pPr>
        <w:jc w:val="both"/>
        <w:ind w:left="660" w:firstLine="644"/>
        <w:spacing w:after="0" w:line="287" w:lineRule="auto"/>
        <w:tabs>
          <w:tab w:leader="none" w:pos="2228" w:val="left"/>
        </w:tabs>
        <w:numPr>
          <w:ilvl w:val="1"/>
          <w:numId w:val="196"/>
        </w:numPr>
        <w:rPr>
          <w:rFonts w:ascii="Arial" w:cs="Arial" w:eastAsia="Arial" w:hAnsi="Arial"/>
          <w:sz w:val="19"/>
          <w:szCs w:val="19"/>
          <w:color w:val="auto"/>
        </w:rPr>
      </w:pPr>
      <w:r>
        <w:rPr>
          <w:rFonts w:ascii="Arial" w:cs="Arial" w:eastAsia="Arial" w:hAnsi="Arial"/>
          <w:sz w:val="19"/>
          <w:szCs w:val="19"/>
          <w:color w:val="auto"/>
        </w:rPr>
        <w:t>Where a Loan Document requires any party to reimburse or indemnify a Credit Party for any cost or expense, that party shall reimburse or indemnify (as the case may be) such Credit Party for the full amount of such cost or expense, including such part thereof as represents VAT, save to the extent that such Credit Party reasonably determines that it is entitled to credit or repayment in respect of such VAT from the relevant tax authority.</w:t>
      </w:r>
    </w:p>
    <w:p>
      <w:pPr>
        <w:spacing w:after="0" w:line="169" w:lineRule="exact"/>
        <w:rPr>
          <w:rFonts w:ascii="Arial" w:cs="Arial" w:eastAsia="Arial" w:hAnsi="Arial"/>
          <w:sz w:val="19"/>
          <w:szCs w:val="19"/>
          <w:color w:val="auto"/>
        </w:rPr>
      </w:pPr>
    </w:p>
    <w:p>
      <w:pPr>
        <w:jc w:val="both"/>
        <w:ind w:left="660" w:firstLine="644"/>
        <w:spacing w:after="0" w:line="238" w:lineRule="auto"/>
        <w:tabs>
          <w:tab w:leader="none" w:pos="2169" w:val="left"/>
        </w:tabs>
        <w:numPr>
          <w:ilvl w:val="1"/>
          <w:numId w:val="196"/>
        </w:numPr>
        <w:rPr>
          <w:rFonts w:ascii="Arial" w:cs="Arial" w:eastAsia="Arial" w:hAnsi="Arial"/>
          <w:sz w:val="22"/>
          <w:szCs w:val="22"/>
          <w:color w:val="auto"/>
        </w:rPr>
      </w:pPr>
      <w:r>
        <w:rPr>
          <w:rFonts w:ascii="Arial" w:cs="Arial" w:eastAsia="Arial" w:hAnsi="Arial"/>
          <w:sz w:val="22"/>
          <w:szCs w:val="22"/>
          <w:color w:val="auto"/>
        </w:rPr>
        <w:t>Any reference in this clause Section 2.17(i) to any party shall, at any time when such party is treated as a member of a group for VAT purposes, include (where appropriate and unless the context otherwise requires) a reference to the representative member of such group at such time (the term “representative member” to have the same meaning as in the Value Added Tax Act 1994).</w:t>
      </w:r>
    </w:p>
    <w:p>
      <w:pPr>
        <w:spacing w:after="0" w:line="211" w:lineRule="exact"/>
        <w:rPr>
          <w:rFonts w:ascii="Arial" w:cs="Arial" w:eastAsia="Arial" w:hAnsi="Arial"/>
          <w:sz w:val="22"/>
          <w:szCs w:val="22"/>
          <w:color w:val="auto"/>
        </w:rPr>
      </w:pPr>
    </w:p>
    <w:p>
      <w:pPr>
        <w:jc w:val="both"/>
        <w:ind w:left="660" w:firstLine="644"/>
        <w:spacing w:after="0" w:line="238" w:lineRule="auto"/>
        <w:tabs>
          <w:tab w:leader="none" w:pos="2283" w:val="left"/>
        </w:tabs>
        <w:numPr>
          <w:ilvl w:val="1"/>
          <w:numId w:val="196"/>
        </w:numPr>
        <w:rPr>
          <w:rFonts w:ascii="Arial" w:cs="Arial" w:eastAsia="Arial" w:hAnsi="Arial"/>
          <w:sz w:val="22"/>
          <w:szCs w:val="22"/>
          <w:color w:val="auto"/>
        </w:rPr>
      </w:pPr>
      <w:r>
        <w:rPr>
          <w:rFonts w:ascii="Arial" w:cs="Arial" w:eastAsia="Arial" w:hAnsi="Arial"/>
          <w:sz w:val="22"/>
          <w:szCs w:val="22"/>
          <w:color w:val="auto"/>
        </w:rPr>
        <w:t>In relation to any supply made by a Credit Party to any party under a Loan Document, if reasonably requested by such Credit Party, that party must promptly provide such Credit Party with details of that party’s VAT registration and such other information as is reasonably requested in connection with such Credit Party’s VAT reporting requirements in relation to such supply.</w:t>
      </w:r>
    </w:p>
    <w:p>
      <w:pPr>
        <w:spacing w:after="0" w:line="211" w:lineRule="exact"/>
        <w:rPr>
          <w:rFonts w:ascii="Arial" w:cs="Arial" w:eastAsia="Arial" w:hAnsi="Arial"/>
          <w:sz w:val="22"/>
          <w:szCs w:val="22"/>
          <w:color w:val="auto"/>
        </w:rPr>
      </w:pPr>
    </w:p>
    <w:p>
      <w:pPr>
        <w:ind w:left="1560" w:hanging="904"/>
        <w:spacing w:after="0"/>
        <w:tabs>
          <w:tab w:leader="none" w:pos="1560" w:val="left"/>
        </w:tabs>
        <w:numPr>
          <w:ilvl w:val="0"/>
          <w:numId w:val="197"/>
        </w:numPr>
        <w:rPr>
          <w:rFonts w:ascii="Arial" w:cs="Arial" w:eastAsia="Arial" w:hAnsi="Arial"/>
          <w:sz w:val="19"/>
          <w:szCs w:val="19"/>
          <w:color w:val="auto"/>
        </w:rPr>
      </w:pPr>
      <w:r>
        <w:rPr>
          <w:rFonts w:ascii="Arial" w:cs="Arial" w:eastAsia="Arial" w:hAnsi="Arial"/>
          <w:sz w:val="19"/>
          <w:szCs w:val="19"/>
          <w:color w:val="auto"/>
        </w:rPr>
        <w:t xml:space="preserve">For purposes of this </w:t>
      </w:r>
      <w:r>
        <w:rPr>
          <w:rFonts w:ascii="Arial" w:cs="Arial" w:eastAsia="Arial" w:hAnsi="Arial"/>
          <w:sz w:val="19"/>
          <w:szCs w:val="19"/>
          <w:u w:val="single" w:color="auto"/>
          <w:color w:val="auto"/>
        </w:rPr>
        <w:t>Section 2.17</w:t>
      </w:r>
      <w:r>
        <w:rPr>
          <w:rFonts w:ascii="Arial" w:cs="Arial" w:eastAsia="Arial" w:hAnsi="Arial"/>
          <w:sz w:val="19"/>
          <w:szCs w:val="19"/>
          <w:color w:val="auto"/>
        </w:rPr>
        <w:t>, the term “Lender” includes any Issuing Bank and the term “applicable law”</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includes FATCA.</w:t>
      </w:r>
    </w:p>
    <w:p>
      <w:pPr>
        <w:spacing w:after="0" w:line="215" w:lineRule="exact"/>
        <w:rPr>
          <w:sz w:val="20"/>
          <w:szCs w:val="20"/>
          <w:color w:val="auto"/>
        </w:rPr>
      </w:pPr>
    </w:p>
    <w:p>
      <w:pPr>
        <w:ind w:left="660"/>
        <w:spacing w:after="0"/>
        <w:tabs>
          <w:tab w:leader="none" w:pos="2300" w:val="left"/>
        </w:tabs>
        <w:rPr>
          <w:sz w:val="20"/>
          <w:szCs w:val="20"/>
          <w:color w:val="auto"/>
        </w:rPr>
      </w:pPr>
      <w:r>
        <w:rPr>
          <w:rFonts w:ascii="Arial" w:cs="Arial" w:eastAsia="Arial" w:hAnsi="Arial"/>
          <w:sz w:val="22"/>
          <w:szCs w:val="22"/>
          <w:color w:val="auto"/>
        </w:rPr>
        <w:t>SECTION 2.18.</w:t>
      </w:r>
      <w:r>
        <w:rPr>
          <w:sz w:val="20"/>
          <w:szCs w:val="20"/>
          <w:color w:val="auto"/>
        </w:rPr>
        <w:tab/>
      </w:r>
      <w:r>
        <w:rPr>
          <w:rFonts w:ascii="Arial" w:cs="Arial" w:eastAsia="Arial" w:hAnsi="Arial"/>
          <w:sz w:val="19"/>
          <w:szCs w:val="19"/>
          <w:u w:val="single" w:color="auto"/>
          <w:color w:val="auto"/>
        </w:rPr>
        <w:t>Payments Generally; Pro Rata Treatment; Sharing of Setoffs; Application of Proceeds</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71" w:lineRule="auto"/>
        <w:tabs>
          <w:tab w:leader="none" w:pos="1361" w:val="left"/>
        </w:tabs>
        <w:numPr>
          <w:ilvl w:val="0"/>
          <w:numId w:val="198"/>
        </w:numPr>
        <w:rPr>
          <w:rFonts w:ascii="Arial" w:cs="Arial" w:eastAsia="Arial" w:hAnsi="Arial"/>
          <w:sz w:val="19"/>
          <w:szCs w:val="19"/>
          <w:color w:val="auto"/>
        </w:rPr>
      </w:pPr>
      <w:r>
        <w:rPr>
          <w:rFonts w:ascii="Arial" w:cs="Arial" w:eastAsia="Arial" w:hAnsi="Arial"/>
          <w:sz w:val="19"/>
          <w:szCs w:val="19"/>
          <w:color w:val="auto"/>
        </w:rPr>
        <w:t xml:space="preserve">The Borrowers shall make each payment required to be made by it hereunder or under any other Loan Document (whether of principal, interest, fees or reimbursement of LC Disbursements, or of amounts payable under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w:t>
      </w:r>
      <w:r>
        <w:rPr>
          <w:rFonts w:ascii="Arial" w:cs="Arial" w:eastAsia="Arial" w:hAnsi="Arial"/>
          <w:sz w:val="19"/>
          <w:szCs w:val="19"/>
          <w:u w:val="single" w:color="auto"/>
          <w:color w:val="auto"/>
        </w:rPr>
        <w:t>2.16</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2.17</w:t>
      </w:r>
      <w:r>
        <w:rPr>
          <w:rFonts w:ascii="Arial" w:cs="Arial" w:eastAsia="Arial" w:hAnsi="Arial"/>
          <w:sz w:val="19"/>
          <w:szCs w:val="19"/>
          <w:color w:val="auto"/>
        </w:rPr>
        <w:t xml:space="preserve">, or otherwise) prior to the time expressly required hereunder or under such other Loan Document for such payment (or, if no such time is expressly required, prior to 1:00 p.m., New York City time), on the date when due, in immediately available funds, without any defense, setoff, recoupment or counterclaim. Any amounts received after such time on any date may, in the discretion of the Administrative Agent, be deemed to have been received on the next succeeding Business Day for purposes of calculating interest thereon. All such payments shall be made to such account or accounts as may be specified by the Administrative Agent, except that payments required to be made directly to any Issuing Bank shall be so made, payments pursuant to </w:t>
      </w:r>
      <w:r>
        <w:rPr>
          <w:rFonts w:ascii="Arial" w:cs="Arial" w:eastAsia="Arial" w:hAnsi="Arial"/>
          <w:sz w:val="19"/>
          <w:szCs w:val="19"/>
          <w:u w:val="single" w:color="auto"/>
          <w:color w:val="auto"/>
        </w:rPr>
        <w:t>Sections 2.15</w:t>
      </w:r>
      <w:r>
        <w:rPr>
          <w:rFonts w:ascii="Arial" w:cs="Arial" w:eastAsia="Arial" w:hAnsi="Arial"/>
          <w:sz w:val="19"/>
          <w:szCs w:val="19"/>
          <w:color w:val="auto"/>
        </w:rPr>
        <w:t xml:space="preserve">, </w:t>
      </w:r>
      <w:r>
        <w:rPr>
          <w:rFonts w:ascii="Arial" w:cs="Arial" w:eastAsia="Arial" w:hAnsi="Arial"/>
          <w:sz w:val="19"/>
          <w:szCs w:val="19"/>
          <w:u w:val="single" w:color="auto"/>
          <w:color w:val="auto"/>
        </w:rPr>
        <w:t>2.16</w:t>
      </w:r>
      <w:r>
        <w:rPr>
          <w:rFonts w:ascii="Arial" w:cs="Arial" w:eastAsia="Arial" w:hAnsi="Arial"/>
          <w:sz w:val="19"/>
          <w:szCs w:val="19"/>
          <w:color w:val="auto"/>
        </w:rPr>
        <w:t xml:space="preserve">, </w:t>
      </w:r>
      <w:r>
        <w:rPr>
          <w:rFonts w:ascii="Arial" w:cs="Arial" w:eastAsia="Arial" w:hAnsi="Arial"/>
          <w:sz w:val="19"/>
          <w:szCs w:val="19"/>
          <w:u w:val="single" w:color="auto"/>
          <w:color w:val="auto"/>
        </w:rPr>
        <w:t>2.17</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9.03</w:t>
      </w:r>
      <w:r>
        <w:rPr>
          <w:rFonts w:ascii="Arial" w:cs="Arial" w:eastAsia="Arial" w:hAnsi="Arial"/>
          <w:sz w:val="19"/>
          <w:szCs w:val="19"/>
          <w:color w:val="auto"/>
        </w:rPr>
        <w:t xml:space="preserve"> shall be made directly to the Persons entitled thereto and payments pursuant to other Loan Documents shall be made to the Persons specified therein. The Administrative Agent shall distribute any such payment received by it for the account of any other Person to the appropriate recipient promptly following receipt thereof. If any payment under this Agreement or any other Loan Document shall be due on a day that is not a Business Day, the date for payment shall be extended to the next succeeding Business Day and, in the case of any payment accruing interest, interest thereon shall be payable for the period of such extension. All payments hereunder of principal or interest in respect of any Loan or LC Disbursement shall, except as otherwise expressly provided herein, be made in the currency of such Loan or LC Disbursement; all other payments hereunder and under each other Loan Document shall be made in dollars.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0" w:name="page271"/>
    <w:bookmarkEnd w:id="270"/>
    <w:p>
      <w:pPr>
        <w:jc w:val="both"/>
        <w:ind w:firstLine="656"/>
        <w:spacing w:after="0" w:line="236" w:lineRule="auto"/>
        <w:tabs>
          <w:tab w:leader="none" w:pos="1638" w:val="left"/>
        </w:tabs>
        <w:numPr>
          <w:ilvl w:val="0"/>
          <w:numId w:val="199"/>
        </w:numPr>
        <w:rPr>
          <w:rFonts w:ascii="Arial" w:cs="Arial" w:eastAsia="Arial" w:hAnsi="Arial"/>
          <w:sz w:val="22"/>
          <w:szCs w:val="22"/>
          <w:color w:val="auto"/>
        </w:rPr>
      </w:pPr>
      <w:r>
        <w:rPr>
          <w:rFonts w:ascii="Arial" w:cs="Arial" w:eastAsia="Arial" w:hAnsi="Arial"/>
          <w:sz w:val="22"/>
          <w:szCs w:val="22"/>
          <w:color w:val="auto"/>
        </w:rPr>
        <w:t>If at any time insufficient funds are received by and available to the Administrative Agent to pay fully all amounts of principal, unreimbursed LC Disbursements, interest and fees then due hereunder, such funds shall be applied (i) first, towards payment of interest and fees then due to such parties, and (ii) second, towards payment of principal and unreimbursed LC Disbursements then due hereunder, ratably among the parties entitled thereto in accordance with the amounts of principal and unreimbursed LC Disbursements then due to such parties.</w:t>
      </w:r>
    </w:p>
    <w:p>
      <w:pPr>
        <w:spacing w:after="0" w:line="214" w:lineRule="exact"/>
        <w:rPr>
          <w:rFonts w:ascii="Arial" w:cs="Arial" w:eastAsia="Arial" w:hAnsi="Arial"/>
          <w:sz w:val="22"/>
          <w:szCs w:val="22"/>
          <w:color w:val="auto"/>
        </w:rPr>
      </w:pPr>
    </w:p>
    <w:p>
      <w:pPr>
        <w:jc w:val="both"/>
        <w:ind w:firstLine="656"/>
        <w:spacing w:after="0" w:line="271" w:lineRule="auto"/>
        <w:tabs>
          <w:tab w:leader="none" w:pos="1450" w:val="left"/>
        </w:tabs>
        <w:numPr>
          <w:ilvl w:val="0"/>
          <w:numId w:val="199"/>
        </w:numPr>
        <w:rPr>
          <w:rFonts w:ascii="Arial" w:cs="Arial" w:eastAsia="Arial" w:hAnsi="Arial"/>
          <w:sz w:val="19"/>
          <w:szCs w:val="19"/>
          <w:color w:val="auto"/>
        </w:rPr>
      </w:pPr>
      <w:r>
        <w:rPr>
          <w:rFonts w:ascii="Arial" w:cs="Arial" w:eastAsia="Arial" w:hAnsi="Arial"/>
          <w:sz w:val="19"/>
          <w:szCs w:val="19"/>
          <w:color w:val="auto"/>
        </w:rPr>
        <w:t xml:space="preserve">If any Lender shall, by exercising any right of setoff or counterclaim or otherwise, obtain payment in respect of any principal of or interest on any of its Revolving Loans or participations in LC Disbursements resulting in such Lender receiving payment of a greater proportion of the aggregate amount of its Revolving Loans and participations in LC Disbursements and accrued interest thereon than the proportion received by any other Lender, then the Lender receiving such greater proportion shall notify the Administrative Agent of such fact and shall purchase (for cash at face value) participations in the Revolving Loans and participations in LC Disbursements of other Lenders to the extent necessary so that the aggregate amount of all such payments shall be shared by the Lenders ratably in accordance with the aggregate amount of principal of and accrued interest on their respective Revolving Loans and participations in LC Disbursements;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a Borrower pursuant to and in accordance with the express terms of this Agreement or any payment obtained by a Lender as consideration for the assignment of or sale of a participation in any of its Loans or participations in LC Disbursements to any Eligible Assignee. The Borrowers consent to the foregoing and agree, to the extent it may effectively do so under applicable law, that any Lender acquiring a participation pursuant to the foregoing arrangements may exercise against the Borrowers rights of setoff and counterclaim with respect to such participation as fully as if such Lender were a direct creditor of the Borrowers in the amount of such participation.</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1" w:name="page272"/>
    <w:bookmarkEnd w:id="271"/>
    <w:p>
      <w:pPr>
        <w:jc w:val="both"/>
        <w:ind w:firstLine="656"/>
        <w:spacing w:after="0" w:line="245" w:lineRule="auto"/>
        <w:tabs>
          <w:tab w:leader="none" w:pos="1365" w:val="left"/>
        </w:tabs>
        <w:numPr>
          <w:ilvl w:val="0"/>
          <w:numId w:val="200"/>
        </w:numPr>
        <w:rPr>
          <w:rFonts w:ascii="Arial" w:cs="Arial" w:eastAsia="Arial" w:hAnsi="Arial"/>
          <w:sz w:val="21"/>
          <w:szCs w:val="21"/>
          <w:color w:val="auto"/>
        </w:rPr>
      </w:pPr>
      <w:r>
        <w:rPr>
          <w:rFonts w:ascii="Arial" w:cs="Arial" w:eastAsia="Arial" w:hAnsi="Arial"/>
          <w:sz w:val="21"/>
          <w:szCs w:val="21"/>
          <w:color w:val="auto"/>
        </w:rPr>
        <w:t>Unless the Administrative Agent shall have received notice from the Company prior to the date on which any payment is due to the Administrative Agent for the account of any of the Lenders or the Issuing Banks hereunder that the Borrowers will not make such payment, the Administrative Agent may assume that the Borrowers have made such payment on such date in accordance herewith and may, in reliance upon such assumption and in its sole discretion, distribute to the applicable Lenders or the Issuing Banks, as applicable, the amount due. In such event, if the Borrowers have not in fact made such payment, then each of the applicable Lenders or the Issuing Banks, as applicable, severally agrees to repay to the Administrative Agent forthwith on demand the amount so distributed to such Lender or such Issuing Bank with interest thereon, for each day from and including the date such amount is distributed to it to but excluding the date of payment to the Administrative Agent, at the greater of the NYFRB Rate and a rate determined by the Administrative Agent in accordance with banking industry rules on interbank compensation.</w:t>
      </w:r>
    </w:p>
    <w:p>
      <w:pPr>
        <w:spacing w:after="0" w:line="208" w:lineRule="exact"/>
        <w:rPr>
          <w:rFonts w:ascii="Arial" w:cs="Arial" w:eastAsia="Arial" w:hAnsi="Arial"/>
          <w:sz w:val="21"/>
          <w:szCs w:val="21"/>
          <w:color w:val="auto"/>
        </w:rPr>
      </w:pPr>
    </w:p>
    <w:p>
      <w:pPr>
        <w:ind w:left="1440" w:hanging="784"/>
        <w:spacing w:after="0"/>
        <w:tabs>
          <w:tab w:leader="none" w:pos="1440" w:val="left"/>
        </w:tabs>
        <w:numPr>
          <w:ilvl w:val="0"/>
          <w:numId w:val="200"/>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jc w:val="both"/>
        <w:ind w:firstLine="656"/>
        <w:spacing w:after="0" w:line="279" w:lineRule="auto"/>
        <w:tabs>
          <w:tab w:leader="none" w:pos="1425" w:val="left"/>
        </w:tabs>
        <w:numPr>
          <w:ilvl w:val="0"/>
          <w:numId w:val="200"/>
        </w:numPr>
        <w:rPr>
          <w:rFonts w:ascii="Arial" w:cs="Arial" w:eastAsia="Arial" w:hAnsi="Arial"/>
          <w:sz w:val="19"/>
          <w:szCs w:val="19"/>
          <w:color w:val="auto"/>
        </w:rPr>
      </w:pPr>
      <w:r>
        <w:rPr>
          <w:rFonts w:ascii="Arial" w:cs="Arial" w:eastAsia="Arial" w:hAnsi="Arial"/>
          <w:sz w:val="19"/>
          <w:szCs w:val="19"/>
          <w:color w:val="auto"/>
        </w:rPr>
        <w:t xml:space="preserve">All proceeds of Collateral and all other amounts received by the Administrative Agent after an Event of Default has occurred and is continuing and all or any portion of the Loans shall have been accelerated hereunder pursuant to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shall, upon election by the Administrative Agent or at the direction of the Required Lenders, be applied,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on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 to pay any fees, indemnities, or expense reimbursements then due to the Administrative Agent,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to pay interest due and payable in respect of any Loans, on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 </w:t>
      </w:r>
      <w:r>
        <w:rPr>
          <w:rFonts w:ascii="Arial" w:cs="Arial" w:eastAsia="Arial" w:hAnsi="Arial"/>
          <w:sz w:val="19"/>
          <w:szCs w:val="19"/>
          <w:u w:val="single" w:color="auto"/>
          <w:color w:val="auto"/>
        </w:rPr>
        <w:t>third</w:t>
      </w:r>
      <w:r>
        <w:rPr>
          <w:rFonts w:ascii="Arial" w:cs="Arial" w:eastAsia="Arial" w:hAnsi="Arial"/>
          <w:sz w:val="19"/>
          <w:szCs w:val="19"/>
          <w:color w:val="auto"/>
        </w:rPr>
        <w:t xml:space="preserve">, to the payment of any other Obligation due to the Administrative Agent or any Secured Party on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 and </w:t>
      </w:r>
      <w:r>
        <w:rPr>
          <w:rFonts w:ascii="Arial" w:cs="Arial" w:eastAsia="Arial" w:hAnsi="Arial"/>
          <w:sz w:val="19"/>
          <w:szCs w:val="19"/>
          <w:u w:val="single" w:color="auto"/>
          <w:color w:val="auto"/>
        </w:rPr>
        <w:t>fourth</w:t>
      </w:r>
      <w:r>
        <w:rPr>
          <w:rFonts w:ascii="Arial" w:cs="Arial" w:eastAsia="Arial" w:hAnsi="Arial"/>
          <w:sz w:val="19"/>
          <w:szCs w:val="19"/>
          <w:color w:val="auto"/>
        </w:rPr>
        <w:t>, to the Borrowers or as the Borrowers shall direct.</w:t>
      </w:r>
    </w:p>
    <w:p>
      <w:pPr>
        <w:spacing w:after="0" w:line="177" w:lineRule="exact"/>
        <w:rPr>
          <w:sz w:val="20"/>
          <w:szCs w:val="20"/>
          <w:color w:val="auto"/>
        </w:rPr>
      </w:pPr>
    </w:p>
    <w:p>
      <w:pPr>
        <w:ind w:left="700"/>
        <w:spacing w:after="0"/>
        <w:tabs>
          <w:tab w:leader="none" w:pos="2280" w:val="left"/>
        </w:tabs>
        <w:rPr>
          <w:sz w:val="20"/>
          <w:szCs w:val="20"/>
          <w:color w:val="auto"/>
        </w:rPr>
      </w:pPr>
      <w:r>
        <w:rPr>
          <w:rFonts w:ascii="Arial" w:cs="Arial" w:eastAsia="Arial" w:hAnsi="Arial"/>
          <w:sz w:val="22"/>
          <w:szCs w:val="22"/>
          <w:color w:val="auto"/>
        </w:rPr>
        <w:t>SECTION 2.19.</w:t>
      </w:r>
      <w:r>
        <w:rPr>
          <w:sz w:val="20"/>
          <w:szCs w:val="20"/>
          <w:color w:val="auto"/>
        </w:rPr>
        <w:tab/>
      </w:r>
      <w:r>
        <w:rPr>
          <w:rFonts w:ascii="Arial" w:cs="Arial" w:eastAsia="Arial" w:hAnsi="Arial"/>
          <w:sz w:val="19"/>
          <w:szCs w:val="19"/>
          <w:u w:val="single" w:color="auto"/>
          <w:color w:val="auto"/>
        </w:rPr>
        <w:t>Mitigation Obligations; Replacement of Lenders</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74" w:lineRule="auto"/>
        <w:tabs>
          <w:tab w:leader="none" w:pos="1406" w:val="left"/>
        </w:tabs>
        <w:numPr>
          <w:ilvl w:val="0"/>
          <w:numId w:val="201"/>
        </w:numPr>
        <w:rPr>
          <w:rFonts w:ascii="Arial" w:cs="Arial" w:eastAsia="Arial" w:hAnsi="Arial"/>
          <w:sz w:val="19"/>
          <w:szCs w:val="19"/>
          <w:color w:val="auto"/>
        </w:rPr>
      </w:pPr>
      <w:r>
        <w:rPr>
          <w:rFonts w:ascii="Arial" w:cs="Arial" w:eastAsia="Arial" w:hAnsi="Arial"/>
          <w:sz w:val="19"/>
          <w:szCs w:val="19"/>
          <w:color w:val="auto"/>
        </w:rPr>
        <w:t xml:space="preserve">If any Lender requests compensation under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or if any Loan Party is required to pay any Indemnified Taxes or additional amounts to any Lender or to any Governmental Authority for the account of any Lender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2.17</w:t>
      </w:r>
      <w:r>
        <w:rPr>
          <w:rFonts w:ascii="Arial" w:cs="Arial" w:eastAsia="Arial" w:hAnsi="Arial"/>
          <w:sz w:val="19"/>
          <w:szCs w:val="19"/>
          <w:color w:val="auto"/>
        </w:rPr>
        <w:t xml:space="preserve">, then such Lender shall (at the request of the Company) use commercially reasonable efforts to designate a different lending office for funding or booking its Loans hereunder or to assign and delegate its rights and obligations hereunder to another of its offices, branches or Affiliates, if, in the judgment of such Lender, such designation or assignment and delegation (i) would eliminate or reduce amounts payable pursuant to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2.17</w:t>
      </w:r>
      <w:r>
        <w:rPr>
          <w:rFonts w:ascii="Arial" w:cs="Arial" w:eastAsia="Arial" w:hAnsi="Arial"/>
          <w:sz w:val="19"/>
          <w:szCs w:val="19"/>
          <w:color w:val="auto"/>
        </w:rPr>
        <w:t>, as applicable, in the future and (ii) would not subject such Lender to any unreimbursed cost or expense and would not be inconsistent with its internal policies or otherwise be disadvantageous to such Lender in any material respect. The Borrowers hereby agree to pay all reasonable and documented costs and expenses incurred by any Lender in connection with any such designation or assignment and delegation.</w:t>
      </w:r>
    </w:p>
    <w:p>
      <w:pPr>
        <w:spacing w:after="0" w:line="185" w:lineRule="exact"/>
        <w:rPr>
          <w:rFonts w:ascii="Arial" w:cs="Arial" w:eastAsia="Arial" w:hAnsi="Arial"/>
          <w:sz w:val="19"/>
          <w:szCs w:val="19"/>
          <w:color w:val="auto"/>
        </w:rPr>
      </w:pPr>
    </w:p>
    <w:p>
      <w:pPr>
        <w:jc w:val="both"/>
        <w:ind w:firstLine="656"/>
        <w:spacing w:after="0" w:line="270" w:lineRule="auto"/>
        <w:tabs>
          <w:tab w:leader="none" w:pos="1572" w:val="left"/>
        </w:tabs>
        <w:numPr>
          <w:ilvl w:val="0"/>
          <w:numId w:val="201"/>
        </w:numPr>
        <w:rPr>
          <w:rFonts w:ascii="Arial" w:cs="Arial" w:eastAsia="Arial" w:hAnsi="Arial"/>
          <w:sz w:val="19"/>
          <w:szCs w:val="19"/>
          <w:color w:val="auto"/>
        </w:rPr>
      </w:pPr>
      <w:r>
        <w:rPr>
          <w:rFonts w:ascii="Arial" w:cs="Arial" w:eastAsia="Arial" w:hAnsi="Arial"/>
          <w:sz w:val="19"/>
          <w:szCs w:val="19"/>
          <w:color w:val="auto"/>
        </w:rPr>
        <w:t xml:space="preserve">If (i) any Lender has requested compensation under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(ii) the Borrowers are required to pay any Indemnified Taxes or additional amounts to any Lender or any Governmental Authority for the account of any Lender pursuant to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or (iii) any Lender has become a Defaulting Lender, then the Company may, at its sole expense and effort, upon notice to such Lender and the Administrative Agent, require such Lender to assign and delegate, without recourse (in accordance with and subject to the restrictions contained in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all its interests, rights (other than its existing rights to payments pursuant to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2.17</w:t>
      </w:r>
      <w:r>
        <w:rPr>
          <w:rFonts w:ascii="Arial" w:cs="Arial" w:eastAsia="Arial" w:hAnsi="Arial"/>
          <w:sz w:val="19"/>
          <w:szCs w:val="19"/>
          <w:color w:val="auto"/>
        </w:rPr>
        <w:t xml:space="preserve">) and obligations under this Agreement and the other Loan Documents to an Eligible Assignee that shall assume such obligations (which assignee may be another Lender, if a Lender accepts such assignment and delegation);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the Company shall have received the prior written consent of the Administrative Agent (and, if a Commitment is being assigned, each Issuing Bank), which consent shall not unreasonably be withheld or delayed, (B) such Lender shall have received payment of an amount equal to the outstanding principal of its Loans and participations in LC Disbursements, accrued interest thereon, accrued fees and all other amounts payable to it hereunder from the assignee or the Borrowers, (C) the Borrowers or such assignee shall have paid to the Administrative Agent the processing and recordation fee specified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9.04(b)</w:t>
      </w:r>
      <w:r>
        <w:rPr>
          <w:rFonts w:ascii="Arial" w:cs="Arial" w:eastAsia="Arial" w:hAnsi="Arial"/>
          <w:sz w:val="19"/>
          <w:szCs w:val="19"/>
          <w:color w:val="auto"/>
        </w:rPr>
        <w:t xml:space="preserve">, (D) in the case of any such assignment and delegation resulting from a claim for compensation under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or payments required to be made pursuant to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such assignment will result in a reduction in such compensation or payments and (E) such assignment does not conflict with applicable law. A Lender shall not be required to make any such assignment and delegation if, prior thereto, as a result of a waiver or consent by such Lender or otherwise (including as a result of any action taken by such Lender under </w:t>
      </w:r>
      <w:r>
        <w:rPr>
          <w:rFonts w:ascii="Arial" w:cs="Arial" w:eastAsia="Arial" w:hAnsi="Arial"/>
          <w:sz w:val="19"/>
          <w:szCs w:val="19"/>
          <w:u w:val="single" w:color="auto"/>
          <w:color w:val="auto"/>
        </w:rPr>
        <w:t>paragraph (a)</w:t>
      </w:r>
      <w:r>
        <w:rPr>
          <w:rFonts w:ascii="Arial" w:cs="Arial" w:eastAsia="Arial" w:hAnsi="Arial"/>
          <w:sz w:val="19"/>
          <w:szCs w:val="19"/>
          <w:color w:val="auto"/>
        </w:rPr>
        <w:t xml:space="preserve"> above), the circumstances entitling the Company to require such assignment and delegation have ceased to apply.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2" w:name="page273"/>
    <w:bookmarkEnd w:id="272"/>
    <w:p>
      <w:pPr>
        <w:ind w:right="220" w:firstLine="648"/>
        <w:spacing w:after="0" w:line="328" w:lineRule="auto"/>
        <w:rPr>
          <w:sz w:val="20"/>
          <w:szCs w:val="20"/>
          <w:color w:val="auto"/>
        </w:rPr>
      </w:pPr>
      <w:r>
        <w:rPr>
          <w:rFonts w:ascii="Arial" w:cs="Arial" w:eastAsia="Arial" w:hAnsi="Arial"/>
          <w:sz w:val="19"/>
          <w:szCs w:val="19"/>
          <w:color w:val="auto"/>
        </w:rPr>
        <w:t xml:space="preserve">SECTION 2.20. </w:t>
      </w:r>
      <w:r>
        <w:rPr>
          <w:rFonts w:ascii="Arial" w:cs="Arial" w:eastAsia="Arial" w:hAnsi="Arial"/>
          <w:sz w:val="19"/>
          <w:szCs w:val="19"/>
          <w:u w:val="single" w:color="auto"/>
          <w:color w:val="auto"/>
        </w:rPr>
        <w:t>Defaulting Lenders</w:t>
      </w:r>
      <w:r>
        <w:rPr>
          <w:rFonts w:ascii="Arial" w:cs="Arial" w:eastAsia="Arial" w:hAnsi="Arial"/>
          <w:sz w:val="19"/>
          <w:szCs w:val="19"/>
          <w:color w:val="auto"/>
        </w:rPr>
        <w:t>. Notwithstanding any provision of this Agreement to the contrary, if any Lender becomes a Defaulting Lender, then the following provisions shall apply for so long as such Lender is a Defaulting Lender:</w:t>
      </w:r>
    </w:p>
    <w:p>
      <w:pPr>
        <w:spacing w:after="0" w:line="132" w:lineRule="exact"/>
        <w:rPr>
          <w:sz w:val="20"/>
          <w:szCs w:val="20"/>
          <w:color w:val="auto"/>
        </w:rPr>
      </w:pPr>
    </w:p>
    <w:p>
      <w:pPr>
        <w:ind w:firstLine="656"/>
        <w:spacing w:after="0" w:line="250" w:lineRule="auto"/>
        <w:tabs>
          <w:tab w:leader="none" w:pos="1556" w:val="left"/>
        </w:tabs>
        <w:numPr>
          <w:ilvl w:val="0"/>
          <w:numId w:val="202"/>
        </w:numPr>
        <w:rPr>
          <w:rFonts w:ascii="Arial" w:cs="Arial" w:eastAsia="Arial" w:hAnsi="Arial"/>
          <w:sz w:val="22"/>
          <w:szCs w:val="22"/>
          <w:color w:val="auto"/>
        </w:rPr>
      </w:pPr>
      <w:r>
        <w:rPr>
          <w:rFonts w:ascii="Arial" w:cs="Arial" w:eastAsia="Arial" w:hAnsi="Arial"/>
          <w:sz w:val="22"/>
          <w:szCs w:val="22"/>
          <w:color w:val="auto"/>
        </w:rPr>
        <w:t xml:space="preserve">in the case of a Defaulting Lender that is a Revolving Lender, commitment fees shall cease to accrue on the unfunded portion of the Commitment of such Defaulting Lender pursuant to </w:t>
      </w:r>
      <w:r>
        <w:rPr>
          <w:rFonts w:ascii="Arial" w:cs="Arial" w:eastAsia="Arial" w:hAnsi="Arial"/>
          <w:sz w:val="22"/>
          <w:szCs w:val="22"/>
          <w:u w:val="single" w:color="auto"/>
          <w:color w:val="auto"/>
        </w:rPr>
        <w:t>Section 2.12(a)</w:t>
      </w:r>
      <w:r>
        <w:rPr>
          <w:rFonts w:ascii="Arial" w:cs="Arial" w:eastAsia="Arial" w:hAnsi="Arial"/>
          <w:sz w:val="22"/>
          <w:szCs w:val="22"/>
          <w:color w:val="auto"/>
        </w:rPr>
        <w:t>;</w:t>
      </w:r>
    </w:p>
    <w:p>
      <w:pPr>
        <w:spacing w:after="0" w:line="201" w:lineRule="exact"/>
        <w:rPr>
          <w:rFonts w:ascii="Arial" w:cs="Arial" w:eastAsia="Arial" w:hAnsi="Arial"/>
          <w:sz w:val="22"/>
          <w:szCs w:val="22"/>
          <w:color w:val="auto"/>
        </w:rPr>
      </w:pPr>
    </w:p>
    <w:p>
      <w:pPr>
        <w:jc w:val="both"/>
        <w:ind w:firstLine="656"/>
        <w:spacing w:after="0" w:line="282" w:lineRule="auto"/>
        <w:tabs>
          <w:tab w:leader="none" w:pos="1679" w:val="left"/>
        </w:tabs>
        <w:numPr>
          <w:ilvl w:val="0"/>
          <w:numId w:val="202"/>
        </w:numPr>
        <w:rPr>
          <w:rFonts w:ascii="Arial" w:cs="Arial" w:eastAsia="Arial" w:hAnsi="Arial"/>
          <w:sz w:val="19"/>
          <w:szCs w:val="19"/>
          <w:color w:val="auto"/>
        </w:rPr>
      </w:pPr>
      <w:r>
        <w:rPr>
          <w:rFonts w:ascii="Arial" w:cs="Arial" w:eastAsia="Arial" w:hAnsi="Arial"/>
          <w:sz w:val="19"/>
          <w:szCs w:val="19"/>
          <w:color w:val="auto"/>
        </w:rPr>
        <w:t xml:space="preserve">the Loans and Commitments of such Defaulting Lender shall not be included in determining whether the Required Lenders or any other requisite Lenders have taken or may take any action hereunder or under any other Loan Document (including any consent to any amendment, waiver or other modification pursuant to </w:t>
      </w:r>
      <w:r>
        <w:rPr>
          <w:rFonts w:ascii="Arial" w:cs="Arial" w:eastAsia="Arial" w:hAnsi="Arial"/>
          <w:sz w:val="19"/>
          <w:szCs w:val="19"/>
          <w:u w:val="single" w:color="auto"/>
          <w:color w:val="auto"/>
        </w:rPr>
        <w:t>Section 9.02</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amendment, waiver or other modification requiring the consent of all Lenders or all Lenders affected thereby shall, except as otherwise provided in </w:t>
      </w:r>
      <w:r>
        <w:rPr>
          <w:rFonts w:ascii="Arial" w:cs="Arial" w:eastAsia="Arial" w:hAnsi="Arial"/>
          <w:sz w:val="19"/>
          <w:szCs w:val="19"/>
          <w:u w:val="single" w:color="auto"/>
          <w:color w:val="auto"/>
        </w:rPr>
        <w:t>Section 9.02</w:t>
      </w:r>
      <w:r>
        <w:rPr>
          <w:rFonts w:ascii="Arial" w:cs="Arial" w:eastAsia="Arial" w:hAnsi="Arial"/>
          <w:sz w:val="19"/>
          <w:szCs w:val="19"/>
          <w:color w:val="auto"/>
        </w:rPr>
        <w:t>, require the consent of such Defaulting Lender in accordance with the terms hereof;</w:t>
      </w:r>
    </w:p>
    <w:p>
      <w:pPr>
        <w:spacing w:after="0" w:line="174" w:lineRule="exact"/>
        <w:rPr>
          <w:rFonts w:ascii="Arial" w:cs="Arial" w:eastAsia="Arial" w:hAnsi="Arial"/>
          <w:sz w:val="19"/>
          <w:szCs w:val="19"/>
          <w:color w:val="auto"/>
        </w:rPr>
      </w:pPr>
    </w:p>
    <w:p>
      <w:pPr>
        <w:ind w:firstLine="656"/>
        <w:spacing w:after="0" w:line="250" w:lineRule="auto"/>
        <w:tabs>
          <w:tab w:leader="none" w:pos="1567" w:val="left"/>
        </w:tabs>
        <w:numPr>
          <w:ilvl w:val="0"/>
          <w:numId w:val="202"/>
        </w:numPr>
        <w:rPr>
          <w:rFonts w:ascii="Arial" w:cs="Arial" w:eastAsia="Arial" w:hAnsi="Arial"/>
          <w:sz w:val="22"/>
          <w:szCs w:val="22"/>
          <w:color w:val="auto"/>
        </w:rPr>
      </w:pPr>
      <w:r>
        <w:rPr>
          <w:rFonts w:ascii="Arial" w:cs="Arial" w:eastAsia="Arial" w:hAnsi="Arial"/>
          <w:sz w:val="22"/>
          <w:szCs w:val="22"/>
          <w:color w:val="auto"/>
        </w:rPr>
        <w:t>in the case of a Defaulting Lender that is a Revolving Lender, if any LC Exposure exists at the time such Revolving Lender becomes a Defaulting Lender, then:</w:t>
      </w:r>
    </w:p>
    <w:p>
      <w:pPr>
        <w:spacing w:after="0" w:line="201" w:lineRule="exact"/>
        <w:rPr>
          <w:rFonts w:ascii="Arial" w:cs="Arial" w:eastAsia="Arial" w:hAnsi="Arial"/>
          <w:sz w:val="22"/>
          <w:szCs w:val="22"/>
          <w:color w:val="auto"/>
        </w:rPr>
      </w:pPr>
    </w:p>
    <w:p>
      <w:pPr>
        <w:jc w:val="both"/>
        <w:ind w:left="660" w:firstLine="644"/>
        <w:spacing w:after="0" w:line="274" w:lineRule="auto"/>
        <w:tabs>
          <w:tab w:leader="none" w:pos="2364" w:val="left"/>
        </w:tabs>
        <w:numPr>
          <w:ilvl w:val="1"/>
          <w:numId w:val="202"/>
        </w:numPr>
        <w:rPr>
          <w:rFonts w:ascii="Arial" w:cs="Arial" w:eastAsia="Arial" w:hAnsi="Arial"/>
          <w:sz w:val="19"/>
          <w:szCs w:val="19"/>
          <w:color w:val="auto"/>
        </w:rPr>
      </w:pPr>
      <w:r>
        <w:rPr>
          <w:rFonts w:ascii="Arial" w:cs="Arial" w:eastAsia="Arial" w:hAnsi="Arial"/>
          <w:sz w:val="19"/>
          <w:szCs w:val="19"/>
          <w:color w:val="auto"/>
        </w:rPr>
        <w:t xml:space="preserve">all or any part of the LC Exposure (other than any portion thereof attributable to unreimbursed LC Disbursements with respect to which such Defaulting Lender shall have funded its participation as contemplated by </w:t>
      </w:r>
      <w:r>
        <w:rPr>
          <w:rFonts w:ascii="Arial" w:cs="Arial" w:eastAsia="Arial" w:hAnsi="Arial"/>
          <w:sz w:val="19"/>
          <w:szCs w:val="19"/>
          <w:u w:val="single" w:color="auto"/>
          <w:color w:val="auto"/>
        </w:rPr>
        <w:t>Sections 2.05(e)</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2.05(f)</w:t>
      </w:r>
      <w:r>
        <w:rPr>
          <w:rFonts w:ascii="Arial" w:cs="Arial" w:eastAsia="Arial" w:hAnsi="Arial"/>
          <w:sz w:val="19"/>
          <w:szCs w:val="19"/>
          <w:color w:val="auto"/>
        </w:rPr>
        <w:t xml:space="preserve">) of such Defaulting Lender shall be reallocated among the Non-Defaulting Revolving Lenders in accordance with their respective Applicable Percentages but only to the extent that the sum of all Non-Defaulting Revolving Lenders’ Revolving Exposures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such Defaulting Lender’s LC Exposure does not exceed the sum of all Non-Defaulting Revolving Lenders’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reallocation under this clause (ii) shall constitute a waiver or release of any claim of any party hereunder against a Defaulting Lender arising from that Lender having become a Defaulting Lender, including any claim of a Non-Defaulting Revolving Lender as a result of such Non-Defaulting Revolving Lender’s increased exposure following such reallocation;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3" w:name="page274"/>
    <w:bookmarkEnd w:id="273"/>
    <w:p>
      <w:pPr>
        <w:jc w:val="both"/>
        <w:ind w:left="660" w:firstLine="644"/>
        <w:spacing w:after="0" w:line="252" w:lineRule="auto"/>
        <w:tabs>
          <w:tab w:leader="none" w:pos="2232" w:val="left"/>
        </w:tabs>
        <w:numPr>
          <w:ilvl w:val="1"/>
          <w:numId w:val="203"/>
        </w:numPr>
        <w:rPr>
          <w:rFonts w:ascii="Arial" w:cs="Arial" w:eastAsia="Arial" w:hAnsi="Arial"/>
          <w:sz w:val="21"/>
          <w:szCs w:val="21"/>
          <w:color w:val="auto"/>
        </w:rPr>
      </w:pPr>
      <w:r>
        <w:rPr>
          <w:rFonts w:ascii="Arial" w:cs="Arial" w:eastAsia="Arial" w:hAnsi="Arial"/>
          <w:sz w:val="21"/>
          <w:szCs w:val="21"/>
          <w:color w:val="auto"/>
        </w:rPr>
        <w:t xml:space="preserve">if the reallocation described in clause (i) above cannot, or can only partially, be effected, the Borrowers shall within one Business Day following notice by the Administrative Agent cash collateralize for the benefit of the Issuing Banks the portion of such Defaulting Lender’s LC Exposure that has not been reallocated in accordance with the procedures set forth in </w:t>
      </w:r>
      <w:r>
        <w:rPr>
          <w:rFonts w:ascii="Arial" w:cs="Arial" w:eastAsia="Arial" w:hAnsi="Arial"/>
          <w:sz w:val="21"/>
          <w:szCs w:val="21"/>
          <w:u w:val="single" w:color="auto"/>
          <w:color w:val="auto"/>
        </w:rPr>
        <w:t>Section 2.05(i)</w:t>
      </w:r>
      <w:r>
        <w:rPr>
          <w:rFonts w:ascii="Arial" w:cs="Arial" w:eastAsia="Arial" w:hAnsi="Arial"/>
          <w:sz w:val="21"/>
          <w:szCs w:val="21"/>
          <w:color w:val="auto"/>
        </w:rPr>
        <w:t xml:space="preserve"> for so long as such LC Exposure is outstanding;</w:t>
      </w:r>
    </w:p>
    <w:p>
      <w:pPr>
        <w:spacing w:after="0" w:line="201" w:lineRule="exact"/>
        <w:rPr>
          <w:rFonts w:ascii="Arial" w:cs="Arial" w:eastAsia="Arial" w:hAnsi="Arial"/>
          <w:sz w:val="21"/>
          <w:szCs w:val="21"/>
          <w:color w:val="auto"/>
        </w:rPr>
      </w:pPr>
    </w:p>
    <w:p>
      <w:pPr>
        <w:jc w:val="both"/>
        <w:ind w:left="660" w:firstLine="644"/>
        <w:spacing w:after="0" w:line="238" w:lineRule="auto"/>
        <w:tabs>
          <w:tab w:leader="none" w:pos="2324" w:val="left"/>
        </w:tabs>
        <w:numPr>
          <w:ilvl w:val="1"/>
          <w:numId w:val="203"/>
        </w:numPr>
        <w:rPr>
          <w:rFonts w:ascii="Arial" w:cs="Arial" w:eastAsia="Arial" w:hAnsi="Arial"/>
          <w:sz w:val="22"/>
          <w:szCs w:val="22"/>
          <w:color w:val="auto"/>
        </w:rPr>
      </w:pPr>
      <w:r>
        <w:rPr>
          <w:rFonts w:ascii="Arial" w:cs="Arial" w:eastAsia="Arial" w:hAnsi="Arial"/>
          <w:sz w:val="22"/>
          <w:szCs w:val="22"/>
          <w:color w:val="auto"/>
        </w:rPr>
        <w:t xml:space="preserve">if the Borrowers cash collateralize any portion of such Defaulting Lender’s LC Exposure pursuant to clause (ii) above, the Borrowers shall not be required to pay participation fees to such Defaulting Lender pursuant to </w:t>
      </w:r>
      <w:r>
        <w:rPr>
          <w:rFonts w:ascii="Arial" w:cs="Arial" w:eastAsia="Arial" w:hAnsi="Arial"/>
          <w:sz w:val="22"/>
          <w:szCs w:val="22"/>
          <w:u w:val="single" w:color="auto"/>
          <w:color w:val="auto"/>
        </w:rPr>
        <w:t>Section 2.12(b)</w:t>
      </w:r>
      <w:r>
        <w:rPr>
          <w:rFonts w:ascii="Arial" w:cs="Arial" w:eastAsia="Arial" w:hAnsi="Arial"/>
          <w:sz w:val="22"/>
          <w:szCs w:val="22"/>
          <w:color w:val="auto"/>
        </w:rPr>
        <w:t xml:space="preserve"> with respect to such portion of such Defaulting Lender’s LC Exposure for so long as such Defaulting Lender’s LC Exposure is cash collateralized;</w:t>
      </w:r>
    </w:p>
    <w:p>
      <w:pPr>
        <w:spacing w:after="0" w:line="211" w:lineRule="exact"/>
        <w:rPr>
          <w:rFonts w:ascii="Arial" w:cs="Arial" w:eastAsia="Arial" w:hAnsi="Arial"/>
          <w:sz w:val="22"/>
          <w:szCs w:val="22"/>
          <w:color w:val="auto"/>
        </w:rPr>
      </w:pPr>
    </w:p>
    <w:p>
      <w:pPr>
        <w:jc w:val="both"/>
        <w:ind w:left="660" w:firstLine="644"/>
        <w:spacing w:after="0"/>
        <w:tabs>
          <w:tab w:leader="none" w:pos="2171" w:val="left"/>
        </w:tabs>
        <w:numPr>
          <w:ilvl w:val="1"/>
          <w:numId w:val="203"/>
        </w:numPr>
        <w:rPr>
          <w:rFonts w:ascii="Arial" w:cs="Arial" w:eastAsia="Arial" w:hAnsi="Arial"/>
          <w:sz w:val="22"/>
          <w:szCs w:val="22"/>
          <w:color w:val="auto"/>
        </w:rPr>
      </w:pPr>
      <w:r>
        <w:rPr>
          <w:rFonts w:ascii="Arial" w:cs="Arial" w:eastAsia="Arial" w:hAnsi="Arial"/>
          <w:sz w:val="22"/>
          <w:szCs w:val="22"/>
          <w:color w:val="auto"/>
        </w:rPr>
        <w:t xml:space="preserve">if any portion of the LC Exposure of such Defaulting Lender is reallocated pursuant to clause (i) above, then the fees payable to the Lenders pursuant to </w:t>
      </w:r>
      <w:r>
        <w:rPr>
          <w:rFonts w:ascii="Arial" w:cs="Arial" w:eastAsia="Arial" w:hAnsi="Arial"/>
          <w:sz w:val="22"/>
          <w:szCs w:val="22"/>
          <w:u w:val="single" w:color="auto"/>
          <w:color w:val="auto"/>
        </w:rPr>
        <w:t>Sections 2.12(a)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2.12(b)</w:t>
      </w:r>
      <w:r>
        <w:rPr>
          <w:rFonts w:ascii="Arial" w:cs="Arial" w:eastAsia="Arial" w:hAnsi="Arial"/>
          <w:sz w:val="22"/>
          <w:szCs w:val="22"/>
          <w:color w:val="auto"/>
        </w:rPr>
        <w:t xml:space="preserve"> shall be adjusted to give effect to such reallocation; and</w:t>
      </w:r>
    </w:p>
    <w:p>
      <w:pPr>
        <w:spacing w:after="0" w:line="213" w:lineRule="exact"/>
        <w:rPr>
          <w:rFonts w:ascii="Arial" w:cs="Arial" w:eastAsia="Arial" w:hAnsi="Arial"/>
          <w:sz w:val="22"/>
          <w:szCs w:val="22"/>
          <w:color w:val="auto"/>
        </w:rPr>
      </w:pPr>
    </w:p>
    <w:p>
      <w:pPr>
        <w:jc w:val="both"/>
        <w:ind w:left="660" w:firstLine="644"/>
        <w:spacing w:after="0" w:line="248" w:lineRule="auto"/>
        <w:tabs>
          <w:tab w:leader="none" w:pos="2670" w:val="left"/>
        </w:tabs>
        <w:numPr>
          <w:ilvl w:val="1"/>
          <w:numId w:val="203"/>
        </w:numPr>
        <w:rPr>
          <w:rFonts w:ascii="Arial" w:cs="Arial" w:eastAsia="Arial" w:hAnsi="Arial"/>
          <w:sz w:val="21"/>
          <w:szCs w:val="21"/>
          <w:color w:val="auto"/>
        </w:rPr>
      </w:pPr>
      <w:r>
        <w:rPr>
          <w:rFonts w:ascii="Arial" w:cs="Arial" w:eastAsia="Arial" w:hAnsi="Arial"/>
          <w:sz w:val="21"/>
          <w:szCs w:val="21"/>
          <w:color w:val="auto"/>
        </w:rPr>
        <w:t xml:space="preserve">if all or any portion of such Defaulting Lender’s LC Exposure is neither reallocated nor cash collateralized pursuant to clause (i) or (ii) above, then, without prejudice to any rights or remedies of any Issuing Bank or any other Lender hereunder, all participation fees payable under </w:t>
      </w:r>
      <w:r>
        <w:rPr>
          <w:rFonts w:ascii="Arial" w:cs="Arial" w:eastAsia="Arial" w:hAnsi="Arial"/>
          <w:sz w:val="21"/>
          <w:szCs w:val="21"/>
          <w:u w:val="single" w:color="auto"/>
          <w:color w:val="auto"/>
        </w:rPr>
        <w:t>Section 2.12(b)</w:t>
      </w:r>
      <w:r>
        <w:rPr>
          <w:rFonts w:ascii="Arial" w:cs="Arial" w:eastAsia="Arial" w:hAnsi="Arial"/>
          <w:sz w:val="21"/>
          <w:szCs w:val="21"/>
          <w:color w:val="auto"/>
        </w:rPr>
        <w:t xml:space="preserve"> with respect to such Defaulting Lender’s LC Exposure shall be payable to the Issuing Banks (and allocated among them ratably based on the amount of such Defaulting Lender’s LC Exposure attributable to Letters of Credit issued by each Issuing Bank) until and to the extent that such LC Exposure is reallocated and/or cash collateralized; and</w:t>
      </w:r>
    </w:p>
    <w:p>
      <w:pPr>
        <w:spacing w:after="0" w:line="203" w:lineRule="exact"/>
        <w:rPr>
          <w:rFonts w:ascii="Arial" w:cs="Arial" w:eastAsia="Arial" w:hAnsi="Arial"/>
          <w:sz w:val="21"/>
          <w:szCs w:val="21"/>
          <w:color w:val="auto"/>
        </w:rPr>
      </w:pPr>
    </w:p>
    <w:p>
      <w:pPr>
        <w:jc w:val="both"/>
        <w:ind w:firstLine="656"/>
        <w:spacing w:after="0" w:line="279" w:lineRule="auto"/>
        <w:tabs>
          <w:tab w:leader="none" w:pos="1439" w:val="left"/>
        </w:tabs>
        <w:numPr>
          <w:ilvl w:val="0"/>
          <w:numId w:val="204"/>
        </w:numPr>
        <w:rPr>
          <w:rFonts w:ascii="Arial" w:cs="Arial" w:eastAsia="Arial" w:hAnsi="Arial"/>
          <w:sz w:val="19"/>
          <w:szCs w:val="19"/>
          <w:color w:val="auto"/>
        </w:rPr>
      </w:pPr>
      <w:r>
        <w:rPr>
          <w:rFonts w:ascii="Arial" w:cs="Arial" w:eastAsia="Arial" w:hAnsi="Arial"/>
          <w:sz w:val="19"/>
          <w:szCs w:val="19"/>
          <w:color w:val="auto"/>
        </w:rPr>
        <w:t xml:space="preserve">so long as such Lender is a Defaulting Lender, in the case of a Defaulting Lender that is a Revolving Lender, no Issuing Bank shall be required to issue, amend, renew or extend any Letter of Credit unless it is satisfied that the related exposure and the Defaulting Lender’s then outstanding LC Exposure will be fully covered by the Commitments of the Non-Defaulting Revolving Lenders and/or cash collateral provided by the Borrowers in accordance with </w:t>
      </w:r>
      <w:r>
        <w:rPr>
          <w:rFonts w:ascii="Arial" w:cs="Arial" w:eastAsia="Arial" w:hAnsi="Arial"/>
          <w:sz w:val="19"/>
          <w:szCs w:val="19"/>
          <w:u w:val="single" w:color="auto"/>
          <w:color w:val="auto"/>
        </w:rPr>
        <w:t>Section 2.20(c)</w:t>
      </w:r>
      <w:r>
        <w:rPr>
          <w:rFonts w:ascii="Arial" w:cs="Arial" w:eastAsia="Arial" w:hAnsi="Arial"/>
          <w:sz w:val="19"/>
          <w:szCs w:val="19"/>
          <w:color w:val="auto"/>
        </w:rPr>
        <w:t xml:space="preserve">, and participating interests in any such issued, amended, renewed or extended Letter of Credit will be allocated among the Non-Defaulting Revolving Lenders in a manner consistent with </w:t>
      </w:r>
      <w:r>
        <w:rPr>
          <w:rFonts w:ascii="Arial" w:cs="Arial" w:eastAsia="Arial" w:hAnsi="Arial"/>
          <w:sz w:val="19"/>
          <w:szCs w:val="19"/>
          <w:u w:val="single" w:color="auto"/>
          <w:color w:val="auto"/>
        </w:rPr>
        <w:t>Section 2.20(c)(i)</w:t>
      </w:r>
      <w:r>
        <w:rPr>
          <w:rFonts w:ascii="Arial" w:cs="Arial" w:eastAsia="Arial" w:hAnsi="Arial"/>
          <w:sz w:val="19"/>
          <w:szCs w:val="19"/>
          <w:color w:val="auto"/>
        </w:rPr>
        <w:t xml:space="preserve"> (and such Defaulting Lender shall not participate therein).</w:t>
      </w:r>
    </w:p>
    <w:p>
      <w:pPr>
        <w:spacing w:after="0" w:line="17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In the event that (i) a Bankruptcy Event or a Bail-In Action with respect to a direct or indirect parent company of a Lender shall occur following the Effective Date and for so long as such Bankruptcy Event or Bail-In Action shall continue or (ii) any applicable Issuing Bank has a good faith belief that any Lender has defaulted in fulfilling its obligations under one or more other agreements in which such Lender commits to extend credit, such Issuing Bank shall not be required to issue, amend, renew or extend any Letter of Credit, unless such Issuing Bank shall have entered into arrangements with the applicable Borrower or the applicable Revolving Lender, satisfactory to such Issuing Bank to defease any risk to it in respect of such Lender hereunder.</w:t>
      </w:r>
    </w:p>
    <w:p>
      <w:pPr>
        <w:spacing w:after="0" w:line="17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 xml:space="preserve">In the event that the Administrative Agent, the Company and each applicable Issuing Bank each agrees that a Defaulting Lender has adequately remedied all matters that caused the applicable Lender to be a Defaulting Lender, then the LC Exposure of the Revolving Lenders shall be readjusted to reflect the inclusion of such Lender’s Commitment and on such date such Lender shall purchase at par such of the Revolving Loans of the other Revolving Lenders as the Administrative Agent shall determine may be necessary in order for such Lender to hold such Revolving Loans in accordance with its Applicable Percentage;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adjustments will be made retroactively with respect to fees accrued or payments made by or on behalf of the Borrowers while such Lender was a Defaulting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except as otherwise expressly agreed by the affected parties, no change hereunder from a Defaulting Lender to a non-Defaulting Lender will constitute a waiver or release of any claim of any party hereunder arising from such Lender’s having been a Defaulting Lender.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4" w:name="page275"/>
    <w:bookmarkEnd w:id="274"/>
    <w:p>
      <w:pPr>
        <w:jc w:val="center"/>
        <w:ind w:right="-19"/>
        <w:spacing w:after="0"/>
        <w:rPr>
          <w:sz w:val="20"/>
          <w:szCs w:val="20"/>
          <w:color w:val="auto"/>
        </w:rPr>
      </w:pPr>
      <w:r>
        <w:rPr>
          <w:rFonts w:ascii="Arial" w:cs="Arial" w:eastAsia="Arial" w:hAnsi="Arial"/>
          <w:sz w:val="22"/>
          <w:szCs w:val="22"/>
          <w:color w:val="auto"/>
        </w:rPr>
        <w:t>ARTICLE III</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Representations and Warranties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Each Borrower (with respect to itself and, where applicable, its respective Subsidiaries) represents and warrants to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Administrative Agent, each of the Issuing Banks and each of the Lenders that:</w:t>
      </w:r>
    </w:p>
    <w:p>
      <w:pPr>
        <w:spacing w:after="0" w:line="215" w:lineRule="exact"/>
        <w:rPr>
          <w:sz w:val="20"/>
          <w:szCs w:val="20"/>
          <w:color w:val="auto"/>
        </w:rPr>
      </w:pPr>
    </w:p>
    <w:p>
      <w:pPr>
        <w:ind w:right="60" w:firstLine="648"/>
        <w:spacing w:after="0" w:line="245" w:lineRule="auto"/>
        <w:rPr>
          <w:sz w:val="20"/>
          <w:szCs w:val="20"/>
          <w:color w:val="auto"/>
        </w:rPr>
      </w:pPr>
      <w:r>
        <w:rPr>
          <w:rFonts w:ascii="Arial" w:cs="Arial" w:eastAsia="Arial" w:hAnsi="Arial"/>
          <w:sz w:val="21"/>
          <w:szCs w:val="21"/>
          <w:color w:val="auto"/>
        </w:rPr>
        <w:t xml:space="preserve">SECTION 3.01. </w:t>
      </w:r>
      <w:r>
        <w:rPr>
          <w:rFonts w:ascii="Arial" w:cs="Arial" w:eastAsia="Arial" w:hAnsi="Arial"/>
          <w:sz w:val="21"/>
          <w:szCs w:val="21"/>
          <w:u w:val="single" w:color="auto"/>
          <w:color w:val="auto"/>
        </w:rPr>
        <w:t>Organization; Powers</w:t>
      </w:r>
      <w:r>
        <w:rPr>
          <w:rFonts w:ascii="Arial" w:cs="Arial" w:eastAsia="Arial" w:hAnsi="Arial"/>
          <w:sz w:val="21"/>
          <w:szCs w:val="21"/>
          <w:color w:val="auto"/>
        </w:rPr>
        <w:t>. Each Borrower and each Restricted Subsidiary (a) is duly organized, incorporated or established, validly existing and, to the extent that such concept is applicable in the relevant jurisdiction, in good standing under the laws of the jurisdiction of its organization, incorporation or establishment except, in the case of any Restricted Subsidiary that is not a Loan Party, to the extent the failure of such Restricted Subsidiary to be in good standing would not reasonably be expected to have a Material Adverse Effect, (b) has all requisite power and authority, and the legal right, to carry on its business as now conducted and as proposed to be conducted, and (c) except where the failure to do so, individually or in the aggregate, could not reasonably be expected to result in a Material Adverse Effect, is qualified to do business in, and, to the extent that such concept is applicable in the relevant jurisdiction, is in good standing in, every jurisdiction where such qualification is required.</w:t>
      </w:r>
    </w:p>
    <w:p>
      <w:pPr>
        <w:spacing w:after="0" w:line="211" w:lineRule="exact"/>
        <w:rPr>
          <w:sz w:val="20"/>
          <w:szCs w:val="20"/>
          <w:color w:val="auto"/>
        </w:rPr>
      </w:pPr>
    </w:p>
    <w:p>
      <w:pPr>
        <w:ind w:right="80" w:firstLine="648"/>
        <w:spacing w:after="0" w:line="273" w:lineRule="auto"/>
        <w:rPr>
          <w:sz w:val="20"/>
          <w:szCs w:val="20"/>
          <w:color w:val="auto"/>
        </w:rPr>
      </w:pPr>
      <w:r>
        <w:rPr>
          <w:rFonts w:ascii="Arial" w:cs="Arial" w:eastAsia="Arial" w:hAnsi="Arial"/>
          <w:sz w:val="19"/>
          <w:szCs w:val="19"/>
          <w:color w:val="auto"/>
        </w:rPr>
        <w:t xml:space="preserve">SECTION 3.02. </w:t>
      </w:r>
      <w:r>
        <w:rPr>
          <w:rFonts w:ascii="Arial" w:cs="Arial" w:eastAsia="Arial" w:hAnsi="Arial"/>
          <w:sz w:val="19"/>
          <w:szCs w:val="19"/>
          <w:u w:val="single" w:color="auto"/>
          <w:color w:val="auto"/>
        </w:rPr>
        <w:t>Authorization; Due Execution and Delivery; Enforceability</w:t>
      </w:r>
      <w:r>
        <w:rPr>
          <w:rFonts w:ascii="Arial" w:cs="Arial" w:eastAsia="Arial" w:hAnsi="Arial"/>
          <w:sz w:val="19"/>
          <w:szCs w:val="19"/>
          <w:i w:val="1"/>
          <w:iCs w:val="1"/>
          <w:color w:val="auto"/>
        </w:rPr>
        <w:t>.</w:t>
      </w:r>
      <w:r>
        <w:rPr>
          <w:rFonts w:ascii="Arial" w:cs="Arial" w:eastAsia="Arial" w:hAnsi="Arial"/>
          <w:sz w:val="19"/>
          <w:szCs w:val="19"/>
          <w:color w:val="auto"/>
        </w:rPr>
        <w:t xml:space="preserve"> Each Loan Party has all requisite power and authority to execute, deliver and perform its obligations under each Loan Document to which it is a party. The execution, delivery and performance by each Loan Party of each Loan Document to which such Person is a party have been duly authorized by all necessary corporate or other organizational action and, if required, action by the holders of such Loan Party’s Equity Interests. This Agreement has been duly executed and delivered by the Borrowers and constitutes, and each other Loan Document to which any Loan Party is to be a party, when executed and delivered by such Loan Party, will constitute, a legal, valid and binding obligation of the Borrowers or such Loan Party, as applicable, enforceable against such Person in accordance with its terms, subject to applicable bankruptcy, insolvency, fraudulent conveyance, reorganization, moratorium or other laws affecting creditors’ rights generally and subject to general principles of equity, regardless of whether considered in a proceeding in equity or at law and an implied covenant of good faith and fair dealing.</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5" w:name="page276"/>
    <w:bookmarkEnd w:id="275"/>
    <w:p>
      <w:pPr>
        <w:ind w:firstLine="648"/>
        <w:spacing w:after="0" w:line="271" w:lineRule="auto"/>
        <w:rPr>
          <w:sz w:val="20"/>
          <w:szCs w:val="20"/>
          <w:color w:val="auto"/>
        </w:rPr>
      </w:pPr>
      <w:r>
        <w:rPr>
          <w:rFonts w:ascii="Arial" w:cs="Arial" w:eastAsia="Arial" w:hAnsi="Arial"/>
          <w:sz w:val="19"/>
          <w:szCs w:val="19"/>
          <w:color w:val="auto"/>
        </w:rPr>
        <w:t xml:space="preserve">SECTION 3.03. </w:t>
      </w:r>
      <w:r>
        <w:rPr>
          <w:rFonts w:ascii="Arial" w:cs="Arial" w:eastAsia="Arial" w:hAnsi="Arial"/>
          <w:sz w:val="19"/>
          <w:szCs w:val="19"/>
          <w:u w:val="single" w:color="auto"/>
          <w:color w:val="auto"/>
        </w:rPr>
        <w:t>Governmental Approvals; No Conflicts</w:t>
      </w:r>
      <w:r>
        <w:rPr>
          <w:rFonts w:ascii="Arial" w:cs="Arial" w:eastAsia="Arial" w:hAnsi="Arial"/>
          <w:sz w:val="19"/>
          <w:szCs w:val="19"/>
          <w:color w:val="auto"/>
        </w:rPr>
        <w:t>. The execution, delivery and performance by each Loan Party of each Loan Document to which such Person is a party (a) as of the date such Loan Document is executed, will not require any consent or approval of, registration or filing with, or any other action by, any Governmental Authority, except such as have been obtained or made and are in full force and effect and except (i) registrations or filings necessary to perfect Liens created under the Loan Documents and payment of applicable stamp duty in respect of the Loan Documents, (ii) consents, approvals, registrations or filings which have been obtained or made and are in full force and effect or (iii) where failure to obtain such consent or approval, or make such registration or filing, in the aggregate, could not reasonably be expected to have a Material Adverse Effect, (b) will not violate any Requirement of Law applicable to a Borrower or any Restricted Subsidiary, (c) will not violate or result (alone or with notice or lapse of time or both) in a default under any indenture, agreement or other instrument binding upon a Borrower or any Restricted Subsidiary or their respective assets, or give rise to a right thereunder to require any payment, repurchase or redemption to be made by a Borrower or any Restricted Subsidiary or give rise to a right of, or result in, termination, cancelation or acceleration of any obligation thereunder, except with respect to any violation, default, payment, repurchase, redemption, termination, cancellation or acceleration that would not reasonably be expected to have a Material Adverse Effect and (d) will not result in the creation or imposition of any Lien on any asset now owned or hereafter acquired by a Borrower or any Restricted Subsidiary, except Liens created under the Loan Documents.</w:t>
      </w:r>
    </w:p>
    <w:p>
      <w:pPr>
        <w:spacing w:after="0" w:line="188"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22"/>
          <w:szCs w:val="22"/>
          <w:color w:val="auto"/>
        </w:rPr>
        <w:t>SECTION 3.04.</w:t>
      </w:r>
      <w:r>
        <w:rPr>
          <w:sz w:val="20"/>
          <w:szCs w:val="20"/>
          <w:color w:val="auto"/>
        </w:rPr>
        <w:tab/>
      </w:r>
      <w:r>
        <w:rPr>
          <w:rFonts w:ascii="Arial" w:cs="Arial" w:eastAsia="Arial" w:hAnsi="Arial"/>
          <w:sz w:val="19"/>
          <w:szCs w:val="19"/>
          <w:u w:val="single" w:color="auto"/>
          <w:color w:val="auto"/>
        </w:rPr>
        <w:t>Financial Condition; No Material Adverse Change</w:t>
      </w:r>
    </w:p>
    <w:p>
      <w:pPr>
        <w:spacing w:after="0" w:line="233" w:lineRule="exact"/>
        <w:rPr>
          <w:sz w:val="20"/>
          <w:szCs w:val="20"/>
          <w:color w:val="auto"/>
        </w:rPr>
      </w:pPr>
    </w:p>
    <w:p>
      <w:pPr>
        <w:jc w:val="both"/>
        <w:ind w:firstLine="656"/>
        <w:spacing w:after="0" w:line="246" w:lineRule="auto"/>
        <w:tabs>
          <w:tab w:leader="none" w:pos="1318" w:val="left"/>
        </w:tabs>
        <w:numPr>
          <w:ilvl w:val="0"/>
          <w:numId w:val="205"/>
        </w:numPr>
        <w:rPr>
          <w:rFonts w:ascii="Arial" w:cs="Arial" w:eastAsia="Arial" w:hAnsi="Arial"/>
          <w:sz w:val="21"/>
          <w:szCs w:val="21"/>
          <w:color w:val="auto"/>
        </w:rPr>
      </w:pPr>
      <w:r>
        <w:rPr>
          <w:rFonts w:ascii="Arial" w:cs="Arial" w:eastAsia="Arial" w:hAnsi="Arial"/>
          <w:sz w:val="21"/>
          <w:szCs w:val="21"/>
          <w:color w:val="auto"/>
        </w:rPr>
        <w:t>The Company heretofore furnished to the Administrative Agent (i) the Company’s audited consolidated balance sheets and the related consolidated statements of operations, shareholder’s equity and cash flows as of and for the fiscal years ended December 31, 2017, December 31, 2018 and December 31, 2019 and (ii) the unaudited consolidated balance sheets and related statements of income, comprehensive income, changes in stockholders’ equity and cash flows of the Company, subject to normal year-end adjustments, for the fiscal quarters ended on or about March 31, 2020, June 30, 2020 and September 30, 2020. Such financial statements present fairly, in all material respects, the financial position and results of operations and cash flows of the Company and its Subsidiaries on a consolidated basis as of such dates and for such periods in accordance with GAAP consistently applied.</w:t>
      </w:r>
    </w:p>
    <w:p>
      <w:pPr>
        <w:spacing w:after="0" w:line="206" w:lineRule="exact"/>
        <w:rPr>
          <w:rFonts w:ascii="Arial" w:cs="Arial" w:eastAsia="Arial" w:hAnsi="Arial"/>
          <w:sz w:val="21"/>
          <w:szCs w:val="21"/>
          <w:color w:val="auto"/>
        </w:rPr>
      </w:pPr>
    </w:p>
    <w:p>
      <w:pPr>
        <w:ind w:right="20" w:firstLine="656"/>
        <w:spacing w:after="0" w:line="250" w:lineRule="auto"/>
        <w:tabs>
          <w:tab w:leader="none" w:pos="1507" w:val="left"/>
        </w:tabs>
        <w:numPr>
          <w:ilvl w:val="0"/>
          <w:numId w:val="205"/>
        </w:numPr>
        <w:rPr>
          <w:rFonts w:ascii="Arial" w:cs="Arial" w:eastAsia="Arial" w:hAnsi="Arial"/>
          <w:sz w:val="22"/>
          <w:szCs w:val="22"/>
          <w:color w:val="auto"/>
        </w:rPr>
      </w:pPr>
      <w:r>
        <w:rPr>
          <w:rFonts w:ascii="Arial" w:cs="Arial" w:eastAsia="Arial" w:hAnsi="Arial"/>
          <w:sz w:val="22"/>
          <w:szCs w:val="22"/>
          <w:color w:val="auto"/>
        </w:rPr>
        <w:t>No event, change or condition has occurred that has had, or would reasonably be expected to have, a Material Adverse Effect since December 31, 2019.</w:t>
      </w:r>
    </w:p>
    <w:p>
      <w:pPr>
        <w:spacing w:after="0" w:line="202" w:lineRule="exact"/>
        <w:rPr>
          <w:sz w:val="20"/>
          <w:szCs w:val="20"/>
          <w:color w:val="auto"/>
        </w:rPr>
      </w:pPr>
    </w:p>
    <w:p>
      <w:pPr>
        <w:ind w:left="660"/>
        <w:spacing w:after="0"/>
        <w:tabs>
          <w:tab w:leader="none" w:pos="2300" w:val="left"/>
        </w:tabs>
        <w:rPr>
          <w:sz w:val="20"/>
          <w:szCs w:val="20"/>
          <w:color w:val="auto"/>
        </w:rPr>
      </w:pPr>
      <w:r>
        <w:rPr>
          <w:rFonts w:ascii="Arial" w:cs="Arial" w:eastAsia="Arial" w:hAnsi="Arial"/>
          <w:sz w:val="22"/>
          <w:szCs w:val="22"/>
          <w:color w:val="auto"/>
        </w:rPr>
        <w:t>SECTION 3.05.</w:t>
      </w:r>
      <w:r>
        <w:rPr>
          <w:sz w:val="20"/>
          <w:szCs w:val="20"/>
          <w:color w:val="auto"/>
        </w:rPr>
        <w:tab/>
      </w:r>
      <w:r>
        <w:rPr>
          <w:rFonts w:ascii="Arial" w:cs="Arial" w:eastAsia="Arial" w:hAnsi="Arial"/>
          <w:sz w:val="19"/>
          <w:szCs w:val="19"/>
          <w:u w:val="single" w:color="auto"/>
          <w:color w:val="auto"/>
        </w:rPr>
        <w:t>Properties</w:t>
      </w:r>
    </w:p>
    <w:p>
      <w:pPr>
        <w:spacing w:after="0" w:line="233" w:lineRule="exact"/>
        <w:rPr>
          <w:sz w:val="20"/>
          <w:szCs w:val="20"/>
          <w:color w:val="auto"/>
        </w:rPr>
      </w:pPr>
    </w:p>
    <w:p>
      <w:pPr>
        <w:jc w:val="both"/>
        <w:ind w:firstLine="656"/>
        <w:spacing w:after="0" w:line="235" w:lineRule="auto"/>
        <w:tabs>
          <w:tab w:leader="none" w:pos="1329" w:val="left"/>
        </w:tabs>
        <w:numPr>
          <w:ilvl w:val="0"/>
          <w:numId w:val="206"/>
        </w:numPr>
        <w:rPr>
          <w:rFonts w:ascii="Arial" w:cs="Arial" w:eastAsia="Arial" w:hAnsi="Arial"/>
          <w:sz w:val="22"/>
          <w:szCs w:val="22"/>
          <w:color w:val="auto"/>
        </w:rPr>
      </w:pPr>
      <w:r>
        <w:rPr>
          <w:rFonts w:ascii="Arial" w:cs="Arial" w:eastAsia="Arial" w:hAnsi="Arial"/>
          <w:sz w:val="22"/>
          <w:szCs w:val="22"/>
          <w:color w:val="auto"/>
        </w:rPr>
        <w:t xml:space="preserve">Each Borrower and each Restricted Subsidiary has good and marketable title to, all its property necessary for the conduct of its business (including the Mortgaged Properties), except for minor defects in title that do not interfere with its ability to conduct its business as currently conducted or as proposed to be conducted or to utilize such properties for their intended purposes. All such property is free and clear of Liens, other than Liens expressly permitted by </w:t>
      </w:r>
      <w:r>
        <w:rPr>
          <w:rFonts w:ascii="Arial" w:cs="Arial" w:eastAsia="Arial" w:hAnsi="Arial"/>
          <w:sz w:val="22"/>
          <w:szCs w:val="22"/>
          <w:u w:val="single" w:color="auto"/>
          <w:color w:val="auto"/>
        </w:rPr>
        <w:t>Section 6.02</w:t>
      </w:r>
      <w:r>
        <w:rPr>
          <w:rFonts w:ascii="Arial" w:cs="Arial" w:eastAsia="Arial" w:hAnsi="Arial"/>
          <w:sz w:val="22"/>
          <w:szCs w:val="22"/>
          <w:color w:val="auto"/>
        </w:rPr>
        <w:t>. Each Borrower and each Restricted Subsidiary is the legal and beneficial owner of the property necessary for the conduct of its business (including the Mortgaged Properties).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6" w:name="page277"/>
    <w:bookmarkEnd w:id="276"/>
    <w:p>
      <w:pPr>
        <w:jc w:val="both"/>
        <w:ind w:firstLine="656"/>
        <w:spacing w:after="0" w:line="272" w:lineRule="auto"/>
        <w:tabs>
          <w:tab w:leader="none" w:pos="1619" w:val="left"/>
        </w:tabs>
        <w:numPr>
          <w:ilvl w:val="0"/>
          <w:numId w:val="207"/>
        </w:numPr>
        <w:rPr>
          <w:rFonts w:ascii="Arial" w:cs="Arial" w:eastAsia="Arial" w:hAnsi="Arial"/>
          <w:sz w:val="19"/>
          <w:szCs w:val="19"/>
          <w:color w:val="auto"/>
        </w:rPr>
      </w:pPr>
      <w:r>
        <w:rPr>
          <w:rFonts w:ascii="Arial" w:cs="Arial" w:eastAsia="Arial" w:hAnsi="Arial"/>
          <w:sz w:val="19"/>
          <w:szCs w:val="19"/>
          <w:color w:val="auto"/>
        </w:rPr>
        <w:t>Each Borrower and each Restricted Subsidiary owns, or has secured the rights to use, all trademarks, trade names, copyrights, patents and other intellectual property used in its business as currently conducted, and the operation of the respective businesses as currently operated by each Borrower and each Restricted Subsidiary does not infringe upon, misappropriate or otherwise violate the rights of any other Person, except, in each case, for any such failures to own or have rights to use, or any such infringements that, individually or in the aggregate, could not reasonably be expected to result in a Material Adverse Effect. No claim or litigation regarding any trademarks, trade names, copyrights, patents or other intellectual property (i) owned by a Borrower or any Restricted Subsidiary is pending; (ii) used by a Borrower or any Restricted Subsidiary, to the Knowledge of the Borrowers or any Restricted Subsidiary, is pending; or (iii) owned or used by a Borrower or any Restricted Subsidiary, to the Knowledge of the Borrowers or any Restricted Subsidiary, is threatened against a Borrower or any Restricted Subsidiary that, in each of (i), (ii) and (iii) individually or in the aggregate, could reasonably be expected to result in a Material Adverse Effect. Each Borrower and Restricted Subsidiary has taken commercially reasonable measures to protect and maintain the confidentiality of its material trade secrets.</w:t>
      </w:r>
    </w:p>
    <w:p>
      <w:pPr>
        <w:spacing w:after="0" w:line="200" w:lineRule="exact"/>
        <w:rPr>
          <w:rFonts w:ascii="Arial" w:cs="Arial" w:eastAsia="Arial" w:hAnsi="Arial"/>
          <w:sz w:val="19"/>
          <w:szCs w:val="19"/>
          <w:color w:val="auto"/>
        </w:rPr>
      </w:pPr>
    </w:p>
    <w:p>
      <w:pPr>
        <w:spacing w:after="0" w:line="235" w:lineRule="exact"/>
        <w:rPr>
          <w:rFonts w:ascii="Arial" w:cs="Arial" w:eastAsia="Arial" w:hAnsi="Arial"/>
          <w:sz w:val="19"/>
          <w:szCs w:val="19"/>
          <w:color w:val="auto"/>
        </w:rPr>
      </w:pPr>
    </w:p>
    <w:p>
      <w:pPr>
        <w:jc w:val="both"/>
        <w:ind w:firstLine="656"/>
        <w:spacing w:after="0" w:line="235" w:lineRule="auto"/>
        <w:tabs>
          <w:tab w:leader="none" w:pos="1532" w:val="left"/>
        </w:tabs>
        <w:numPr>
          <w:ilvl w:val="0"/>
          <w:numId w:val="207"/>
        </w:numPr>
        <w:rPr>
          <w:rFonts w:ascii="Arial" w:cs="Arial" w:eastAsia="Arial" w:hAnsi="Arial"/>
          <w:sz w:val="22"/>
          <w:szCs w:val="22"/>
          <w:color w:val="auto"/>
        </w:rPr>
      </w:pPr>
      <w:r>
        <w:rPr>
          <w:rFonts w:ascii="Arial" w:cs="Arial" w:eastAsia="Arial" w:hAnsi="Arial"/>
          <w:sz w:val="22"/>
          <w:szCs w:val="22"/>
          <w:color w:val="auto"/>
        </w:rPr>
        <w:t>As of the Effective Date, none of the Borrowers or any Restricted Subsidiary has received notice of, or has Knowledge of, any pending or contemplated condemnation proceeding affecting any Mortgaged Property or any sale or disposition thereof in lieu of condemnation, or any dispute in relation to the Mortgaged Property, any breach of any of the covenants affecting the title to the Mortgaged Property or, where such property is leasehold, any of the covenants within the relevant lease. Neither any Mortgaged Property nor any interest therein is subject to any right of first refusal, option or other contractual right to purchase such Mortgaged Property or interest therein.</w:t>
      </w:r>
    </w:p>
    <w:p>
      <w:pPr>
        <w:spacing w:after="0" w:line="215" w:lineRule="exact"/>
        <w:rPr>
          <w:sz w:val="20"/>
          <w:szCs w:val="20"/>
          <w:color w:val="auto"/>
        </w:rPr>
      </w:pPr>
    </w:p>
    <w:p>
      <w:pPr>
        <w:ind w:left="660"/>
        <w:spacing w:after="0"/>
        <w:tabs>
          <w:tab w:leader="none" w:pos="2300" w:val="left"/>
        </w:tabs>
        <w:rPr>
          <w:sz w:val="20"/>
          <w:szCs w:val="20"/>
          <w:color w:val="auto"/>
        </w:rPr>
      </w:pPr>
      <w:r>
        <w:rPr>
          <w:rFonts w:ascii="Arial" w:cs="Arial" w:eastAsia="Arial" w:hAnsi="Arial"/>
          <w:sz w:val="22"/>
          <w:szCs w:val="22"/>
          <w:color w:val="auto"/>
        </w:rPr>
        <w:t>SECTION 3.06.</w:t>
      </w:r>
      <w:r>
        <w:rPr>
          <w:sz w:val="20"/>
          <w:szCs w:val="20"/>
          <w:color w:val="auto"/>
        </w:rPr>
        <w:tab/>
      </w:r>
      <w:r>
        <w:rPr>
          <w:rFonts w:ascii="Arial" w:cs="Arial" w:eastAsia="Arial" w:hAnsi="Arial"/>
          <w:sz w:val="19"/>
          <w:szCs w:val="19"/>
          <w:u w:val="single" w:color="auto"/>
          <w:color w:val="auto"/>
        </w:rPr>
        <w:t>Litigation and Environmental Matters</w:t>
      </w:r>
    </w:p>
    <w:p>
      <w:pPr>
        <w:spacing w:after="0" w:line="233" w:lineRule="exact"/>
        <w:rPr>
          <w:sz w:val="20"/>
          <w:szCs w:val="20"/>
          <w:color w:val="auto"/>
        </w:rPr>
      </w:pPr>
    </w:p>
    <w:p>
      <w:pPr>
        <w:jc w:val="both"/>
        <w:ind w:firstLine="656"/>
        <w:spacing w:after="0" w:line="282" w:lineRule="auto"/>
        <w:tabs>
          <w:tab w:leader="none" w:pos="1492" w:val="left"/>
        </w:tabs>
        <w:numPr>
          <w:ilvl w:val="0"/>
          <w:numId w:val="208"/>
        </w:numPr>
        <w:rPr>
          <w:rFonts w:ascii="Arial" w:cs="Arial" w:eastAsia="Arial" w:hAnsi="Arial"/>
          <w:sz w:val="19"/>
          <w:szCs w:val="19"/>
          <w:color w:val="auto"/>
        </w:rPr>
      </w:pPr>
      <w:r>
        <w:rPr>
          <w:rFonts w:ascii="Arial" w:cs="Arial" w:eastAsia="Arial" w:hAnsi="Arial"/>
          <w:sz w:val="19"/>
          <w:szCs w:val="19"/>
          <w:color w:val="auto"/>
        </w:rPr>
        <w:t xml:space="preserve">There are no actions, suits, investigations or proceedings at law or in equity or by or before any arbitrator or Governmental Authority pending against or, to the Knowledge of the Borrowers or any Restricted Subsidiary, threatened against or affecting a Borrower or any Restricted Subsidiary or any business, property or rights (other than intellectual property rights, which are addressed in </w:t>
      </w:r>
      <w:r>
        <w:rPr>
          <w:rFonts w:ascii="Arial" w:cs="Arial" w:eastAsia="Arial" w:hAnsi="Arial"/>
          <w:sz w:val="19"/>
          <w:szCs w:val="19"/>
          <w:u w:val="single" w:color="auto"/>
          <w:color w:val="auto"/>
        </w:rPr>
        <w:t>Section 3.05(b)</w:t>
      </w:r>
      <w:r>
        <w:rPr>
          <w:rFonts w:ascii="Arial" w:cs="Arial" w:eastAsia="Arial" w:hAnsi="Arial"/>
          <w:sz w:val="19"/>
          <w:szCs w:val="19"/>
          <w:color w:val="auto"/>
        </w:rPr>
        <w:t>) of any such Person (i) that could reasonably be expected, individually or in the aggregate, to result in a Material Adverse Effect or (ii) that involve any of the Loan Documents.</w:t>
      </w:r>
    </w:p>
    <w:p>
      <w:pPr>
        <w:spacing w:after="0" w:line="174" w:lineRule="exact"/>
        <w:rPr>
          <w:rFonts w:ascii="Arial" w:cs="Arial" w:eastAsia="Arial" w:hAnsi="Arial"/>
          <w:sz w:val="19"/>
          <w:szCs w:val="19"/>
          <w:color w:val="auto"/>
        </w:rPr>
      </w:pPr>
    </w:p>
    <w:p>
      <w:pPr>
        <w:ind w:firstLine="656"/>
        <w:spacing w:after="0" w:line="250" w:lineRule="auto"/>
        <w:tabs>
          <w:tab w:leader="none" w:pos="1545" w:val="left"/>
        </w:tabs>
        <w:numPr>
          <w:ilvl w:val="0"/>
          <w:numId w:val="208"/>
        </w:numPr>
        <w:rPr>
          <w:rFonts w:ascii="Arial" w:cs="Arial" w:eastAsia="Arial" w:hAnsi="Arial"/>
          <w:sz w:val="22"/>
          <w:szCs w:val="22"/>
          <w:color w:val="auto"/>
        </w:rPr>
      </w:pPr>
      <w:r>
        <w:rPr>
          <w:rFonts w:ascii="Arial" w:cs="Arial" w:eastAsia="Arial" w:hAnsi="Arial"/>
          <w:sz w:val="22"/>
          <w:szCs w:val="22"/>
          <w:color w:val="auto"/>
        </w:rPr>
        <w:t>Except with respect to any matters that, individually or in the aggregate, could not reasonably be expected to result in a Material Adverse Effect:</w:t>
      </w:r>
    </w:p>
    <w:p>
      <w:pPr>
        <w:spacing w:after="0" w:line="201" w:lineRule="exact"/>
        <w:rPr>
          <w:rFonts w:ascii="Arial" w:cs="Arial" w:eastAsia="Arial" w:hAnsi="Arial"/>
          <w:sz w:val="22"/>
          <w:szCs w:val="22"/>
          <w:color w:val="auto"/>
        </w:rPr>
      </w:pPr>
    </w:p>
    <w:p>
      <w:pPr>
        <w:jc w:val="both"/>
        <w:ind w:left="660" w:firstLine="644"/>
        <w:spacing w:after="0"/>
        <w:tabs>
          <w:tab w:leader="none" w:pos="2074" w:val="left"/>
        </w:tabs>
        <w:numPr>
          <w:ilvl w:val="1"/>
          <w:numId w:val="208"/>
        </w:numPr>
        <w:rPr>
          <w:rFonts w:ascii="Arial" w:cs="Arial" w:eastAsia="Arial" w:hAnsi="Arial"/>
          <w:sz w:val="22"/>
          <w:szCs w:val="22"/>
          <w:color w:val="auto"/>
        </w:rPr>
      </w:pPr>
      <w:r>
        <w:rPr>
          <w:rFonts w:ascii="Arial" w:cs="Arial" w:eastAsia="Arial" w:hAnsi="Arial"/>
          <w:sz w:val="22"/>
          <w:szCs w:val="22"/>
          <w:color w:val="auto"/>
        </w:rPr>
        <w:t>Each of the Borrowers and each Restricted Subsidiary is in compliance with all applicable Environmental Laws and has obtained, maintains and is in compliance with all permits, licenses and other approvals required under applicable Environmental Laws,</w:t>
      </w:r>
    </w:p>
    <w:p>
      <w:pPr>
        <w:spacing w:after="0" w:line="213" w:lineRule="exact"/>
        <w:rPr>
          <w:rFonts w:ascii="Arial" w:cs="Arial" w:eastAsia="Arial" w:hAnsi="Arial"/>
          <w:sz w:val="22"/>
          <w:szCs w:val="22"/>
          <w:color w:val="auto"/>
        </w:rPr>
      </w:pPr>
    </w:p>
    <w:p>
      <w:pPr>
        <w:ind w:left="660" w:firstLine="644"/>
        <w:spacing w:after="0" w:line="250" w:lineRule="auto"/>
        <w:tabs>
          <w:tab w:leader="none" w:pos="2301" w:val="left"/>
        </w:tabs>
        <w:numPr>
          <w:ilvl w:val="1"/>
          <w:numId w:val="208"/>
        </w:numPr>
        <w:rPr>
          <w:rFonts w:ascii="Arial" w:cs="Arial" w:eastAsia="Arial" w:hAnsi="Arial"/>
          <w:sz w:val="22"/>
          <w:szCs w:val="22"/>
          <w:color w:val="auto"/>
        </w:rPr>
      </w:pPr>
      <w:r>
        <w:rPr>
          <w:rFonts w:ascii="Arial" w:cs="Arial" w:eastAsia="Arial" w:hAnsi="Arial"/>
          <w:sz w:val="22"/>
          <w:szCs w:val="22"/>
          <w:color w:val="auto"/>
        </w:rPr>
        <w:t>None of the Borrowers or any Restricted Subsidiary is subject to any Environmental Liability or has received notice of any claim with respect to any Environmental Liability,</w:t>
      </w:r>
    </w:p>
    <w:p>
      <w:pPr>
        <w:spacing w:after="0" w:line="201" w:lineRule="exact"/>
        <w:rPr>
          <w:rFonts w:ascii="Arial" w:cs="Arial" w:eastAsia="Arial" w:hAnsi="Arial"/>
          <w:sz w:val="22"/>
          <w:szCs w:val="22"/>
          <w:color w:val="auto"/>
        </w:rPr>
      </w:pPr>
    </w:p>
    <w:p>
      <w:pPr>
        <w:jc w:val="both"/>
        <w:ind w:left="660" w:firstLine="644"/>
        <w:spacing w:after="0" w:line="282" w:lineRule="auto"/>
        <w:tabs>
          <w:tab w:leader="none" w:pos="2356" w:val="left"/>
        </w:tabs>
        <w:numPr>
          <w:ilvl w:val="1"/>
          <w:numId w:val="208"/>
        </w:numPr>
        <w:rPr>
          <w:rFonts w:ascii="Arial" w:cs="Arial" w:eastAsia="Arial" w:hAnsi="Arial"/>
          <w:sz w:val="19"/>
          <w:szCs w:val="19"/>
          <w:color w:val="auto"/>
        </w:rPr>
      </w:pPr>
      <w:r>
        <w:rPr>
          <w:rFonts w:ascii="Arial" w:cs="Arial" w:eastAsia="Arial" w:hAnsi="Arial"/>
          <w:sz w:val="19"/>
          <w:szCs w:val="19"/>
          <w:color w:val="auto"/>
        </w:rPr>
        <w:t>None of the Borrowers or any Restricted Subsidiary has any present or, to the Knowledge of the Borrowers or any Restricted Subsidiary, past operations or properties subject to any federal, state or local investigation to determine whether any remedial action is needed to address any Release of Hazardous Materials, and to the Knowledge of the Borrowers, there has been no Release of Hazardous Materials in connection with such operations or at such properties that would reasonably be expected to result in any Environmental Liability to any Borrower or Restricted Subsidiary.</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7" w:name="page278"/>
    <w:bookmarkEnd w:id="277"/>
    <w:p>
      <w:pPr>
        <w:ind w:right="100" w:firstLine="648"/>
        <w:spacing w:after="0" w:line="238" w:lineRule="auto"/>
        <w:rPr>
          <w:sz w:val="20"/>
          <w:szCs w:val="20"/>
          <w:color w:val="auto"/>
        </w:rPr>
      </w:pPr>
      <w:r>
        <w:rPr>
          <w:rFonts w:ascii="Arial" w:cs="Arial" w:eastAsia="Arial" w:hAnsi="Arial"/>
          <w:sz w:val="22"/>
          <w:szCs w:val="22"/>
          <w:color w:val="auto"/>
        </w:rPr>
        <w:t xml:space="preserve">SECTION 3.07. </w:t>
      </w:r>
      <w:r>
        <w:rPr>
          <w:rFonts w:ascii="Arial" w:cs="Arial" w:eastAsia="Arial" w:hAnsi="Arial"/>
          <w:sz w:val="22"/>
          <w:szCs w:val="22"/>
          <w:u w:val="single" w:color="auto"/>
          <w:color w:val="auto"/>
        </w:rPr>
        <w:t>Compliance with Laws</w:t>
      </w:r>
      <w:r>
        <w:rPr>
          <w:rFonts w:ascii="Arial" w:cs="Arial" w:eastAsia="Arial" w:hAnsi="Arial"/>
          <w:sz w:val="22"/>
          <w:szCs w:val="22"/>
          <w:color w:val="auto"/>
        </w:rPr>
        <w:t>. Each Borrower and each of its Restricted Subsidiaries is in compliance with all laws, regulations and orders of any Governmental Authority applicable to it or its property and all indentures, agreements and other instruments binding upon it or its property, except where the failure to do so, individually or in the aggregate, could not reasonably be expected to result in a Material Adverse Effect.</w:t>
      </w:r>
    </w:p>
    <w:p>
      <w:pPr>
        <w:spacing w:after="0" w:line="212"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22"/>
          <w:szCs w:val="22"/>
          <w:color w:val="auto"/>
        </w:rPr>
        <w:t>SECTION 3.08.</w:t>
      </w:r>
      <w:r>
        <w:rPr>
          <w:sz w:val="20"/>
          <w:szCs w:val="20"/>
          <w:color w:val="auto"/>
        </w:rPr>
        <w:tab/>
      </w:r>
      <w:r>
        <w:rPr>
          <w:rFonts w:ascii="Arial" w:cs="Arial" w:eastAsia="Arial" w:hAnsi="Arial"/>
          <w:sz w:val="19"/>
          <w:szCs w:val="19"/>
          <w:u w:val="single" w:color="auto"/>
          <w:color w:val="auto"/>
        </w:rPr>
        <w:t>Anti-Terrorism Laws; Anti-Corruption Laws</w:t>
      </w:r>
    </w:p>
    <w:p>
      <w:pPr>
        <w:spacing w:after="0" w:line="233" w:lineRule="exact"/>
        <w:rPr>
          <w:sz w:val="20"/>
          <w:szCs w:val="20"/>
          <w:color w:val="auto"/>
        </w:rPr>
      </w:pPr>
    </w:p>
    <w:p>
      <w:pPr>
        <w:jc w:val="both"/>
        <w:ind w:firstLine="656"/>
        <w:spacing w:after="0" w:line="238" w:lineRule="auto"/>
        <w:tabs>
          <w:tab w:leader="none" w:pos="1383" w:val="left"/>
        </w:tabs>
        <w:numPr>
          <w:ilvl w:val="0"/>
          <w:numId w:val="209"/>
        </w:numPr>
        <w:rPr>
          <w:rFonts w:ascii="Arial" w:cs="Arial" w:eastAsia="Arial" w:hAnsi="Arial"/>
          <w:sz w:val="22"/>
          <w:szCs w:val="22"/>
          <w:color w:val="auto"/>
        </w:rPr>
      </w:pPr>
      <w:r>
        <w:rPr>
          <w:rFonts w:ascii="Arial" w:cs="Arial" w:eastAsia="Arial" w:hAnsi="Arial"/>
          <w:sz w:val="22"/>
          <w:szCs w:val="22"/>
          <w:color w:val="auto"/>
        </w:rPr>
        <w:t>To the extent applicable, the Borrowers and the Restricted Subsidiaries are in compliance, in all material respects, with (i) the Trading with the Enemy Act, as amended, and each of the foreign assets control regulations of the United States Treasury Department (31 CFR, Subtitle B, Chapter V, as amended) and any other enabling legislation or executive order relating thereto, and (ii) the USA PATRIOT Act.</w:t>
      </w:r>
    </w:p>
    <w:p>
      <w:pPr>
        <w:spacing w:after="0" w:line="211" w:lineRule="exact"/>
        <w:rPr>
          <w:rFonts w:ascii="Arial" w:cs="Arial" w:eastAsia="Arial" w:hAnsi="Arial"/>
          <w:sz w:val="22"/>
          <w:szCs w:val="22"/>
          <w:color w:val="auto"/>
        </w:rPr>
      </w:pPr>
    </w:p>
    <w:p>
      <w:pPr>
        <w:jc w:val="both"/>
        <w:ind w:firstLine="656"/>
        <w:spacing w:after="0" w:line="273" w:lineRule="auto"/>
        <w:tabs>
          <w:tab w:leader="none" w:pos="1363" w:val="left"/>
        </w:tabs>
        <w:numPr>
          <w:ilvl w:val="0"/>
          <w:numId w:val="209"/>
        </w:numPr>
        <w:rPr>
          <w:rFonts w:ascii="Arial" w:cs="Arial" w:eastAsia="Arial" w:hAnsi="Arial"/>
          <w:sz w:val="19"/>
          <w:szCs w:val="19"/>
          <w:color w:val="auto"/>
        </w:rPr>
      </w:pPr>
      <w:r>
        <w:rPr>
          <w:rFonts w:ascii="Arial" w:cs="Arial" w:eastAsia="Arial" w:hAnsi="Arial"/>
          <w:sz w:val="19"/>
          <w:szCs w:val="19"/>
          <w:color w:val="auto"/>
        </w:rPr>
        <w:t>The Borrowers have implemented and maintain in effect policies and procedures designed to ensure compliance by the Borrowers, their Subsidiaries and their respective directors, officers, employees and agents (in each case, in their capacity related to the Borrowers or their Subsidiaries) with Anti-Corruption Laws and applicable Sanctions, and the Borrowers, their Subsidiaries and their respective officers and directors and to the Knowledge of the Borrowers their employees and agents (in each case, in their capacity related to the Borrowers or their Subsidiaries), are in compliance with Anti-Corruption Laws and applicable Sanctions in all material respects and are not knowingly engaged in any activity that would reasonably be expected to result in a Borrower being designated as a Sanctioned Person. None of (a) the Borrowers, any Subsidiary, any of their respective directors or officers or employees, or (b) to the Knowledge of the Borrowers, any agent of the Borrowers or any Subsidiary that will act in any capacity in connection with or benefit from the credit facility established hereby, is a Sanctioned Person. No Borrowing or Letter of Credit, use of proceeds or Transaction will violate any Anti-Corruption Law or applicable Sanctions.</w:t>
      </w:r>
    </w:p>
    <w:p>
      <w:pPr>
        <w:spacing w:after="0" w:line="188" w:lineRule="exact"/>
        <w:rPr>
          <w:sz w:val="20"/>
          <w:szCs w:val="20"/>
          <w:color w:val="auto"/>
        </w:rPr>
      </w:pPr>
    </w:p>
    <w:p>
      <w:pPr>
        <w:ind w:right="220" w:firstLine="648"/>
        <w:spacing w:after="0" w:line="250" w:lineRule="auto"/>
        <w:rPr>
          <w:sz w:val="20"/>
          <w:szCs w:val="20"/>
          <w:color w:val="auto"/>
        </w:rPr>
      </w:pPr>
      <w:r>
        <w:rPr>
          <w:rFonts w:ascii="Arial" w:cs="Arial" w:eastAsia="Arial" w:hAnsi="Arial"/>
          <w:sz w:val="22"/>
          <w:szCs w:val="22"/>
          <w:color w:val="auto"/>
        </w:rPr>
        <w:t xml:space="preserve">SECTION 3.09. </w:t>
      </w:r>
      <w:r>
        <w:rPr>
          <w:rFonts w:ascii="Arial" w:cs="Arial" w:eastAsia="Arial" w:hAnsi="Arial"/>
          <w:sz w:val="22"/>
          <w:szCs w:val="22"/>
          <w:u w:val="single" w:color="auto"/>
          <w:color w:val="auto"/>
        </w:rPr>
        <w:t>Investment Company Status</w:t>
      </w:r>
      <w:r>
        <w:rPr>
          <w:rFonts w:ascii="Arial" w:cs="Arial" w:eastAsia="Arial" w:hAnsi="Arial"/>
          <w:sz w:val="22"/>
          <w:szCs w:val="22"/>
          <w:color w:val="auto"/>
        </w:rPr>
        <w:t>. None of the Borrowers or any Restricted Subsidiary is an “investment company” as defined in, or subject to regulation under, the Investment Company Act.</w:t>
      </w:r>
    </w:p>
    <w:p>
      <w:pPr>
        <w:spacing w:after="0" w:line="202" w:lineRule="exact"/>
        <w:rPr>
          <w:sz w:val="20"/>
          <w:szCs w:val="20"/>
          <w:color w:val="auto"/>
        </w:rPr>
      </w:pPr>
    </w:p>
    <w:p>
      <w:pPr>
        <w:ind w:right="120" w:firstLine="648"/>
        <w:spacing w:after="0" w:line="282" w:lineRule="auto"/>
        <w:rPr>
          <w:sz w:val="20"/>
          <w:szCs w:val="20"/>
          <w:color w:val="auto"/>
        </w:rPr>
      </w:pPr>
      <w:r>
        <w:rPr>
          <w:rFonts w:ascii="Arial" w:cs="Arial" w:eastAsia="Arial" w:hAnsi="Arial"/>
          <w:sz w:val="19"/>
          <w:szCs w:val="19"/>
          <w:color w:val="auto"/>
        </w:rPr>
        <w:t xml:space="preserve">SECTION 3.10. </w:t>
      </w:r>
      <w:r>
        <w:rPr>
          <w:rFonts w:ascii="Arial" w:cs="Arial" w:eastAsia="Arial" w:hAnsi="Arial"/>
          <w:sz w:val="19"/>
          <w:szCs w:val="19"/>
          <w:u w:val="single" w:color="auto"/>
          <w:color w:val="auto"/>
        </w:rPr>
        <w:t>Federal Reserve Regulations</w:t>
      </w:r>
      <w:r>
        <w:rPr>
          <w:rFonts w:ascii="Arial" w:cs="Arial" w:eastAsia="Arial" w:hAnsi="Arial"/>
          <w:sz w:val="19"/>
          <w:szCs w:val="19"/>
          <w:color w:val="auto"/>
        </w:rPr>
        <w:t>. None of the Borrowers or any Restricted Subsidiary is engaged or will engage, principally or as one of their important activities, in the business of purchasing or carrying margin stock (within the meaning of Regulation U of the Federal Reserve Board) or extending credit for the purpose of purchasing or carrying margin stock. No part of the proceeds of the Loans will be used, directly or indirectly, for any purpose that entails a violation (including on the part of any Lender) of any of the regulations of the Federal Reserve Board, including Regulations T, U and X.</w:t>
      </w:r>
    </w:p>
    <w:p>
      <w:pPr>
        <w:spacing w:after="0" w:line="174" w:lineRule="exact"/>
        <w:rPr>
          <w:sz w:val="20"/>
          <w:szCs w:val="20"/>
          <w:color w:val="auto"/>
        </w:rPr>
      </w:pPr>
    </w:p>
    <w:p>
      <w:pPr>
        <w:ind w:right="80" w:firstLine="648"/>
        <w:spacing w:after="0" w:line="246" w:lineRule="auto"/>
        <w:rPr>
          <w:sz w:val="20"/>
          <w:szCs w:val="20"/>
          <w:color w:val="auto"/>
        </w:rPr>
      </w:pPr>
      <w:r>
        <w:rPr>
          <w:rFonts w:ascii="Arial" w:cs="Arial" w:eastAsia="Arial" w:hAnsi="Arial"/>
          <w:sz w:val="21"/>
          <w:szCs w:val="21"/>
          <w:color w:val="auto"/>
        </w:rPr>
        <w:t xml:space="preserve">SECTION 3.11. </w:t>
      </w:r>
      <w:r>
        <w:rPr>
          <w:rFonts w:ascii="Arial" w:cs="Arial" w:eastAsia="Arial" w:hAnsi="Arial"/>
          <w:sz w:val="21"/>
          <w:szCs w:val="21"/>
          <w:u w:val="single" w:color="auto"/>
          <w:color w:val="auto"/>
        </w:rPr>
        <w:t>Taxes</w:t>
      </w:r>
      <w:r>
        <w:rPr>
          <w:rFonts w:ascii="Arial" w:cs="Arial" w:eastAsia="Arial" w:hAnsi="Arial"/>
          <w:sz w:val="21"/>
          <w:szCs w:val="21"/>
          <w:color w:val="auto"/>
        </w:rPr>
        <w:t>. Except to the extent that failure to do so would not reasonably be expected, individually or in the aggregate, to result in a Material Adverse Effect, each Borrower and each Restricted Subsidiary (a) has timely filed or caused to be filed all Tax returns and reports required to have been filed by it and (b) has paid or caused to be paid all Taxes required to have been paid by it (including in its capacity as a withholding agent), except where the validity or amount thereof is being contested in good faith by appropriate proceedings and where such Borrower or such Restricted Subsidiary, as applicable, have set aside on their books adequate reserves therefor in accordance with GAAP; no Tax Lien has been filed, and no claim is being asserted, with respect to any such Tax, fee or other charge.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8" w:name="page279"/>
    <w:bookmarkEnd w:id="278"/>
    <w:p>
      <w:pPr>
        <w:ind w:left="660"/>
        <w:spacing w:after="0"/>
        <w:tabs>
          <w:tab w:leader="none" w:pos="2300" w:val="left"/>
        </w:tabs>
        <w:rPr>
          <w:sz w:val="20"/>
          <w:szCs w:val="20"/>
          <w:color w:val="auto"/>
        </w:rPr>
      </w:pPr>
      <w:r>
        <w:rPr>
          <w:rFonts w:ascii="Arial" w:cs="Arial" w:eastAsia="Arial" w:hAnsi="Arial"/>
          <w:sz w:val="22"/>
          <w:szCs w:val="22"/>
          <w:color w:val="auto"/>
        </w:rPr>
        <w:t>SECTION 3.12.</w:t>
      </w:r>
      <w:r>
        <w:rPr>
          <w:sz w:val="20"/>
          <w:szCs w:val="20"/>
          <w:color w:val="auto"/>
        </w:rPr>
        <w:tab/>
      </w:r>
      <w:r>
        <w:rPr>
          <w:rFonts w:ascii="Arial" w:cs="Arial" w:eastAsia="Arial" w:hAnsi="Arial"/>
          <w:sz w:val="19"/>
          <w:szCs w:val="19"/>
          <w:u w:val="single" w:color="auto"/>
          <w:color w:val="auto"/>
        </w:rPr>
        <w:t>ERISA</w:t>
      </w:r>
    </w:p>
    <w:p>
      <w:pPr>
        <w:spacing w:after="0" w:line="234" w:lineRule="exact"/>
        <w:rPr>
          <w:sz w:val="20"/>
          <w:szCs w:val="20"/>
          <w:color w:val="auto"/>
        </w:rPr>
      </w:pPr>
    </w:p>
    <w:p>
      <w:pPr>
        <w:jc w:val="both"/>
        <w:ind w:firstLine="656"/>
        <w:spacing w:after="0" w:line="235" w:lineRule="auto"/>
        <w:tabs>
          <w:tab w:leader="none" w:pos="1416" w:val="left"/>
        </w:tabs>
        <w:numPr>
          <w:ilvl w:val="0"/>
          <w:numId w:val="210"/>
        </w:numPr>
        <w:rPr>
          <w:rFonts w:ascii="Arial" w:cs="Arial" w:eastAsia="Arial" w:hAnsi="Arial"/>
          <w:sz w:val="22"/>
          <w:szCs w:val="22"/>
          <w:color w:val="auto"/>
        </w:rPr>
      </w:pPr>
      <w:r>
        <w:rPr>
          <w:rFonts w:ascii="Arial" w:cs="Arial" w:eastAsia="Arial" w:hAnsi="Arial"/>
          <w:sz w:val="22"/>
          <w:szCs w:val="22"/>
          <w:color w:val="auto"/>
        </w:rPr>
        <w:t>Except as would not reasonably be expected, individually or in the aggregate, to have a Material Adverse Effect, no ERISA Event has occurred or is reasonably expected to occur. The present value of all accumulated benefit obligations under each Plan (based on the assumptions used for purposes of Accounting Standards Codification Topic 715) would not, as of the date of the most recent financial statements of the Company, exceed the fair market value of the assets of such Plan by an amount that, individually or in the aggregate together with all other Plans, would reasonably be expected to have a Material Adverse Effect.</w:t>
      </w:r>
    </w:p>
    <w:p>
      <w:pPr>
        <w:spacing w:after="0" w:line="214" w:lineRule="exact"/>
        <w:rPr>
          <w:rFonts w:ascii="Arial" w:cs="Arial" w:eastAsia="Arial" w:hAnsi="Arial"/>
          <w:sz w:val="22"/>
          <w:szCs w:val="22"/>
          <w:color w:val="auto"/>
        </w:rPr>
      </w:pPr>
    </w:p>
    <w:p>
      <w:pPr>
        <w:jc w:val="both"/>
        <w:ind w:firstLine="656"/>
        <w:spacing w:after="0" w:line="287" w:lineRule="auto"/>
        <w:tabs>
          <w:tab w:leader="none" w:pos="1428" w:val="left"/>
        </w:tabs>
        <w:numPr>
          <w:ilvl w:val="0"/>
          <w:numId w:val="210"/>
        </w:numPr>
        <w:rPr>
          <w:rFonts w:ascii="Arial" w:cs="Arial" w:eastAsia="Arial" w:hAnsi="Arial"/>
          <w:sz w:val="19"/>
          <w:szCs w:val="19"/>
          <w:color w:val="auto"/>
        </w:rPr>
      </w:pPr>
      <w:r>
        <w:rPr>
          <w:rFonts w:ascii="Arial" w:cs="Arial" w:eastAsia="Arial" w:hAnsi="Arial"/>
          <w:sz w:val="19"/>
          <w:szCs w:val="19"/>
          <w:color w:val="auto"/>
        </w:rPr>
        <w:t>None of the Company or any of its Subsidiaries is an entity deemed to hold “plan assets” (within the meaning of the Plan Asset Regulations), and to the Knowledge of the Borrowers neither the execution, delivery or performance of the transactions contemplated under this Agreement, including the making of any Loan and the issuance of any Letter of Credit hereunder, will give rise to a non-exempt prohibited transaction under Section 406 of ERISA or Section 4975 of the Code.</w:t>
      </w:r>
    </w:p>
    <w:p>
      <w:pPr>
        <w:spacing w:after="0" w:line="170"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22"/>
          <w:szCs w:val="22"/>
          <w:color w:val="auto"/>
        </w:rPr>
        <w:t>SECTION 3.13.</w:t>
      </w:r>
      <w:r>
        <w:rPr>
          <w:sz w:val="20"/>
          <w:szCs w:val="20"/>
          <w:color w:val="auto"/>
        </w:rPr>
        <w:tab/>
      </w:r>
      <w:r>
        <w:rPr>
          <w:rFonts w:ascii="Arial" w:cs="Arial" w:eastAsia="Arial" w:hAnsi="Arial"/>
          <w:sz w:val="19"/>
          <w:szCs w:val="19"/>
          <w:u w:val="single" w:color="auto"/>
          <w:color w:val="auto"/>
        </w:rPr>
        <w:t>Disclosure.</w:t>
      </w:r>
    </w:p>
    <w:p>
      <w:pPr>
        <w:spacing w:after="0" w:line="233" w:lineRule="exact"/>
        <w:rPr>
          <w:sz w:val="20"/>
          <w:szCs w:val="20"/>
          <w:color w:val="auto"/>
        </w:rPr>
      </w:pPr>
    </w:p>
    <w:p>
      <w:pPr>
        <w:jc w:val="both"/>
        <w:ind w:firstLine="656"/>
        <w:spacing w:after="0" w:line="273" w:lineRule="auto"/>
        <w:tabs>
          <w:tab w:leader="none" w:pos="1383" w:val="left"/>
        </w:tabs>
        <w:numPr>
          <w:ilvl w:val="0"/>
          <w:numId w:val="211"/>
        </w:numPr>
        <w:rPr>
          <w:rFonts w:ascii="Arial" w:cs="Arial" w:eastAsia="Arial" w:hAnsi="Arial"/>
          <w:sz w:val="19"/>
          <w:szCs w:val="19"/>
          <w:color w:val="auto"/>
        </w:rPr>
      </w:pPr>
      <w:r>
        <w:rPr>
          <w:rFonts w:ascii="Arial" w:cs="Arial" w:eastAsia="Arial" w:hAnsi="Arial"/>
          <w:sz w:val="19"/>
          <w:szCs w:val="19"/>
          <w:color w:val="auto"/>
        </w:rPr>
        <w:t xml:space="preserve">None of the reports, financial statements, certificates or other written information furnished by or on behalf of the Company or any Restricted Subsidiary to the Arrangers, the Administrative Agent, any Issuing Bank or any Lender on or before the Effective Date in connection with the negotiation of this Agreement or any other Loan Document, included herein or therein or furnished hereunder or thereunder (as modified or supplemented by other information so furnished and taken as a whole) contains any material misstatement of fact or omits to state any material fact necessary to make the statements therein, in the light of the circumstances under which they were made, not materially misleading;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projected financial information, the Company represents only that such information was prepared in good faith based upon assumptions believed by it to be reasonable at the time so furnished and, if such projected financial information was furnished prior to the Effective Date, as of the Effective Date (it being understood and agreed that any such projected financial information may vary from actual results and that such variations may be material).</w:t>
      </w:r>
    </w:p>
    <w:p>
      <w:pPr>
        <w:spacing w:after="0" w:line="187" w:lineRule="exact"/>
        <w:rPr>
          <w:rFonts w:ascii="Arial" w:cs="Arial" w:eastAsia="Arial" w:hAnsi="Arial"/>
          <w:sz w:val="19"/>
          <w:szCs w:val="19"/>
          <w:color w:val="auto"/>
        </w:rPr>
      </w:pPr>
    </w:p>
    <w:p>
      <w:pPr>
        <w:jc w:val="both"/>
        <w:ind w:firstLine="656"/>
        <w:spacing w:after="0"/>
        <w:tabs>
          <w:tab w:leader="none" w:pos="1559" w:val="left"/>
        </w:tabs>
        <w:numPr>
          <w:ilvl w:val="0"/>
          <w:numId w:val="211"/>
        </w:numPr>
        <w:rPr>
          <w:rFonts w:ascii="Arial" w:cs="Arial" w:eastAsia="Arial" w:hAnsi="Arial"/>
          <w:sz w:val="22"/>
          <w:szCs w:val="22"/>
          <w:color w:val="auto"/>
        </w:rPr>
      </w:pPr>
      <w:r>
        <w:rPr>
          <w:rFonts w:ascii="Arial" w:cs="Arial" w:eastAsia="Arial" w:hAnsi="Arial"/>
          <w:sz w:val="22"/>
          <w:szCs w:val="22"/>
          <w:color w:val="auto"/>
        </w:rPr>
        <w:t>As of the Effective Date, to the best knowledge of the Borrowers, the information included in the Beneficial Ownership Certification provided on or prior to the Effective Date to any Lender in connection with this Agreement is true and correct in all respects.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9" w:name="page280"/>
    <w:bookmarkEnd w:id="279"/>
    <w:p>
      <w:pPr>
        <w:ind w:firstLine="648"/>
        <w:spacing w:after="0" w:line="245" w:lineRule="auto"/>
        <w:rPr>
          <w:sz w:val="20"/>
          <w:szCs w:val="20"/>
          <w:color w:val="auto"/>
        </w:rPr>
      </w:pPr>
      <w:r>
        <w:rPr>
          <w:rFonts w:ascii="Arial" w:cs="Arial" w:eastAsia="Arial" w:hAnsi="Arial"/>
          <w:sz w:val="21"/>
          <w:szCs w:val="21"/>
          <w:color w:val="auto"/>
        </w:rPr>
        <w:t xml:space="preserve">SECTION 3.14. </w:t>
      </w:r>
      <w:r>
        <w:rPr>
          <w:rFonts w:ascii="Arial" w:cs="Arial" w:eastAsia="Arial" w:hAnsi="Arial"/>
          <w:sz w:val="21"/>
          <w:szCs w:val="21"/>
          <w:u w:val="single" w:color="auto"/>
          <w:color w:val="auto"/>
        </w:rPr>
        <w:t>Subsidiaries</w:t>
      </w:r>
      <w:r>
        <w:rPr>
          <w:rFonts w:ascii="Arial" w:cs="Arial" w:eastAsia="Arial" w:hAnsi="Arial"/>
          <w:sz w:val="21"/>
          <w:szCs w:val="21"/>
          <w:color w:val="auto"/>
        </w:rPr>
        <w:t>. As of the Effective Date, Schedule 3.14 sets forth the name of, and the ownership interest of the Company and each Subsidiary in, each Subsidiary and identifies each Subsidiary that is a Guarantor as of the Effective Date. As of the Effective Date, the Equity Interests in each Subsidiary has been duly authorized and validly issued and are fully paid and nonassessable, and the Equity Interests in each Subsidiary are owned by the Company, directly or indirectly, free and clear of all Liens (other than Liens created under the Loan Documents and any Liens permitted by Section 6.02). Except as set forth in Schedule 3.14, as of the Effective Date, there is no existing option, warrant, call, right, commitment or other agreement to which the Company or any Subsidiary is a party requiring, and there are no Equity Interests in any Subsidiary outstanding that upon exercise, conversion or exchange would require, the issuance by any Subsidiary of any additional Equity Interests or other securities exercisable for, convertible into, exchangeable for or evidencing the right to subscribe for or purchase any Equity Interests in any Subsidiary.</w:t>
      </w:r>
    </w:p>
    <w:p>
      <w:pPr>
        <w:spacing w:after="0" w:line="208" w:lineRule="exact"/>
        <w:rPr>
          <w:sz w:val="20"/>
          <w:szCs w:val="20"/>
          <w:color w:val="auto"/>
        </w:rPr>
      </w:pPr>
    </w:p>
    <w:p>
      <w:pPr>
        <w:ind w:right="300" w:firstLine="648"/>
        <w:spacing w:after="0" w:line="250" w:lineRule="auto"/>
        <w:rPr>
          <w:sz w:val="20"/>
          <w:szCs w:val="20"/>
          <w:color w:val="auto"/>
        </w:rPr>
      </w:pPr>
      <w:r>
        <w:rPr>
          <w:rFonts w:ascii="Arial" w:cs="Arial" w:eastAsia="Arial" w:hAnsi="Arial"/>
          <w:sz w:val="22"/>
          <w:szCs w:val="22"/>
          <w:color w:val="auto"/>
        </w:rPr>
        <w:t xml:space="preserve">SECTION 3.15. </w:t>
      </w:r>
      <w:r>
        <w:rPr>
          <w:rFonts w:ascii="Arial" w:cs="Arial" w:eastAsia="Arial" w:hAnsi="Arial"/>
          <w:sz w:val="22"/>
          <w:szCs w:val="22"/>
          <w:u w:val="single" w:color="auto"/>
          <w:color w:val="auto"/>
        </w:rPr>
        <w:t>Use of Proceeds</w:t>
      </w:r>
      <w:r>
        <w:rPr>
          <w:rFonts w:ascii="Arial" w:cs="Arial" w:eastAsia="Arial" w:hAnsi="Arial"/>
          <w:sz w:val="22"/>
          <w:szCs w:val="22"/>
          <w:color w:val="auto"/>
        </w:rPr>
        <w:t>. The proceeds of the Loans and of Letters of Credit will be used by the Borrowers and the Restricted Subsidiaries in accordance with Section 5.11.</w:t>
      </w:r>
    </w:p>
    <w:p>
      <w:pPr>
        <w:spacing w:after="0" w:line="202" w:lineRule="exact"/>
        <w:rPr>
          <w:sz w:val="20"/>
          <w:szCs w:val="20"/>
          <w:color w:val="auto"/>
        </w:rPr>
      </w:pPr>
    </w:p>
    <w:p>
      <w:pPr>
        <w:ind w:right="40" w:firstLine="648"/>
        <w:spacing w:after="0" w:line="235" w:lineRule="auto"/>
        <w:rPr>
          <w:sz w:val="20"/>
          <w:szCs w:val="20"/>
          <w:color w:val="auto"/>
        </w:rPr>
      </w:pPr>
      <w:r>
        <w:rPr>
          <w:rFonts w:ascii="Arial" w:cs="Arial" w:eastAsia="Arial" w:hAnsi="Arial"/>
          <w:sz w:val="22"/>
          <w:szCs w:val="22"/>
          <w:color w:val="auto"/>
        </w:rPr>
        <w:t xml:space="preserve">SECTION 3.16. </w:t>
      </w:r>
      <w:r>
        <w:rPr>
          <w:rFonts w:ascii="Arial" w:cs="Arial" w:eastAsia="Arial" w:hAnsi="Arial"/>
          <w:sz w:val="22"/>
          <w:szCs w:val="22"/>
          <w:u w:val="single" w:color="auto"/>
          <w:color w:val="auto"/>
        </w:rPr>
        <w:t>Labor Matters</w:t>
      </w:r>
      <w:r>
        <w:rPr>
          <w:rFonts w:ascii="Arial" w:cs="Arial" w:eastAsia="Arial" w:hAnsi="Arial"/>
          <w:sz w:val="22"/>
          <w:szCs w:val="22"/>
          <w:color w:val="auto"/>
        </w:rPr>
        <w:t>. Except as could not, individually or in the aggregate, reasonably be expected to result in a Material Adverse Effect, (i) there are no strikes, lockouts or slowdowns or any other material labor disputes against the Borrowers or any Restricted Subsidiary pending or, to the Knowledge of the Borrowers or any Restricted Subsidiary, threatened and (ii) there are no unfair labor practice complaints pending against the Borrowers or any Restricted Subsidiary or, to the Knowledge of the Borrowers or any Restricted Subsidiary, threatened against any of them before the National Labor Relations Board or other Governmental Authority.</w:t>
      </w:r>
    </w:p>
    <w:p>
      <w:pPr>
        <w:spacing w:after="0" w:line="215" w:lineRule="exact"/>
        <w:rPr>
          <w:sz w:val="20"/>
          <w:szCs w:val="20"/>
          <w:color w:val="auto"/>
        </w:rPr>
      </w:pPr>
    </w:p>
    <w:p>
      <w:pPr>
        <w:ind w:right="20" w:firstLine="648"/>
        <w:spacing w:after="0" w:line="244" w:lineRule="auto"/>
        <w:rPr>
          <w:sz w:val="20"/>
          <w:szCs w:val="20"/>
          <w:color w:val="auto"/>
        </w:rPr>
      </w:pPr>
      <w:r>
        <w:rPr>
          <w:rFonts w:ascii="Arial" w:cs="Arial" w:eastAsia="Arial" w:hAnsi="Arial"/>
          <w:sz w:val="21"/>
          <w:szCs w:val="21"/>
          <w:color w:val="auto"/>
        </w:rPr>
        <w:t xml:space="preserve">SECTION 3.17. </w:t>
      </w:r>
      <w:r>
        <w:rPr>
          <w:rFonts w:ascii="Arial" w:cs="Arial" w:eastAsia="Arial" w:hAnsi="Arial"/>
          <w:sz w:val="21"/>
          <w:szCs w:val="21"/>
          <w:u w:val="single" w:color="auto"/>
          <w:color w:val="auto"/>
        </w:rPr>
        <w:t>Solvency</w:t>
      </w:r>
      <w:r>
        <w:rPr>
          <w:rFonts w:ascii="Arial" w:cs="Arial" w:eastAsia="Arial" w:hAnsi="Arial"/>
          <w:sz w:val="21"/>
          <w:szCs w:val="21"/>
          <w:color w:val="auto"/>
        </w:rPr>
        <w:t>. Immediately after the consummation of the Transactions and immediately after the making of each Loan or the issuance, amendment, renewal or extension of any Letter of Credit, the (a) fair value of the assets of the Borrowers and the Restricted Subsidiaries, taken as a whole, at a fair valuation, will exceed their debts and liabilities, subordinated, contingent or otherwise, (b) present fair saleable value of the property of the Borrowers and the Restricted Subsidiaries, taken as a whole, will be greater than the amount that will be required to pay the probable liability of their debts and other liabilities, subordinated, contingent or otherwise, as such debts and other liabilities become absolute and matured, (c) the Borrowers and the Restricted Subsidiaries, taken as a whole, will be able to pay their debts and liabilities, subordinated, contingent or otherwise, as such debts and liabilities become absolute and matured and (d) the Borrowers and the Restricted Subsidiaries, taken as a whole, will not have unreasonably small capital with which to conduct the business in which they are engaged as such business is now conducted and is proposed to be conducted following the Effective Date. For purposes of this Section, the amount of contingent liabilities at any time shall be computed as the amount that, in light of all the facts and circumstances existing at such time, represents the amount that can reasonably be expected to become an actual or matured liability.</w:t>
      </w:r>
    </w:p>
    <w:p>
      <w:pPr>
        <w:spacing w:after="0" w:line="210" w:lineRule="exact"/>
        <w:rPr>
          <w:sz w:val="20"/>
          <w:szCs w:val="20"/>
          <w:color w:val="auto"/>
        </w:rPr>
      </w:pPr>
    </w:p>
    <w:p>
      <w:pPr>
        <w:ind w:left="660"/>
        <w:spacing w:after="0"/>
        <w:tabs>
          <w:tab w:leader="none" w:pos="2300" w:val="left"/>
        </w:tabs>
        <w:rPr>
          <w:sz w:val="20"/>
          <w:szCs w:val="20"/>
          <w:color w:val="auto"/>
        </w:rPr>
      </w:pPr>
      <w:r>
        <w:rPr>
          <w:rFonts w:ascii="Arial" w:cs="Arial" w:eastAsia="Arial" w:hAnsi="Arial"/>
          <w:sz w:val="22"/>
          <w:szCs w:val="22"/>
          <w:color w:val="auto"/>
        </w:rPr>
        <w:t>SECTION 3.18.</w:t>
      </w:r>
      <w:r>
        <w:rPr>
          <w:sz w:val="20"/>
          <w:szCs w:val="20"/>
          <w:color w:val="auto"/>
        </w:rPr>
        <w:tab/>
      </w:r>
      <w:r>
        <w:rPr>
          <w:rFonts w:ascii="Arial" w:cs="Arial" w:eastAsia="Arial" w:hAnsi="Arial"/>
          <w:sz w:val="19"/>
          <w:szCs w:val="19"/>
          <w:u w:val="single" w:color="auto"/>
          <w:color w:val="auto"/>
        </w:rPr>
        <w:t>Collateral Matters</w:t>
      </w:r>
    </w:p>
    <w:p>
      <w:pPr>
        <w:spacing w:after="0" w:line="233" w:lineRule="exact"/>
        <w:rPr>
          <w:sz w:val="20"/>
          <w:szCs w:val="20"/>
          <w:color w:val="auto"/>
        </w:rPr>
      </w:pPr>
    </w:p>
    <w:p>
      <w:pPr>
        <w:ind w:right="60" w:firstLine="656"/>
        <w:spacing w:after="0" w:line="273" w:lineRule="auto"/>
        <w:tabs>
          <w:tab w:leader="none" w:pos="1428" w:val="left"/>
        </w:tabs>
        <w:numPr>
          <w:ilvl w:val="0"/>
          <w:numId w:val="212"/>
        </w:numPr>
        <w:rPr>
          <w:rFonts w:ascii="Arial" w:cs="Arial" w:eastAsia="Arial" w:hAnsi="Arial"/>
          <w:sz w:val="19"/>
          <w:szCs w:val="19"/>
          <w:color w:val="auto"/>
        </w:rPr>
      </w:pPr>
      <w:r>
        <w:rPr>
          <w:rFonts w:ascii="Arial" w:cs="Arial" w:eastAsia="Arial" w:hAnsi="Arial"/>
          <w:sz w:val="19"/>
          <w:szCs w:val="19"/>
          <w:color w:val="auto"/>
        </w:rPr>
        <w:t xml:space="preserve">The Security Documents will create in favor of the Collateral Agent, for the benefit of the Secured Parties, a legal, valid and enforceable security interest in the Collateral (as defined therein) and (i) when such Collateral constituting certificated securities (as defined in the Uniform Commercial Code) is delivered to the Collateral Agent, together with instruments of transfer duly endorsed in blank, the security interest created under the Security Documents will constitute a fully perfected security interest in all right, title and interest of the pledgors thereunder in such Collateral, prior and superior in right to any other Person, and (ii) when financing statements (or their equivalent) in appropriate form are filed in the applicable filing offices, the security interest created under the Security Documents will constitute a fully perfected security interest in all right, title and interest of the Loan Parties in the remaining Collateral (as defined therein) (subject to subsections (b) and (c) of this </w:t>
      </w:r>
      <w:r>
        <w:rPr>
          <w:rFonts w:ascii="Arial" w:cs="Arial" w:eastAsia="Arial" w:hAnsi="Arial"/>
          <w:sz w:val="19"/>
          <w:szCs w:val="19"/>
          <w:u w:val="single" w:color="auto"/>
          <w:color w:val="auto"/>
        </w:rPr>
        <w:t>Section 3.18</w:t>
      </w:r>
      <w:r>
        <w:rPr>
          <w:rFonts w:ascii="Arial" w:cs="Arial" w:eastAsia="Arial" w:hAnsi="Arial"/>
          <w:sz w:val="19"/>
          <w:szCs w:val="19"/>
          <w:color w:val="auto"/>
        </w:rPr>
        <w:t xml:space="preserve">) to the extent perfection can be obtained by filing Uniform Commercial Code financing statements (or their equivalent), prior and superior to the Lien of any other Person, except for Liens permitted under </w:t>
      </w:r>
      <w:r>
        <w:rPr>
          <w:rFonts w:ascii="Arial" w:cs="Arial" w:eastAsia="Arial" w:hAnsi="Arial"/>
          <w:sz w:val="19"/>
          <w:szCs w:val="19"/>
          <w:u w:val="single" w:color="auto"/>
          <w:color w:val="auto"/>
        </w:rPr>
        <w:t>Section 6.02</w:t>
      </w:r>
      <w:r>
        <w:rPr>
          <w:rFonts w:ascii="Arial" w:cs="Arial" w:eastAsia="Arial" w:hAnsi="Arial"/>
          <w:sz w:val="19"/>
          <w:szCs w:val="19"/>
          <w:color w:val="auto"/>
        </w:rPr>
        <w:t>.</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80" w:name="page281"/>
    <w:bookmarkEnd w:id="280"/>
    <w:p>
      <w:pPr>
        <w:jc w:val="both"/>
        <w:ind w:firstLine="656"/>
        <w:spacing w:after="0" w:line="247" w:lineRule="auto"/>
        <w:tabs>
          <w:tab w:leader="none" w:pos="1493" w:val="left"/>
        </w:tabs>
        <w:numPr>
          <w:ilvl w:val="0"/>
          <w:numId w:val="213"/>
        </w:numPr>
        <w:rPr>
          <w:rFonts w:ascii="Arial" w:cs="Arial" w:eastAsia="Arial" w:hAnsi="Arial"/>
          <w:sz w:val="21"/>
          <w:szCs w:val="21"/>
          <w:color w:val="auto"/>
        </w:rPr>
      </w:pPr>
      <w:r>
        <w:rPr>
          <w:rFonts w:ascii="Arial" w:cs="Arial" w:eastAsia="Arial" w:hAnsi="Arial"/>
          <w:sz w:val="21"/>
          <w:szCs w:val="21"/>
          <w:color w:val="auto"/>
        </w:rPr>
        <w:t xml:space="preserve">Each Mortgage and Vessel Deed of Covenants, upon execution and delivery thereof by the parties thereto, will create in favor of the Collateral Agent, for the benefit of the Secured Parties, a legal, valid and enforceable security interest in all the applicable mortgagor’s right, title and interest in and to the Collateral Vessels and Mortgaged Properties, as applicable, subject thereto and the proceeds thereof, and when the Mortgages have been filed or (as applicable) registered in the jurisdictions specified therein, the Mortgages will constitute a fully perfected security interest in all right, title and interest of the mortgagors in the Collateral Vessels and Mortgaged Properties, as applicable, and the proceeds thereof, prior and superior in right to any other Person, but subject to Liens permitted under </w:t>
      </w:r>
      <w:r>
        <w:rPr>
          <w:rFonts w:ascii="Arial" w:cs="Arial" w:eastAsia="Arial" w:hAnsi="Arial"/>
          <w:sz w:val="21"/>
          <w:szCs w:val="21"/>
          <w:u w:val="single" w:color="auto"/>
          <w:color w:val="auto"/>
        </w:rPr>
        <w:t>Section 6.02</w:t>
      </w:r>
      <w:r>
        <w:rPr>
          <w:rFonts w:ascii="Arial" w:cs="Arial" w:eastAsia="Arial" w:hAnsi="Arial"/>
          <w:sz w:val="21"/>
          <w:szCs w:val="21"/>
          <w:color w:val="auto"/>
        </w:rPr>
        <w:t>.</w:t>
      </w:r>
    </w:p>
    <w:p>
      <w:pPr>
        <w:spacing w:after="0" w:line="204" w:lineRule="exact"/>
        <w:rPr>
          <w:rFonts w:ascii="Arial" w:cs="Arial" w:eastAsia="Arial" w:hAnsi="Arial"/>
          <w:sz w:val="21"/>
          <w:szCs w:val="21"/>
          <w:color w:val="auto"/>
        </w:rPr>
      </w:pPr>
    </w:p>
    <w:p>
      <w:pPr>
        <w:jc w:val="both"/>
        <w:ind w:firstLine="656"/>
        <w:spacing w:after="0" w:line="274" w:lineRule="auto"/>
        <w:tabs>
          <w:tab w:leader="none" w:pos="1327" w:val="left"/>
        </w:tabs>
        <w:numPr>
          <w:ilvl w:val="0"/>
          <w:numId w:val="213"/>
        </w:numPr>
        <w:rPr>
          <w:rFonts w:ascii="Arial" w:cs="Arial" w:eastAsia="Arial" w:hAnsi="Arial"/>
          <w:sz w:val="19"/>
          <w:szCs w:val="19"/>
          <w:color w:val="auto"/>
        </w:rPr>
      </w:pPr>
      <w:r>
        <w:rPr>
          <w:rFonts w:ascii="Arial" w:cs="Arial" w:eastAsia="Arial" w:hAnsi="Arial"/>
          <w:sz w:val="19"/>
          <w:szCs w:val="19"/>
          <w:color w:val="auto"/>
        </w:rPr>
        <w:t xml:space="preserve">Upon the recordation of the New York-Law Security Agreement (or a short-form security agreement in form and substance reasonably satisfactory to the Borrowers and the Administrative Agent) with the United States Patent and Trademark Office or the United States Copyright Office, as applicable, and the filing of the financing statements referred to in </w:t>
      </w:r>
      <w:r>
        <w:rPr>
          <w:rFonts w:ascii="Arial" w:cs="Arial" w:eastAsia="Arial" w:hAnsi="Arial"/>
          <w:sz w:val="19"/>
          <w:szCs w:val="19"/>
          <w:u w:val="single" w:color="auto"/>
          <w:color w:val="auto"/>
        </w:rPr>
        <w:t>paragraph (a)</w:t>
      </w:r>
      <w:r>
        <w:rPr>
          <w:rFonts w:ascii="Arial" w:cs="Arial" w:eastAsia="Arial" w:hAnsi="Arial"/>
          <w:sz w:val="19"/>
          <w:szCs w:val="19"/>
          <w:color w:val="auto"/>
        </w:rPr>
        <w:t xml:space="preserve"> of this Section, the security interest created under the New York-Law Security Agreement will constitute a fully perfected security interest in all right, title and interest of the Loan Parties in the Intellectual Property (as defined in the New York-Law Security Agreement) in which a security interest may be perfected by filing in the United States of America, in each case prior and superior in right to any other Person, but subject to Liens permitted under </w:t>
      </w:r>
      <w:r>
        <w:rPr>
          <w:rFonts w:ascii="Arial" w:cs="Arial" w:eastAsia="Arial" w:hAnsi="Arial"/>
          <w:sz w:val="19"/>
          <w:szCs w:val="19"/>
          <w:u w:val="single" w:color="auto"/>
          <w:color w:val="auto"/>
        </w:rPr>
        <w:t>Section 6.02</w:t>
      </w:r>
      <w:r>
        <w:rPr>
          <w:rFonts w:ascii="Arial" w:cs="Arial" w:eastAsia="Arial" w:hAnsi="Arial"/>
          <w:sz w:val="19"/>
          <w:szCs w:val="19"/>
          <w:color w:val="auto"/>
        </w:rPr>
        <w:t xml:space="preserve"> (it being understood and agreed that subsequent recordings in the United States Patent and Trademark Office or the United States Copyright Office may be necessary to perfect a security interest in such Intellectual Property acquired by the Loan Parties).</w:t>
      </w:r>
    </w:p>
    <w:p>
      <w:pPr>
        <w:spacing w:after="0" w:line="185" w:lineRule="exact"/>
        <w:rPr>
          <w:rFonts w:ascii="Arial" w:cs="Arial" w:eastAsia="Arial" w:hAnsi="Arial"/>
          <w:sz w:val="19"/>
          <w:szCs w:val="19"/>
          <w:color w:val="auto"/>
        </w:rPr>
      </w:pPr>
    </w:p>
    <w:p>
      <w:pPr>
        <w:jc w:val="both"/>
        <w:ind w:firstLine="656"/>
        <w:spacing w:after="0" w:line="245" w:lineRule="auto"/>
        <w:tabs>
          <w:tab w:leader="none" w:pos="1317" w:val="left"/>
        </w:tabs>
        <w:numPr>
          <w:ilvl w:val="0"/>
          <w:numId w:val="213"/>
        </w:numPr>
        <w:rPr>
          <w:rFonts w:ascii="Arial" w:cs="Arial" w:eastAsia="Arial" w:hAnsi="Arial"/>
          <w:sz w:val="21"/>
          <w:szCs w:val="21"/>
          <w:color w:val="auto"/>
        </w:rPr>
      </w:pPr>
      <w:r>
        <w:rPr>
          <w:rFonts w:ascii="Arial" w:cs="Arial" w:eastAsia="Arial" w:hAnsi="Arial"/>
          <w:sz w:val="21"/>
          <w:szCs w:val="21"/>
          <w:color w:val="auto"/>
        </w:rPr>
        <w:t xml:space="preserve">Each Security Document delivered after the Effective Date will, upon execution and delivery thereof, be effective to create in favor of the Collateral Agent, for the benefit of the Secured Parties, legal, valid and enforceable Liens on, and security interests in, all of the Loan Parties’ right, title and interest in and to the Collateral thereunder, and (i) when all appropriate filings or recordings are made in the appropriate offices as may be required under applicable law and all applicable requirements set out in paragraph (d) of the definition of “Collateral and Guarantee Requirement” have been satisfied and (ii) upon the taking of possession or control by the Collateral Agent of such Collateral with respect to which a security interest may be perfected only by possession or control (which possession or control shall be given to the Administrative Agent to the extent required by any Security Document), such Security Document will constitute fully perfected Liens on, and security interests in, all right, title and interest of the Loan Parties in such Collateral, in each case subject to no Liens other than Liens permitted under </w:t>
      </w:r>
      <w:r>
        <w:rPr>
          <w:rFonts w:ascii="Arial" w:cs="Arial" w:eastAsia="Arial" w:hAnsi="Arial"/>
          <w:sz w:val="21"/>
          <w:szCs w:val="21"/>
          <w:u w:val="single" w:color="auto"/>
          <w:color w:val="auto"/>
        </w:rPr>
        <w:t>Section 6.02</w:t>
      </w:r>
      <w:r>
        <w:rPr>
          <w:rFonts w:ascii="Arial" w:cs="Arial" w:eastAsia="Arial" w:hAnsi="Arial"/>
          <w:sz w:val="21"/>
          <w:szCs w:val="21"/>
          <w:color w:val="auto"/>
        </w:rPr>
        <w:t>.</w:t>
      </w:r>
    </w:p>
    <w:p>
      <w:pPr>
        <w:spacing w:after="0" w:line="208" w:lineRule="exact"/>
        <w:rPr>
          <w:sz w:val="20"/>
          <w:szCs w:val="20"/>
          <w:color w:val="auto"/>
        </w:rPr>
      </w:pPr>
    </w:p>
    <w:p>
      <w:pPr>
        <w:ind w:left="660"/>
        <w:spacing w:after="0"/>
        <w:tabs>
          <w:tab w:leader="none" w:pos="2300" w:val="left"/>
        </w:tabs>
        <w:rPr>
          <w:sz w:val="20"/>
          <w:szCs w:val="20"/>
          <w:color w:val="auto"/>
        </w:rPr>
      </w:pPr>
      <w:r>
        <w:rPr>
          <w:rFonts w:ascii="Arial" w:cs="Arial" w:eastAsia="Arial" w:hAnsi="Arial"/>
          <w:sz w:val="22"/>
          <w:szCs w:val="22"/>
          <w:color w:val="auto"/>
        </w:rPr>
        <w:t>SECTION 3.19.</w:t>
      </w:r>
      <w:r>
        <w:rPr>
          <w:sz w:val="20"/>
          <w:szCs w:val="20"/>
          <w:color w:val="auto"/>
        </w:rPr>
        <w:tab/>
      </w:r>
      <w:r>
        <w:rPr>
          <w:rFonts w:ascii="Arial" w:cs="Arial" w:eastAsia="Arial" w:hAnsi="Arial"/>
          <w:sz w:val="19"/>
          <w:szCs w:val="19"/>
          <w:u w:val="single" w:color="auto"/>
          <w:color w:val="auto"/>
        </w:rPr>
        <w:t>EEA Financial Institutions</w:t>
      </w:r>
      <w:r>
        <w:rPr>
          <w:rFonts w:ascii="Arial" w:cs="Arial" w:eastAsia="Arial" w:hAnsi="Arial"/>
          <w:sz w:val="19"/>
          <w:szCs w:val="19"/>
          <w:color w:val="auto"/>
        </w:rPr>
        <w:t>. No Loan Party is an EEA Financial Institution.</w:t>
      </w:r>
    </w:p>
    <w:p>
      <w:pPr>
        <w:spacing w:after="0" w:line="233" w:lineRule="exact"/>
        <w:rPr>
          <w:sz w:val="20"/>
          <w:szCs w:val="20"/>
          <w:color w:val="auto"/>
        </w:rPr>
      </w:pPr>
    </w:p>
    <w:p>
      <w:pPr>
        <w:jc w:val="center"/>
        <w:ind w:right="-39"/>
        <w:spacing w:after="0"/>
        <w:tabs>
          <w:tab w:leader="none" w:pos="240" w:val="left"/>
        </w:tabs>
        <w:rPr>
          <w:sz w:val="20"/>
          <w:szCs w:val="20"/>
          <w:color w:val="auto"/>
        </w:rPr>
      </w:pPr>
      <w:r>
        <w:rPr>
          <w:rFonts w:ascii="Arial" w:cs="Arial" w:eastAsia="Arial" w:hAnsi="Arial"/>
          <w:sz w:val="22"/>
          <w:szCs w:val="22"/>
          <w:color w:val="auto"/>
        </w:rPr>
        <w:t>SECTION 3.20.</w:t>
      </w:r>
      <w:r>
        <w:rPr>
          <w:sz w:val="20"/>
          <w:szCs w:val="20"/>
          <w:color w:val="auto"/>
        </w:rPr>
        <w:tab/>
      </w:r>
      <w:r>
        <w:rPr>
          <w:rFonts w:ascii="Arial" w:cs="Arial" w:eastAsia="Arial" w:hAnsi="Arial"/>
          <w:sz w:val="19"/>
          <w:szCs w:val="19"/>
          <w:u w:val="single" w:color="auto"/>
          <w:color w:val="auto"/>
        </w:rPr>
        <w:t>No Default or Event of Default</w:t>
      </w:r>
      <w:r>
        <w:rPr>
          <w:rFonts w:ascii="Arial" w:cs="Arial" w:eastAsia="Arial" w:hAnsi="Arial"/>
          <w:sz w:val="19"/>
          <w:szCs w:val="19"/>
          <w:color w:val="auto"/>
        </w:rPr>
        <w:t>. No Default or Event of Default has occurred and is continuing.</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1" w:name="page282"/>
    <w:bookmarkEnd w:id="281"/>
    <w:p>
      <w:pPr>
        <w:ind w:right="20" w:firstLine="648"/>
        <w:spacing w:after="0" w:line="238" w:lineRule="auto"/>
        <w:rPr>
          <w:sz w:val="20"/>
          <w:szCs w:val="20"/>
          <w:color w:val="auto"/>
        </w:rPr>
      </w:pPr>
      <w:r>
        <w:rPr>
          <w:rFonts w:ascii="Arial" w:cs="Arial" w:eastAsia="Arial" w:hAnsi="Arial"/>
          <w:sz w:val="22"/>
          <w:szCs w:val="22"/>
          <w:color w:val="auto"/>
        </w:rPr>
        <w:t xml:space="preserve">SECTION 3.21. </w:t>
      </w:r>
      <w:r>
        <w:rPr>
          <w:rFonts w:ascii="Arial" w:cs="Arial" w:eastAsia="Arial" w:hAnsi="Arial"/>
          <w:sz w:val="22"/>
          <w:szCs w:val="22"/>
          <w:u w:val="single" w:color="auto"/>
          <w:color w:val="auto"/>
        </w:rPr>
        <w:t>Insurance</w:t>
      </w:r>
      <w:r>
        <w:rPr>
          <w:rFonts w:ascii="Arial" w:cs="Arial" w:eastAsia="Arial" w:hAnsi="Arial"/>
          <w:sz w:val="22"/>
          <w:szCs w:val="22"/>
          <w:color w:val="auto"/>
        </w:rPr>
        <w:t>. Each Borrower and each Restricted Subsidiary carries insurance (which may be carried by on a consolidated basis) with reputable insurers in respect of such of their respective Properties, in such amounts and against such risks as is customarily maintained by other Persons of similar size engaged in similar businesses or, self-insure to the extent that is customary for Persons of similar size engaged in similar businesses.</w:t>
      </w:r>
    </w:p>
    <w:p>
      <w:pPr>
        <w:spacing w:after="0" w:line="212" w:lineRule="exact"/>
        <w:rPr>
          <w:sz w:val="20"/>
          <w:szCs w:val="20"/>
          <w:color w:val="auto"/>
        </w:rPr>
      </w:pPr>
    </w:p>
    <w:p>
      <w:pPr>
        <w:ind w:right="280" w:firstLine="648"/>
        <w:spacing w:after="0" w:line="279" w:lineRule="auto"/>
        <w:rPr>
          <w:sz w:val="20"/>
          <w:szCs w:val="20"/>
          <w:color w:val="auto"/>
        </w:rPr>
      </w:pPr>
      <w:r>
        <w:rPr>
          <w:rFonts w:ascii="Arial" w:cs="Arial" w:eastAsia="Arial" w:hAnsi="Arial"/>
          <w:sz w:val="19"/>
          <w:szCs w:val="19"/>
          <w:color w:val="auto"/>
        </w:rPr>
        <w:t xml:space="preserve">SECTION 3.22. </w:t>
      </w:r>
      <w:r>
        <w:rPr>
          <w:rFonts w:ascii="Arial" w:cs="Arial" w:eastAsia="Arial" w:hAnsi="Arial"/>
          <w:sz w:val="19"/>
          <w:szCs w:val="19"/>
          <w:u w:val="single" w:color="auto"/>
          <w:color w:val="auto"/>
        </w:rPr>
        <w:t>Senior Indebtedness</w:t>
      </w:r>
      <w:r>
        <w:rPr>
          <w:rFonts w:ascii="Arial" w:cs="Arial" w:eastAsia="Arial" w:hAnsi="Arial"/>
          <w:sz w:val="19"/>
          <w:szCs w:val="19"/>
          <w:color w:val="auto"/>
        </w:rPr>
        <w:t>. The Obligations shall constitute “Senior Indebtedness”, “Designated Senior Indebtedness” or any similar designation under and as defined in any agreement, to the extent such designation is referenced therein or required thereby, governing any unsecured, senior subordinated or subordinated Indebtedness and the subordination provisions set forth in each such agreement, if any, are legally valid and enforceable against the parties thereto subject to applicable bankruptcy, insolvency, reorganization, moratorium or other laws affecting creditors’ rights generally and subject to general principles of equity, regardless of whether considered in a proceeding in equity or at law.</w:t>
      </w:r>
    </w:p>
    <w:p>
      <w:pPr>
        <w:spacing w:after="0" w:line="177" w:lineRule="exact"/>
        <w:rPr>
          <w:sz w:val="20"/>
          <w:szCs w:val="20"/>
          <w:color w:val="auto"/>
        </w:rPr>
      </w:pPr>
    </w:p>
    <w:p>
      <w:pPr>
        <w:ind w:right="80" w:firstLine="648"/>
        <w:spacing w:after="0" w:line="246" w:lineRule="auto"/>
        <w:rPr>
          <w:sz w:val="20"/>
          <w:szCs w:val="20"/>
          <w:color w:val="auto"/>
        </w:rPr>
      </w:pPr>
      <w:r>
        <w:rPr>
          <w:rFonts w:ascii="Arial" w:cs="Arial" w:eastAsia="Arial" w:hAnsi="Arial"/>
          <w:sz w:val="21"/>
          <w:szCs w:val="21"/>
          <w:color w:val="auto"/>
        </w:rPr>
        <w:t xml:space="preserve">SECTION 3.23. </w:t>
      </w:r>
      <w:r>
        <w:rPr>
          <w:rFonts w:ascii="Arial" w:cs="Arial" w:eastAsia="Arial" w:hAnsi="Arial"/>
          <w:sz w:val="21"/>
          <w:szCs w:val="21"/>
          <w:u w:val="single" w:color="auto"/>
          <w:color w:val="auto"/>
        </w:rPr>
        <w:t>Dutch Works</w:t>
      </w:r>
      <w:r>
        <w:rPr>
          <w:rFonts w:ascii="Arial" w:cs="Arial" w:eastAsia="Arial" w:hAnsi="Arial"/>
          <w:sz w:val="21"/>
          <w:szCs w:val="21"/>
          <w:color w:val="auto"/>
        </w:rPr>
        <w:t xml:space="preserve"> Council. The Dutch Loan Parties (save for FMC Separation Systems B.V.) do not have, nor are required to establish, a works council (</w:t>
      </w:r>
      <w:r>
        <w:rPr>
          <w:rFonts w:ascii="Arial" w:cs="Arial" w:eastAsia="Arial" w:hAnsi="Arial"/>
          <w:sz w:val="21"/>
          <w:szCs w:val="21"/>
          <w:i w:val="1"/>
          <w:iCs w:val="1"/>
          <w:color w:val="auto"/>
        </w:rPr>
        <w:t>ondernemingsraad</w:t>
      </w:r>
      <w:r>
        <w:rPr>
          <w:rFonts w:ascii="Arial" w:cs="Arial" w:eastAsia="Arial" w:hAnsi="Arial"/>
          <w:sz w:val="21"/>
          <w:szCs w:val="21"/>
          <w:color w:val="auto"/>
        </w:rPr>
        <w:t>) within the meaning of the Dutch Works Councils Act (</w:t>
      </w:r>
      <w:r>
        <w:rPr>
          <w:rFonts w:ascii="Arial" w:cs="Arial" w:eastAsia="Arial" w:hAnsi="Arial"/>
          <w:sz w:val="21"/>
          <w:szCs w:val="21"/>
          <w:i w:val="1"/>
          <w:iCs w:val="1"/>
          <w:color w:val="auto"/>
        </w:rPr>
        <w:t>Wet op</w:t>
      </w:r>
      <w:r>
        <w:rPr>
          <w:rFonts w:ascii="Arial" w:cs="Arial" w:eastAsia="Arial" w:hAnsi="Arial"/>
          <w:sz w:val="21"/>
          <w:szCs w:val="21"/>
          <w:color w:val="auto"/>
        </w:rPr>
        <w:t xml:space="preserve"> </w:t>
      </w:r>
      <w:r>
        <w:rPr>
          <w:rFonts w:ascii="Arial" w:cs="Arial" w:eastAsia="Arial" w:hAnsi="Arial"/>
          <w:sz w:val="21"/>
          <w:szCs w:val="21"/>
          <w:i w:val="1"/>
          <w:iCs w:val="1"/>
          <w:color w:val="auto"/>
        </w:rPr>
        <w:t>de ondernemingsraden</w:t>
      </w:r>
      <w:r>
        <w:rPr>
          <w:rFonts w:ascii="Arial" w:cs="Arial" w:eastAsia="Arial" w:hAnsi="Arial"/>
          <w:sz w:val="21"/>
          <w:szCs w:val="21"/>
          <w:color w:val="auto"/>
        </w:rPr>
        <w:t>) nor has it received any request from their respective employees to install a work council. The works</w:t>
      </w:r>
      <w:r>
        <w:rPr>
          <w:rFonts w:ascii="Arial" w:cs="Arial" w:eastAsia="Arial" w:hAnsi="Arial"/>
          <w:sz w:val="21"/>
          <w:szCs w:val="21"/>
          <w:i w:val="1"/>
          <w:iCs w:val="1"/>
          <w:color w:val="auto"/>
        </w:rPr>
        <w:t xml:space="preserve"> </w:t>
      </w:r>
      <w:r>
        <w:rPr>
          <w:rFonts w:ascii="Arial" w:cs="Arial" w:eastAsia="Arial" w:hAnsi="Arial"/>
          <w:sz w:val="21"/>
          <w:szCs w:val="21"/>
          <w:color w:val="auto"/>
        </w:rPr>
        <w:t>council of FMC Separation Systems B.V. has rendered a neutral advice without conditions with respect to FMC Separation Systems B.V.’s entry into and performance of the Loan Documents and has acknowledged and agreed to waive its right to start legal proceedings. Consequently, the one month suspension period as referred to in article 25 subparagraph 6 of the Dutch Works Councils Act does not have to be observed.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IV</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Conditions</w:t>
      </w:r>
    </w:p>
    <w:p>
      <w:pPr>
        <w:spacing w:after="0" w:line="233" w:lineRule="exact"/>
        <w:rPr>
          <w:sz w:val="20"/>
          <w:szCs w:val="20"/>
          <w:color w:val="auto"/>
        </w:rPr>
      </w:pPr>
    </w:p>
    <w:p>
      <w:pPr>
        <w:ind w:right="400" w:firstLine="648"/>
        <w:spacing w:after="0"/>
        <w:rPr>
          <w:sz w:val="20"/>
          <w:szCs w:val="20"/>
          <w:color w:val="auto"/>
        </w:rPr>
      </w:pPr>
      <w:r>
        <w:rPr>
          <w:rFonts w:ascii="Arial" w:cs="Arial" w:eastAsia="Arial" w:hAnsi="Arial"/>
          <w:sz w:val="22"/>
          <w:szCs w:val="22"/>
          <w:color w:val="auto"/>
        </w:rPr>
        <w:t xml:space="preserve">SECTION 4.01. </w:t>
      </w:r>
      <w:r>
        <w:rPr>
          <w:rFonts w:ascii="Arial" w:cs="Arial" w:eastAsia="Arial" w:hAnsi="Arial"/>
          <w:sz w:val="22"/>
          <w:szCs w:val="22"/>
          <w:u w:val="single" w:color="auto"/>
          <w:color w:val="auto"/>
        </w:rPr>
        <w:t>Effective Date</w:t>
      </w:r>
      <w:r>
        <w:rPr>
          <w:rFonts w:ascii="Arial" w:cs="Arial" w:eastAsia="Arial" w:hAnsi="Arial"/>
          <w:sz w:val="22"/>
          <w:szCs w:val="22"/>
          <w:color w:val="auto"/>
        </w:rPr>
        <w:t>. The obligations of the Lenders to make Loans and of the Issuing Banks to issue Letters of Credit hereunder shall not become effective until the date on which each of the following conditions is satisfied (or waived in accordance with Section 9.02):</w:t>
      </w:r>
    </w:p>
    <w:p>
      <w:pPr>
        <w:spacing w:after="0" w:line="213" w:lineRule="exact"/>
        <w:rPr>
          <w:sz w:val="20"/>
          <w:szCs w:val="20"/>
          <w:color w:val="auto"/>
        </w:rPr>
      </w:pPr>
    </w:p>
    <w:p>
      <w:pPr>
        <w:jc w:val="both"/>
        <w:ind w:firstLine="656"/>
        <w:spacing w:after="0" w:line="282" w:lineRule="auto"/>
        <w:tabs>
          <w:tab w:leader="none" w:pos="1444" w:val="left"/>
        </w:tabs>
        <w:numPr>
          <w:ilvl w:val="0"/>
          <w:numId w:val="214"/>
        </w:numPr>
        <w:rPr>
          <w:rFonts w:ascii="Arial" w:cs="Arial" w:eastAsia="Arial" w:hAnsi="Arial"/>
          <w:sz w:val="19"/>
          <w:szCs w:val="19"/>
          <w:color w:val="auto"/>
        </w:rPr>
      </w:pPr>
      <w:r>
        <w:rPr>
          <w:rFonts w:ascii="Arial" w:cs="Arial" w:eastAsia="Arial" w:hAnsi="Arial"/>
          <w:sz w:val="19"/>
          <w:szCs w:val="19"/>
          <w:color w:val="auto"/>
        </w:rPr>
        <w:t xml:space="preserve">The Administrative Agent (or its counsel) shall have received from each party hereto or thereto a counterpart of this Agreement and each other Loan Document (excluding, for the avoidance of doubt, the Real Property Mortgages and other Security Documents in non-U.S. jurisdictions, which shall be delivered in accordance with </w:t>
      </w:r>
      <w:r>
        <w:rPr>
          <w:rFonts w:ascii="Arial" w:cs="Arial" w:eastAsia="Arial" w:hAnsi="Arial"/>
          <w:sz w:val="19"/>
          <w:szCs w:val="19"/>
          <w:u w:val="single" w:color="auto"/>
          <w:color w:val="auto"/>
        </w:rPr>
        <w:t>Section 5.15</w:t>
      </w:r>
      <w:r>
        <w:rPr>
          <w:rFonts w:ascii="Arial" w:cs="Arial" w:eastAsia="Arial" w:hAnsi="Arial"/>
          <w:sz w:val="19"/>
          <w:szCs w:val="19"/>
          <w:color w:val="auto"/>
        </w:rPr>
        <w:t xml:space="preserve">) signed on behalf of such party (which, subject to </w:t>
      </w:r>
      <w:r>
        <w:rPr>
          <w:rFonts w:ascii="Arial" w:cs="Arial" w:eastAsia="Arial" w:hAnsi="Arial"/>
          <w:sz w:val="19"/>
          <w:szCs w:val="19"/>
          <w:u w:val="single" w:color="auto"/>
          <w:color w:val="auto"/>
        </w:rPr>
        <w:t>Section 9.06(b)</w:t>
      </w:r>
      <w:r>
        <w:rPr>
          <w:rFonts w:ascii="Arial" w:cs="Arial" w:eastAsia="Arial" w:hAnsi="Arial"/>
          <w:sz w:val="19"/>
          <w:szCs w:val="19"/>
          <w:color w:val="auto"/>
        </w:rPr>
        <w:t>, may include any Electronic Signatures transmitted by telecopy, emailed .pdf or any other electronic means that reproduces an image of an actual executed signature page).</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2" w:name="page283"/>
    <w:bookmarkEnd w:id="282"/>
    <w:p>
      <w:pPr>
        <w:jc w:val="both"/>
        <w:ind w:firstLine="656"/>
        <w:spacing w:after="0" w:line="273" w:lineRule="auto"/>
        <w:tabs>
          <w:tab w:leader="none" w:pos="1596" w:val="left"/>
        </w:tabs>
        <w:numPr>
          <w:ilvl w:val="1"/>
          <w:numId w:val="215"/>
        </w:numPr>
        <w:rPr>
          <w:rFonts w:ascii="Arial" w:cs="Arial" w:eastAsia="Arial" w:hAnsi="Arial"/>
          <w:sz w:val="19"/>
          <w:szCs w:val="19"/>
          <w:color w:val="auto"/>
        </w:rPr>
      </w:pPr>
      <w:r>
        <w:rPr>
          <w:rFonts w:ascii="Arial" w:cs="Arial" w:eastAsia="Arial" w:hAnsi="Arial"/>
          <w:sz w:val="19"/>
          <w:szCs w:val="19"/>
          <w:color w:val="auto"/>
        </w:rPr>
        <w:t>The Administrative Agent shall have received a customary written opinion (addressed to the Administrative Agent and the Lenders) of each of (i) Latham &amp; Watkins LLP, special New York counsel for the Borrowers and the Restricted Subsidiaries; (ii) Simpson Thacher &amp; Bartlett LLP, special counsel in England and Wales to the Administrative Agent; (iii) Allen</w:t>
      </w:r>
    </w:p>
    <w:p>
      <w:pPr>
        <w:spacing w:after="0" w:line="1" w:lineRule="exact"/>
        <w:rPr>
          <w:rFonts w:ascii="Arial" w:cs="Arial" w:eastAsia="Arial" w:hAnsi="Arial"/>
          <w:sz w:val="19"/>
          <w:szCs w:val="19"/>
          <w:color w:val="auto"/>
        </w:rPr>
      </w:pPr>
    </w:p>
    <w:p>
      <w:pPr>
        <w:jc w:val="both"/>
        <w:ind w:firstLine="8"/>
        <w:spacing w:after="0" w:line="232" w:lineRule="auto"/>
        <w:tabs>
          <w:tab w:leader="none" w:pos="249" w:val="left"/>
        </w:tabs>
        <w:numPr>
          <w:ilvl w:val="0"/>
          <w:numId w:val="215"/>
        </w:numPr>
        <w:rPr>
          <w:rFonts w:ascii="Arial" w:cs="Arial" w:eastAsia="Arial" w:hAnsi="Arial"/>
          <w:sz w:val="22"/>
          <w:szCs w:val="22"/>
          <w:color w:val="auto"/>
        </w:rPr>
      </w:pPr>
      <w:r>
        <w:rPr>
          <w:rFonts w:ascii="Arial" w:cs="Arial" w:eastAsia="Arial" w:hAnsi="Arial"/>
          <w:sz w:val="22"/>
          <w:szCs w:val="22"/>
          <w:color w:val="auto"/>
        </w:rPr>
        <w:t>Gledhill LLP, special counsel in Singapore to the Administrative Agent; (iv) Pinheiro Neto Advogados, special counsel in Brazil for such Restricted Subsidiaries organized under the laws of Brazil; (v) De Brauw Blackstone Westbroek N.V., special counsel in the Netherlands for such Restricted Subsidiaries organized under the laws of the Netherlands; (vi) Wikborg Rein Advokatfirma AS, special counsel in Norway for the Administrative Agent; and (vii) Stinson LLP, special Kansas and Colorado counsel for such Restricted Subsidiaries organized under the laws of Kansas and Colorado, in each case (A) dated as of the Effective Date and (B) covering such matters relating to the Loan Parties (as applicable) or the Loan Documents as the Administrative Agent shall reasonably request.</w:t>
      </w:r>
    </w:p>
    <w:p>
      <w:pPr>
        <w:spacing w:after="0" w:line="214" w:lineRule="exact"/>
        <w:rPr>
          <w:rFonts w:ascii="Arial" w:cs="Arial" w:eastAsia="Arial" w:hAnsi="Arial"/>
          <w:sz w:val="22"/>
          <w:szCs w:val="22"/>
          <w:color w:val="auto"/>
        </w:rPr>
      </w:pPr>
    </w:p>
    <w:p>
      <w:pPr>
        <w:jc w:val="both"/>
        <w:ind w:firstLine="656"/>
        <w:spacing w:after="0" w:line="275" w:lineRule="auto"/>
        <w:tabs>
          <w:tab w:leader="none" w:pos="1382" w:val="left"/>
        </w:tabs>
        <w:numPr>
          <w:ilvl w:val="1"/>
          <w:numId w:val="216"/>
        </w:numPr>
        <w:rPr>
          <w:rFonts w:ascii="Arial" w:cs="Arial" w:eastAsia="Arial" w:hAnsi="Arial"/>
          <w:sz w:val="19"/>
          <w:szCs w:val="19"/>
          <w:color w:val="auto"/>
        </w:rPr>
      </w:pPr>
      <w:r>
        <w:rPr>
          <w:rFonts w:ascii="Arial" w:cs="Arial" w:eastAsia="Arial" w:hAnsi="Arial"/>
          <w:sz w:val="19"/>
          <w:szCs w:val="19"/>
          <w:color w:val="auto"/>
        </w:rPr>
        <w:t>The Administrative Agent shall have received (i) a secretary’s or director’s, as applicable, certificate from each Loan Party certifying and appending such Loan Party’s (A) incumbency (to the extent applicable in the relevant jurisdiction), (B) authorizing resolutions (or extracts of such resolutions) (including, in the case of a UK Loan Party except for the Company, resolutions of the shareholder of such UK Loan Party), (C) organizational documents, (D) governmental approvals, if any, with respect to the Loan Documents to which such Person is a party and (E) in the case of a UK Loan Party, certifying that borrowing, guaranteeing or securing, as appropriate, the Total Commitments would not cause any borrowing or guarantee, security or similar limit binding on it to be exceeded; and (ii) certificates of status or good standing (to the extent applicable) as of a recent date of each Loan Party in the jurisdiction of such Loan Party’s organization.</w:t>
      </w:r>
    </w:p>
    <w:p>
      <w:pPr>
        <w:spacing w:after="0" w:line="184" w:lineRule="exact"/>
        <w:rPr>
          <w:rFonts w:ascii="Arial" w:cs="Arial" w:eastAsia="Arial" w:hAnsi="Arial"/>
          <w:sz w:val="19"/>
          <w:szCs w:val="19"/>
          <w:color w:val="auto"/>
        </w:rPr>
      </w:pPr>
    </w:p>
    <w:p>
      <w:pPr>
        <w:jc w:val="both"/>
        <w:ind w:right="20" w:firstLine="656"/>
        <w:spacing w:after="0"/>
        <w:tabs>
          <w:tab w:leader="none" w:pos="1377" w:val="left"/>
        </w:tabs>
        <w:numPr>
          <w:ilvl w:val="1"/>
          <w:numId w:val="216"/>
        </w:numPr>
        <w:rPr>
          <w:rFonts w:ascii="Arial" w:cs="Arial" w:eastAsia="Arial" w:hAnsi="Arial"/>
          <w:sz w:val="22"/>
          <w:szCs w:val="22"/>
          <w:color w:val="auto"/>
        </w:rPr>
      </w:pPr>
      <w:r>
        <w:rPr>
          <w:rFonts w:ascii="Arial" w:cs="Arial" w:eastAsia="Arial" w:hAnsi="Arial"/>
          <w:sz w:val="22"/>
          <w:szCs w:val="22"/>
          <w:color w:val="auto"/>
        </w:rPr>
        <w:t xml:space="preserve">The Administrative Agent shall have received a certificate, dated the Effective Date and signed by a Responsible Officer of the Company, confirming compliance with the conditions set forth in </w:t>
      </w:r>
      <w:r>
        <w:rPr>
          <w:rFonts w:ascii="Arial" w:cs="Arial" w:eastAsia="Arial" w:hAnsi="Arial"/>
          <w:sz w:val="22"/>
          <w:szCs w:val="22"/>
          <w:u w:val="single" w:color="auto"/>
          <w:color w:val="auto"/>
        </w:rPr>
        <w:t>paragraphs (k)</w:t>
      </w:r>
      <w:r>
        <w:rPr>
          <w:rFonts w:ascii="Arial" w:cs="Arial" w:eastAsia="Arial" w:hAnsi="Arial"/>
          <w:sz w:val="22"/>
          <w:szCs w:val="22"/>
          <w:color w:val="auto"/>
        </w:rPr>
        <w:t xml:space="preserve">, </w:t>
      </w:r>
      <w:r>
        <w:rPr>
          <w:rFonts w:ascii="Arial" w:cs="Arial" w:eastAsia="Arial" w:hAnsi="Arial"/>
          <w:sz w:val="22"/>
          <w:szCs w:val="22"/>
          <w:u w:val="single" w:color="auto"/>
          <w:color w:val="auto"/>
        </w:rPr>
        <w:t>(m)</w:t>
      </w:r>
      <w:r>
        <w:rPr>
          <w:rFonts w:ascii="Arial" w:cs="Arial" w:eastAsia="Arial" w:hAnsi="Arial"/>
          <w:sz w:val="22"/>
          <w:szCs w:val="22"/>
          <w:color w:val="auto"/>
        </w:rPr>
        <w:t xml:space="preserve">, </w:t>
      </w:r>
      <w:r>
        <w:rPr>
          <w:rFonts w:ascii="Arial" w:cs="Arial" w:eastAsia="Arial" w:hAnsi="Arial"/>
          <w:sz w:val="22"/>
          <w:szCs w:val="22"/>
          <w:u w:val="single" w:color="auto"/>
          <w:color w:val="auto"/>
        </w:rPr>
        <w:t>(n)</w:t>
      </w:r>
      <w:r>
        <w:rPr>
          <w:rFonts w:ascii="Arial" w:cs="Arial" w:eastAsia="Arial" w:hAnsi="Arial"/>
          <w:sz w:val="22"/>
          <w:szCs w:val="22"/>
          <w:color w:val="auto"/>
        </w:rPr>
        <w:t xml:space="preserve">, </w:t>
      </w:r>
      <w:r>
        <w:rPr>
          <w:rFonts w:ascii="Arial" w:cs="Arial" w:eastAsia="Arial" w:hAnsi="Arial"/>
          <w:sz w:val="22"/>
          <w:szCs w:val="22"/>
          <w:u w:val="single" w:color="auto"/>
          <w:color w:val="auto"/>
        </w:rPr>
        <w:t>(o)</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(p)</w:t>
      </w:r>
      <w:r>
        <w:rPr>
          <w:rFonts w:ascii="Arial" w:cs="Arial" w:eastAsia="Arial" w:hAnsi="Arial"/>
          <w:sz w:val="22"/>
          <w:szCs w:val="22"/>
          <w:color w:val="auto"/>
        </w:rPr>
        <w:t xml:space="preserve"> of this </w:t>
      </w:r>
      <w:r>
        <w:rPr>
          <w:rFonts w:ascii="Arial" w:cs="Arial" w:eastAsia="Arial" w:hAnsi="Arial"/>
          <w:sz w:val="22"/>
          <w:szCs w:val="22"/>
          <w:u w:val="single" w:color="auto"/>
          <w:color w:val="auto"/>
        </w:rPr>
        <w:t>Section 4.01</w:t>
      </w:r>
      <w:r>
        <w:rPr>
          <w:rFonts w:ascii="Arial" w:cs="Arial" w:eastAsia="Arial" w:hAnsi="Arial"/>
          <w:sz w:val="22"/>
          <w:szCs w:val="22"/>
          <w:color w:val="auto"/>
        </w:rPr>
        <w:t xml:space="preserve"> (after giving effect to the Transactions).</w:t>
      </w:r>
    </w:p>
    <w:p>
      <w:pPr>
        <w:spacing w:after="0" w:line="213" w:lineRule="exact"/>
        <w:rPr>
          <w:rFonts w:ascii="Arial" w:cs="Arial" w:eastAsia="Arial" w:hAnsi="Arial"/>
          <w:sz w:val="22"/>
          <w:szCs w:val="22"/>
          <w:color w:val="auto"/>
        </w:rPr>
      </w:pPr>
    </w:p>
    <w:p>
      <w:pPr>
        <w:jc w:val="both"/>
        <w:ind w:firstLine="656"/>
        <w:spacing w:after="0" w:line="235" w:lineRule="auto"/>
        <w:tabs>
          <w:tab w:leader="none" w:pos="1332" w:val="left"/>
        </w:tabs>
        <w:numPr>
          <w:ilvl w:val="1"/>
          <w:numId w:val="216"/>
        </w:numPr>
        <w:rPr>
          <w:rFonts w:ascii="Arial" w:cs="Arial" w:eastAsia="Arial" w:hAnsi="Arial"/>
          <w:sz w:val="22"/>
          <w:szCs w:val="22"/>
          <w:color w:val="auto"/>
        </w:rPr>
      </w:pPr>
      <w:r>
        <w:rPr>
          <w:rFonts w:ascii="Arial" w:cs="Arial" w:eastAsia="Arial" w:hAnsi="Arial"/>
          <w:sz w:val="22"/>
          <w:szCs w:val="22"/>
          <w:color w:val="auto"/>
        </w:rPr>
        <w:t>The Administrative Agent and the Arrangers shall have received all fees and other amounts due and payable on or prior to the Effective Date, including, to the extent invoiced at least three (3) Business Days prior to the Effective Date, reimbursement or payment of all reasonable out-of-pocket expenses (including fees, charges and disbursements of counsel) required to be reimbursed or paid by any Loan Party hereunder, under any other Loan Document or under any other agreement entered into by any of the Arrangers, the Administrative Agent and the Lenders, on the one hand, and any of the Loan Parties, on the other hand.</w:t>
      </w:r>
    </w:p>
    <w:p>
      <w:pPr>
        <w:spacing w:after="0" w:line="214" w:lineRule="exact"/>
        <w:rPr>
          <w:rFonts w:ascii="Arial" w:cs="Arial" w:eastAsia="Arial" w:hAnsi="Arial"/>
          <w:sz w:val="22"/>
          <w:szCs w:val="22"/>
          <w:color w:val="auto"/>
        </w:rPr>
      </w:pPr>
    </w:p>
    <w:p>
      <w:pPr>
        <w:ind w:left="1420" w:hanging="764"/>
        <w:spacing w:after="0"/>
        <w:tabs>
          <w:tab w:leader="none" w:pos="1420" w:val="left"/>
        </w:tabs>
        <w:numPr>
          <w:ilvl w:val="1"/>
          <w:numId w:val="216"/>
        </w:numPr>
        <w:rPr>
          <w:rFonts w:ascii="Arial" w:cs="Arial" w:eastAsia="Arial" w:hAnsi="Arial"/>
          <w:sz w:val="21"/>
          <w:szCs w:val="21"/>
          <w:color w:val="auto"/>
        </w:rPr>
      </w:pPr>
      <w:r>
        <w:rPr>
          <w:rFonts w:ascii="Arial" w:cs="Arial" w:eastAsia="Arial" w:hAnsi="Arial"/>
          <w:sz w:val="21"/>
          <w:szCs w:val="21"/>
          <w:color w:val="auto"/>
        </w:rPr>
        <w:t xml:space="preserve">The Arrangers shall have received the financial statements and certificates referred to in </w:t>
      </w:r>
      <w:r>
        <w:rPr>
          <w:rFonts w:ascii="Arial" w:cs="Arial" w:eastAsia="Arial" w:hAnsi="Arial"/>
          <w:sz w:val="21"/>
          <w:szCs w:val="21"/>
          <w:u w:val="single" w:color="auto"/>
          <w:color w:val="auto"/>
        </w:rPr>
        <w:t>Section 3.04(a)</w:t>
      </w:r>
      <w:r>
        <w:rPr>
          <w:rFonts w:ascii="Arial" w:cs="Arial" w:eastAsia="Arial" w:hAnsi="Arial"/>
          <w:sz w:val="21"/>
          <w:szCs w:val="21"/>
          <w:color w:val="auto"/>
        </w:rPr>
        <w:t>.</w:t>
      </w:r>
    </w:p>
    <w:p>
      <w:pPr>
        <w:spacing w:after="0" w:line="244" w:lineRule="exact"/>
        <w:rPr>
          <w:rFonts w:ascii="Arial" w:cs="Arial" w:eastAsia="Arial" w:hAnsi="Arial"/>
          <w:sz w:val="21"/>
          <w:szCs w:val="21"/>
          <w:color w:val="auto"/>
        </w:rPr>
      </w:pPr>
    </w:p>
    <w:p>
      <w:pPr>
        <w:jc w:val="both"/>
        <w:ind w:firstLine="656"/>
        <w:spacing w:after="0" w:line="245" w:lineRule="auto"/>
        <w:tabs>
          <w:tab w:leader="none" w:pos="1372" w:val="left"/>
        </w:tabs>
        <w:numPr>
          <w:ilvl w:val="1"/>
          <w:numId w:val="216"/>
        </w:numPr>
        <w:rPr>
          <w:rFonts w:ascii="Arial" w:cs="Arial" w:eastAsia="Arial" w:hAnsi="Arial"/>
          <w:sz w:val="21"/>
          <w:szCs w:val="21"/>
          <w:color w:val="auto"/>
        </w:rPr>
      </w:pPr>
      <w:r>
        <w:rPr>
          <w:rFonts w:ascii="Arial" w:cs="Arial" w:eastAsia="Arial" w:hAnsi="Arial"/>
          <w:sz w:val="21"/>
          <w:szCs w:val="21"/>
          <w:color w:val="auto"/>
        </w:rPr>
        <w:t>(i) The Administrative Agent shall have received, at least five (5) Business Days prior to the Effective Date, all documentation and other information regarding the Loan Parties requested in connection with applicable “know your customer” and anti-money laundering rules and regulations, including the USA PATRIOT Act, to the extent requested in writing of the Borrower at least ten (10) business days prior to the Effective Date and (ii) to the extent a Borrower qualifies as a “legal entity customer” under the Beneficial Ownership Regulation, at least five (5) Business Days prior to the Effective Date, any Lender that has requested, in a written notice to the Company at least ten (10) Business Days prior to the Effective Date, a Beneficial Ownership Certification in relation to such Borrower shall have received such Beneficial Ownership Certification (provided that, upon the execution and delivery by such Lender of its signature page to this Agreement, the condition set forth in this clause (ii) shall be deemed to be satisfied).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3" w:name="page284"/>
    <w:bookmarkEnd w:id="283"/>
    <w:p>
      <w:pPr>
        <w:jc w:val="both"/>
        <w:ind w:firstLine="656"/>
        <w:spacing w:after="0" w:line="282" w:lineRule="auto"/>
        <w:tabs>
          <w:tab w:leader="none" w:pos="1774" w:val="left"/>
        </w:tabs>
        <w:numPr>
          <w:ilvl w:val="0"/>
          <w:numId w:val="217"/>
        </w:numPr>
        <w:rPr>
          <w:rFonts w:ascii="Arial" w:cs="Arial" w:eastAsia="Arial" w:hAnsi="Arial"/>
          <w:sz w:val="19"/>
          <w:szCs w:val="19"/>
          <w:color w:val="auto"/>
        </w:rPr>
      </w:pPr>
      <w:r>
        <w:rPr>
          <w:rFonts w:ascii="Arial" w:cs="Arial" w:eastAsia="Arial" w:hAnsi="Arial"/>
          <w:sz w:val="19"/>
          <w:szCs w:val="19"/>
          <w:color w:val="auto"/>
        </w:rPr>
        <w:t xml:space="preserve">The Collateral and Guarantee Requirement shall have been satisfied to the extent applicable, and the Administrative Agent, on behalf of the Secured Parties, shall have a valid and perfected security interest in the Collateral of the type and priority described in each Security Document, except as otherwise set forth in the Collateral and Guarantee Requirement or </w:t>
      </w:r>
      <w:r>
        <w:rPr>
          <w:rFonts w:ascii="Arial" w:cs="Arial" w:eastAsia="Arial" w:hAnsi="Arial"/>
          <w:sz w:val="19"/>
          <w:szCs w:val="19"/>
          <w:u w:val="single" w:color="auto"/>
          <w:color w:val="auto"/>
        </w:rPr>
        <w:t>Section 5.15</w:t>
      </w:r>
      <w:r>
        <w:rPr>
          <w:rFonts w:ascii="Arial" w:cs="Arial" w:eastAsia="Arial" w:hAnsi="Arial"/>
          <w:sz w:val="19"/>
          <w:szCs w:val="19"/>
          <w:color w:val="auto"/>
        </w:rPr>
        <w:t xml:space="preserve"> and, in each case, subject to the Collateral and Guarantee Principles. The Administrative Agent shall have received a completed Perfection Certificate dated the Effective Date and signed by a Responsible Officer of the Company.</w:t>
      </w:r>
    </w:p>
    <w:p>
      <w:pPr>
        <w:spacing w:after="0" w:line="174" w:lineRule="exact"/>
        <w:rPr>
          <w:rFonts w:ascii="Arial" w:cs="Arial" w:eastAsia="Arial" w:hAnsi="Arial"/>
          <w:sz w:val="19"/>
          <w:szCs w:val="19"/>
          <w:color w:val="auto"/>
        </w:rPr>
      </w:pPr>
    </w:p>
    <w:p>
      <w:pPr>
        <w:ind w:firstLine="656"/>
        <w:spacing w:after="0" w:line="250" w:lineRule="auto"/>
        <w:tabs>
          <w:tab w:leader="none" w:pos="1538" w:val="left"/>
        </w:tabs>
        <w:numPr>
          <w:ilvl w:val="0"/>
          <w:numId w:val="217"/>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5.15</w:t>
      </w:r>
      <w:r>
        <w:rPr>
          <w:rFonts w:ascii="Arial" w:cs="Arial" w:eastAsia="Arial" w:hAnsi="Arial"/>
          <w:sz w:val="22"/>
          <w:szCs w:val="22"/>
          <w:color w:val="auto"/>
        </w:rPr>
        <w:t xml:space="preserve">, the Administrative Agent shall have received the certificates of insurance and related endorsements with respect to the insurance required by </w:t>
      </w:r>
      <w:r>
        <w:rPr>
          <w:rFonts w:ascii="Arial" w:cs="Arial" w:eastAsia="Arial" w:hAnsi="Arial"/>
          <w:sz w:val="22"/>
          <w:szCs w:val="22"/>
          <w:u w:val="single" w:color="auto"/>
          <w:color w:val="auto"/>
        </w:rPr>
        <w:t>Section 5.07</w:t>
      </w:r>
      <w:r>
        <w:rPr>
          <w:rFonts w:ascii="Arial" w:cs="Arial" w:eastAsia="Arial" w:hAnsi="Arial"/>
          <w:sz w:val="22"/>
          <w:szCs w:val="22"/>
          <w:color w:val="auto"/>
        </w:rPr>
        <w:t xml:space="preserve"> and the Security Documents.</w:t>
      </w:r>
    </w:p>
    <w:p>
      <w:pPr>
        <w:spacing w:after="0" w:line="201" w:lineRule="exact"/>
        <w:rPr>
          <w:rFonts w:ascii="Arial" w:cs="Arial" w:eastAsia="Arial" w:hAnsi="Arial"/>
          <w:sz w:val="22"/>
          <w:szCs w:val="22"/>
          <w:color w:val="auto"/>
        </w:rPr>
      </w:pPr>
    </w:p>
    <w:p>
      <w:pPr>
        <w:jc w:val="both"/>
        <w:ind w:firstLine="656"/>
        <w:spacing w:after="0" w:line="297" w:lineRule="auto"/>
        <w:tabs>
          <w:tab w:leader="none" w:pos="1358" w:val="left"/>
        </w:tabs>
        <w:numPr>
          <w:ilvl w:val="0"/>
          <w:numId w:val="217"/>
        </w:numPr>
        <w:rPr>
          <w:rFonts w:ascii="Arial" w:cs="Arial" w:eastAsia="Arial" w:hAnsi="Arial"/>
          <w:sz w:val="19"/>
          <w:szCs w:val="19"/>
          <w:color w:val="auto"/>
        </w:rPr>
      </w:pPr>
      <w:r>
        <w:rPr>
          <w:rFonts w:ascii="Arial" w:cs="Arial" w:eastAsia="Arial" w:hAnsi="Arial"/>
          <w:sz w:val="19"/>
          <w:szCs w:val="19"/>
          <w:color w:val="auto"/>
        </w:rPr>
        <w:t xml:space="preserve">The Administrative Agent shall have received a certificate from a Financial Officer of the Company, substantially in the form of </w:t>
      </w:r>
      <w:r>
        <w:rPr>
          <w:rFonts w:ascii="Arial" w:cs="Arial" w:eastAsia="Arial" w:hAnsi="Arial"/>
          <w:sz w:val="19"/>
          <w:szCs w:val="19"/>
          <w:u w:val="single" w:color="auto"/>
          <w:color w:val="auto"/>
        </w:rPr>
        <w:t>Exhibit K</w:t>
      </w:r>
      <w:r>
        <w:rPr>
          <w:rFonts w:ascii="Arial" w:cs="Arial" w:eastAsia="Arial" w:hAnsi="Arial"/>
          <w:sz w:val="19"/>
          <w:szCs w:val="19"/>
          <w:color w:val="auto"/>
        </w:rPr>
        <w:t>, certifying as to the solvency of the Borrowers and their Restricted Subsidiaries as of the Effective Date on a consolidated basis after giving effect to the Transactions and the other transactions contemplated hereby.</w:t>
      </w:r>
    </w:p>
    <w:p>
      <w:pPr>
        <w:spacing w:after="0" w:line="160" w:lineRule="exact"/>
        <w:rPr>
          <w:rFonts w:ascii="Arial" w:cs="Arial" w:eastAsia="Arial" w:hAnsi="Arial"/>
          <w:sz w:val="19"/>
          <w:szCs w:val="19"/>
          <w:color w:val="auto"/>
        </w:rPr>
      </w:pPr>
    </w:p>
    <w:p>
      <w:pPr>
        <w:jc w:val="both"/>
        <w:ind w:firstLine="656"/>
        <w:spacing w:after="0"/>
        <w:tabs>
          <w:tab w:leader="none" w:pos="1416" w:val="left"/>
        </w:tabs>
        <w:numPr>
          <w:ilvl w:val="0"/>
          <w:numId w:val="217"/>
        </w:numPr>
        <w:rPr>
          <w:rFonts w:ascii="Arial" w:cs="Arial" w:eastAsia="Arial" w:hAnsi="Arial"/>
          <w:sz w:val="22"/>
          <w:szCs w:val="22"/>
          <w:color w:val="auto"/>
        </w:rPr>
      </w:pPr>
      <w:r>
        <w:rPr>
          <w:rFonts w:ascii="Arial" w:cs="Arial" w:eastAsia="Arial" w:hAnsi="Arial"/>
          <w:sz w:val="22"/>
          <w:szCs w:val="22"/>
          <w:color w:val="auto"/>
        </w:rPr>
        <w:t>Immediately after giving effect to the Transactions on the Effective Date and the other transactions contemplated hereby, the aggregate amount of the sum of (i) the unused Commitments and (ii) unrestricted cash on the balance sheet of the Loan Parties shall not be less than $1,000,000,000.</w:t>
      </w:r>
    </w:p>
    <w:p>
      <w:pPr>
        <w:spacing w:after="0" w:line="213" w:lineRule="exact"/>
        <w:rPr>
          <w:rFonts w:ascii="Arial" w:cs="Arial" w:eastAsia="Arial" w:hAnsi="Arial"/>
          <w:sz w:val="22"/>
          <w:szCs w:val="22"/>
          <w:color w:val="auto"/>
        </w:rPr>
      </w:pPr>
    </w:p>
    <w:p>
      <w:pPr>
        <w:ind w:firstLine="656"/>
        <w:spacing w:after="0" w:line="250" w:lineRule="auto"/>
        <w:tabs>
          <w:tab w:leader="none" w:pos="1474" w:val="left"/>
        </w:tabs>
        <w:numPr>
          <w:ilvl w:val="0"/>
          <w:numId w:val="217"/>
        </w:numPr>
        <w:rPr>
          <w:rFonts w:ascii="Arial" w:cs="Arial" w:eastAsia="Arial" w:hAnsi="Arial"/>
          <w:sz w:val="22"/>
          <w:szCs w:val="22"/>
          <w:color w:val="auto"/>
        </w:rPr>
      </w:pPr>
      <w:r>
        <w:rPr>
          <w:rFonts w:ascii="Arial" w:cs="Arial" w:eastAsia="Arial" w:hAnsi="Arial"/>
          <w:sz w:val="22"/>
          <w:szCs w:val="22"/>
          <w:color w:val="auto"/>
        </w:rPr>
        <w:t>The Administrative Agent shall have received evidence satisfactory to it of the termination or discharge of the Effective Date Refinanced Debt prior to or substantially concurrently with the Effective Date.</w:t>
      </w:r>
    </w:p>
    <w:p>
      <w:pPr>
        <w:spacing w:after="0" w:line="201" w:lineRule="exact"/>
        <w:rPr>
          <w:rFonts w:ascii="Arial" w:cs="Arial" w:eastAsia="Arial" w:hAnsi="Arial"/>
          <w:sz w:val="22"/>
          <w:szCs w:val="22"/>
          <w:color w:val="auto"/>
        </w:rPr>
      </w:pPr>
    </w:p>
    <w:p>
      <w:pPr>
        <w:jc w:val="both"/>
        <w:ind w:firstLine="656"/>
        <w:spacing w:after="0" w:line="270" w:lineRule="auto"/>
        <w:tabs>
          <w:tab w:leader="none" w:pos="1650" w:val="left"/>
        </w:tabs>
        <w:numPr>
          <w:ilvl w:val="0"/>
          <w:numId w:val="217"/>
        </w:numPr>
        <w:rPr>
          <w:rFonts w:ascii="Arial" w:cs="Arial" w:eastAsia="Arial" w:hAnsi="Arial"/>
          <w:sz w:val="19"/>
          <w:szCs w:val="19"/>
          <w:color w:val="auto"/>
        </w:rPr>
      </w:pPr>
      <w:r>
        <w:rPr>
          <w:rFonts w:ascii="Arial" w:cs="Arial" w:eastAsia="Arial" w:hAnsi="Arial"/>
          <w:sz w:val="19"/>
          <w:szCs w:val="19"/>
          <w:color w:val="auto"/>
        </w:rPr>
        <w:t>Since December 31, 2019, there shall not have occurred any fact, event, change, condition, occurrence or circumstance (collectively, “</w:t>
      </w:r>
      <w:r>
        <w:rPr>
          <w:rFonts w:ascii="Arial" w:cs="Arial" w:eastAsia="Arial" w:hAnsi="Arial"/>
          <w:sz w:val="19"/>
          <w:szCs w:val="19"/>
          <w:u w:val="single" w:color="auto"/>
          <w:color w:val="auto"/>
        </w:rPr>
        <w:t>Effects</w:t>
      </w:r>
      <w:r>
        <w:rPr>
          <w:rFonts w:ascii="Arial" w:cs="Arial" w:eastAsia="Arial" w:hAnsi="Arial"/>
          <w:sz w:val="19"/>
          <w:szCs w:val="19"/>
          <w:color w:val="auto"/>
        </w:rPr>
        <w:t>”) that, individually or in the aggregate, has, or would reasonably be expected to have a material adverse effect on the Company and its Subsidiaries, or results of operation of the Company and its Subsidiaries, taken as a whole, excluding any Effect resulting from any of the following (unless, other than with respect to clause (i) below, such Effects disproportionately, materially and adversely impact the Company and its Subsidiaries relative to others similarly situated in the Company’s industry): (i) entering into the Transactions or the announcement of the Transactions, (ii) any change in interest rates or any change in conditions affecting the economy generally, (iii) any change in financial, banking, credit, commodities, hedging, capital or securities markets (including any disruption thereof and any decline in the price of any security or market index), (iv) any change in geopolitical conditions, acts of terrorism, acts of war or the escalation of hostilities, (v) disease outbreaks or pandemics (including the coronavirus (COVID-19)), (vi) acts or failures to act of government, court, regulatory or administrative agency, commission or authority or other governmental instrumentality, federal, state or local, domestic, foreign or multinational, including any contractor acting on behalf of any such agency, commission, authority or governmental instrumentality, (vii) matters that are cured or no longer exist as of the Effective Date, (viii) any change in applicable laws (statutory, common or otherwise), constitutions, treaties, conventions, ordinances, codes, rules, regulations, orders, injunctions, judgments, decisions, decrees, rulings, assessments, orders, policies or other similar requirements, all to the extent enacted, adopted, promulgated or applied by a Governmental Authority and having a legally binding effect and any interpretations thereof and (ix) any event, change or circumstance generally affecting the industry in which the Company and its Subsidiaries operate, as a whole.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4" w:name="page285"/>
    <w:bookmarkEnd w:id="284"/>
    <w:p>
      <w:pPr>
        <w:jc w:val="both"/>
        <w:ind w:firstLine="656"/>
        <w:spacing w:after="0" w:line="236" w:lineRule="auto"/>
        <w:tabs>
          <w:tab w:leader="none" w:pos="1532" w:val="left"/>
        </w:tabs>
        <w:numPr>
          <w:ilvl w:val="0"/>
          <w:numId w:val="218"/>
        </w:numPr>
        <w:rPr>
          <w:rFonts w:ascii="Arial" w:cs="Arial" w:eastAsia="Arial" w:hAnsi="Arial"/>
          <w:sz w:val="22"/>
          <w:szCs w:val="22"/>
          <w:color w:val="auto"/>
        </w:rPr>
      </w:pPr>
      <w:r>
        <w:rPr>
          <w:rFonts w:ascii="Arial" w:cs="Arial" w:eastAsia="Arial" w:hAnsi="Arial"/>
          <w:sz w:val="22"/>
          <w:szCs w:val="22"/>
          <w:color w:val="auto"/>
        </w:rPr>
        <w:t>All governmental and third party approvals and all equity holder and board of directors (or comparable entity management body) authorizations in connection with the Transactions shall have been obtained and be in full force and effect, except to the extent that failure of the same could not reasonably be expected to have, individually or in the aggregate a material adverse effect on the business, assets, property or condition (financial or otherwise) of the Company and its Subsidiaries, taken as a whole after giving effect to the Spinoff.</w:t>
      </w:r>
    </w:p>
    <w:p>
      <w:pPr>
        <w:spacing w:after="0" w:line="214" w:lineRule="exact"/>
        <w:rPr>
          <w:rFonts w:ascii="Arial" w:cs="Arial" w:eastAsia="Arial" w:hAnsi="Arial"/>
          <w:sz w:val="22"/>
          <w:szCs w:val="22"/>
          <w:color w:val="auto"/>
        </w:rPr>
      </w:pPr>
    </w:p>
    <w:p>
      <w:pPr>
        <w:jc w:val="both"/>
        <w:ind w:firstLine="656"/>
        <w:spacing w:after="0"/>
        <w:tabs>
          <w:tab w:leader="none" w:pos="1653" w:val="left"/>
        </w:tabs>
        <w:numPr>
          <w:ilvl w:val="0"/>
          <w:numId w:val="218"/>
        </w:numPr>
        <w:rPr>
          <w:rFonts w:ascii="Arial" w:cs="Arial" w:eastAsia="Arial" w:hAnsi="Arial"/>
          <w:sz w:val="22"/>
          <w:szCs w:val="22"/>
          <w:color w:val="auto"/>
        </w:rPr>
      </w:pPr>
      <w:r>
        <w:rPr>
          <w:rFonts w:ascii="Arial" w:cs="Arial" w:eastAsia="Arial" w:hAnsi="Arial"/>
          <w:sz w:val="22"/>
          <w:szCs w:val="22"/>
          <w:color w:val="auto"/>
        </w:rPr>
        <w:t>The Specified Representations shall be accurate in all material respects (and in all respects if qualified by materiality) on the Effective Date, and after giving effect to the Transactions on the Effective Date, no Default or Event of Default shall have occurred and be continuing.</w:t>
      </w:r>
    </w:p>
    <w:p>
      <w:pPr>
        <w:spacing w:after="0" w:line="213" w:lineRule="exact"/>
        <w:rPr>
          <w:rFonts w:ascii="Arial" w:cs="Arial" w:eastAsia="Arial" w:hAnsi="Arial"/>
          <w:sz w:val="22"/>
          <w:szCs w:val="22"/>
          <w:color w:val="auto"/>
        </w:rPr>
      </w:pPr>
    </w:p>
    <w:p>
      <w:pPr>
        <w:ind w:left="1440" w:hanging="784"/>
        <w:spacing w:after="0"/>
        <w:tabs>
          <w:tab w:leader="none" w:pos="1440" w:val="left"/>
        </w:tabs>
        <w:numPr>
          <w:ilvl w:val="0"/>
          <w:numId w:val="218"/>
        </w:numPr>
        <w:rPr>
          <w:rFonts w:ascii="Arial" w:cs="Arial" w:eastAsia="Arial" w:hAnsi="Arial"/>
          <w:sz w:val="22"/>
          <w:szCs w:val="22"/>
          <w:color w:val="auto"/>
        </w:rPr>
      </w:pPr>
      <w:r>
        <w:rPr>
          <w:rFonts w:ascii="Arial" w:cs="Arial" w:eastAsia="Arial" w:hAnsi="Arial"/>
          <w:sz w:val="22"/>
          <w:szCs w:val="22"/>
          <w:color w:val="auto"/>
        </w:rPr>
        <w:t>The Borrowers shall be in compliance with the Financial Covenants on a Pro Forma Basis.</w:t>
      </w:r>
    </w:p>
    <w:p>
      <w:pPr>
        <w:spacing w:after="0" w:line="233" w:lineRule="exact"/>
        <w:rPr>
          <w:rFonts w:ascii="Arial" w:cs="Arial" w:eastAsia="Arial" w:hAnsi="Arial"/>
          <w:sz w:val="22"/>
          <w:szCs w:val="22"/>
          <w:color w:val="auto"/>
        </w:rPr>
      </w:pPr>
    </w:p>
    <w:p>
      <w:pPr>
        <w:jc w:val="both"/>
        <w:ind w:firstLine="656"/>
        <w:spacing w:after="0" w:line="246" w:lineRule="auto"/>
        <w:tabs>
          <w:tab w:leader="none" w:pos="1417" w:val="left"/>
        </w:tabs>
        <w:numPr>
          <w:ilvl w:val="0"/>
          <w:numId w:val="218"/>
        </w:numPr>
        <w:rPr>
          <w:rFonts w:ascii="Arial" w:cs="Arial" w:eastAsia="Arial" w:hAnsi="Arial"/>
          <w:sz w:val="21"/>
          <w:szCs w:val="21"/>
          <w:color w:val="auto"/>
        </w:rPr>
      </w:pPr>
      <w:r>
        <w:rPr>
          <w:rFonts w:ascii="Arial" w:cs="Arial" w:eastAsia="Arial" w:hAnsi="Arial"/>
          <w:sz w:val="21"/>
          <w:szCs w:val="21"/>
          <w:color w:val="auto"/>
        </w:rPr>
        <w:t>(i) The Spinoff shall have been consummated substantially concurrently with the Effective Date in accordance with the terms of the Spin Documents, and (ii) there shall not have been any modifications, amendments, consents, waivers or filings with respect to any Spin Document as are material and adverse to the Lenders (it being understood that (A) any additions to or deletions from the “TFMC Assets” or the “TFMC Liabilities” reflected in the Distribution Agreement shall be deemed material and adverse to the Initial Lenders unless the aggregate diminution in value, if any, resulting from or attributable to such changes is less than $50.0 million and (B) any change in the purchase price under the Share Purchase Agreement (or any amendment to the Share Purchase Agreement related thereto) shall not be deemed to be material and adverse to the interests of the Lenders).</w:t>
      </w:r>
    </w:p>
    <w:p>
      <w:pPr>
        <w:spacing w:after="0" w:line="206" w:lineRule="exact"/>
        <w:rPr>
          <w:rFonts w:ascii="Arial" w:cs="Arial" w:eastAsia="Arial" w:hAnsi="Arial"/>
          <w:sz w:val="21"/>
          <w:szCs w:val="21"/>
          <w:color w:val="auto"/>
        </w:rPr>
      </w:pPr>
    </w:p>
    <w:p>
      <w:pPr>
        <w:jc w:val="both"/>
        <w:ind w:firstLine="656"/>
        <w:spacing w:after="0" w:line="248" w:lineRule="auto"/>
        <w:tabs>
          <w:tab w:leader="none" w:pos="1437" w:val="left"/>
        </w:tabs>
        <w:numPr>
          <w:ilvl w:val="0"/>
          <w:numId w:val="218"/>
        </w:numPr>
        <w:rPr>
          <w:rFonts w:ascii="Arial" w:cs="Arial" w:eastAsia="Arial" w:hAnsi="Arial"/>
          <w:sz w:val="21"/>
          <w:szCs w:val="21"/>
          <w:color w:val="auto"/>
        </w:rPr>
      </w:pPr>
      <w:r>
        <w:rPr>
          <w:rFonts w:ascii="Arial" w:cs="Arial" w:eastAsia="Arial" w:hAnsi="Arial"/>
          <w:sz w:val="21"/>
          <w:szCs w:val="21"/>
          <w:color w:val="auto"/>
        </w:rPr>
        <w:t>The Administrative Agent shall have received, either (i) a works council advice (</w:t>
      </w:r>
      <w:r>
        <w:rPr>
          <w:rFonts w:ascii="Arial" w:cs="Arial" w:eastAsia="Arial" w:hAnsi="Arial"/>
          <w:sz w:val="21"/>
          <w:szCs w:val="21"/>
          <w:i w:val="1"/>
          <w:iCs w:val="1"/>
          <w:color w:val="auto"/>
        </w:rPr>
        <w:t>advies</w:t>
      </w:r>
      <w:r>
        <w:rPr>
          <w:rFonts w:ascii="Arial" w:cs="Arial" w:eastAsia="Arial" w:hAnsi="Arial"/>
          <w:sz w:val="21"/>
          <w:szCs w:val="21"/>
          <w:color w:val="auto"/>
        </w:rPr>
        <w:t>) and the related request for advice in respect of, to the extent required, the transactions contemplated by the Loan Documents, according to which the Dutch Loan Party can pursue with the transactions contemplated by the Loan Documents or (ii) a confirmation by the management board of the relevant Dutch Loan Party and that no works council (</w:t>
      </w:r>
      <w:r>
        <w:rPr>
          <w:rFonts w:ascii="Arial" w:cs="Arial" w:eastAsia="Arial" w:hAnsi="Arial"/>
          <w:sz w:val="21"/>
          <w:szCs w:val="21"/>
          <w:i w:val="1"/>
          <w:iCs w:val="1"/>
          <w:color w:val="auto"/>
        </w:rPr>
        <w:t>ondernemingsraad</w:t>
      </w:r>
      <w:r>
        <w:rPr>
          <w:rFonts w:ascii="Arial" w:cs="Arial" w:eastAsia="Arial" w:hAnsi="Arial"/>
          <w:sz w:val="21"/>
          <w:szCs w:val="21"/>
          <w:color w:val="auto"/>
        </w:rPr>
        <w:t>) has been, is in the process of being or is required to be established with respect to the undertaking of the Dutch Loan Party and that is has not received any request from their respective employees to install a work council.</w:t>
      </w:r>
    </w:p>
    <w:p>
      <w:pPr>
        <w:spacing w:after="0" w:line="204" w:lineRule="exact"/>
        <w:rPr>
          <w:sz w:val="20"/>
          <w:szCs w:val="20"/>
          <w:color w:val="auto"/>
        </w:rPr>
      </w:pPr>
    </w:p>
    <w:p>
      <w:pPr>
        <w:ind w:right="100" w:firstLine="648"/>
        <w:spacing w:after="0" w:line="297" w:lineRule="auto"/>
        <w:rPr>
          <w:sz w:val="20"/>
          <w:szCs w:val="20"/>
          <w:color w:val="auto"/>
        </w:rPr>
      </w:pPr>
      <w:r>
        <w:rPr>
          <w:rFonts w:ascii="Arial" w:cs="Arial" w:eastAsia="Arial" w:hAnsi="Arial"/>
          <w:sz w:val="19"/>
          <w:szCs w:val="19"/>
          <w:color w:val="auto"/>
        </w:rPr>
        <w:t xml:space="preserve">SECTION 4.02. </w:t>
      </w:r>
      <w:r>
        <w:rPr>
          <w:rFonts w:ascii="Arial" w:cs="Arial" w:eastAsia="Arial" w:hAnsi="Arial"/>
          <w:sz w:val="19"/>
          <w:szCs w:val="19"/>
          <w:u w:val="single" w:color="auto"/>
          <w:color w:val="auto"/>
        </w:rPr>
        <w:t>Each Post-Effective Date Credit Event</w:t>
      </w:r>
      <w:r>
        <w:rPr>
          <w:rFonts w:ascii="Arial" w:cs="Arial" w:eastAsia="Arial" w:hAnsi="Arial"/>
          <w:sz w:val="19"/>
          <w:szCs w:val="19"/>
          <w:color w:val="auto"/>
        </w:rPr>
        <w:t>. After the Effective Date, the obligations of the Lenders to make Loans on the occasion of any Borrowing, and of the Issuing Banks to issue, amend, renew or extend any Letter of Credit is subject to receipt of the request therefor in accordance herewith and to the satisfaction of the following conditions:</w:t>
      </w:r>
    </w:p>
    <w:p>
      <w:pPr>
        <w:spacing w:after="0" w:line="161" w:lineRule="exact"/>
        <w:rPr>
          <w:sz w:val="20"/>
          <w:szCs w:val="20"/>
          <w:color w:val="auto"/>
        </w:rPr>
      </w:pPr>
    </w:p>
    <w:p>
      <w:pPr>
        <w:jc w:val="both"/>
        <w:ind w:firstLine="656"/>
        <w:spacing w:after="0" w:line="282" w:lineRule="auto"/>
        <w:tabs>
          <w:tab w:leader="none" w:pos="1432" w:val="left"/>
        </w:tabs>
        <w:numPr>
          <w:ilvl w:val="0"/>
          <w:numId w:val="219"/>
        </w:numPr>
        <w:rPr>
          <w:rFonts w:ascii="Arial" w:cs="Arial" w:eastAsia="Arial" w:hAnsi="Arial"/>
          <w:sz w:val="19"/>
          <w:szCs w:val="19"/>
          <w:color w:val="auto"/>
        </w:rPr>
      </w:pPr>
      <w:r>
        <w:rPr>
          <w:rFonts w:ascii="Arial" w:cs="Arial" w:eastAsia="Arial" w:hAnsi="Arial"/>
          <w:sz w:val="19"/>
          <w:szCs w:val="19"/>
          <w:color w:val="auto"/>
        </w:rPr>
        <w:t>The representations and warranties of each Loan Party set forth in the Loan Documents shall be true and correct in all material respects (or, in the case of representations and warranties qualified as to materiality, in all respects) on and as of the date of such Borrowing or the date of issuance, amendment, renewal or extension of such Letter of Credit, as applicable, except in the case of any such representation and warranty that expressly relates to a prior date, in which case such representation and warranty shall be true and correct in all material respects (or in all respects, as applicable) as of such earlier date.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5" w:name="page286"/>
    <w:bookmarkEnd w:id="285"/>
    <w:p>
      <w:pPr>
        <w:ind w:right="20" w:firstLine="656"/>
        <w:spacing w:after="0" w:line="328" w:lineRule="auto"/>
        <w:tabs>
          <w:tab w:leader="none" w:pos="1521" w:val="left"/>
        </w:tabs>
        <w:numPr>
          <w:ilvl w:val="0"/>
          <w:numId w:val="220"/>
        </w:numPr>
        <w:rPr>
          <w:rFonts w:ascii="Arial" w:cs="Arial" w:eastAsia="Arial" w:hAnsi="Arial"/>
          <w:sz w:val="19"/>
          <w:szCs w:val="19"/>
          <w:color w:val="auto"/>
        </w:rPr>
      </w:pPr>
      <w:r>
        <w:rPr>
          <w:rFonts w:ascii="Arial" w:cs="Arial" w:eastAsia="Arial" w:hAnsi="Arial"/>
          <w:sz w:val="19"/>
          <w:szCs w:val="19"/>
          <w:color w:val="auto"/>
        </w:rPr>
        <w:t>At the time of and immediately after giving effect to such Borrowing or the issuance, amendment, renewal or extension of such Letter of Credit, as applicable, no Default or Event of Default shall have occurred and be continuing.</w:t>
      </w:r>
    </w:p>
    <w:p>
      <w:pPr>
        <w:spacing w:after="0" w:line="132" w:lineRule="exact"/>
        <w:rPr>
          <w:rFonts w:ascii="Arial" w:cs="Arial" w:eastAsia="Arial" w:hAnsi="Arial"/>
          <w:sz w:val="19"/>
          <w:szCs w:val="19"/>
          <w:color w:val="auto"/>
        </w:rPr>
      </w:pPr>
    </w:p>
    <w:p>
      <w:pPr>
        <w:ind w:firstLine="656"/>
        <w:spacing w:after="0" w:line="250" w:lineRule="auto"/>
        <w:tabs>
          <w:tab w:leader="none" w:pos="1518" w:val="left"/>
        </w:tabs>
        <w:numPr>
          <w:ilvl w:val="0"/>
          <w:numId w:val="220"/>
        </w:numPr>
        <w:rPr>
          <w:rFonts w:ascii="Arial" w:cs="Arial" w:eastAsia="Arial" w:hAnsi="Arial"/>
          <w:sz w:val="22"/>
          <w:szCs w:val="22"/>
          <w:color w:val="auto"/>
        </w:rPr>
      </w:pPr>
      <w:r>
        <w:rPr>
          <w:rFonts w:ascii="Arial" w:cs="Arial" w:eastAsia="Arial" w:hAnsi="Arial"/>
          <w:sz w:val="22"/>
          <w:szCs w:val="22"/>
          <w:color w:val="auto"/>
        </w:rPr>
        <w:t>At the time of and immediately after giving effect to such Borrowing, the Consolidated Cash Balance shall not exceed $225,000,000.</w:t>
      </w:r>
    </w:p>
    <w:p>
      <w:pPr>
        <w:spacing w:after="0" w:line="201" w:lineRule="exact"/>
        <w:rPr>
          <w:rFonts w:ascii="Arial" w:cs="Arial" w:eastAsia="Arial" w:hAnsi="Arial"/>
          <w:sz w:val="22"/>
          <w:szCs w:val="22"/>
          <w:color w:val="auto"/>
        </w:rPr>
      </w:pPr>
    </w:p>
    <w:p>
      <w:pPr>
        <w:jc w:val="both"/>
        <w:ind w:firstLine="656"/>
        <w:spacing w:after="0" w:line="276" w:lineRule="auto"/>
        <w:tabs>
          <w:tab w:leader="none" w:pos="1521" w:val="left"/>
        </w:tabs>
        <w:numPr>
          <w:ilvl w:val="0"/>
          <w:numId w:val="220"/>
        </w:numPr>
        <w:rPr>
          <w:rFonts w:ascii="Arial" w:cs="Arial" w:eastAsia="Arial" w:hAnsi="Arial"/>
          <w:sz w:val="19"/>
          <w:szCs w:val="19"/>
          <w:color w:val="auto"/>
        </w:rPr>
      </w:pPr>
      <w:r>
        <w:rPr>
          <w:rFonts w:ascii="Arial" w:cs="Arial" w:eastAsia="Arial" w:hAnsi="Arial"/>
          <w:sz w:val="19"/>
          <w:szCs w:val="19"/>
          <w:color w:val="auto"/>
        </w:rPr>
        <w:t xml:space="preserve">The applicable Borrower shall have delivered (i) in the case of any Borrowing, the notice required by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2.03</w:t>
      </w:r>
      <w:r>
        <w:rPr>
          <w:rFonts w:ascii="Arial" w:cs="Arial" w:eastAsia="Arial" w:hAnsi="Arial"/>
          <w:sz w:val="19"/>
          <w:szCs w:val="19"/>
          <w:color w:val="auto"/>
        </w:rPr>
        <w:t xml:space="preserve"> or (ii) with respect to the issuance, amendment, renewal or extension of any Letter of Credit, the notice required by </w:t>
      </w:r>
      <w:r>
        <w:rPr>
          <w:rFonts w:ascii="Arial" w:cs="Arial" w:eastAsia="Arial" w:hAnsi="Arial"/>
          <w:sz w:val="19"/>
          <w:szCs w:val="19"/>
          <w:u w:val="single" w:color="auto"/>
          <w:color w:val="auto"/>
        </w:rPr>
        <w:t>Section</w:t>
      </w:r>
    </w:p>
    <w:p>
      <w:pPr>
        <w:spacing w:after="0" w:line="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u w:val="single" w:color="auto"/>
          <w:color w:val="auto"/>
        </w:rPr>
        <w:t>2.05(b)</w:t>
      </w:r>
      <w:r>
        <w:rPr>
          <w:rFonts w:ascii="Arial" w:cs="Arial" w:eastAsia="Arial" w:hAnsi="Arial"/>
          <w:sz w:val="22"/>
          <w:szCs w:val="22"/>
          <w:color w:val="auto"/>
        </w:rPr>
        <w:t>.</w:t>
      </w:r>
    </w:p>
    <w:p>
      <w:pPr>
        <w:spacing w:after="0" w:line="21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Each Borrowing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conversion or a continuation of a Borrowing shall not constitute a “Borrowing” for purposes of this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and each issuance, amendment, renewal or extension of a Letter of Credit shall be deemed to constitute a representation and warranty by the Borrowers on the date thereof as to the matters specified in </w:t>
      </w:r>
      <w:r>
        <w:rPr>
          <w:rFonts w:ascii="Arial" w:cs="Arial" w:eastAsia="Arial" w:hAnsi="Arial"/>
          <w:sz w:val="19"/>
          <w:szCs w:val="19"/>
          <w:u w:val="single" w:color="auto"/>
          <w:color w:val="auto"/>
        </w:rPr>
        <w:t>paragraphs (a)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and</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w:t>
      </w:r>
      <w:r>
        <w:rPr>
          <w:rFonts w:ascii="Arial" w:cs="Arial" w:eastAsia="Arial" w:hAnsi="Arial"/>
          <w:sz w:val="22"/>
          <w:szCs w:val="22"/>
          <w:color w:val="auto"/>
        </w:rPr>
        <w:t xml:space="preserve"> of this </w:t>
      </w:r>
      <w:r>
        <w:rPr>
          <w:rFonts w:ascii="Arial" w:cs="Arial" w:eastAsia="Arial" w:hAnsi="Arial"/>
          <w:sz w:val="22"/>
          <w:szCs w:val="22"/>
          <w:u w:val="single" w:color="auto"/>
          <w:color w:val="auto"/>
        </w:rPr>
        <w:t>Section 4.02</w:t>
      </w:r>
      <w:r>
        <w:rPr>
          <w:rFonts w:ascii="Arial" w:cs="Arial" w:eastAsia="Arial" w:hAnsi="Arial"/>
          <w:sz w:val="22"/>
          <w:szCs w:val="22"/>
          <w:color w:val="auto"/>
        </w:rPr>
        <w: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Affirmative Covenants</w:t>
      </w:r>
    </w:p>
    <w:p>
      <w:pPr>
        <w:spacing w:after="0" w:line="23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From and including the Effective Date and until the Commitments shall have expired or been terminated and the principal of and interest on each Loan and all fees, expenses other amounts (other than contingent amounts not yet due) payable under this Agreement or any other Loan Document and the other Loan Document Obligations shall have been paid in full and all Letters of Credit (other than those collateralized or back-stopped on terms reasonably satisfactory to the applicable Issuing Bank) shall have expired or been terminated and all LC Disbursements shall have been reimbursed, the Borrowers covenant and agree with the Lenders that:</w:t>
      </w:r>
    </w:p>
    <w:p>
      <w:pPr>
        <w:spacing w:after="0" w:line="215" w:lineRule="exact"/>
        <w:rPr>
          <w:sz w:val="20"/>
          <w:szCs w:val="20"/>
          <w:color w:val="auto"/>
        </w:rPr>
      </w:pPr>
    </w:p>
    <w:p>
      <w:pPr>
        <w:ind w:right="140" w:firstLine="648"/>
        <w:spacing w:after="0" w:line="250" w:lineRule="auto"/>
        <w:rPr>
          <w:sz w:val="20"/>
          <w:szCs w:val="20"/>
          <w:color w:val="auto"/>
        </w:rPr>
      </w:pPr>
      <w:r>
        <w:rPr>
          <w:rFonts w:ascii="Arial" w:cs="Arial" w:eastAsia="Arial" w:hAnsi="Arial"/>
          <w:sz w:val="22"/>
          <w:szCs w:val="22"/>
          <w:color w:val="auto"/>
        </w:rPr>
        <w:t xml:space="preserve">SECTION 5.01. </w:t>
      </w:r>
      <w:r>
        <w:rPr>
          <w:rFonts w:ascii="Arial" w:cs="Arial" w:eastAsia="Arial" w:hAnsi="Arial"/>
          <w:sz w:val="22"/>
          <w:szCs w:val="22"/>
          <w:u w:val="single" w:color="auto"/>
          <w:color w:val="auto"/>
        </w:rPr>
        <w:t>Financial Statements and Other Information</w:t>
      </w:r>
      <w:r>
        <w:rPr>
          <w:rFonts w:ascii="Arial" w:cs="Arial" w:eastAsia="Arial" w:hAnsi="Arial"/>
          <w:sz w:val="22"/>
          <w:szCs w:val="22"/>
          <w:color w:val="auto"/>
        </w:rPr>
        <w:t>. The Company will furnish to the Administrative Agent, which shall furnish to each Lender, the following:</w:t>
      </w:r>
    </w:p>
    <w:p>
      <w:pPr>
        <w:spacing w:after="0" w:line="202" w:lineRule="exact"/>
        <w:rPr>
          <w:sz w:val="20"/>
          <w:szCs w:val="20"/>
          <w:color w:val="auto"/>
        </w:rPr>
      </w:pPr>
    </w:p>
    <w:p>
      <w:pPr>
        <w:jc w:val="both"/>
        <w:ind w:firstLine="656"/>
        <w:spacing w:after="0" w:line="271" w:lineRule="auto"/>
        <w:tabs>
          <w:tab w:leader="none" w:pos="1457" w:val="left"/>
        </w:tabs>
        <w:numPr>
          <w:ilvl w:val="0"/>
          <w:numId w:val="221"/>
        </w:numPr>
        <w:rPr>
          <w:rFonts w:ascii="Arial" w:cs="Arial" w:eastAsia="Arial" w:hAnsi="Arial"/>
          <w:sz w:val="19"/>
          <w:szCs w:val="19"/>
          <w:color w:val="auto"/>
        </w:rPr>
      </w:pPr>
      <w:r>
        <w:rPr>
          <w:rFonts w:ascii="Arial" w:cs="Arial" w:eastAsia="Arial" w:hAnsi="Arial"/>
          <w:sz w:val="19"/>
          <w:szCs w:val="19"/>
          <w:color w:val="auto"/>
        </w:rPr>
        <w:t xml:space="preserve">within 90 days after the end of each fiscal year (or such later date as Form 10-K is required to be filed with the SEC taking into account any extension granted by the SEC,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gives the Administrative Agent notice of any such extension), its audited consolidated balance sheet and audited consolidated statements of operations, shareholders’ equity and cash flows as of the end of and for such fiscal year, and related notes thereto, setting forth in each case in comparative form the figures for the previous fiscal year, prepared in accordance with GAAP consistently applied and reported on by PricewaterhouseCoopers LLP or other independent public accountants of recognized national standing (without a “going concern” or like qualification, exception or statement and without any qualification or exception as to the scope of such audit other than with respect to internal controls over financial reporting for which an opinion as to effectiveness is not required) to the effect that such financial statements present fairly in all material respects the financial condition, results of operations and cash flow of the Company and its Subsidiaries on a consolidated basis as of the end of and for such fiscal year and accompanied by a management’s discussion and analysis describing the financial position, results of operations and cash flow of the Company and its consolidated Subsidiaries (for the avoidance of doubt, the delivery of a filed Form 10-K by the Company to the Administrative Agent shall be deemed to satisfy the delivery requirement of management’s discussion and analysis required by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5.01(a)</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6" w:name="page287"/>
    <w:bookmarkEnd w:id="286"/>
    <w:p>
      <w:pPr>
        <w:jc w:val="both"/>
        <w:ind w:firstLine="656"/>
        <w:spacing w:after="0" w:line="272" w:lineRule="auto"/>
        <w:tabs>
          <w:tab w:leader="none" w:pos="1356" w:val="left"/>
        </w:tabs>
        <w:numPr>
          <w:ilvl w:val="0"/>
          <w:numId w:val="222"/>
        </w:numPr>
        <w:rPr>
          <w:rFonts w:ascii="Arial" w:cs="Arial" w:eastAsia="Arial" w:hAnsi="Arial"/>
          <w:sz w:val="19"/>
          <w:szCs w:val="19"/>
          <w:color w:val="auto"/>
        </w:rPr>
      </w:pPr>
      <w:r>
        <w:rPr>
          <w:rFonts w:ascii="Arial" w:cs="Arial" w:eastAsia="Arial" w:hAnsi="Arial"/>
          <w:sz w:val="19"/>
          <w:szCs w:val="19"/>
          <w:color w:val="auto"/>
        </w:rPr>
        <w:t xml:space="preserve">within 45 days after the end of each of the first three fiscal quarters of each fiscal year (or such later date as Form 10-Q of the Company is required to be filed with the SEC taking into account any extension granted by the SEC,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gives the Administrative Agent notice of any such extension), its unaudited consolidated balance sheet and unaudited consolidated statements of operations and cash flows as of the end of and for such fiscal quarter and the then elapsed portion of the then-current fiscal year, setting forth in each case in comparative form the figures for the corresponding period or periods of (or, in the case of the balance sheet, as of the end of) the previous fiscal year, all certified by a Financial Officer of the Company as presenting fairly in all material respects the financial condition, results of operations and cash flows of the Company and its Subsidiaries on a consolidated basis as of the end of and for such fiscal quarter and such portion of the then-current fiscal year in accordance with GAAP consistently applied, subject to normal year-end audit adjustments and the absence of footnotes, and accompanied by a management’s discussion and analysis describing the financial position, results of operations and cash flow of the Company and its consolidated Subsidiaries (for the avoidance of doubt, the delivery of a filed Form 10-K by the Company to the Administrative Agent shall be deemed to satisfy the delivery requirement of management’s discussion and analysis required by this </w:t>
      </w:r>
      <w:r>
        <w:rPr>
          <w:rFonts w:ascii="Arial" w:cs="Arial" w:eastAsia="Arial" w:hAnsi="Arial"/>
          <w:sz w:val="19"/>
          <w:szCs w:val="19"/>
          <w:u w:val="single" w:color="auto"/>
          <w:color w:val="auto"/>
        </w:rPr>
        <w:t>Section 5.01(b)</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jc w:val="both"/>
        <w:ind w:firstLine="656"/>
        <w:spacing w:after="0" w:line="272" w:lineRule="auto"/>
        <w:tabs>
          <w:tab w:leader="none" w:pos="1486" w:val="left"/>
        </w:tabs>
        <w:numPr>
          <w:ilvl w:val="0"/>
          <w:numId w:val="222"/>
        </w:numPr>
        <w:rPr>
          <w:rFonts w:ascii="Arial" w:cs="Arial" w:eastAsia="Arial" w:hAnsi="Arial"/>
          <w:sz w:val="19"/>
          <w:szCs w:val="19"/>
          <w:color w:val="auto"/>
        </w:rPr>
      </w:pPr>
      <w:r>
        <w:rPr>
          <w:rFonts w:ascii="Arial" w:cs="Arial" w:eastAsia="Arial" w:hAnsi="Arial"/>
          <w:sz w:val="19"/>
          <w:szCs w:val="19"/>
          <w:color w:val="auto"/>
        </w:rPr>
        <w:t xml:space="preserve">concurrently with the delivery of financial statements under clause (a) or (b) above, a certificate of a Financial Officer of the Company (i) certifying as to whether a Default has occurred and, if a Default has occurred, specifying the details thereof and any action taken or proposed to be taken with respect thereto, (ii) setting forth reasonably detailed calculations demonstrating compliance with the Financial Covenants on a Pro Forma Basis, (iii) stating whether any change in GAAP or in the application thereof has occurred since the later of the date of the Company’s audited financial statements referred to in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and the date of the prior certificate delivered pursuant to this clause (c) indicating such a change and, if any such change has occurred, specifying the effect of such change on the financial statements accompanying such certificate, (iv) in the case of financial statements delivered under clause (a) above, setting forth a current list of all Material Subsidiaries and, to the extent required by the definition of “Material Subsidiaries”, designating one or more previously excluded Restricted Subsidiaries as a Material Subsidiary and (v) at any time when there is any Unrestricted Subsidiary, including as an attachment with respect to each such financial statement, an Unrestricted Subsidiary Reconciliation Statement (except to the extent that the information required thereby is separately provided with the public filing of such financial statement);</w:t>
      </w:r>
    </w:p>
    <w:p>
      <w:pPr>
        <w:spacing w:after="0" w:line="187" w:lineRule="exact"/>
        <w:rPr>
          <w:rFonts w:ascii="Arial" w:cs="Arial" w:eastAsia="Arial" w:hAnsi="Arial"/>
          <w:sz w:val="19"/>
          <w:szCs w:val="19"/>
          <w:color w:val="auto"/>
        </w:rPr>
      </w:pPr>
    </w:p>
    <w:p>
      <w:pPr>
        <w:jc w:val="both"/>
        <w:ind w:firstLine="656"/>
        <w:spacing w:after="0"/>
        <w:tabs>
          <w:tab w:leader="none" w:pos="1815" w:val="left"/>
        </w:tabs>
        <w:numPr>
          <w:ilvl w:val="0"/>
          <w:numId w:val="222"/>
        </w:numPr>
        <w:rPr>
          <w:rFonts w:ascii="Arial" w:cs="Arial" w:eastAsia="Arial" w:hAnsi="Arial"/>
          <w:sz w:val="22"/>
          <w:szCs w:val="22"/>
          <w:color w:val="auto"/>
        </w:rPr>
      </w:pPr>
      <w:r>
        <w:rPr>
          <w:rFonts w:ascii="Arial" w:cs="Arial" w:eastAsia="Arial" w:hAnsi="Arial"/>
          <w:sz w:val="22"/>
          <w:szCs w:val="22"/>
          <w:color w:val="auto"/>
        </w:rPr>
        <w:t>promptly following any request therefor, information and documentation reasonably requested by the Administrative Agent or any Lender for purposes of compliance with applicable “know your customer” and anti-money laundering rules and regulations, including the USA PATRIOT Act and the Beneficial Ownership Regulation;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7" w:name="page288"/>
    <w:bookmarkEnd w:id="287"/>
    <w:p>
      <w:pPr>
        <w:jc w:val="both"/>
        <w:ind w:firstLine="656"/>
        <w:spacing w:after="0" w:line="258" w:lineRule="auto"/>
        <w:tabs>
          <w:tab w:leader="none" w:pos="1338" w:val="left"/>
        </w:tabs>
        <w:numPr>
          <w:ilvl w:val="0"/>
          <w:numId w:val="223"/>
        </w:numPr>
        <w:rPr>
          <w:rFonts w:ascii="Arial" w:cs="Arial" w:eastAsia="Arial" w:hAnsi="Arial"/>
          <w:sz w:val="21"/>
          <w:szCs w:val="21"/>
          <w:color w:val="auto"/>
        </w:rPr>
      </w:pPr>
      <w:r>
        <w:rPr>
          <w:rFonts w:ascii="Arial" w:cs="Arial" w:eastAsia="Arial" w:hAnsi="Arial"/>
          <w:sz w:val="21"/>
          <w:szCs w:val="21"/>
          <w:color w:val="auto"/>
        </w:rPr>
        <w:t>promptly after the same becomes publicly available, copies of all periodic and other reports, proxy statements and other materials filed by the Company or any Restricted Subsidiary with the SEC or with any national securities exchange, or distributed by the Company to the holders of its Equity Interests generally, as applicable;</w:t>
      </w:r>
    </w:p>
    <w:p>
      <w:pPr>
        <w:spacing w:after="0" w:line="193" w:lineRule="exact"/>
        <w:rPr>
          <w:rFonts w:ascii="Arial" w:cs="Arial" w:eastAsia="Arial" w:hAnsi="Arial"/>
          <w:sz w:val="21"/>
          <w:szCs w:val="21"/>
          <w:color w:val="auto"/>
        </w:rPr>
      </w:pPr>
    </w:p>
    <w:p>
      <w:pPr>
        <w:ind w:firstLine="656"/>
        <w:spacing w:after="0" w:line="250" w:lineRule="auto"/>
        <w:tabs>
          <w:tab w:leader="none" w:pos="1606" w:val="left"/>
        </w:tabs>
        <w:numPr>
          <w:ilvl w:val="0"/>
          <w:numId w:val="223"/>
        </w:numPr>
        <w:rPr>
          <w:rFonts w:ascii="Arial" w:cs="Arial" w:eastAsia="Arial" w:hAnsi="Arial"/>
          <w:sz w:val="22"/>
          <w:szCs w:val="22"/>
          <w:color w:val="auto"/>
        </w:rPr>
      </w:pPr>
      <w:r>
        <w:rPr>
          <w:rFonts w:ascii="Arial" w:cs="Arial" w:eastAsia="Arial" w:hAnsi="Arial"/>
          <w:sz w:val="22"/>
          <w:szCs w:val="22"/>
          <w:color w:val="auto"/>
        </w:rPr>
        <w:t>promptly upon becoming aware of Moody’s or S&amp;P having announced a change in the rating established or deemed to have been established for any Index Debt, written notice of such rating change;</w:t>
      </w:r>
    </w:p>
    <w:p>
      <w:pPr>
        <w:spacing w:after="0" w:line="201" w:lineRule="exact"/>
        <w:rPr>
          <w:rFonts w:ascii="Arial" w:cs="Arial" w:eastAsia="Arial" w:hAnsi="Arial"/>
          <w:sz w:val="22"/>
          <w:szCs w:val="22"/>
          <w:color w:val="auto"/>
        </w:rPr>
      </w:pPr>
    </w:p>
    <w:p>
      <w:pPr>
        <w:jc w:val="both"/>
        <w:ind w:firstLine="656"/>
        <w:spacing w:after="0"/>
        <w:tabs>
          <w:tab w:leader="none" w:pos="1381" w:val="left"/>
        </w:tabs>
        <w:numPr>
          <w:ilvl w:val="0"/>
          <w:numId w:val="223"/>
        </w:numPr>
        <w:rPr>
          <w:rFonts w:ascii="Arial" w:cs="Arial" w:eastAsia="Arial" w:hAnsi="Arial"/>
          <w:sz w:val="22"/>
          <w:szCs w:val="22"/>
          <w:color w:val="auto"/>
        </w:rPr>
      </w:pPr>
      <w:r>
        <w:rPr>
          <w:rFonts w:ascii="Arial" w:cs="Arial" w:eastAsia="Arial" w:hAnsi="Arial"/>
          <w:sz w:val="22"/>
          <w:szCs w:val="22"/>
          <w:color w:val="auto"/>
        </w:rPr>
        <w:t xml:space="preserve">promptly following any request therefor, such information as may be reasonably requested by the Administrative Agent from time to time with respect to any cash excluded from the monthly calculation of the Company’s Consolidated Cash Balance in reliance on </w:t>
      </w:r>
      <w:r>
        <w:rPr>
          <w:rFonts w:ascii="Arial" w:cs="Arial" w:eastAsia="Arial" w:hAnsi="Arial"/>
          <w:sz w:val="22"/>
          <w:szCs w:val="22"/>
          <w:u w:val="single" w:color="auto"/>
          <w:color w:val="auto"/>
        </w:rPr>
        <w:t>clause (v)</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(vi)</w:t>
      </w:r>
      <w:r>
        <w:rPr>
          <w:rFonts w:ascii="Arial" w:cs="Arial" w:eastAsia="Arial" w:hAnsi="Arial"/>
          <w:sz w:val="22"/>
          <w:szCs w:val="22"/>
          <w:color w:val="auto"/>
        </w:rPr>
        <w:t xml:space="preserve"> of the definition thereof; and</w:t>
      </w:r>
    </w:p>
    <w:p>
      <w:pPr>
        <w:spacing w:after="0" w:line="213" w:lineRule="exact"/>
        <w:rPr>
          <w:rFonts w:ascii="Arial" w:cs="Arial" w:eastAsia="Arial" w:hAnsi="Arial"/>
          <w:sz w:val="22"/>
          <w:szCs w:val="22"/>
          <w:color w:val="auto"/>
        </w:rPr>
      </w:pPr>
    </w:p>
    <w:p>
      <w:pPr>
        <w:jc w:val="both"/>
        <w:ind w:firstLine="656"/>
        <w:spacing w:after="0" w:line="287" w:lineRule="auto"/>
        <w:tabs>
          <w:tab w:leader="none" w:pos="1382" w:val="left"/>
        </w:tabs>
        <w:numPr>
          <w:ilvl w:val="0"/>
          <w:numId w:val="223"/>
        </w:numPr>
        <w:rPr>
          <w:rFonts w:ascii="Arial" w:cs="Arial" w:eastAsia="Arial" w:hAnsi="Arial"/>
          <w:sz w:val="19"/>
          <w:szCs w:val="19"/>
          <w:color w:val="auto"/>
        </w:rPr>
      </w:pPr>
      <w:r>
        <w:rPr>
          <w:rFonts w:ascii="Arial" w:cs="Arial" w:eastAsia="Arial" w:hAnsi="Arial"/>
          <w:sz w:val="19"/>
          <w:szCs w:val="19"/>
          <w:color w:val="auto"/>
        </w:rPr>
        <w:t xml:space="preserve">promptly following any request therefor, but subject to the limitations set forth in the proviso to the last sentence of </w:t>
      </w:r>
      <w:r>
        <w:rPr>
          <w:rFonts w:ascii="Arial" w:cs="Arial" w:eastAsia="Arial" w:hAnsi="Arial"/>
          <w:sz w:val="19"/>
          <w:szCs w:val="19"/>
          <w:u w:val="single" w:color="auto"/>
          <w:color w:val="auto"/>
        </w:rPr>
        <w:t>Section 5.09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9.12</w:t>
      </w:r>
      <w:r>
        <w:rPr>
          <w:rFonts w:ascii="Arial" w:cs="Arial" w:eastAsia="Arial" w:hAnsi="Arial"/>
          <w:sz w:val="19"/>
          <w:szCs w:val="19"/>
          <w:color w:val="auto"/>
        </w:rPr>
        <w:t>, such other information regarding the operations, business affairs, assets, liabilities (including contingent liabilities) and financial condition of the Company or any Restricted Subsidiary, or compliance with the terms of this Agreement or any other Loan Document, as the Administrative Agent, any Issuing Bank or any Lender may reasonably request.</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Documents required to be delivered pursuant to </w:t>
      </w:r>
      <w:r>
        <w:rPr>
          <w:rFonts w:ascii="Arial" w:cs="Arial" w:eastAsia="Arial" w:hAnsi="Arial"/>
          <w:sz w:val="19"/>
          <w:szCs w:val="19"/>
          <w:u w:val="single" w:color="auto"/>
          <w:color w:val="auto"/>
        </w:rPr>
        <w:t>Section 5.01(a)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(e)</w:t>
      </w:r>
      <w:r>
        <w:rPr>
          <w:rFonts w:ascii="Arial" w:cs="Arial" w:eastAsia="Arial" w:hAnsi="Arial"/>
          <w:sz w:val="19"/>
          <w:szCs w:val="19"/>
          <w:color w:val="auto"/>
        </w:rPr>
        <w:t xml:space="preserve"> (to the extent any such documents are included in materials otherwise filed with the SEC) may be delivered electronically and, if so delivered, shall be deemed to have been delivered on the date (i) on which such materials are publicly available as posted on the Electronic Data Gathering, Analysis and Retrieval system (EDGAR); or (ii) on which such documents are posted on the Company’s behalf on an Internet or intranet website, if any, to which each Lender and the Administrative Agent have access (whether a commercial, third-party website or whether made available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upon written request by the Administrative Agent (or any Lender through the Administrative Agent) to the Company, the Company shall deliver paper copies of such documents to the Administrative Agent or such Lender until a written request to cease delivering paper copies is given by the Administrative Agent or such Lender and (B) the Company shall notify the Administrative Agent and each Lender (by electronic mail) of the posting of any such documents and provide to the Administrative Agent by electronic mail electronic versions (i.e., soft copies) of such documents. The Administrative Agent shall have no obligation to request the delivery of or to maintain paper copies of the documents referred to above, and in any event shall have no responsibility to monitor compliance by the Company with any such request by a Lender for delivery, and each Lender shall be solely responsible for timely accessing posted documents or requesting delivery of paper copies of such document to it and maintaining its copies of such documents.</w:t>
      </w:r>
    </w:p>
    <w:p>
      <w:pPr>
        <w:spacing w:after="0" w:line="191" w:lineRule="exact"/>
        <w:rPr>
          <w:sz w:val="20"/>
          <w:szCs w:val="20"/>
          <w:color w:val="auto"/>
        </w:rPr>
      </w:pPr>
    </w:p>
    <w:p>
      <w:pPr>
        <w:ind w:right="580" w:firstLine="648"/>
        <w:spacing w:after="0" w:line="250" w:lineRule="auto"/>
        <w:rPr>
          <w:sz w:val="20"/>
          <w:szCs w:val="20"/>
          <w:color w:val="auto"/>
        </w:rPr>
      </w:pPr>
      <w:r>
        <w:rPr>
          <w:rFonts w:ascii="Arial" w:cs="Arial" w:eastAsia="Arial" w:hAnsi="Arial"/>
          <w:sz w:val="22"/>
          <w:szCs w:val="22"/>
          <w:color w:val="auto"/>
        </w:rPr>
        <w:t xml:space="preserve">SECTION 5.02. </w:t>
      </w:r>
      <w:r>
        <w:rPr>
          <w:rFonts w:ascii="Arial" w:cs="Arial" w:eastAsia="Arial" w:hAnsi="Arial"/>
          <w:sz w:val="22"/>
          <w:szCs w:val="22"/>
          <w:u w:val="single" w:color="auto"/>
          <w:color w:val="auto"/>
        </w:rPr>
        <w:t>Notices of Material Events</w:t>
      </w:r>
      <w:r>
        <w:rPr>
          <w:rFonts w:ascii="Arial" w:cs="Arial" w:eastAsia="Arial" w:hAnsi="Arial"/>
          <w:sz w:val="22"/>
          <w:szCs w:val="22"/>
          <w:color w:val="auto"/>
        </w:rPr>
        <w:t>. The Company will furnish to the Administrative Agent, which shall furnish to each Issuing Bank and each Lender, prompt written notice of the following:</w:t>
      </w:r>
    </w:p>
    <w:p>
      <w:pPr>
        <w:spacing w:after="0" w:line="202" w:lineRule="exact"/>
        <w:rPr>
          <w:sz w:val="20"/>
          <w:szCs w:val="20"/>
          <w:color w:val="auto"/>
        </w:rPr>
      </w:pPr>
    </w:p>
    <w:p>
      <w:pPr>
        <w:ind w:left="1380" w:hanging="724"/>
        <w:spacing w:after="0"/>
        <w:tabs>
          <w:tab w:leader="none" w:pos="1380" w:val="left"/>
        </w:tabs>
        <w:numPr>
          <w:ilvl w:val="0"/>
          <w:numId w:val="224"/>
        </w:numPr>
        <w:rPr>
          <w:rFonts w:ascii="Arial" w:cs="Arial" w:eastAsia="Arial" w:hAnsi="Arial"/>
          <w:sz w:val="22"/>
          <w:szCs w:val="22"/>
          <w:color w:val="auto"/>
        </w:rPr>
      </w:pPr>
      <w:r>
        <w:rPr>
          <w:rFonts w:ascii="Arial" w:cs="Arial" w:eastAsia="Arial" w:hAnsi="Arial"/>
          <w:sz w:val="22"/>
          <w:szCs w:val="22"/>
          <w:color w:val="auto"/>
        </w:rPr>
        <w:t>the occurrence of any Default;</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8" w:name="page289"/>
    <w:bookmarkEnd w:id="288"/>
    <w:p>
      <w:pPr>
        <w:jc w:val="both"/>
        <w:ind w:firstLine="656"/>
        <w:spacing w:after="0" w:line="236" w:lineRule="auto"/>
        <w:tabs>
          <w:tab w:leader="none" w:pos="1634" w:val="left"/>
        </w:tabs>
        <w:numPr>
          <w:ilvl w:val="0"/>
          <w:numId w:val="225"/>
        </w:numPr>
        <w:rPr>
          <w:rFonts w:ascii="Arial" w:cs="Arial" w:eastAsia="Arial" w:hAnsi="Arial"/>
          <w:sz w:val="22"/>
          <w:szCs w:val="22"/>
          <w:color w:val="auto"/>
        </w:rPr>
      </w:pPr>
      <w:r>
        <w:rPr>
          <w:rFonts w:ascii="Arial" w:cs="Arial" w:eastAsia="Arial" w:hAnsi="Arial"/>
          <w:sz w:val="22"/>
          <w:szCs w:val="22"/>
          <w:color w:val="auto"/>
        </w:rPr>
        <w:t>the filing or commencement of any action, suit or proceeding by or before any arbitrator or Governmental Authority against or, to the Knowledge of the Borrowers, the Borrowers or any Restricted Subsidiary, or any adverse development in any such pending action, suit or proceeding not previously disclosed in writing by the Borrowers to the Administrative Agent, that in each case could reasonably be expected to result in a Material Adverse Effect or that in any manner questions the validity of this Agreement or any other Loan Document;</w:t>
      </w:r>
    </w:p>
    <w:p>
      <w:pPr>
        <w:spacing w:after="0" w:line="214" w:lineRule="exact"/>
        <w:rPr>
          <w:rFonts w:ascii="Arial" w:cs="Arial" w:eastAsia="Arial" w:hAnsi="Arial"/>
          <w:sz w:val="22"/>
          <w:szCs w:val="22"/>
          <w:color w:val="auto"/>
        </w:rPr>
      </w:pPr>
    </w:p>
    <w:p>
      <w:pPr>
        <w:ind w:left="1440" w:hanging="784"/>
        <w:spacing w:after="0"/>
        <w:tabs>
          <w:tab w:leader="none" w:pos="1440" w:val="left"/>
        </w:tabs>
        <w:numPr>
          <w:ilvl w:val="0"/>
          <w:numId w:val="225"/>
        </w:numPr>
        <w:rPr>
          <w:rFonts w:ascii="Arial" w:cs="Arial" w:eastAsia="Arial" w:hAnsi="Arial"/>
          <w:sz w:val="21"/>
          <w:szCs w:val="21"/>
          <w:color w:val="auto"/>
        </w:rPr>
      </w:pPr>
      <w:r>
        <w:rPr>
          <w:rFonts w:ascii="Arial" w:cs="Arial" w:eastAsia="Arial" w:hAnsi="Arial"/>
          <w:sz w:val="21"/>
          <w:szCs w:val="21"/>
          <w:color w:val="auto"/>
        </w:rPr>
        <w:t>any material change in accounting or financial reporting practices by the Company or any Subsidiary;</w:t>
      </w:r>
    </w:p>
    <w:p>
      <w:pPr>
        <w:spacing w:after="0" w:line="244" w:lineRule="exact"/>
        <w:rPr>
          <w:rFonts w:ascii="Arial" w:cs="Arial" w:eastAsia="Arial" w:hAnsi="Arial"/>
          <w:sz w:val="21"/>
          <w:szCs w:val="21"/>
          <w:color w:val="auto"/>
        </w:rPr>
      </w:pPr>
    </w:p>
    <w:p>
      <w:pPr>
        <w:ind w:firstLine="656"/>
        <w:spacing w:after="0" w:line="250" w:lineRule="auto"/>
        <w:tabs>
          <w:tab w:leader="none" w:pos="1502" w:val="left"/>
        </w:tabs>
        <w:numPr>
          <w:ilvl w:val="0"/>
          <w:numId w:val="225"/>
        </w:numPr>
        <w:rPr>
          <w:rFonts w:ascii="Arial" w:cs="Arial" w:eastAsia="Arial" w:hAnsi="Arial"/>
          <w:sz w:val="22"/>
          <w:szCs w:val="22"/>
          <w:color w:val="auto"/>
        </w:rPr>
      </w:pPr>
      <w:r>
        <w:rPr>
          <w:rFonts w:ascii="Arial" w:cs="Arial" w:eastAsia="Arial" w:hAnsi="Arial"/>
          <w:sz w:val="22"/>
          <w:szCs w:val="22"/>
          <w:color w:val="auto"/>
        </w:rPr>
        <w:t>any change in the information provided in the Beneficial Ownership Certification delivered to any Lender that would result in a change to the list of beneficial owners identified in such certification; and</w:t>
      </w:r>
    </w:p>
    <w:p>
      <w:pPr>
        <w:spacing w:after="0" w:line="201" w:lineRule="exact"/>
        <w:rPr>
          <w:rFonts w:ascii="Arial" w:cs="Arial" w:eastAsia="Arial" w:hAnsi="Arial"/>
          <w:sz w:val="22"/>
          <w:szCs w:val="22"/>
          <w:color w:val="auto"/>
        </w:rPr>
      </w:pPr>
    </w:p>
    <w:p>
      <w:pPr>
        <w:ind w:firstLine="656"/>
        <w:spacing w:after="0" w:line="274" w:lineRule="auto"/>
        <w:tabs>
          <w:tab w:leader="none" w:pos="1397" w:val="left"/>
        </w:tabs>
        <w:numPr>
          <w:ilvl w:val="0"/>
          <w:numId w:val="225"/>
        </w:numPr>
        <w:rPr>
          <w:rFonts w:ascii="Arial" w:cs="Arial" w:eastAsia="Arial" w:hAnsi="Arial"/>
          <w:sz w:val="21"/>
          <w:szCs w:val="21"/>
          <w:color w:val="auto"/>
        </w:rPr>
      </w:pPr>
      <w:r>
        <w:rPr>
          <w:rFonts w:ascii="Arial" w:cs="Arial" w:eastAsia="Arial" w:hAnsi="Arial"/>
          <w:sz w:val="21"/>
          <w:szCs w:val="21"/>
          <w:color w:val="auto"/>
        </w:rPr>
        <w:t>any other development (including notice of any matter or event that could give rise to an Environmental Liability or ERISA Event) that has resulted, or could reasonably be expected to result, in a Material Adverse Effect.</w:t>
      </w:r>
    </w:p>
    <w:p>
      <w:pPr>
        <w:spacing w:after="0" w:line="178"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 xml:space="preserve">Each notice delivered under this Section (i) shall be in writing, (ii) shall contain a heading or a reference line that reads “Notice under </w:t>
      </w:r>
      <w:r>
        <w:rPr>
          <w:rFonts w:ascii="Arial" w:cs="Arial" w:eastAsia="Arial" w:hAnsi="Arial"/>
          <w:sz w:val="21"/>
          <w:szCs w:val="21"/>
          <w:u w:val="single" w:color="auto"/>
          <w:color w:val="auto"/>
        </w:rPr>
        <w:t>Section 5.02</w:t>
      </w:r>
      <w:r>
        <w:rPr>
          <w:rFonts w:ascii="Arial" w:cs="Arial" w:eastAsia="Arial" w:hAnsi="Arial"/>
          <w:sz w:val="21"/>
          <w:szCs w:val="21"/>
          <w:color w:val="auto"/>
        </w:rPr>
        <w:t xml:space="preserve"> of TechnipFMC Credit Agreement dated February 16, 2021” and (iii) shall be accompanied by a statement of a Financial Officer or other executive officer of the Company setting forth the details of the event or development requiring such notice and any action taken or proposed to be taken with respect thereto.</w:t>
      </w:r>
    </w:p>
    <w:p>
      <w:pPr>
        <w:spacing w:after="0" w:line="201" w:lineRule="exact"/>
        <w:rPr>
          <w:sz w:val="20"/>
          <w:szCs w:val="20"/>
          <w:color w:val="auto"/>
        </w:rPr>
      </w:pPr>
    </w:p>
    <w:p>
      <w:pPr>
        <w:ind w:left="660"/>
        <w:spacing w:after="0"/>
        <w:tabs>
          <w:tab w:leader="none" w:pos="2300" w:val="left"/>
        </w:tabs>
        <w:rPr>
          <w:sz w:val="20"/>
          <w:szCs w:val="20"/>
          <w:color w:val="auto"/>
        </w:rPr>
      </w:pPr>
      <w:r>
        <w:rPr>
          <w:rFonts w:ascii="Arial" w:cs="Arial" w:eastAsia="Arial" w:hAnsi="Arial"/>
          <w:sz w:val="22"/>
          <w:szCs w:val="22"/>
          <w:color w:val="auto"/>
        </w:rPr>
        <w:t>SECTION 5.03.</w:t>
      </w:r>
      <w:r>
        <w:rPr>
          <w:sz w:val="20"/>
          <w:szCs w:val="20"/>
          <w:color w:val="auto"/>
        </w:rPr>
        <w:tab/>
      </w:r>
      <w:r>
        <w:rPr>
          <w:rFonts w:ascii="Arial" w:cs="Arial" w:eastAsia="Arial" w:hAnsi="Arial"/>
          <w:sz w:val="19"/>
          <w:szCs w:val="19"/>
          <w:u w:val="single" w:color="auto"/>
          <w:color w:val="auto"/>
        </w:rPr>
        <w:t>Information Regarding Collateral</w:t>
      </w:r>
    </w:p>
    <w:p>
      <w:pPr>
        <w:spacing w:after="0" w:line="233" w:lineRule="exact"/>
        <w:rPr>
          <w:sz w:val="20"/>
          <w:szCs w:val="20"/>
          <w:color w:val="auto"/>
        </w:rPr>
      </w:pPr>
    </w:p>
    <w:p>
      <w:pPr>
        <w:jc w:val="both"/>
        <w:ind w:firstLine="656"/>
        <w:spacing w:after="0" w:line="274" w:lineRule="auto"/>
        <w:tabs>
          <w:tab w:leader="none" w:pos="1425" w:val="left"/>
        </w:tabs>
        <w:numPr>
          <w:ilvl w:val="0"/>
          <w:numId w:val="226"/>
        </w:numPr>
        <w:rPr>
          <w:rFonts w:ascii="Arial" w:cs="Arial" w:eastAsia="Arial" w:hAnsi="Arial"/>
          <w:sz w:val="19"/>
          <w:szCs w:val="19"/>
          <w:color w:val="auto"/>
        </w:rPr>
      </w:pPr>
      <w:r>
        <w:rPr>
          <w:rFonts w:ascii="Arial" w:cs="Arial" w:eastAsia="Arial" w:hAnsi="Arial"/>
          <w:sz w:val="19"/>
          <w:szCs w:val="19"/>
          <w:color w:val="auto"/>
        </w:rPr>
        <w:t>The Borrowers will furnish to the Administrative Agent prompt (and in any event within 30 days) written notice of any change (i) in any Loan Party’s legal name, as set forth in such Loan Party’s organizational documents, (ii) in the jurisdiction of incorporation, establishment or organization of any Loan Party, (iii) in the form of organization of any Loan Party or (iv) in any Loan Party’s organizational identification number or company registration number, if any, or, with respect to a Loan Party organized under the laws of a jurisdiction that requires such information to be set forth on the face of a Uniform Commercial Code financing statement, the Federal Taxpayer Identification Number of such Loan Party. The Borrowers shall provide the Administrative Agent with certified organizational documents reflecting any of the changes described in the preceding sentence and shall, and shall cause the other Loan Parties to, take all action necessary to maintain the perfection and priority of the security interest of the Collateral Agent for the benefit of the Secured Parties in the Collateral, if applicable.</w:t>
      </w:r>
    </w:p>
    <w:p>
      <w:pPr>
        <w:spacing w:after="0" w:line="185" w:lineRule="exact"/>
        <w:rPr>
          <w:rFonts w:ascii="Arial" w:cs="Arial" w:eastAsia="Arial" w:hAnsi="Arial"/>
          <w:sz w:val="19"/>
          <w:szCs w:val="19"/>
          <w:color w:val="auto"/>
        </w:rPr>
      </w:pPr>
    </w:p>
    <w:p>
      <w:pPr>
        <w:jc w:val="both"/>
        <w:ind w:firstLine="656"/>
        <w:spacing w:after="0" w:line="235" w:lineRule="auto"/>
        <w:tabs>
          <w:tab w:leader="none" w:pos="1671" w:val="left"/>
        </w:tabs>
        <w:numPr>
          <w:ilvl w:val="0"/>
          <w:numId w:val="226"/>
        </w:numPr>
        <w:rPr>
          <w:rFonts w:ascii="Arial" w:cs="Arial" w:eastAsia="Arial" w:hAnsi="Arial"/>
          <w:sz w:val="22"/>
          <w:szCs w:val="22"/>
          <w:color w:val="auto"/>
        </w:rPr>
      </w:pPr>
      <w:r>
        <w:rPr>
          <w:rFonts w:ascii="Arial" w:cs="Arial" w:eastAsia="Arial" w:hAnsi="Arial"/>
          <w:sz w:val="22"/>
          <w:szCs w:val="22"/>
          <w:color w:val="auto"/>
        </w:rPr>
        <w:t>The Borrowers shall deliver to the Administrative Agent, promptly following a written request from the Administrative Agent, a supplemental perfection certificate (i) indicating, in a manner reasonably satisfactory to the Administrative Agent, any changes in the information included in the Perfection Certificate delivered on the Effective Date or the most recent supplement thereto delivered pursuant to this Section or (ii) certifying that there has been no change in such information from the Perfection Certificate delivered on the Effective Date or the most recent supplement thereto delivered pursuant to this Section.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9" w:name="page290"/>
    <w:bookmarkEnd w:id="289"/>
    <w:p>
      <w:pPr>
        <w:ind w:right="160" w:firstLine="648"/>
        <w:spacing w:after="0" w:line="277" w:lineRule="auto"/>
        <w:rPr>
          <w:sz w:val="20"/>
          <w:szCs w:val="20"/>
          <w:color w:val="auto"/>
        </w:rPr>
      </w:pPr>
      <w:r>
        <w:rPr>
          <w:rFonts w:ascii="Arial" w:cs="Arial" w:eastAsia="Arial" w:hAnsi="Arial"/>
          <w:sz w:val="19"/>
          <w:szCs w:val="19"/>
          <w:color w:val="auto"/>
        </w:rPr>
        <w:t xml:space="preserve">SECTION 5.04. </w:t>
      </w:r>
      <w:r>
        <w:rPr>
          <w:rFonts w:ascii="Arial" w:cs="Arial" w:eastAsia="Arial" w:hAnsi="Arial"/>
          <w:sz w:val="19"/>
          <w:szCs w:val="19"/>
          <w:u w:val="single" w:color="auto"/>
          <w:color w:val="auto"/>
        </w:rPr>
        <w:t>Existence; Conduct of Business</w:t>
      </w:r>
      <w:r>
        <w:rPr>
          <w:rFonts w:ascii="Arial" w:cs="Arial" w:eastAsia="Arial" w:hAnsi="Arial"/>
          <w:sz w:val="19"/>
          <w:szCs w:val="19"/>
          <w:color w:val="auto"/>
        </w:rPr>
        <w:t>. The Borrowers will, and will cause each of their Restricted Subsidiaries to, (a) preserve, renew and keep in full force and effect their legal existence and (b) take all reasonable action to maintain the rights, licenses, permits, privileges, franchises, patents, copyrights, trademarks, trade names and other intellectual property necessary for the conduct of their business; provided that the foregoing shall not prohibit (i) any merger, consolidation, liquidation or dissolution permitted under Section 6.03 or (ii) the Borrowers and each of their Restricted Subsidiaries from allowing their respective immaterial patents, copyrights, trademarks, trade names and other intellectual property to lapse, expire or become abandoned in the ordinary course of business or their reasonable business judgment, as applicable.</w:t>
      </w:r>
    </w:p>
    <w:p>
      <w:pPr>
        <w:spacing w:after="0" w:line="179" w:lineRule="exact"/>
        <w:rPr>
          <w:sz w:val="20"/>
          <w:szCs w:val="20"/>
          <w:color w:val="auto"/>
        </w:rPr>
      </w:pPr>
    </w:p>
    <w:p>
      <w:pPr>
        <w:ind w:right="260" w:firstLine="648"/>
        <w:spacing w:after="0" w:line="235" w:lineRule="auto"/>
        <w:rPr>
          <w:sz w:val="20"/>
          <w:szCs w:val="20"/>
          <w:color w:val="auto"/>
        </w:rPr>
      </w:pPr>
      <w:r>
        <w:rPr>
          <w:rFonts w:ascii="Arial" w:cs="Arial" w:eastAsia="Arial" w:hAnsi="Arial"/>
          <w:sz w:val="22"/>
          <w:szCs w:val="22"/>
          <w:color w:val="auto"/>
        </w:rPr>
        <w:t xml:space="preserve">SECTION 5.05. </w:t>
      </w:r>
      <w:r>
        <w:rPr>
          <w:rFonts w:ascii="Arial" w:cs="Arial" w:eastAsia="Arial" w:hAnsi="Arial"/>
          <w:sz w:val="22"/>
          <w:szCs w:val="22"/>
          <w:u w:val="single" w:color="auto"/>
          <w:color w:val="auto"/>
        </w:rPr>
        <w:t>Payment of Taxes</w:t>
      </w:r>
      <w:r>
        <w:rPr>
          <w:rFonts w:ascii="Arial" w:cs="Arial" w:eastAsia="Arial" w:hAnsi="Arial"/>
          <w:sz w:val="22"/>
          <w:szCs w:val="22"/>
          <w:color w:val="auto"/>
        </w:rPr>
        <w:t>. The Borrowers will, and will cause each of their Restricted Subsidiaries to, pay their Tax liabilities before the same shall become delinquent or in default (including in their capacity as a withholding agent), except where (a) (i) the validity or amount thereof is being contested in good faith by appropriate proceedings and (ii) the Borrowers or such Restricted Subsidiary has set aside on their books adequate reserves with respect thereto in accordance with GAAP or (b) the failure to make payment would not reasonably be expected, individually or in the aggregate, to result in a Material Adverse Effect.</w:t>
      </w:r>
    </w:p>
    <w:p>
      <w:pPr>
        <w:spacing w:after="0" w:line="215" w:lineRule="exact"/>
        <w:rPr>
          <w:sz w:val="20"/>
          <w:szCs w:val="20"/>
          <w:color w:val="auto"/>
        </w:rPr>
      </w:pPr>
    </w:p>
    <w:p>
      <w:pPr>
        <w:ind w:right="480" w:firstLine="648"/>
        <w:spacing w:after="0" w:line="297" w:lineRule="auto"/>
        <w:rPr>
          <w:sz w:val="20"/>
          <w:szCs w:val="20"/>
          <w:color w:val="auto"/>
        </w:rPr>
      </w:pPr>
      <w:r>
        <w:rPr>
          <w:rFonts w:ascii="Arial" w:cs="Arial" w:eastAsia="Arial" w:hAnsi="Arial"/>
          <w:sz w:val="19"/>
          <w:szCs w:val="19"/>
          <w:color w:val="auto"/>
        </w:rPr>
        <w:t xml:space="preserve">SECTION 5.06. </w:t>
      </w:r>
      <w:r>
        <w:rPr>
          <w:rFonts w:ascii="Arial" w:cs="Arial" w:eastAsia="Arial" w:hAnsi="Arial"/>
          <w:sz w:val="19"/>
          <w:szCs w:val="19"/>
          <w:u w:val="single" w:color="auto"/>
          <w:color w:val="auto"/>
        </w:rPr>
        <w:t>Maintenance of Properties</w:t>
      </w:r>
      <w:r>
        <w:rPr>
          <w:rFonts w:ascii="Arial" w:cs="Arial" w:eastAsia="Arial" w:hAnsi="Arial"/>
          <w:sz w:val="19"/>
          <w:szCs w:val="19"/>
          <w:color w:val="auto"/>
        </w:rPr>
        <w:t>. Except if failure to do so would not reasonably be expected to have a Material Adverse Effect, the Borrowers will, and will cause each of their Restricted Subsidiaries to, keep and maintain all property necessary for the conduct of their business in good working order and condition, ordinary wear and tear excepted.</w:t>
      </w:r>
    </w:p>
    <w:p>
      <w:pPr>
        <w:spacing w:after="0" w:line="161" w:lineRule="exact"/>
        <w:rPr>
          <w:sz w:val="20"/>
          <w:szCs w:val="20"/>
          <w:color w:val="auto"/>
        </w:rPr>
      </w:pPr>
    </w:p>
    <w:p>
      <w:pPr>
        <w:jc w:val="both"/>
        <w:ind w:right="60" w:firstLine="648"/>
        <w:spacing w:after="0" w:line="271" w:lineRule="auto"/>
        <w:rPr>
          <w:sz w:val="20"/>
          <w:szCs w:val="20"/>
          <w:color w:val="auto"/>
        </w:rPr>
      </w:pPr>
      <w:r>
        <w:rPr>
          <w:rFonts w:ascii="Arial" w:cs="Arial" w:eastAsia="Arial" w:hAnsi="Arial"/>
          <w:sz w:val="19"/>
          <w:szCs w:val="19"/>
          <w:color w:val="auto"/>
        </w:rPr>
        <w:t xml:space="preserve">SECTION 5.07. </w:t>
      </w:r>
      <w:r>
        <w:rPr>
          <w:rFonts w:ascii="Arial" w:cs="Arial" w:eastAsia="Arial" w:hAnsi="Arial"/>
          <w:sz w:val="19"/>
          <w:szCs w:val="19"/>
          <w:u w:val="single" w:color="auto"/>
          <w:color w:val="auto"/>
        </w:rPr>
        <w:t>Insurance</w:t>
      </w:r>
      <w:r>
        <w:rPr>
          <w:rFonts w:ascii="Arial" w:cs="Arial" w:eastAsia="Arial" w:hAnsi="Arial"/>
          <w:sz w:val="19"/>
          <w:szCs w:val="19"/>
          <w:color w:val="auto"/>
        </w:rPr>
        <w:t>. The Borrowers will, and will cause each of their Restricted Subsidiaries to, maintain, with financially sound and reputable insurance companies, insurance in such amounts (with no greater risk retention) and against such risks as is customarily maintained by companies of established repute engaged in the same or similar businesses operating in the same or similar locations. Each such policy of liability or property insurance maintained by or on behalf of the Loan Parties will</w:t>
      </w:r>
    </w:p>
    <w:p>
      <w:pPr>
        <w:spacing w:after="0" w:line="3" w:lineRule="exact"/>
        <w:rPr>
          <w:sz w:val="20"/>
          <w:szCs w:val="20"/>
          <w:color w:val="auto"/>
        </w:rPr>
      </w:pPr>
    </w:p>
    <w:p>
      <w:pPr>
        <w:ind w:firstLine="8"/>
        <w:spacing w:after="0" w:line="270" w:lineRule="auto"/>
        <w:tabs>
          <w:tab w:leader="none" w:pos="294" w:val="left"/>
        </w:tabs>
        <w:numPr>
          <w:ilvl w:val="0"/>
          <w:numId w:val="227"/>
        </w:numPr>
        <w:rPr>
          <w:rFonts w:ascii="Arial" w:cs="Arial" w:eastAsia="Arial" w:hAnsi="Arial"/>
          <w:sz w:val="19"/>
          <w:szCs w:val="19"/>
          <w:color w:val="auto"/>
        </w:rPr>
      </w:pPr>
      <w:r>
        <w:rPr>
          <w:rFonts w:ascii="Arial" w:cs="Arial" w:eastAsia="Arial" w:hAnsi="Arial"/>
          <w:sz w:val="19"/>
          <w:szCs w:val="19"/>
          <w:color w:val="auto"/>
        </w:rPr>
        <w:t>in the case of each liability insurance policy (other than workers’ compensation, director and officer liability or other policies in which such endorsements are not customary), name the Administrative Agent and the Secured Parties as additional insureds thereunder, (b) in the case of each property insurance policy, contain a lender’s loss payable or mortgagee clause or endorsement, as applicable, that names the Administrative Agent, on behalf of the Secured Parties, as the lender’s loss payee and mortgagee, as applicable, thereunder and (c) provide for at least 30 days’ prior written notice to the Administrative Agent of any cancellation of such policy (or 10 days’ prior written notice in the case of cancellation of such policy for nonpayment). If any portion of any Mortgaged Property is at any time located in an area identified by the Federal Emergency Management Agency (or any successor agency) as a special flood hazard area with respect to which flood insurance has been made available under the Flood Insurance Laws, then the Borrowers shall, or shall cause each Loan Party to, (i) maintain, or cause to be maintained, with a financially sound and reputable insurer, flood insurance in an amount and otherwise sufficient to comply with all applicable rules and regulations promulgated pursuant to the Flood Insurance Laws, (ii) cooperate with the Administrative Agent and each Lender and provide information reasonably required by the Administrative Agent and such Lender to comply with the Flood Insurance Laws and (iii) deliver to the Administrative Agent and each Lender evidence of such compliance in form and substance reasonably acceptable to the Administrative Agent and such Lender, including, without limitation, evidence of annual renewals of such insurance.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90" w:name="page291"/>
    <w:bookmarkEnd w:id="290"/>
    <w:p>
      <w:pPr>
        <w:ind w:left="660"/>
        <w:spacing w:after="0"/>
        <w:tabs>
          <w:tab w:leader="none" w:pos="2300" w:val="left"/>
        </w:tabs>
        <w:rPr>
          <w:sz w:val="20"/>
          <w:szCs w:val="20"/>
          <w:color w:val="auto"/>
        </w:rPr>
      </w:pPr>
      <w:r>
        <w:rPr>
          <w:rFonts w:ascii="Arial" w:cs="Arial" w:eastAsia="Arial" w:hAnsi="Arial"/>
          <w:sz w:val="22"/>
          <w:szCs w:val="22"/>
          <w:color w:val="auto"/>
        </w:rPr>
        <w:t>SECTION 5.08.</w:t>
      </w:r>
      <w:r>
        <w:rPr>
          <w:sz w:val="20"/>
          <w:szCs w:val="20"/>
          <w:color w:val="auto"/>
        </w:rPr>
        <w:tab/>
      </w:r>
      <w:r>
        <w:rPr>
          <w:rFonts w:ascii="Arial" w:cs="Arial" w:eastAsia="Arial" w:hAnsi="Arial"/>
          <w:sz w:val="19"/>
          <w:szCs w:val="19"/>
          <w:u w:val="single" w:color="auto"/>
          <w:color w:val="auto"/>
        </w:rPr>
        <w:t>Environmental</w:t>
      </w:r>
    </w:p>
    <w:p>
      <w:pPr>
        <w:spacing w:after="0" w:line="234" w:lineRule="exact"/>
        <w:rPr>
          <w:sz w:val="20"/>
          <w:szCs w:val="20"/>
          <w:color w:val="auto"/>
        </w:rPr>
      </w:pPr>
    </w:p>
    <w:p>
      <w:pPr>
        <w:ind w:left="1380" w:hanging="724"/>
        <w:spacing w:after="0"/>
        <w:tabs>
          <w:tab w:leader="none" w:pos="1380" w:val="left"/>
        </w:tabs>
        <w:numPr>
          <w:ilvl w:val="0"/>
          <w:numId w:val="228"/>
        </w:numPr>
        <w:rPr>
          <w:rFonts w:ascii="Arial" w:cs="Arial" w:eastAsia="Arial" w:hAnsi="Arial"/>
          <w:sz w:val="22"/>
          <w:szCs w:val="22"/>
          <w:color w:val="auto"/>
        </w:rPr>
      </w:pPr>
      <w:r>
        <w:rPr>
          <w:rFonts w:ascii="Arial" w:cs="Arial" w:eastAsia="Arial" w:hAnsi="Arial"/>
          <w:sz w:val="22"/>
          <w:szCs w:val="22"/>
          <w:u w:val="single" w:color="auto"/>
          <w:color w:val="auto"/>
        </w:rPr>
        <w:t>Environmental Disclosure</w:t>
      </w:r>
      <w:r>
        <w:rPr>
          <w:rFonts w:ascii="Arial" w:cs="Arial" w:eastAsia="Arial" w:hAnsi="Arial"/>
          <w:sz w:val="22"/>
          <w:szCs w:val="22"/>
          <w:color w:val="auto"/>
        </w:rPr>
        <w:t>. The Borrowers will deliver to the Administrative Agent:</w:t>
      </w:r>
    </w:p>
    <w:p>
      <w:pPr>
        <w:spacing w:after="0" w:line="233" w:lineRule="exact"/>
        <w:rPr>
          <w:rFonts w:ascii="Arial" w:cs="Arial" w:eastAsia="Arial" w:hAnsi="Arial"/>
          <w:sz w:val="22"/>
          <w:szCs w:val="22"/>
          <w:color w:val="auto"/>
        </w:rPr>
      </w:pPr>
    </w:p>
    <w:p>
      <w:pPr>
        <w:jc w:val="both"/>
        <w:ind w:left="660" w:firstLine="644"/>
        <w:spacing w:after="0" w:line="249" w:lineRule="auto"/>
        <w:tabs>
          <w:tab w:leader="none" w:pos="2310" w:val="left"/>
        </w:tabs>
        <w:numPr>
          <w:ilvl w:val="1"/>
          <w:numId w:val="228"/>
        </w:numPr>
        <w:rPr>
          <w:rFonts w:ascii="Arial" w:cs="Arial" w:eastAsia="Arial" w:hAnsi="Arial"/>
          <w:sz w:val="21"/>
          <w:szCs w:val="21"/>
          <w:color w:val="auto"/>
        </w:rPr>
      </w:pPr>
      <w:r>
        <w:rPr>
          <w:rFonts w:ascii="Arial" w:cs="Arial" w:eastAsia="Arial" w:hAnsi="Arial"/>
          <w:sz w:val="21"/>
          <w:szCs w:val="21"/>
          <w:color w:val="auto"/>
        </w:rPr>
        <w:t>as soon as reasonably practicable following the sending or receipt thereof by the Borrowers or any of their Restricted Subsidiaries, a copy of material written non-privileged communications with respect to (A) any Environmental Claims that, individually or in the aggregate, are reasonably expected to give rise to a Material Adverse Effect and (B) any Release required to be reported by the Borrowers or any of their Restricted Subsidiaries to any Governmental Authority that reasonably could be expected to have a Material Adverse Effect;</w:t>
      </w:r>
    </w:p>
    <w:p>
      <w:pPr>
        <w:spacing w:after="0" w:line="205" w:lineRule="exact"/>
        <w:rPr>
          <w:rFonts w:ascii="Arial" w:cs="Arial" w:eastAsia="Arial" w:hAnsi="Arial"/>
          <w:sz w:val="21"/>
          <w:szCs w:val="21"/>
          <w:color w:val="auto"/>
        </w:rPr>
      </w:pPr>
    </w:p>
    <w:p>
      <w:pPr>
        <w:jc w:val="both"/>
        <w:ind w:left="660" w:firstLine="644"/>
        <w:spacing w:after="0"/>
        <w:tabs>
          <w:tab w:leader="none" w:pos="2209" w:val="left"/>
        </w:tabs>
        <w:numPr>
          <w:ilvl w:val="1"/>
          <w:numId w:val="228"/>
        </w:numPr>
        <w:rPr>
          <w:rFonts w:ascii="Arial" w:cs="Arial" w:eastAsia="Arial" w:hAnsi="Arial"/>
          <w:sz w:val="22"/>
          <w:szCs w:val="22"/>
          <w:color w:val="auto"/>
        </w:rPr>
      </w:pPr>
      <w:r>
        <w:rPr>
          <w:rFonts w:ascii="Arial" w:cs="Arial" w:eastAsia="Arial" w:hAnsi="Arial"/>
          <w:sz w:val="22"/>
          <w:szCs w:val="22"/>
          <w:color w:val="auto"/>
        </w:rPr>
        <w:t xml:space="preserve">with reasonable promptness, such other non-privileged documents and information as from time to time may be reasonably requested by the Administrative Agent in relation to any matters disclosed pursuant to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5.08(a)</w:t>
      </w:r>
      <w:r>
        <w:rPr>
          <w:rFonts w:ascii="Arial" w:cs="Arial" w:eastAsia="Arial" w:hAnsi="Arial"/>
          <w:sz w:val="22"/>
          <w:szCs w:val="22"/>
          <w:color w:val="auto"/>
        </w:rPr>
        <w:t>.</w:t>
      </w:r>
    </w:p>
    <w:p>
      <w:pPr>
        <w:spacing w:after="0" w:line="213" w:lineRule="exact"/>
        <w:rPr>
          <w:rFonts w:ascii="Arial" w:cs="Arial" w:eastAsia="Arial" w:hAnsi="Arial"/>
          <w:sz w:val="22"/>
          <w:szCs w:val="22"/>
          <w:color w:val="auto"/>
        </w:rPr>
      </w:pPr>
    </w:p>
    <w:p>
      <w:pPr>
        <w:jc w:val="both"/>
        <w:ind w:firstLine="656"/>
        <w:spacing w:after="0" w:line="236" w:lineRule="auto"/>
        <w:tabs>
          <w:tab w:leader="none" w:pos="1413" w:val="left"/>
        </w:tabs>
        <w:numPr>
          <w:ilvl w:val="0"/>
          <w:numId w:val="228"/>
        </w:numPr>
        <w:rPr>
          <w:rFonts w:ascii="Arial" w:cs="Arial" w:eastAsia="Arial" w:hAnsi="Arial"/>
          <w:sz w:val="22"/>
          <w:szCs w:val="22"/>
          <w:color w:val="auto"/>
        </w:rPr>
      </w:pPr>
      <w:r>
        <w:rPr>
          <w:rFonts w:ascii="Arial" w:cs="Arial" w:eastAsia="Arial" w:hAnsi="Arial"/>
          <w:sz w:val="22"/>
          <w:szCs w:val="22"/>
          <w:u w:val="single" w:color="auto"/>
          <w:color w:val="auto"/>
        </w:rPr>
        <w:t>Hazardous Materials Activities, Etc.</w:t>
      </w:r>
      <w:r>
        <w:rPr>
          <w:rFonts w:ascii="Arial" w:cs="Arial" w:eastAsia="Arial" w:hAnsi="Arial"/>
          <w:sz w:val="22"/>
          <w:szCs w:val="22"/>
          <w:color w:val="auto"/>
        </w:rPr>
        <w:t xml:space="preserve"> The Borrowers shall promptly take, and shall cause each of their Restricted Subsidiaries promptly to take, any and all actions necessary to (i) cure any violation of Environmental Laws that could reasonably be expected to have, individually or in the aggregate, a Material Adverse Effect and (ii) make an appropriate response to any Environmental Claim, in each case, where failure to do so could reasonably be expected to have, individually or in the aggregate, a Material Adverse Effect.</w:t>
      </w:r>
    </w:p>
    <w:p>
      <w:pPr>
        <w:spacing w:after="0" w:line="214" w:lineRule="exact"/>
        <w:rPr>
          <w:sz w:val="20"/>
          <w:szCs w:val="20"/>
          <w:color w:val="auto"/>
        </w:rPr>
      </w:pPr>
    </w:p>
    <w:p>
      <w:pPr>
        <w:ind w:right="40" w:firstLine="648"/>
        <w:spacing w:after="0" w:line="272" w:lineRule="auto"/>
        <w:rPr>
          <w:sz w:val="20"/>
          <w:szCs w:val="20"/>
          <w:color w:val="auto"/>
        </w:rPr>
      </w:pPr>
      <w:r>
        <w:rPr>
          <w:rFonts w:ascii="Arial" w:cs="Arial" w:eastAsia="Arial" w:hAnsi="Arial"/>
          <w:sz w:val="19"/>
          <w:szCs w:val="19"/>
          <w:color w:val="auto"/>
        </w:rPr>
        <w:t xml:space="preserve">SECTION 5.09. </w:t>
      </w:r>
      <w:r>
        <w:rPr>
          <w:rFonts w:ascii="Arial" w:cs="Arial" w:eastAsia="Arial" w:hAnsi="Arial"/>
          <w:sz w:val="19"/>
          <w:szCs w:val="19"/>
          <w:u w:val="single" w:color="auto"/>
          <w:color w:val="auto"/>
        </w:rPr>
        <w:t>Books and Records; Inspection and Audit Rights</w:t>
      </w:r>
      <w:r>
        <w:rPr>
          <w:rFonts w:ascii="Arial" w:cs="Arial" w:eastAsia="Arial" w:hAnsi="Arial"/>
          <w:sz w:val="19"/>
          <w:szCs w:val="19"/>
          <w:color w:val="auto"/>
        </w:rPr>
        <w:t xml:space="preserve">. The Borrowers will, and will cause each of their Restricted Subsidiaries to, keep proper books of record and accounts in which full, true and correct entries in conformity with GAAP and all Requirements of Law are made of all dealings and transactions in relation to their business and activities. The Borrowers will, and will cause each of their Restricted Subsidiaries to, permit any representatives designated by the Administrative Agent or any Lender, upon reasonable prior notice, to visit and inspect their properties, to examine and make extracts from their books and records, and to discuss their affairs, finances and condition with their officers and independent accountants, all at such reasonable times during normal business hours upon reasonable prior notice to the Borrowers, but, unless an Event of Default has occurred and is continuing, no more often than two times during any calendar year;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none of the Borrowers or any Restricted Subsidiary will be required to disclose, permit the inspection, examination or making copies or abstracts of, or discussion of, any document, information or other matter (i) that constitutes non-financial trade secrets or non-financial proprietary information, (ii) in respect of which disclosure to the Administrative Agent or any Lender (or their respective representatives or contractors) is prohibited by Requirement of Law or any binding agreement or (iii) that is subject to attorney-client or similar privilege or constitutes attorney work product.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1" w:name="page292"/>
    <w:bookmarkEnd w:id="291"/>
    <w:p>
      <w:pPr>
        <w:ind w:right="40" w:firstLine="648"/>
        <w:spacing w:after="0" w:line="279" w:lineRule="auto"/>
        <w:rPr>
          <w:sz w:val="20"/>
          <w:szCs w:val="20"/>
          <w:color w:val="auto"/>
        </w:rPr>
      </w:pPr>
      <w:r>
        <w:rPr>
          <w:rFonts w:ascii="Arial" w:cs="Arial" w:eastAsia="Arial" w:hAnsi="Arial"/>
          <w:sz w:val="19"/>
          <w:szCs w:val="19"/>
          <w:color w:val="auto"/>
        </w:rPr>
        <w:t xml:space="preserve">SECTION 5.10. </w:t>
      </w:r>
      <w:r>
        <w:rPr>
          <w:rFonts w:ascii="Arial" w:cs="Arial" w:eastAsia="Arial" w:hAnsi="Arial"/>
          <w:sz w:val="19"/>
          <w:szCs w:val="19"/>
          <w:u w:val="single" w:color="auto"/>
          <w:color w:val="auto"/>
        </w:rPr>
        <w:t>Compliance with Laws</w:t>
      </w:r>
      <w:r>
        <w:rPr>
          <w:rFonts w:ascii="Arial" w:cs="Arial" w:eastAsia="Arial" w:hAnsi="Arial"/>
          <w:sz w:val="19"/>
          <w:szCs w:val="19"/>
          <w:color w:val="auto"/>
        </w:rPr>
        <w:t xml:space="preserve"> . The Borrowers will, and will cause each of their Restricted Subsidiaries to, comply with all Requirements of Law (including Environmental Laws) with respect to them or their property, except where the failure to do so, individually or in the aggregate, would not reasonably be expected to result in a Material Adverse Effect. The Borrowers will maintain in effect and enforce policies and procedures designed to ensure compliance by the Borrowers, their Subsidiaries and their respective directors, officers, employees and agents (in each case, in their capacity related to the Borrowers or their Subsidiaries) with Anti-Corruption Laws and applicable Sanctions.</w:t>
      </w:r>
    </w:p>
    <w:p>
      <w:pPr>
        <w:spacing w:after="0" w:line="178" w:lineRule="exact"/>
        <w:rPr>
          <w:sz w:val="20"/>
          <w:szCs w:val="20"/>
          <w:color w:val="auto"/>
        </w:rPr>
      </w:pPr>
    </w:p>
    <w:p>
      <w:pPr>
        <w:ind w:right="120" w:firstLine="648"/>
        <w:spacing w:after="0" w:line="236" w:lineRule="auto"/>
        <w:rPr>
          <w:sz w:val="20"/>
          <w:szCs w:val="20"/>
          <w:color w:val="auto"/>
        </w:rPr>
      </w:pPr>
      <w:r>
        <w:rPr>
          <w:rFonts w:ascii="Arial" w:cs="Arial" w:eastAsia="Arial" w:hAnsi="Arial"/>
          <w:sz w:val="22"/>
          <w:szCs w:val="22"/>
          <w:color w:val="auto"/>
        </w:rPr>
        <w:t xml:space="preserve">SECTION 5.11. </w:t>
      </w:r>
      <w:r>
        <w:rPr>
          <w:rFonts w:ascii="Arial" w:cs="Arial" w:eastAsia="Arial" w:hAnsi="Arial"/>
          <w:sz w:val="22"/>
          <w:szCs w:val="22"/>
          <w:u w:val="single" w:color="auto"/>
          <w:color w:val="auto"/>
        </w:rPr>
        <w:t>Use of Proceeds and Letters of Credit</w:t>
      </w:r>
      <w:r>
        <w:rPr>
          <w:rFonts w:ascii="Arial" w:cs="Arial" w:eastAsia="Arial" w:hAnsi="Arial"/>
          <w:sz w:val="22"/>
          <w:szCs w:val="22"/>
          <w:color w:val="auto"/>
        </w:rPr>
        <w:t>. The proceeds of the Revolving Loans will be used by the Borrowers and the Restricted Subsidiaries for working capital, refinancing existing debt and general corporate purposes (including consummating the Transactions and paying Transaction Costs). Letters of Credit will be used by the Borrowers and the Restricted Subsidiaries for general corporate purposes, including to replace or provide credit support for any Existing Letters of Credit as of the Effective Date.</w:t>
      </w:r>
    </w:p>
    <w:p>
      <w:pPr>
        <w:spacing w:after="0" w:line="214"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22"/>
          <w:szCs w:val="22"/>
          <w:color w:val="auto"/>
        </w:rPr>
        <w:t>SECTION 5.12.</w:t>
      </w:r>
      <w:r>
        <w:rPr>
          <w:sz w:val="20"/>
          <w:szCs w:val="20"/>
          <w:color w:val="auto"/>
        </w:rPr>
        <w:tab/>
      </w:r>
      <w:r>
        <w:rPr>
          <w:rFonts w:ascii="Arial" w:cs="Arial" w:eastAsia="Arial" w:hAnsi="Arial"/>
          <w:sz w:val="19"/>
          <w:szCs w:val="19"/>
          <w:u w:val="single" w:color="auto"/>
          <w:color w:val="auto"/>
        </w:rPr>
        <w:t>Additional Subsidiaries</w:t>
      </w:r>
    </w:p>
    <w:p>
      <w:pPr>
        <w:spacing w:after="0" w:line="233" w:lineRule="exact"/>
        <w:rPr>
          <w:sz w:val="20"/>
          <w:szCs w:val="20"/>
          <w:color w:val="auto"/>
        </w:rPr>
      </w:pPr>
    </w:p>
    <w:p>
      <w:pPr>
        <w:jc w:val="both"/>
        <w:ind w:firstLine="656"/>
        <w:spacing w:after="0" w:line="279" w:lineRule="auto"/>
        <w:tabs>
          <w:tab w:leader="none" w:pos="1612" w:val="left"/>
        </w:tabs>
        <w:numPr>
          <w:ilvl w:val="0"/>
          <w:numId w:val="229"/>
        </w:numPr>
        <w:rPr>
          <w:rFonts w:ascii="Arial" w:cs="Arial" w:eastAsia="Arial" w:hAnsi="Arial"/>
          <w:sz w:val="19"/>
          <w:szCs w:val="19"/>
          <w:color w:val="auto"/>
        </w:rPr>
      </w:pPr>
      <w:r>
        <w:rPr>
          <w:rFonts w:ascii="Arial" w:cs="Arial" w:eastAsia="Arial" w:hAnsi="Arial"/>
          <w:sz w:val="19"/>
          <w:szCs w:val="19"/>
          <w:color w:val="auto"/>
        </w:rPr>
        <w:t>If any additional Subsidiary is formed or acquired (or otherwise becomes a Guarantor Subsidiary) after the Effective Date, then the Borrowers will, as promptly as practicable and, in any event, within 30 days (or such longer period as the Administrative Agent, acting reasonably, may agree to in writing (including electronic mail)) after such Subsidiary is formed or acquired (or otherwise becomes a Guarantor Subsidiary), notify the Administrative Agent thereof and, to the extent applicable, cause the Collateral and Guarantee Requirement to be satisfied with respect to such Guarantor Subsidiary and with respect to any Equity Interest in or Indebtedness of such Guarantor Subsidiary owned by or on behalf of any Loan Party.</w:t>
      </w:r>
    </w:p>
    <w:p>
      <w:pPr>
        <w:spacing w:after="0" w:line="177" w:lineRule="exact"/>
        <w:rPr>
          <w:rFonts w:ascii="Arial" w:cs="Arial" w:eastAsia="Arial" w:hAnsi="Arial"/>
          <w:sz w:val="19"/>
          <w:szCs w:val="19"/>
          <w:color w:val="auto"/>
        </w:rPr>
      </w:pPr>
    </w:p>
    <w:p>
      <w:pPr>
        <w:jc w:val="both"/>
        <w:ind w:firstLine="656"/>
        <w:spacing w:after="0" w:line="238" w:lineRule="auto"/>
        <w:tabs>
          <w:tab w:leader="none" w:pos="1502" w:val="left"/>
        </w:tabs>
        <w:numPr>
          <w:ilvl w:val="0"/>
          <w:numId w:val="229"/>
        </w:numPr>
        <w:rPr>
          <w:rFonts w:ascii="Arial" w:cs="Arial" w:eastAsia="Arial" w:hAnsi="Arial"/>
          <w:sz w:val="22"/>
          <w:szCs w:val="22"/>
          <w:color w:val="auto"/>
        </w:rPr>
      </w:pPr>
      <w:r>
        <w:rPr>
          <w:rFonts w:ascii="Arial" w:cs="Arial" w:eastAsia="Arial" w:hAnsi="Arial"/>
          <w:sz w:val="22"/>
          <w:szCs w:val="22"/>
          <w:color w:val="auto"/>
        </w:rPr>
        <w:t xml:space="preserve">The Borrowers may at any time designate any wholly-owned Restricted Subsidiary as a Guarantor Subsidiary;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Borrowers will cause the Collateral and Guarantee Requirement to be satisfied with respect to such Restricted Subsidiary within the time period and to the extent set forth in </w:t>
      </w:r>
      <w:r>
        <w:rPr>
          <w:rFonts w:ascii="Arial" w:cs="Arial" w:eastAsia="Arial" w:hAnsi="Arial"/>
          <w:sz w:val="22"/>
          <w:szCs w:val="22"/>
          <w:u w:val="single" w:color="auto"/>
          <w:color w:val="auto"/>
        </w:rPr>
        <w:t>Section 5.12(a)</w:t>
      </w:r>
      <w:r>
        <w:rPr>
          <w:rFonts w:ascii="Arial" w:cs="Arial" w:eastAsia="Arial" w:hAnsi="Arial"/>
          <w:sz w:val="22"/>
          <w:szCs w:val="22"/>
          <w:color w:val="auto"/>
        </w:rPr>
        <w:t xml:space="preserve"> as if such Restricted Subsidiary is a Person that became a Guarantor Subsidiary after the Effective Date.</w:t>
      </w:r>
    </w:p>
    <w:p>
      <w:pPr>
        <w:spacing w:after="0" w:line="211" w:lineRule="exact"/>
        <w:rPr>
          <w:rFonts w:ascii="Arial" w:cs="Arial" w:eastAsia="Arial" w:hAnsi="Arial"/>
          <w:sz w:val="22"/>
          <w:szCs w:val="22"/>
          <w:color w:val="auto"/>
        </w:rPr>
      </w:pPr>
    </w:p>
    <w:p>
      <w:pPr>
        <w:jc w:val="both"/>
        <w:ind w:firstLine="656"/>
        <w:spacing w:after="0" w:line="279" w:lineRule="auto"/>
        <w:tabs>
          <w:tab w:leader="none" w:pos="1411" w:val="left"/>
        </w:tabs>
        <w:numPr>
          <w:ilvl w:val="0"/>
          <w:numId w:val="229"/>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herein or in any other Loan Document, to the extent that any Restricted Subsidiary formed or acquired (or that otherwise becomes a Guarantor Subsidiary) after the Effective Date would not be permitted to Guarantee the Senior Unsecured Notes, or any Refinancing Indebtedness in respect thereof, under applicable law, then such Restricted Subsidiary shall be deemed not to be a Guarantor Subsidiary for purposes hereof and will not enter into the New York-Law Guarantee or New York-Law Security Agreement, provide any Guarantee of the Obligations or enter into any other Security Document granting a Lien on any of such Restricted Subsidiary’s assets, in each case while such prohibition exists.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2" w:name="page293"/>
    <w:bookmarkEnd w:id="292"/>
    <w:p>
      <w:pPr>
        <w:ind w:left="660"/>
        <w:spacing w:after="0"/>
        <w:tabs>
          <w:tab w:leader="none" w:pos="2300" w:val="left"/>
        </w:tabs>
        <w:rPr>
          <w:sz w:val="20"/>
          <w:szCs w:val="20"/>
          <w:color w:val="auto"/>
        </w:rPr>
      </w:pPr>
      <w:r>
        <w:rPr>
          <w:rFonts w:ascii="Arial" w:cs="Arial" w:eastAsia="Arial" w:hAnsi="Arial"/>
          <w:sz w:val="22"/>
          <w:szCs w:val="22"/>
          <w:color w:val="auto"/>
        </w:rPr>
        <w:t>SECTION 5.13.</w:t>
      </w:r>
      <w:r>
        <w:rPr>
          <w:sz w:val="20"/>
          <w:szCs w:val="20"/>
          <w:color w:val="auto"/>
        </w:rPr>
        <w:tab/>
      </w:r>
      <w:r>
        <w:rPr>
          <w:rFonts w:ascii="Arial" w:cs="Arial" w:eastAsia="Arial" w:hAnsi="Arial"/>
          <w:sz w:val="19"/>
          <w:szCs w:val="19"/>
          <w:u w:val="single" w:color="auto"/>
          <w:color w:val="auto"/>
        </w:rPr>
        <w:t>Further Assurances</w:t>
      </w:r>
    </w:p>
    <w:p>
      <w:pPr>
        <w:spacing w:after="0" w:line="234" w:lineRule="exact"/>
        <w:rPr>
          <w:sz w:val="20"/>
          <w:szCs w:val="20"/>
          <w:color w:val="auto"/>
        </w:rPr>
      </w:pPr>
    </w:p>
    <w:p>
      <w:pPr>
        <w:jc w:val="both"/>
        <w:ind w:firstLine="656"/>
        <w:spacing w:after="0" w:line="246" w:lineRule="auto"/>
        <w:tabs>
          <w:tab w:leader="none" w:pos="1465" w:val="left"/>
        </w:tabs>
        <w:numPr>
          <w:ilvl w:val="0"/>
          <w:numId w:val="230"/>
        </w:numPr>
        <w:rPr>
          <w:rFonts w:ascii="Arial" w:cs="Arial" w:eastAsia="Arial" w:hAnsi="Arial"/>
          <w:sz w:val="21"/>
          <w:szCs w:val="21"/>
          <w:color w:val="auto"/>
        </w:rPr>
      </w:pPr>
      <w:r>
        <w:rPr>
          <w:rFonts w:ascii="Arial" w:cs="Arial" w:eastAsia="Arial" w:hAnsi="Arial"/>
          <w:sz w:val="21"/>
          <w:szCs w:val="21"/>
          <w:color w:val="auto"/>
        </w:rPr>
        <w:t>The Borrowers will, and will cause each of their Subsidiaries that is a Guarantor to, execute any and all further documents, financing statements, agreements and instruments, and take all such further actions (including the filing and recording of financing statements, fixture filings, mortgages, deeds of trust and other documents), that may be required under any applicable law, or that the Administrative Agent may reasonably request, to cause the Collateral and Guarantee Requirement to be and remain satisfied, all at the expense of the Loan Parties. The Borrowers also agree to, and shall cause each of their Subsidiaries that is a Guarantor to, provide to the Administrative Agent, from time to time upon request, evidence reasonably satisfactory to the Administrative Agent as to the perfection and priority of the Liens created or intended to be created by the Security Documents.</w:t>
      </w:r>
    </w:p>
    <w:p>
      <w:pPr>
        <w:spacing w:after="0" w:line="206" w:lineRule="exact"/>
        <w:rPr>
          <w:rFonts w:ascii="Arial" w:cs="Arial" w:eastAsia="Arial" w:hAnsi="Arial"/>
          <w:sz w:val="21"/>
          <w:szCs w:val="21"/>
          <w:color w:val="auto"/>
        </w:rPr>
      </w:pPr>
    </w:p>
    <w:p>
      <w:pPr>
        <w:ind w:left="1400" w:hanging="744"/>
        <w:spacing w:after="0"/>
        <w:tabs>
          <w:tab w:leader="none" w:pos="1400" w:val="left"/>
        </w:tabs>
        <w:numPr>
          <w:ilvl w:val="0"/>
          <w:numId w:val="230"/>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jc w:val="both"/>
        <w:ind w:firstLine="656"/>
        <w:spacing w:after="0" w:line="279" w:lineRule="auto"/>
        <w:tabs>
          <w:tab w:leader="none" w:pos="1324" w:val="left"/>
        </w:tabs>
        <w:numPr>
          <w:ilvl w:val="0"/>
          <w:numId w:val="230"/>
        </w:numPr>
        <w:rPr>
          <w:rFonts w:ascii="Arial" w:cs="Arial" w:eastAsia="Arial" w:hAnsi="Arial"/>
          <w:sz w:val="19"/>
          <w:szCs w:val="19"/>
          <w:color w:val="auto"/>
        </w:rPr>
      </w:pPr>
      <w:r>
        <w:rPr>
          <w:rFonts w:ascii="Arial" w:cs="Arial" w:eastAsia="Arial" w:hAnsi="Arial"/>
          <w:sz w:val="19"/>
          <w:szCs w:val="19"/>
          <w:color w:val="auto"/>
        </w:rPr>
        <w:t>If, after the Effective Date, any Loan Party acquires any Material Real Property or any real property owned by any Loan Party becomes Material Real Property, then such Loan Party shall promptly notify the Administrative Agent, and shall, within (60) days of such acquisition (or such later date as the Administrative Agent may agree in its reasonable discretion), cause such Material Real Property to be subjected to a Lien securing the Obligations and will take such actions as shall be reasonably necessary or reasonably requested by the Administrative Agent to grant and perfect or record such Lien, including the actions described in clause (e) of the definition of “Collateral and Guarantee Requirement”.</w:t>
      </w:r>
    </w:p>
    <w:p>
      <w:pPr>
        <w:spacing w:after="0" w:line="177" w:lineRule="exact"/>
        <w:rPr>
          <w:rFonts w:ascii="Arial" w:cs="Arial" w:eastAsia="Arial" w:hAnsi="Arial"/>
          <w:sz w:val="19"/>
          <w:szCs w:val="19"/>
          <w:color w:val="auto"/>
        </w:rPr>
      </w:pPr>
    </w:p>
    <w:p>
      <w:pPr>
        <w:jc w:val="both"/>
        <w:ind w:firstLine="656"/>
        <w:spacing w:after="0" w:line="248" w:lineRule="auto"/>
        <w:tabs>
          <w:tab w:leader="none" w:pos="1424" w:val="left"/>
        </w:tabs>
        <w:numPr>
          <w:ilvl w:val="0"/>
          <w:numId w:val="230"/>
        </w:numPr>
        <w:rPr>
          <w:rFonts w:ascii="Arial" w:cs="Arial" w:eastAsia="Arial" w:hAnsi="Arial"/>
          <w:sz w:val="21"/>
          <w:szCs w:val="21"/>
          <w:color w:val="auto"/>
        </w:rPr>
      </w:pPr>
      <w:r>
        <w:rPr>
          <w:rFonts w:ascii="Arial" w:cs="Arial" w:eastAsia="Arial" w:hAnsi="Arial"/>
          <w:sz w:val="21"/>
          <w:szCs w:val="21"/>
          <w:color w:val="auto"/>
        </w:rPr>
        <w:t>If, after the Effective Date, (i) any Vessel is constructed or acquired by any Loan Party and/or (ii) the granting of a Lien on any Vessel that is not already a Collateral Vessel is not prohibited by any financing arrangements with respect to such Vessel, the Company will promptly notify the Administrative Agent, and the Company will cause such Vessel to be subjected to a Lien securing the Obligations and will take, and cause the Guarantors to take, such actions as shall be necessary or reasonably requested by the Administrative Agent to grant and perfect such Lien, including the actions described in clause (f) of the definition of “Collateral and Guarantee Requirement”.</w:t>
      </w:r>
    </w:p>
    <w:p>
      <w:pPr>
        <w:spacing w:after="0" w:line="203" w:lineRule="exact"/>
        <w:rPr>
          <w:rFonts w:ascii="Arial" w:cs="Arial" w:eastAsia="Arial" w:hAnsi="Arial"/>
          <w:sz w:val="21"/>
          <w:szCs w:val="21"/>
          <w:color w:val="auto"/>
        </w:rPr>
      </w:pPr>
    </w:p>
    <w:p>
      <w:pPr>
        <w:jc w:val="both"/>
        <w:ind w:firstLine="656"/>
        <w:spacing w:after="0" w:line="277" w:lineRule="auto"/>
        <w:tabs>
          <w:tab w:leader="none" w:pos="1459" w:val="left"/>
        </w:tabs>
        <w:numPr>
          <w:ilvl w:val="0"/>
          <w:numId w:val="230"/>
        </w:numPr>
        <w:rPr>
          <w:rFonts w:ascii="Arial" w:cs="Arial" w:eastAsia="Arial" w:hAnsi="Arial"/>
          <w:sz w:val="19"/>
          <w:szCs w:val="19"/>
          <w:color w:val="auto"/>
        </w:rPr>
      </w:pPr>
      <w:r>
        <w:rPr>
          <w:rFonts w:ascii="Arial" w:cs="Arial" w:eastAsia="Arial" w:hAnsi="Arial"/>
          <w:sz w:val="19"/>
          <w:szCs w:val="19"/>
          <w:color w:val="auto"/>
        </w:rPr>
        <w:t xml:space="preserve">If, after the Effective Date, any Loan Party acquires any intellectual property consisting of a registered patent, trademark or copyright, any application for registration thereof, or any exclusive license to any registered U.S. copyright, then such Loan Party shall notify the Administrative Agent of such acquisition concurrently with the delivery of the next Financial Officer certificate required to be provided to the Administrative Agent pursuant to </w:t>
      </w:r>
      <w:r>
        <w:rPr>
          <w:rFonts w:ascii="Arial" w:cs="Arial" w:eastAsia="Arial" w:hAnsi="Arial"/>
          <w:sz w:val="19"/>
          <w:szCs w:val="19"/>
          <w:u w:val="single" w:color="auto"/>
          <w:color w:val="auto"/>
        </w:rPr>
        <w:t>Section 5.01(c)</w:t>
      </w:r>
      <w:r>
        <w:rPr>
          <w:rFonts w:ascii="Arial" w:cs="Arial" w:eastAsia="Arial" w:hAnsi="Arial"/>
          <w:sz w:val="19"/>
          <w:szCs w:val="19"/>
          <w:color w:val="auto"/>
        </w:rPr>
        <w:t>, and concurrently with the delivery of such notice, shall cause such intellectual property to be subjected to a Lien securing the Obligations and shall take such actions as shall be reasonably necessary or reasonably requested by the Administrative Agent to grant and perfect or record such Lien, including the actions described in clause (d) of the definition of “Collateral and Guarantee Requirement”.</w:t>
      </w:r>
    </w:p>
    <w:p>
      <w:pPr>
        <w:spacing w:after="0" w:line="178" w:lineRule="exact"/>
        <w:rPr>
          <w:rFonts w:ascii="Arial" w:cs="Arial" w:eastAsia="Arial" w:hAnsi="Arial"/>
          <w:sz w:val="19"/>
          <w:szCs w:val="19"/>
          <w:color w:val="auto"/>
        </w:rPr>
      </w:pPr>
    </w:p>
    <w:p>
      <w:pPr>
        <w:jc w:val="both"/>
        <w:ind w:firstLine="656"/>
        <w:spacing w:after="0" w:line="234" w:lineRule="auto"/>
        <w:tabs>
          <w:tab w:leader="none" w:pos="1387" w:val="left"/>
        </w:tabs>
        <w:numPr>
          <w:ilvl w:val="0"/>
          <w:numId w:val="230"/>
        </w:numPr>
        <w:rPr>
          <w:rFonts w:ascii="Arial" w:cs="Arial" w:eastAsia="Arial" w:hAnsi="Arial"/>
          <w:sz w:val="22"/>
          <w:szCs w:val="22"/>
          <w:color w:val="auto"/>
        </w:rPr>
      </w:pPr>
      <w:r>
        <w:rPr>
          <w:rFonts w:ascii="Arial" w:cs="Arial" w:eastAsia="Arial" w:hAnsi="Arial"/>
          <w:sz w:val="22"/>
          <w:szCs w:val="22"/>
          <w:color w:val="auto"/>
        </w:rPr>
        <w:t xml:space="preserve">If any other asset that has an individual book value in excess of $20,000,000 is acquired by the Borrowers or any Guarantor after the Effective Date (other than any asset constituting Collateral under any Security Document that becomes subject to the Lien created by such Security Document upon acquisition thereof), the Borrowers will notify the Administrative Agent, and, if requested by the Administrative Agent, the Borrowers will cause such assets to be subjected to a Lien securing the Obligations and will take, and cause the Guarantors to take, such actions as shall be necessary or reasonably requested by the Administrative Agent to grant and perfect such Liens, including the actions described in </w:t>
      </w:r>
      <w:r>
        <w:rPr>
          <w:rFonts w:ascii="Arial" w:cs="Arial" w:eastAsia="Arial" w:hAnsi="Arial"/>
          <w:sz w:val="22"/>
          <w:szCs w:val="22"/>
          <w:u w:val="single" w:color="auto"/>
          <w:color w:val="auto"/>
        </w:rPr>
        <w:t>paragraph (a)</w:t>
      </w:r>
      <w:r>
        <w:rPr>
          <w:rFonts w:ascii="Arial" w:cs="Arial" w:eastAsia="Arial" w:hAnsi="Arial"/>
          <w:sz w:val="22"/>
          <w:szCs w:val="22"/>
          <w:color w:val="auto"/>
        </w:rPr>
        <w:t xml:space="preserve"> of this Section, all at the expense of the Loan Parties.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3" w:name="page294"/>
    <w:bookmarkEnd w:id="293"/>
    <w:p>
      <w:pPr>
        <w:ind w:right="20" w:firstLine="648"/>
        <w:spacing w:after="0" w:line="249" w:lineRule="auto"/>
        <w:rPr>
          <w:sz w:val="20"/>
          <w:szCs w:val="20"/>
          <w:color w:val="auto"/>
        </w:rPr>
      </w:pPr>
      <w:r>
        <w:rPr>
          <w:rFonts w:ascii="Arial" w:cs="Arial" w:eastAsia="Arial" w:hAnsi="Arial"/>
          <w:sz w:val="21"/>
          <w:szCs w:val="21"/>
          <w:color w:val="auto"/>
        </w:rPr>
        <w:t xml:space="preserve">SECTION 5.14. </w:t>
      </w:r>
      <w:r>
        <w:rPr>
          <w:rFonts w:ascii="Arial" w:cs="Arial" w:eastAsia="Arial" w:hAnsi="Arial"/>
          <w:sz w:val="21"/>
          <w:szCs w:val="21"/>
          <w:u w:val="single" w:color="auto"/>
          <w:color w:val="auto"/>
        </w:rPr>
        <w:t>Vessel Appraisals</w:t>
      </w:r>
      <w:r>
        <w:rPr>
          <w:rFonts w:ascii="Arial" w:cs="Arial" w:eastAsia="Arial" w:hAnsi="Arial"/>
          <w:sz w:val="21"/>
          <w:szCs w:val="21"/>
          <w:color w:val="auto"/>
        </w:rPr>
        <w:t>. Upon the Administrative Agent’s reasonable request, the Borrowers will, or will cause any Loan Party that is the owner of a Collateral Vessel to, obtain a valuation report (or updated valuation report) for each Collateral Vessel owned by it, in each case in form and substance consistent with those appraisals provided on or prior to the Effective Date for the Collateral Vessels and prepared by a reputable valuer; provided that no more than one such valuation report per Collateral Vessel shall be required to be delivered per year.</w:t>
      </w:r>
    </w:p>
    <w:p>
      <w:pPr>
        <w:spacing w:after="0" w:line="20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9"/>
          <w:szCs w:val="19"/>
          <w:color w:val="auto"/>
        </w:rPr>
        <w:t xml:space="preserve">SECTION 5.15. </w:t>
      </w:r>
      <w:r>
        <w:rPr>
          <w:rFonts w:ascii="Arial" w:cs="Arial" w:eastAsia="Arial" w:hAnsi="Arial"/>
          <w:sz w:val="19"/>
          <w:szCs w:val="19"/>
          <w:u w:val="single" w:color="auto"/>
          <w:color w:val="auto"/>
        </w:rPr>
        <w:t>Post-Effective Date Matters</w:t>
      </w:r>
      <w:r>
        <w:rPr>
          <w:rFonts w:ascii="Arial" w:cs="Arial" w:eastAsia="Arial" w:hAnsi="Arial"/>
          <w:sz w:val="19"/>
          <w:szCs w:val="19"/>
          <w:color w:val="auto"/>
        </w:rPr>
        <w:t>. To the extent that any of the following obligations, documents and/or security interests cannot be performed, provided, delivered or perfected on the Effective Date (except with respect to assets for which a Lien may be perfected by the filing of a financing statement under the Uniform Commercial Code) after the Borrowers’ or the relevant Loan Party’s use of commercially reasonable efforts to do so, the Borrowers shall comply, and shall cause each of the Loan Parties to comply, with each of the following obligations and/or deliver to the Administrative Agent each of the following documents, instruments, agreements and information, in each case, in form and substance satisfactory to the Administrative Agent, on or before the date set forth for each such item below (unless waived in accordance with Section 9.02):</w:t>
      </w:r>
    </w:p>
    <w:p>
      <w:pPr>
        <w:spacing w:after="0" w:line="179" w:lineRule="exact"/>
        <w:rPr>
          <w:sz w:val="20"/>
          <w:szCs w:val="20"/>
          <w:color w:val="auto"/>
        </w:rPr>
      </w:pPr>
    </w:p>
    <w:p>
      <w:pPr>
        <w:jc w:val="both"/>
        <w:ind w:firstLine="656"/>
        <w:spacing w:after="0"/>
        <w:tabs>
          <w:tab w:leader="none" w:pos="1423" w:val="left"/>
        </w:tabs>
        <w:numPr>
          <w:ilvl w:val="0"/>
          <w:numId w:val="231"/>
        </w:numPr>
        <w:rPr>
          <w:rFonts w:ascii="Arial" w:cs="Arial" w:eastAsia="Arial" w:hAnsi="Arial"/>
          <w:sz w:val="22"/>
          <w:szCs w:val="22"/>
          <w:color w:val="auto"/>
        </w:rPr>
      </w:pPr>
      <w:r>
        <w:rPr>
          <w:rFonts w:ascii="Arial" w:cs="Arial" w:eastAsia="Arial" w:hAnsi="Arial"/>
          <w:sz w:val="22"/>
          <w:szCs w:val="22"/>
          <w:color w:val="auto"/>
        </w:rPr>
        <w:t xml:space="preserve">Within 30 days of the Effective Date (or such longer period of time as the Administrative Agent may reasonably agree in its sole discretion), the Administrative Agent shall have received the certificates of insurance and related endorsements required by </w:t>
      </w:r>
      <w:r>
        <w:rPr>
          <w:rFonts w:ascii="Arial" w:cs="Arial" w:eastAsia="Arial" w:hAnsi="Arial"/>
          <w:sz w:val="22"/>
          <w:szCs w:val="22"/>
          <w:u w:val="single" w:color="auto"/>
          <w:color w:val="auto"/>
        </w:rPr>
        <w:t>Section 5.07</w:t>
      </w:r>
      <w:r>
        <w:rPr>
          <w:rFonts w:ascii="Arial" w:cs="Arial" w:eastAsia="Arial" w:hAnsi="Arial"/>
          <w:sz w:val="22"/>
          <w:szCs w:val="22"/>
          <w:color w:val="auto"/>
        </w:rPr>
        <w:t>.</w:t>
      </w:r>
    </w:p>
    <w:p>
      <w:pPr>
        <w:spacing w:after="0" w:line="213" w:lineRule="exact"/>
        <w:rPr>
          <w:rFonts w:ascii="Arial" w:cs="Arial" w:eastAsia="Arial" w:hAnsi="Arial"/>
          <w:sz w:val="22"/>
          <w:szCs w:val="22"/>
          <w:color w:val="auto"/>
        </w:rPr>
      </w:pPr>
    </w:p>
    <w:p>
      <w:pPr>
        <w:jc w:val="both"/>
        <w:ind w:firstLine="656"/>
        <w:spacing w:after="0" w:line="277" w:lineRule="auto"/>
        <w:tabs>
          <w:tab w:leader="none" w:pos="1431" w:val="left"/>
        </w:tabs>
        <w:numPr>
          <w:ilvl w:val="0"/>
          <w:numId w:val="231"/>
        </w:numPr>
        <w:rPr>
          <w:rFonts w:ascii="Arial" w:cs="Arial" w:eastAsia="Arial" w:hAnsi="Arial"/>
          <w:sz w:val="19"/>
          <w:szCs w:val="19"/>
          <w:color w:val="auto"/>
        </w:rPr>
      </w:pPr>
      <w:r>
        <w:rPr>
          <w:rFonts w:ascii="Arial" w:cs="Arial" w:eastAsia="Arial" w:hAnsi="Arial"/>
          <w:sz w:val="19"/>
          <w:szCs w:val="19"/>
          <w:color w:val="auto"/>
        </w:rPr>
        <w:t xml:space="preserve">Within 60 days of the Effective Date (or such longer period of time as the Administrative Agent may reasonably agree in its sole discretion), and subject to </w:t>
      </w:r>
      <w:r>
        <w:rPr>
          <w:rFonts w:ascii="Arial" w:cs="Arial" w:eastAsia="Arial" w:hAnsi="Arial"/>
          <w:sz w:val="19"/>
          <w:szCs w:val="19"/>
          <w:u w:val="single" w:color="auto"/>
          <w:color w:val="auto"/>
        </w:rPr>
        <w:t>Section 5.15(c)</w:t>
      </w:r>
      <w:r>
        <w:rPr>
          <w:rFonts w:ascii="Arial" w:cs="Arial" w:eastAsia="Arial" w:hAnsi="Arial"/>
          <w:sz w:val="19"/>
          <w:szCs w:val="19"/>
          <w:color w:val="auto"/>
        </w:rPr>
        <w:t>, the Administrative Agent, on behalf of the Secured Parties, shall have received from each Loan Party organized or incorporated in a non-U.S. Collateral Jurisdiction, executed copies of, or counterparts or supplements to, (i) the New York-Law Pledge Agreement, to the extent applicable, or (ii) any other Security Documents required to create valid and perfected Liens over all Collateral over which a perfected Lien was not established as of the Effective Date, together with such opinions, certificates, and other documentation as may be required by the Administrative Agent so as to cause the Collateral and Guarantee Requirement to be and remain satisfied.</w:t>
      </w:r>
    </w:p>
    <w:p>
      <w:pPr>
        <w:spacing w:after="0" w:line="178" w:lineRule="exact"/>
        <w:rPr>
          <w:rFonts w:ascii="Arial" w:cs="Arial" w:eastAsia="Arial" w:hAnsi="Arial"/>
          <w:sz w:val="19"/>
          <w:szCs w:val="19"/>
          <w:color w:val="auto"/>
        </w:rPr>
      </w:pPr>
    </w:p>
    <w:p>
      <w:pPr>
        <w:jc w:val="both"/>
        <w:ind w:firstLine="656"/>
        <w:spacing w:after="0" w:line="257" w:lineRule="auto"/>
        <w:tabs>
          <w:tab w:leader="none" w:pos="1423" w:val="left"/>
        </w:tabs>
        <w:numPr>
          <w:ilvl w:val="0"/>
          <w:numId w:val="231"/>
        </w:numPr>
        <w:rPr>
          <w:rFonts w:ascii="Arial" w:cs="Arial" w:eastAsia="Arial" w:hAnsi="Arial"/>
          <w:sz w:val="21"/>
          <w:szCs w:val="21"/>
          <w:color w:val="auto"/>
        </w:rPr>
      </w:pPr>
      <w:r>
        <w:rPr>
          <w:rFonts w:ascii="Arial" w:cs="Arial" w:eastAsia="Arial" w:hAnsi="Arial"/>
          <w:sz w:val="21"/>
          <w:szCs w:val="21"/>
          <w:color w:val="auto"/>
        </w:rPr>
        <w:t>Within 90 days of the Effective Date (or such longer period of time as the Administrative Agent may reasonably agree in its sole discretion), the Administrative Agent shall have received the Real Property Mortgages and such other documents as required pursuant to clause (e) of the definition of “Collateral and Guarantee Requirement”.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4" w:name="page295"/>
    <w:bookmarkEnd w:id="294"/>
    <w:p>
      <w:pPr>
        <w:ind w:firstLine="648"/>
        <w:spacing w:after="0" w:line="270" w:lineRule="auto"/>
        <w:rPr>
          <w:sz w:val="20"/>
          <w:szCs w:val="20"/>
          <w:color w:val="auto"/>
        </w:rPr>
      </w:pPr>
      <w:r>
        <w:rPr>
          <w:rFonts w:ascii="Arial" w:cs="Arial" w:eastAsia="Arial" w:hAnsi="Arial"/>
          <w:sz w:val="19"/>
          <w:szCs w:val="19"/>
          <w:color w:val="auto"/>
        </w:rPr>
        <w:t xml:space="preserve">SECTION 5.16. </w:t>
      </w:r>
      <w:r>
        <w:rPr>
          <w:rFonts w:ascii="Arial" w:cs="Arial" w:eastAsia="Arial" w:hAnsi="Arial"/>
          <w:sz w:val="19"/>
          <w:szCs w:val="19"/>
          <w:u w:val="single" w:color="auto"/>
          <w:color w:val="auto"/>
        </w:rPr>
        <w:t>Designation of Subsidiaries</w:t>
      </w:r>
      <w:r>
        <w:rPr>
          <w:rFonts w:ascii="Arial" w:cs="Arial" w:eastAsia="Arial" w:hAnsi="Arial"/>
          <w:sz w:val="19"/>
          <w:szCs w:val="19"/>
          <w:color w:val="auto"/>
        </w:rPr>
        <w:t>. The Borrowers may at any time designate any Restricted Subsidiary as an Unrestricted Subsidiary or any Unrestricted Subsidiary as a Restricted Subsidiary; provided that (a) immediately before and after such designation, (i) no Default or Event of Default shall have occurred and be continuing or would result from such designation, (ii) the Company shall be in compliance with the Financial Covenants on a Pro Forma Basis and (iii) the representations and warranties of each Loan Party set forth in the Loan Documents shall be true and correct in all material respects (or, in the case of representations and warranties qualified as to materiality, in all respects) on and as of the date of such designation, except in the case of any such representation and warranty that expressly relates to a prior date, in which case such representation and warranty shall be true and correct in all material respects (or in all respects, as applicable) as of such earlier date, and (b) no Subsidiary may be designated as an Unrestricted Subsidiary if it is a “restricted subsidiary” or a “guarantor” (or any similar designation) for any Material Indebtedness. The designation of any Subsidiary as an Unrestricted Subsidiary shall constitute an Investment by the parent company of such Subsidiary therein under Section 6.04(u) at the date of designation in an amount equal to the net book value of such parent company’s investment therein. The designation of any Unrestricted Subsidiary as a Restricted Subsidiary shall constitute the incurrence at the time of designation of any Indebtedness or Liens of such Subsidiary, and the making of an Investment by such Subsidiary in any Investments of such Subsidiary, in each case existing at such time. Within 10 days (or such shorter period of time as the Administrative Agent may reasonably agree to in writing) following any designation described above, the Company will deliver to the Administrative Agent a notice of such designation accompanied by a certificate signed by a Responsible Officer certifying compliance with all requirements of this Section 5.16 and setting forth all information required in order to establish such compliance.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Negative Covenants</w:t>
      </w:r>
    </w:p>
    <w:p>
      <w:pPr>
        <w:spacing w:after="0" w:line="233"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Until the Commitments shall have expired or been terminated and the principal of and interest on each Loan and all fees, expenses, other amounts (other than contingent amounts not yet due) payable under this Agreement or any other Loan Document and the other Loan Document Obligations have been paid in full, and all Letters of Credit (other than those collateralized or back-stopped on terms reasonably satisfactory to the applicable Issuing Bank) have expired or been terminated and all LC Disbursements shall have been reimbursed, the Borrowers covenant and agree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notwithstanding anything to the contrary set forth in this Agreement or any other Loan Document, no provision of this Agreement or any other Loan Document shall prevent or restrict the consummation of any of the Transactions, nor shall the Transactions give rise to any Default, or constitute the utilization of any basket, under this Agreement (including this </w:t>
      </w:r>
      <w:r>
        <w:rPr>
          <w:rFonts w:ascii="Arial" w:cs="Arial" w:eastAsia="Arial" w:hAnsi="Arial"/>
          <w:sz w:val="21"/>
          <w:szCs w:val="21"/>
          <w:u w:val="single" w:color="auto"/>
          <w:color w:val="auto"/>
        </w:rPr>
        <w:t>Article VI</w:t>
      </w:r>
      <w:r>
        <w:rPr>
          <w:rFonts w:ascii="Arial" w:cs="Arial" w:eastAsia="Arial" w:hAnsi="Arial"/>
          <w:sz w:val="21"/>
          <w:szCs w:val="21"/>
          <w:color w:val="auto"/>
        </w:rPr>
        <w:t>) or any other Loan Document) with the Lenders that:</w:t>
      </w:r>
    </w:p>
    <w:p>
      <w:pPr>
        <w:spacing w:after="0" w:line="211" w:lineRule="exact"/>
        <w:rPr>
          <w:sz w:val="20"/>
          <w:szCs w:val="20"/>
          <w:color w:val="auto"/>
        </w:rPr>
      </w:pPr>
    </w:p>
    <w:p>
      <w:pPr>
        <w:ind w:right="360" w:firstLine="648"/>
        <w:spacing w:after="0" w:line="250" w:lineRule="auto"/>
        <w:rPr>
          <w:sz w:val="20"/>
          <w:szCs w:val="20"/>
          <w:color w:val="auto"/>
        </w:rPr>
      </w:pPr>
      <w:r>
        <w:rPr>
          <w:rFonts w:ascii="Arial" w:cs="Arial" w:eastAsia="Arial" w:hAnsi="Arial"/>
          <w:sz w:val="22"/>
          <w:szCs w:val="22"/>
          <w:color w:val="auto"/>
        </w:rPr>
        <w:t xml:space="preserve">SECTION 6.01. </w:t>
      </w:r>
      <w:r>
        <w:rPr>
          <w:rFonts w:ascii="Arial" w:cs="Arial" w:eastAsia="Arial" w:hAnsi="Arial"/>
          <w:sz w:val="22"/>
          <w:szCs w:val="22"/>
          <w:u w:val="single" w:color="auto"/>
          <w:color w:val="auto"/>
        </w:rPr>
        <w:t>Indebtedness</w:t>
      </w:r>
      <w:r>
        <w:rPr>
          <w:rFonts w:ascii="Arial" w:cs="Arial" w:eastAsia="Arial" w:hAnsi="Arial"/>
          <w:sz w:val="22"/>
          <w:szCs w:val="22"/>
          <w:color w:val="auto"/>
        </w:rPr>
        <w:t>. The Borrowers will not, nor will they permit any of their Restricted Subsidiaries to, create, incur, assume or permit to exist any Indebtedness, except:</w:t>
      </w:r>
    </w:p>
    <w:p>
      <w:pPr>
        <w:spacing w:after="0" w:line="202" w:lineRule="exact"/>
        <w:rPr>
          <w:sz w:val="20"/>
          <w:szCs w:val="20"/>
          <w:color w:val="auto"/>
        </w:rPr>
      </w:pPr>
    </w:p>
    <w:p>
      <w:pPr>
        <w:ind w:left="1440" w:hanging="784"/>
        <w:spacing w:after="0"/>
        <w:tabs>
          <w:tab w:leader="none" w:pos="1440" w:val="left"/>
        </w:tabs>
        <w:numPr>
          <w:ilvl w:val="0"/>
          <w:numId w:val="232"/>
        </w:numPr>
        <w:rPr>
          <w:rFonts w:ascii="Arial" w:cs="Arial" w:eastAsia="Arial" w:hAnsi="Arial"/>
          <w:sz w:val="22"/>
          <w:szCs w:val="22"/>
          <w:color w:val="auto"/>
        </w:rPr>
      </w:pPr>
      <w:r>
        <w:rPr>
          <w:rFonts w:ascii="Arial" w:cs="Arial" w:eastAsia="Arial" w:hAnsi="Arial"/>
          <w:sz w:val="22"/>
          <w:szCs w:val="22"/>
          <w:color w:val="auto"/>
        </w:rPr>
        <w:t>Indebtedness created hereunder and under the other Loan Documents;</w:t>
      </w:r>
    </w:p>
    <w:p>
      <w:pPr>
        <w:spacing w:after="0" w:line="233" w:lineRule="exact"/>
        <w:rPr>
          <w:rFonts w:ascii="Arial" w:cs="Arial" w:eastAsia="Arial" w:hAnsi="Arial"/>
          <w:sz w:val="22"/>
          <w:szCs w:val="22"/>
          <w:color w:val="auto"/>
        </w:rPr>
      </w:pPr>
    </w:p>
    <w:p>
      <w:pPr>
        <w:jc w:val="both"/>
        <w:ind w:firstLine="656"/>
        <w:spacing w:after="0" w:line="245" w:lineRule="auto"/>
        <w:tabs>
          <w:tab w:leader="none" w:pos="1689" w:val="left"/>
        </w:tabs>
        <w:numPr>
          <w:ilvl w:val="0"/>
          <w:numId w:val="232"/>
        </w:numPr>
        <w:rPr>
          <w:rFonts w:ascii="Arial" w:cs="Arial" w:eastAsia="Arial" w:hAnsi="Arial"/>
          <w:sz w:val="21"/>
          <w:szCs w:val="21"/>
          <w:color w:val="auto"/>
        </w:rPr>
      </w:pPr>
      <w:r>
        <w:rPr>
          <w:rFonts w:ascii="Arial" w:cs="Arial" w:eastAsia="Arial" w:hAnsi="Arial"/>
          <w:sz w:val="21"/>
          <w:szCs w:val="21"/>
          <w:color w:val="auto"/>
        </w:rPr>
        <w:t>(i) the Senior Unsecured Notes in an aggregate principal amount not to exceed $1,000,000,000 and (ii) Refinancing Indebtedness in respect of the Senior Unsecured Notes issued pursuant to clause (i) above (it being understood and agreed that, for purposes of this Section, any Indebtedness that is incurred for the purpose of repurchasing or redeeming any Senior Unsecured Notes (or any Refinancing Indebtedness in respect thereof) shall, if otherwise meeting the requirements set forth in the definition of the term “Refinancing Indebtedness,” be deemed to be Refinancing Indebtedness in respect of the Senior Unsecured Notes (or such Refinancing Indebtedness), and shall be permitted to be incurred and be in existence, notwithstanding that the proceeds of such Refinancing Indebtedness shall not be applied to make such repurchase or redemption of the Senior Unsecured Notes (or such Refinancing Indebtedness) immediately upon the incurrence thereof, if the proceeds of such Refinancing Indebtedness are applied to make such repurchase or redemption no later than 90 days following the date of the incurrence thereof);</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5" w:name="page296"/>
    <w:bookmarkEnd w:id="295"/>
    <w:p>
      <w:pPr>
        <w:ind w:firstLine="656"/>
        <w:spacing w:after="0" w:line="251" w:lineRule="auto"/>
        <w:tabs>
          <w:tab w:leader="none" w:pos="1425" w:val="left"/>
        </w:tabs>
        <w:numPr>
          <w:ilvl w:val="0"/>
          <w:numId w:val="233"/>
        </w:numPr>
        <w:rPr>
          <w:rFonts w:ascii="Arial" w:cs="Arial" w:eastAsia="Arial" w:hAnsi="Arial"/>
          <w:sz w:val="22"/>
          <w:szCs w:val="22"/>
          <w:color w:val="auto"/>
        </w:rPr>
      </w:pPr>
      <w:r>
        <w:rPr>
          <w:rFonts w:ascii="Arial" w:cs="Arial" w:eastAsia="Arial" w:hAnsi="Arial"/>
          <w:sz w:val="22"/>
          <w:szCs w:val="22"/>
          <w:color w:val="auto"/>
        </w:rPr>
        <w:t xml:space="preserve">Indebtedness existing on the Effective Date and set forth in </w:t>
      </w:r>
      <w:r>
        <w:rPr>
          <w:rFonts w:ascii="Arial" w:cs="Arial" w:eastAsia="Arial" w:hAnsi="Arial"/>
          <w:sz w:val="22"/>
          <w:szCs w:val="22"/>
          <w:u w:val="single" w:color="auto"/>
          <w:color w:val="auto"/>
        </w:rPr>
        <w:t>Schedule 6.01</w:t>
      </w:r>
      <w:r>
        <w:rPr>
          <w:rFonts w:ascii="Arial" w:cs="Arial" w:eastAsia="Arial" w:hAnsi="Arial"/>
          <w:sz w:val="22"/>
          <w:szCs w:val="22"/>
          <w:color w:val="auto"/>
        </w:rPr>
        <w:t xml:space="preserve"> and, except with respect to any letters of credit included on </w:t>
      </w:r>
      <w:r>
        <w:rPr>
          <w:rFonts w:ascii="Arial" w:cs="Arial" w:eastAsia="Arial" w:hAnsi="Arial"/>
          <w:sz w:val="22"/>
          <w:szCs w:val="22"/>
          <w:u w:val="single" w:color="auto"/>
          <w:color w:val="auto"/>
        </w:rPr>
        <w:t>Schedule 6.01</w:t>
      </w:r>
      <w:r>
        <w:rPr>
          <w:rFonts w:ascii="Arial" w:cs="Arial" w:eastAsia="Arial" w:hAnsi="Arial"/>
          <w:sz w:val="22"/>
          <w:szCs w:val="22"/>
          <w:color w:val="auto"/>
        </w:rPr>
        <w:t>, any Refinancing Indebtedness in respect thereof;</w:t>
      </w:r>
    </w:p>
    <w:p>
      <w:pPr>
        <w:spacing w:after="0" w:line="200" w:lineRule="exact"/>
        <w:rPr>
          <w:rFonts w:ascii="Arial" w:cs="Arial" w:eastAsia="Arial" w:hAnsi="Arial"/>
          <w:sz w:val="22"/>
          <w:szCs w:val="22"/>
          <w:color w:val="auto"/>
        </w:rPr>
      </w:pPr>
    </w:p>
    <w:p>
      <w:pPr>
        <w:jc w:val="both"/>
        <w:ind w:firstLine="656"/>
        <w:spacing w:after="0" w:line="287" w:lineRule="auto"/>
        <w:tabs>
          <w:tab w:leader="none" w:pos="1415" w:val="left"/>
        </w:tabs>
        <w:numPr>
          <w:ilvl w:val="0"/>
          <w:numId w:val="233"/>
        </w:numPr>
        <w:rPr>
          <w:rFonts w:ascii="Arial" w:cs="Arial" w:eastAsia="Arial" w:hAnsi="Arial"/>
          <w:sz w:val="19"/>
          <w:szCs w:val="19"/>
          <w:color w:val="auto"/>
        </w:rPr>
      </w:pPr>
      <w:r>
        <w:rPr>
          <w:rFonts w:ascii="Arial" w:cs="Arial" w:eastAsia="Arial" w:hAnsi="Arial"/>
          <w:sz w:val="19"/>
          <w:szCs w:val="19"/>
          <w:color w:val="auto"/>
        </w:rPr>
        <w:t xml:space="preserve">Indebtedness of the Borrowers to any Restricted Subsidiary and of any Restricted Subsidiary to the Borrowers or any other Restricted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Indebtedness of any Subsidiary that is not a Loan Party to the Borrowers or any Guarantor shall be subject to </w:t>
      </w:r>
      <w:r>
        <w:rPr>
          <w:rFonts w:ascii="Arial" w:cs="Arial" w:eastAsia="Arial" w:hAnsi="Arial"/>
          <w:sz w:val="19"/>
          <w:szCs w:val="19"/>
          <w:u w:val="single" w:color="auto"/>
          <w:color w:val="auto"/>
        </w:rPr>
        <w:t>Section 6.04</w:t>
      </w:r>
      <w:r>
        <w:rPr>
          <w:rFonts w:ascii="Arial" w:cs="Arial" w:eastAsia="Arial" w:hAnsi="Arial"/>
          <w:sz w:val="19"/>
          <w:szCs w:val="19"/>
          <w:color w:val="auto"/>
        </w:rPr>
        <w:t xml:space="preserve"> and (ii) Indebtedness of the Borrowers or any Guarantor to any Restricted Subsidiary that is not a Guarantor shall be subordinated to the Obligations on terms reasonably acceptable to the Administrative Agent;</w:t>
      </w:r>
    </w:p>
    <w:p>
      <w:pPr>
        <w:spacing w:after="0" w:line="169" w:lineRule="exact"/>
        <w:rPr>
          <w:rFonts w:ascii="Arial" w:cs="Arial" w:eastAsia="Arial" w:hAnsi="Arial"/>
          <w:sz w:val="19"/>
          <w:szCs w:val="19"/>
          <w:color w:val="auto"/>
        </w:rPr>
      </w:pPr>
    </w:p>
    <w:p>
      <w:pPr>
        <w:jc w:val="both"/>
        <w:ind w:firstLine="656"/>
        <w:spacing w:after="0" w:line="277" w:lineRule="auto"/>
        <w:tabs>
          <w:tab w:leader="none" w:pos="1509" w:val="left"/>
        </w:tabs>
        <w:numPr>
          <w:ilvl w:val="0"/>
          <w:numId w:val="233"/>
        </w:numPr>
        <w:rPr>
          <w:rFonts w:ascii="Arial" w:cs="Arial" w:eastAsia="Arial" w:hAnsi="Arial"/>
          <w:sz w:val="19"/>
          <w:szCs w:val="19"/>
          <w:color w:val="auto"/>
        </w:rPr>
      </w:pPr>
      <w:r>
        <w:rPr>
          <w:rFonts w:ascii="Arial" w:cs="Arial" w:eastAsia="Arial" w:hAnsi="Arial"/>
          <w:sz w:val="19"/>
          <w:szCs w:val="19"/>
          <w:color w:val="auto"/>
        </w:rPr>
        <w:t xml:space="preserve">Guarantees by the Borrowers of Indebtedness of any Restricted Subsidiary and by any Restricted Subsidiary of Indebtedness of the Borrowers or any other Restricted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Indebtedness so Guaranteed is permitted by this Section (other than clause (c) or (g), (ii) Guarantees by the Borrowers or any Guarantor of Indebtedness of any Subsidiary that is not a Loan Party shall be subject to </w:t>
      </w:r>
      <w:r>
        <w:rPr>
          <w:rFonts w:ascii="Arial" w:cs="Arial" w:eastAsia="Arial" w:hAnsi="Arial"/>
          <w:sz w:val="19"/>
          <w:szCs w:val="19"/>
          <w:u w:val="single" w:color="auto"/>
          <w:color w:val="auto"/>
        </w:rPr>
        <w:t>Section 6.04</w:t>
      </w:r>
      <w:r>
        <w:rPr>
          <w:rFonts w:ascii="Arial" w:cs="Arial" w:eastAsia="Arial" w:hAnsi="Arial"/>
          <w:sz w:val="19"/>
          <w:szCs w:val="19"/>
          <w:color w:val="auto"/>
        </w:rPr>
        <w:t>, (iii) if the Indebtedness so Guaranteed is subordinated to the Obligations, Guarantees permitted under this clause (e) shall be subordinated to the Obligations to the same extent and on the same terms as the Indebtedness so Guaranteed is subordinated to the Obligations and (iv) none of the Senior Unsecured Notes shall be Guaranteed by any Restricted Subsidiary unless such Restricted Subsidiary is a Guarantor;</w:t>
      </w:r>
    </w:p>
    <w:p>
      <w:pPr>
        <w:spacing w:after="0" w:line="178" w:lineRule="exact"/>
        <w:rPr>
          <w:rFonts w:ascii="Arial" w:cs="Arial" w:eastAsia="Arial" w:hAnsi="Arial"/>
          <w:sz w:val="19"/>
          <w:szCs w:val="19"/>
          <w:color w:val="auto"/>
        </w:rPr>
      </w:pPr>
    </w:p>
    <w:p>
      <w:pPr>
        <w:jc w:val="both"/>
        <w:ind w:firstLine="656"/>
        <w:spacing w:after="0" w:line="245" w:lineRule="auto"/>
        <w:tabs>
          <w:tab w:leader="none" w:pos="1354" w:val="left"/>
        </w:tabs>
        <w:numPr>
          <w:ilvl w:val="0"/>
          <w:numId w:val="233"/>
        </w:numPr>
        <w:rPr>
          <w:rFonts w:ascii="Arial" w:cs="Arial" w:eastAsia="Arial" w:hAnsi="Arial"/>
          <w:sz w:val="21"/>
          <w:szCs w:val="21"/>
          <w:color w:val="auto"/>
        </w:rPr>
      </w:pPr>
      <w:r>
        <w:rPr>
          <w:rFonts w:ascii="Arial" w:cs="Arial" w:eastAsia="Arial" w:hAnsi="Arial"/>
          <w:sz w:val="21"/>
          <w:szCs w:val="21"/>
          <w:color w:val="auto"/>
        </w:rPr>
        <w:t xml:space="preserve">(i) Indebtedness of the Borrowers or any Restricted Subsidiary incurred to finance the acquisition, construction, repair, replacement or improvement of any fixed or capital assets, including Capital Lease Obligations and any Indebtedness assumed by the Borrowers or any Restricted Subsidiary in connection with the acquisition of any such assets or secured by a Lien on any such assets prior to the acquisition thereof;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Indebtedness is incurred prior to or within 270 days after such acquisition or the completion of such construction, repair, replacement or improvement, and (ii) Refinancing Indebtedness in respect of Indebtedness incurred or assumed pursuant to clause (i) above;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xml:space="preserve">, that at the time of incurrence thereof, the aggregate principal amount of Indebtedness incurred pursuant to this clause (f), together with any sale and leaseback transaction incurred pursuant to </w:t>
      </w:r>
      <w:r>
        <w:rPr>
          <w:rFonts w:ascii="Arial" w:cs="Arial" w:eastAsia="Arial" w:hAnsi="Arial"/>
          <w:sz w:val="21"/>
          <w:szCs w:val="21"/>
          <w:u w:val="single" w:color="auto"/>
          <w:color w:val="auto"/>
        </w:rPr>
        <w:t>Section 6.06</w:t>
      </w:r>
      <w:r>
        <w:rPr>
          <w:rFonts w:ascii="Arial" w:cs="Arial" w:eastAsia="Arial" w:hAnsi="Arial"/>
          <w:sz w:val="21"/>
          <w:szCs w:val="21"/>
          <w:color w:val="auto"/>
        </w:rPr>
        <w:t>, shall not exceed the greater of (x) $150,000,000 and (y) 1.50% of Consolidated Total Assets determined at the time of incurrence;</w:t>
      </w:r>
    </w:p>
    <w:p>
      <w:pPr>
        <w:spacing w:after="0" w:line="211" w:lineRule="exact"/>
        <w:rPr>
          <w:rFonts w:ascii="Arial" w:cs="Arial" w:eastAsia="Arial" w:hAnsi="Arial"/>
          <w:sz w:val="21"/>
          <w:szCs w:val="21"/>
          <w:color w:val="auto"/>
        </w:rPr>
      </w:pPr>
    </w:p>
    <w:p>
      <w:pPr>
        <w:jc w:val="both"/>
        <w:ind w:firstLine="656"/>
        <w:spacing w:after="0" w:line="274" w:lineRule="auto"/>
        <w:tabs>
          <w:tab w:leader="none" w:pos="1362" w:val="left"/>
        </w:tabs>
        <w:numPr>
          <w:ilvl w:val="0"/>
          <w:numId w:val="233"/>
        </w:numPr>
        <w:rPr>
          <w:rFonts w:ascii="Arial" w:cs="Arial" w:eastAsia="Arial" w:hAnsi="Arial"/>
          <w:sz w:val="19"/>
          <w:szCs w:val="19"/>
          <w:color w:val="auto"/>
        </w:rPr>
      </w:pPr>
      <w:r>
        <w:rPr>
          <w:rFonts w:ascii="Arial" w:cs="Arial" w:eastAsia="Arial" w:hAnsi="Arial"/>
          <w:sz w:val="19"/>
          <w:szCs w:val="19"/>
          <w:color w:val="auto"/>
        </w:rPr>
        <w:t xml:space="preserve">(i) Indebtedness of any Person that becomes a Restricted Subsidiary (or of any Person not previously a Restricted Subsidiary that is merged or consolidated with or into the Borrowers or a Restricted Subsidiary in a transaction permitted hereunder) after the Effective Date, or Indebtedness of any Person that is assumed by the Borrowers or any Restricted Subsidiary in connection with an acquisition of assets by the Borrowers or such Restricted Subsidiary in an acquisition permitted by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6.04</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such Indebtedness exists at the time such Person becomes a Restricted Subsidiary (or is so merged or consolidated) or such assets are acquired and is not created in contemplation of or in connection with such Person becoming a Restricted Subsidiary (or such merger or consolidation) or such assets being acquired and (y) after giving effect to such Indebtedness on a Pro Forma Basis, the Borrowers would be in compliance with the Financial Covenants and (ii) Refinancing Indebtedness in respect of Indebtedness incurred or assumed, as applicable, pursuant to clause (i) above;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6" w:name="page297"/>
    <w:bookmarkEnd w:id="296"/>
    <w:p>
      <w:pPr>
        <w:ind w:firstLine="656"/>
        <w:spacing w:after="0" w:line="274" w:lineRule="auto"/>
        <w:tabs>
          <w:tab w:leader="none" w:pos="1459" w:val="left"/>
        </w:tabs>
        <w:numPr>
          <w:ilvl w:val="0"/>
          <w:numId w:val="234"/>
        </w:numPr>
        <w:rPr>
          <w:rFonts w:ascii="Arial" w:cs="Arial" w:eastAsia="Arial" w:hAnsi="Arial"/>
          <w:sz w:val="21"/>
          <w:szCs w:val="21"/>
          <w:color w:val="auto"/>
        </w:rPr>
      </w:pPr>
      <w:r>
        <w:rPr>
          <w:rFonts w:ascii="Arial" w:cs="Arial" w:eastAsia="Arial" w:hAnsi="Arial"/>
          <w:sz w:val="21"/>
          <w:szCs w:val="21"/>
          <w:color w:val="auto"/>
        </w:rPr>
        <w:t>other Indebtedness in an aggregate principal amount not exceeding at the time of incurrence thereof, the greater of (i) $200,000,000 and (ii) 2.00% of Consolidated Total Assets determined at the time of incurrence;</w:t>
      </w:r>
    </w:p>
    <w:p>
      <w:pPr>
        <w:spacing w:after="0" w:line="178" w:lineRule="exact"/>
        <w:rPr>
          <w:rFonts w:ascii="Arial" w:cs="Arial" w:eastAsia="Arial" w:hAnsi="Arial"/>
          <w:sz w:val="21"/>
          <w:szCs w:val="21"/>
          <w:color w:val="auto"/>
        </w:rPr>
      </w:pPr>
    </w:p>
    <w:p>
      <w:pPr>
        <w:jc w:val="both"/>
        <w:ind w:firstLine="656"/>
        <w:spacing w:after="0" w:line="238" w:lineRule="auto"/>
        <w:tabs>
          <w:tab w:leader="none" w:pos="1230" w:val="left"/>
        </w:tabs>
        <w:numPr>
          <w:ilvl w:val="0"/>
          <w:numId w:val="234"/>
        </w:numPr>
        <w:rPr>
          <w:rFonts w:ascii="Arial" w:cs="Arial" w:eastAsia="Arial" w:hAnsi="Arial"/>
          <w:sz w:val="22"/>
          <w:szCs w:val="22"/>
          <w:color w:val="auto"/>
        </w:rPr>
      </w:pPr>
      <w:r>
        <w:rPr>
          <w:rFonts w:ascii="Arial" w:cs="Arial" w:eastAsia="Arial" w:hAnsi="Arial"/>
          <w:sz w:val="22"/>
          <w:szCs w:val="22"/>
          <w:color w:val="auto"/>
        </w:rPr>
        <w:t>Indebtedness owed to any Person (including obligations in respect of letters of credit for the benefit of such Person) providing workers’ compensation, health, disability or other employee benefits or property, casualty or liability insurance, pursuant to reimbursement or indemnification obligations to such Person, in each case incurred in the ordinary course of business;</w:t>
      </w:r>
    </w:p>
    <w:p>
      <w:pPr>
        <w:spacing w:after="0" w:line="211" w:lineRule="exact"/>
        <w:rPr>
          <w:rFonts w:ascii="Arial" w:cs="Arial" w:eastAsia="Arial" w:hAnsi="Arial"/>
          <w:sz w:val="22"/>
          <w:szCs w:val="22"/>
          <w:color w:val="auto"/>
        </w:rPr>
      </w:pPr>
    </w:p>
    <w:p>
      <w:pPr>
        <w:jc w:val="both"/>
        <w:ind w:firstLine="656"/>
        <w:spacing w:after="0"/>
        <w:tabs>
          <w:tab w:leader="none" w:pos="1670" w:val="left"/>
        </w:tabs>
        <w:numPr>
          <w:ilvl w:val="0"/>
          <w:numId w:val="234"/>
        </w:numPr>
        <w:rPr>
          <w:rFonts w:ascii="Arial" w:cs="Arial" w:eastAsia="Arial" w:hAnsi="Arial"/>
          <w:sz w:val="22"/>
          <w:szCs w:val="22"/>
          <w:color w:val="auto"/>
        </w:rPr>
      </w:pPr>
      <w:r>
        <w:rPr>
          <w:rFonts w:ascii="Arial" w:cs="Arial" w:eastAsia="Arial" w:hAnsi="Arial"/>
          <w:sz w:val="22"/>
          <w:szCs w:val="22"/>
          <w:color w:val="auto"/>
        </w:rPr>
        <w:t>Indebtedness in respect of performance bonds, bid bonds, appeal bonds, surety bonds, performance and completion guarantees and similar obligations (other than in respect of other Indebtedness), in each case provided in the ordinary course of business;</w:t>
      </w:r>
    </w:p>
    <w:p>
      <w:pPr>
        <w:spacing w:after="0" w:line="213" w:lineRule="exact"/>
        <w:rPr>
          <w:rFonts w:ascii="Arial" w:cs="Arial" w:eastAsia="Arial" w:hAnsi="Arial"/>
          <w:sz w:val="22"/>
          <w:szCs w:val="22"/>
          <w:color w:val="auto"/>
        </w:rPr>
      </w:pPr>
    </w:p>
    <w:p>
      <w:pPr>
        <w:ind w:left="1400" w:hanging="744"/>
        <w:spacing w:after="0"/>
        <w:tabs>
          <w:tab w:leader="none" w:pos="1400" w:val="left"/>
        </w:tabs>
        <w:numPr>
          <w:ilvl w:val="0"/>
          <w:numId w:val="234"/>
        </w:numPr>
        <w:rPr>
          <w:rFonts w:ascii="Arial" w:cs="Arial" w:eastAsia="Arial" w:hAnsi="Arial"/>
          <w:sz w:val="22"/>
          <w:szCs w:val="22"/>
          <w:color w:val="auto"/>
        </w:rPr>
      </w:pPr>
      <w:r>
        <w:rPr>
          <w:rFonts w:ascii="Arial" w:cs="Arial" w:eastAsia="Arial" w:hAnsi="Arial"/>
          <w:sz w:val="22"/>
          <w:szCs w:val="22"/>
          <w:color w:val="auto"/>
        </w:rPr>
        <w:t>Indebtedness in respect of Hedging Agreements;</w:t>
      </w:r>
    </w:p>
    <w:p>
      <w:pPr>
        <w:spacing w:after="0" w:line="233" w:lineRule="exact"/>
        <w:rPr>
          <w:rFonts w:ascii="Arial" w:cs="Arial" w:eastAsia="Arial" w:hAnsi="Arial"/>
          <w:sz w:val="22"/>
          <w:szCs w:val="22"/>
          <w:color w:val="auto"/>
        </w:rPr>
      </w:pPr>
    </w:p>
    <w:p>
      <w:pPr>
        <w:jc w:val="both"/>
        <w:ind w:firstLine="656"/>
        <w:spacing w:after="0"/>
        <w:tabs>
          <w:tab w:leader="none" w:pos="1429" w:val="left"/>
        </w:tabs>
        <w:numPr>
          <w:ilvl w:val="0"/>
          <w:numId w:val="234"/>
        </w:numPr>
        <w:rPr>
          <w:rFonts w:ascii="Arial" w:cs="Arial" w:eastAsia="Arial" w:hAnsi="Arial"/>
          <w:sz w:val="22"/>
          <w:szCs w:val="22"/>
          <w:color w:val="auto"/>
        </w:rPr>
      </w:pPr>
      <w:r>
        <w:rPr>
          <w:rFonts w:ascii="Arial" w:cs="Arial" w:eastAsia="Arial" w:hAnsi="Arial"/>
          <w:sz w:val="22"/>
          <w:szCs w:val="22"/>
          <w:color w:val="auto"/>
        </w:rPr>
        <w:t xml:space="preserve">Indebtedness owed in respect of any overdrafts and related liabilities arising from treasury, depositary and Cash Management Services or in connection with any automated clearinghouse transfers of funds;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Indebtedness shall be repaid in full within five Business Days of the incurrence thereof;</w:t>
      </w:r>
    </w:p>
    <w:p>
      <w:pPr>
        <w:spacing w:after="0" w:line="213" w:lineRule="exact"/>
        <w:rPr>
          <w:rFonts w:ascii="Arial" w:cs="Arial" w:eastAsia="Arial" w:hAnsi="Arial"/>
          <w:sz w:val="22"/>
          <w:szCs w:val="22"/>
          <w:color w:val="auto"/>
        </w:rPr>
      </w:pPr>
    </w:p>
    <w:p>
      <w:pPr>
        <w:jc w:val="both"/>
        <w:ind w:firstLine="656"/>
        <w:spacing w:after="0"/>
        <w:tabs>
          <w:tab w:leader="none" w:pos="1759" w:val="left"/>
        </w:tabs>
        <w:numPr>
          <w:ilvl w:val="0"/>
          <w:numId w:val="234"/>
        </w:numPr>
        <w:rPr>
          <w:rFonts w:ascii="Arial" w:cs="Arial" w:eastAsia="Arial" w:hAnsi="Arial"/>
          <w:sz w:val="22"/>
          <w:szCs w:val="22"/>
          <w:color w:val="auto"/>
        </w:rPr>
      </w:pPr>
      <w:r>
        <w:rPr>
          <w:rFonts w:ascii="Arial" w:cs="Arial" w:eastAsia="Arial" w:hAnsi="Arial"/>
          <w:sz w:val="22"/>
          <w:szCs w:val="22"/>
          <w:color w:val="auto"/>
        </w:rPr>
        <w:t xml:space="preserve">Indebtedness in the form of purchase price adjustments, earnouts, non-competition agreements or other arrangements representing acquisition consideration or deferred payments of a similar nature incurred in connection with any acquisition or other investment permitted under </w:t>
      </w:r>
      <w:r>
        <w:rPr>
          <w:rFonts w:ascii="Arial" w:cs="Arial" w:eastAsia="Arial" w:hAnsi="Arial"/>
          <w:sz w:val="22"/>
          <w:szCs w:val="22"/>
          <w:u w:val="single" w:color="auto"/>
          <w:color w:val="auto"/>
        </w:rPr>
        <w:t>Section 6.04</w:t>
      </w:r>
      <w:r>
        <w:rPr>
          <w:rFonts w:ascii="Arial" w:cs="Arial" w:eastAsia="Arial" w:hAnsi="Arial"/>
          <w:sz w:val="22"/>
          <w:szCs w:val="22"/>
          <w:color w:val="auto"/>
        </w:rPr>
        <w:t>;</w:t>
      </w:r>
    </w:p>
    <w:p>
      <w:pPr>
        <w:spacing w:after="0" w:line="213" w:lineRule="exact"/>
        <w:rPr>
          <w:rFonts w:ascii="Arial" w:cs="Arial" w:eastAsia="Arial" w:hAnsi="Arial"/>
          <w:sz w:val="22"/>
          <w:szCs w:val="22"/>
          <w:color w:val="auto"/>
        </w:rPr>
      </w:pPr>
    </w:p>
    <w:p>
      <w:pPr>
        <w:ind w:left="1400" w:hanging="744"/>
        <w:spacing w:after="0"/>
        <w:tabs>
          <w:tab w:leader="none" w:pos="1400" w:val="left"/>
        </w:tabs>
        <w:numPr>
          <w:ilvl w:val="0"/>
          <w:numId w:val="234"/>
        </w:numPr>
        <w:rPr>
          <w:rFonts w:ascii="Arial" w:cs="Arial" w:eastAsia="Arial" w:hAnsi="Arial"/>
          <w:sz w:val="21"/>
          <w:szCs w:val="21"/>
          <w:color w:val="auto"/>
        </w:rPr>
      </w:pPr>
      <w:r>
        <w:rPr>
          <w:rFonts w:ascii="Arial" w:cs="Arial" w:eastAsia="Arial" w:hAnsi="Arial"/>
          <w:sz w:val="21"/>
          <w:szCs w:val="21"/>
          <w:color w:val="auto"/>
        </w:rPr>
        <w:t>Indebtedness in respect of Bilateral Facilities not to exceed $500,000,000 in the aggregate at any time;</w:t>
      </w:r>
    </w:p>
    <w:p>
      <w:pPr>
        <w:spacing w:after="0" w:line="244" w:lineRule="exact"/>
        <w:rPr>
          <w:rFonts w:ascii="Arial" w:cs="Arial" w:eastAsia="Arial" w:hAnsi="Arial"/>
          <w:sz w:val="21"/>
          <w:szCs w:val="21"/>
          <w:color w:val="auto"/>
        </w:rPr>
      </w:pPr>
    </w:p>
    <w:p>
      <w:pPr>
        <w:jc w:val="both"/>
        <w:ind w:firstLine="656"/>
        <w:spacing w:after="0" w:line="238" w:lineRule="auto"/>
        <w:tabs>
          <w:tab w:leader="none" w:pos="1443" w:val="left"/>
        </w:tabs>
        <w:numPr>
          <w:ilvl w:val="0"/>
          <w:numId w:val="234"/>
        </w:numPr>
        <w:rPr>
          <w:rFonts w:ascii="Arial" w:cs="Arial" w:eastAsia="Arial" w:hAnsi="Arial"/>
          <w:sz w:val="22"/>
          <w:szCs w:val="22"/>
          <w:color w:val="auto"/>
        </w:rPr>
      </w:pPr>
      <w:r>
        <w:rPr>
          <w:rFonts w:ascii="Arial" w:cs="Arial" w:eastAsia="Arial" w:hAnsi="Arial"/>
          <w:sz w:val="22"/>
          <w:szCs w:val="22"/>
          <w:color w:val="auto"/>
        </w:rPr>
        <w:t>Indebtedness incurred under a declaration of joint and several liability (</w:t>
      </w:r>
      <w:r>
        <w:rPr>
          <w:rFonts w:ascii="Arial" w:cs="Arial" w:eastAsia="Arial" w:hAnsi="Arial"/>
          <w:sz w:val="22"/>
          <w:szCs w:val="22"/>
          <w:i w:val="1"/>
          <w:iCs w:val="1"/>
          <w:color w:val="auto"/>
        </w:rPr>
        <w:t>hoofdelijke aansprakelijkheid</w:t>
      </w:r>
      <w:r>
        <w:rPr>
          <w:rFonts w:ascii="Arial" w:cs="Arial" w:eastAsia="Arial" w:hAnsi="Arial"/>
          <w:sz w:val="22"/>
          <w:szCs w:val="22"/>
          <w:color w:val="auto"/>
        </w:rPr>
        <w:t>) in respect of any Restricted Subsidiary organized in the Netherlands used for the purpose of section 2:403 of the Dutch Civil Code (</w:t>
      </w:r>
      <w:r>
        <w:rPr>
          <w:rFonts w:ascii="Arial" w:cs="Arial" w:eastAsia="Arial" w:hAnsi="Arial"/>
          <w:sz w:val="22"/>
          <w:szCs w:val="22"/>
          <w:i w:val="1"/>
          <w:iCs w:val="1"/>
          <w:color w:val="auto"/>
        </w:rPr>
        <w:t>Burgerlijk Wetb</w:t>
      </w:r>
      <w:r>
        <w:rPr>
          <w:rFonts w:ascii="Arial" w:cs="Arial" w:eastAsia="Arial" w:hAnsi="Arial"/>
          <w:sz w:val="22"/>
          <w:szCs w:val="22"/>
          <w:color w:val="auto"/>
        </w:rPr>
        <w:t>oek) (and any residual liability (</w:t>
      </w:r>
      <w:r>
        <w:rPr>
          <w:rFonts w:ascii="Arial" w:cs="Arial" w:eastAsia="Arial" w:hAnsi="Arial"/>
          <w:sz w:val="22"/>
          <w:szCs w:val="22"/>
          <w:i w:val="1"/>
          <w:iCs w:val="1"/>
          <w:color w:val="auto"/>
        </w:rPr>
        <w:t>overblijvende aansprakelijkheid</w:t>
      </w:r>
      <w:r>
        <w:rPr>
          <w:rFonts w:ascii="Arial" w:cs="Arial" w:eastAsia="Arial" w:hAnsi="Arial"/>
          <w:sz w:val="22"/>
          <w:szCs w:val="22"/>
          <w:color w:val="auto"/>
        </w:rPr>
        <w:t>) under such declaration arising pursuant to section 2:404(2) of the Dutch Civil Code);</w:t>
      </w:r>
    </w:p>
    <w:p>
      <w:pPr>
        <w:spacing w:after="0" w:line="211" w:lineRule="exact"/>
        <w:rPr>
          <w:rFonts w:ascii="Arial" w:cs="Arial" w:eastAsia="Arial" w:hAnsi="Arial"/>
          <w:sz w:val="22"/>
          <w:szCs w:val="22"/>
          <w:color w:val="auto"/>
        </w:rPr>
      </w:pPr>
    </w:p>
    <w:p>
      <w:pPr>
        <w:ind w:right="20" w:firstLine="656"/>
        <w:spacing w:after="0" w:line="250" w:lineRule="auto"/>
        <w:tabs>
          <w:tab w:leader="none" w:pos="1411" w:val="left"/>
        </w:tabs>
        <w:numPr>
          <w:ilvl w:val="0"/>
          <w:numId w:val="234"/>
        </w:numPr>
        <w:rPr>
          <w:rFonts w:ascii="Arial" w:cs="Arial" w:eastAsia="Arial" w:hAnsi="Arial"/>
          <w:sz w:val="22"/>
          <w:szCs w:val="22"/>
          <w:color w:val="auto"/>
        </w:rPr>
      </w:pPr>
      <w:r>
        <w:rPr>
          <w:rFonts w:ascii="Arial" w:cs="Arial" w:eastAsia="Arial" w:hAnsi="Arial"/>
          <w:sz w:val="22"/>
          <w:szCs w:val="22"/>
          <w:color w:val="auto"/>
        </w:rPr>
        <w:t>Indebtedness (including Guarantees) arising as a result of a fiscal unity (</w:t>
      </w:r>
      <w:r>
        <w:rPr>
          <w:rFonts w:ascii="Arial" w:cs="Arial" w:eastAsia="Arial" w:hAnsi="Arial"/>
          <w:sz w:val="22"/>
          <w:szCs w:val="22"/>
          <w:i w:val="1"/>
          <w:iCs w:val="1"/>
          <w:color w:val="auto"/>
        </w:rPr>
        <w:t>fiscale eenheid</w:t>
      </w:r>
      <w:r>
        <w:rPr>
          <w:rFonts w:ascii="Arial" w:cs="Arial" w:eastAsia="Arial" w:hAnsi="Arial"/>
          <w:sz w:val="22"/>
          <w:szCs w:val="22"/>
          <w:color w:val="auto"/>
        </w:rPr>
        <w:t>) for Dutch tax purposes with any other Restricted Subsidiary organized in the Netherlands;</w:t>
      </w:r>
    </w:p>
    <w:p>
      <w:pPr>
        <w:spacing w:after="0" w:line="201" w:lineRule="exact"/>
        <w:rPr>
          <w:rFonts w:ascii="Arial" w:cs="Arial" w:eastAsia="Arial" w:hAnsi="Arial"/>
          <w:sz w:val="22"/>
          <w:szCs w:val="22"/>
          <w:color w:val="auto"/>
        </w:rPr>
      </w:pPr>
    </w:p>
    <w:p>
      <w:pPr>
        <w:ind w:firstLine="656"/>
        <w:spacing w:after="0" w:line="250" w:lineRule="auto"/>
        <w:tabs>
          <w:tab w:leader="none" w:pos="1264" w:val="left"/>
        </w:tabs>
        <w:numPr>
          <w:ilvl w:val="0"/>
          <w:numId w:val="234"/>
        </w:numPr>
        <w:rPr>
          <w:rFonts w:ascii="Arial" w:cs="Arial" w:eastAsia="Arial" w:hAnsi="Arial"/>
          <w:sz w:val="22"/>
          <w:szCs w:val="22"/>
          <w:color w:val="auto"/>
        </w:rPr>
      </w:pPr>
      <w:r>
        <w:rPr>
          <w:rFonts w:ascii="Arial" w:cs="Arial" w:eastAsia="Arial" w:hAnsi="Arial"/>
          <w:sz w:val="22"/>
          <w:szCs w:val="22"/>
          <w:color w:val="auto"/>
        </w:rPr>
        <w:t>Indebtedness representing deferred compensation to directors, officers, consultants or employees of the Borrowers and their Restricted Subsidiaries incurred in the ordinary course of business;</w:t>
      </w:r>
    </w:p>
    <w:p>
      <w:pPr>
        <w:spacing w:after="0" w:line="201" w:lineRule="exact"/>
        <w:rPr>
          <w:rFonts w:ascii="Arial" w:cs="Arial" w:eastAsia="Arial" w:hAnsi="Arial"/>
          <w:sz w:val="22"/>
          <w:szCs w:val="22"/>
          <w:color w:val="auto"/>
        </w:rPr>
      </w:pPr>
    </w:p>
    <w:p>
      <w:pPr>
        <w:jc w:val="both"/>
        <w:ind w:firstLine="656"/>
        <w:spacing w:after="0"/>
        <w:tabs>
          <w:tab w:leader="none" w:pos="1550" w:val="left"/>
        </w:tabs>
        <w:numPr>
          <w:ilvl w:val="0"/>
          <w:numId w:val="234"/>
        </w:numPr>
        <w:rPr>
          <w:rFonts w:ascii="Arial" w:cs="Arial" w:eastAsia="Arial" w:hAnsi="Arial"/>
          <w:sz w:val="22"/>
          <w:szCs w:val="22"/>
          <w:color w:val="auto"/>
        </w:rPr>
      </w:pPr>
      <w:r>
        <w:rPr>
          <w:rFonts w:ascii="Arial" w:cs="Arial" w:eastAsia="Arial" w:hAnsi="Arial"/>
          <w:sz w:val="22"/>
          <w:szCs w:val="22"/>
          <w:color w:val="auto"/>
        </w:rPr>
        <w:t xml:space="preserve">Indebtedness consisting of promissory notes issued by any Loan Party to current or former officers, directors, consultants and employees or their respective estates, spouses or former spouses to finance the purchase or redemption of Equity Interests of the Borrowers permitted by </w:t>
      </w:r>
      <w:r>
        <w:rPr>
          <w:rFonts w:ascii="Arial" w:cs="Arial" w:eastAsia="Arial" w:hAnsi="Arial"/>
          <w:sz w:val="22"/>
          <w:szCs w:val="22"/>
          <w:u w:val="single" w:color="auto"/>
          <w:color w:val="auto"/>
        </w:rPr>
        <w:t>Section 6.08</w:t>
      </w:r>
      <w:r>
        <w:rPr>
          <w:rFonts w:ascii="Arial" w:cs="Arial" w:eastAsia="Arial" w:hAnsi="Arial"/>
          <w:sz w:val="22"/>
          <w:szCs w:val="22"/>
          <w:color w:val="auto"/>
        </w:rPr>
        <w:t>; and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7" w:name="page298"/>
    <w:bookmarkEnd w:id="297"/>
    <w:p>
      <w:pPr>
        <w:jc w:val="both"/>
        <w:ind w:firstLine="656"/>
        <w:spacing w:after="0"/>
        <w:tabs>
          <w:tab w:leader="none" w:pos="1549" w:val="left"/>
        </w:tabs>
        <w:numPr>
          <w:ilvl w:val="0"/>
          <w:numId w:val="235"/>
        </w:numPr>
        <w:rPr>
          <w:rFonts w:ascii="Arial" w:cs="Arial" w:eastAsia="Arial" w:hAnsi="Arial"/>
          <w:sz w:val="22"/>
          <w:szCs w:val="22"/>
          <w:color w:val="auto"/>
        </w:rPr>
      </w:pPr>
      <w:r>
        <w:rPr>
          <w:rFonts w:ascii="Arial" w:cs="Arial" w:eastAsia="Arial" w:hAnsi="Arial"/>
          <w:sz w:val="22"/>
          <w:szCs w:val="22"/>
          <w:color w:val="auto"/>
        </w:rPr>
        <w:t>Indebtedness of Foreign Subsidiaries in an aggregate principal amount, at the time of incurrence thereof, not exceeding the greater of (i) $250,000,000 at any time outstanding and (ii) 2.50% of Consolidated Total Assets determined at the time of incurrence.</w:t>
      </w:r>
    </w:p>
    <w:p>
      <w:pPr>
        <w:spacing w:after="0" w:line="214" w:lineRule="exact"/>
        <w:rPr>
          <w:sz w:val="20"/>
          <w:szCs w:val="20"/>
          <w:color w:val="auto"/>
        </w:rPr>
      </w:pPr>
    </w:p>
    <w:p>
      <w:pPr>
        <w:ind w:right="60" w:firstLine="648"/>
        <w:spacing w:after="0" w:line="250" w:lineRule="auto"/>
        <w:rPr>
          <w:sz w:val="20"/>
          <w:szCs w:val="20"/>
          <w:color w:val="auto"/>
        </w:rPr>
      </w:pPr>
      <w:r>
        <w:rPr>
          <w:rFonts w:ascii="Arial" w:cs="Arial" w:eastAsia="Arial" w:hAnsi="Arial"/>
          <w:sz w:val="22"/>
          <w:szCs w:val="22"/>
          <w:color w:val="auto"/>
        </w:rPr>
        <w:t xml:space="preserve">SECTION 6.02. </w:t>
      </w:r>
      <w:r>
        <w:rPr>
          <w:rFonts w:ascii="Arial" w:cs="Arial" w:eastAsia="Arial" w:hAnsi="Arial"/>
          <w:sz w:val="22"/>
          <w:szCs w:val="22"/>
          <w:u w:val="single" w:color="auto"/>
          <w:color w:val="auto"/>
        </w:rPr>
        <w:t>Liens</w:t>
      </w:r>
      <w:r>
        <w:rPr>
          <w:rFonts w:ascii="Arial" w:cs="Arial" w:eastAsia="Arial" w:hAnsi="Arial"/>
          <w:sz w:val="22"/>
          <w:szCs w:val="22"/>
          <w:color w:val="auto"/>
        </w:rPr>
        <w:t>. The Borrowers will not, nor will they permit any of their Restricted Subsidiaries to, create, incur, assume or permit to exist any Lien on any asset now owned or hereafter acquired by it, except:</w:t>
      </w:r>
    </w:p>
    <w:p>
      <w:pPr>
        <w:spacing w:after="0" w:line="202" w:lineRule="exact"/>
        <w:rPr>
          <w:sz w:val="20"/>
          <w:szCs w:val="20"/>
          <w:color w:val="auto"/>
        </w:rPr>
      </w:pPr>
    </w:p>
    <w:p>
      <w:pPr>
        <w:ind w:left="1380" w:hanging="724"/>
        <w:spacing w:after="0"/>
        <w:tabs>
          <w:tab w:leader="none" w:pos="1380" w:val="left"/>
        </w:tabs>
        <w:numPr>
          <w:ilvl w:val="0"/>
          <w:numId w:val="236"/>
        </w:numPr>
        <w:rPr>
          <w:rFonts w:ascii="Arial" w:cs="Arial" w:eastAsia="Arial" w:hAnsi="Arial"/>
          <w:sz w:val="22"/>
          <w:szCs w:val="22"/>
          <w:color w:val="auto"/>
        </w:rPr>
      </w:pPr>
      <w:r>
        <w:rPr>
          <w:rFonts w:ascii="Arial" w:cs="Arial" w:eastAsia="Arial" w:hAnsi="Arial"/>
          <w:sz w:val="22"/>
          <w:szCs w:val="22"/>
          <w:color w:val="auto"/>
        </w:rPr>
        <w:t>Liens created under the Loan Documents;</w:t>
      </w:r>
    </w:p>
    <w:p>
      <w:pPr>
        <w:spacing w:after="0" w:line="233" w:lineRule="exact"/>
        <w:rPr>
          <w:rFonts w:ascii="Arial" w:cs="Arial" w:eastAsia="Arial" w:hAnsi="Arial"/>
          <w:sz w:val="22"/>
          <w:szCs w:val="22"/>
          <w:color w:val="auto"/>
        </w:rPr>
      </w:pPr>
    </w:p>
    <w:p>
      <w:pPr>
        <w:ind w:left="1400" w:hanging="744"/>
        <w:spacing w:after="0"/>
        <w:tabs>
          <w:tab w:leader="none" w:pos="1400" w:val="left"/>
        </w:tabs>
        <w:numPr>
          <w:ilvl w:val="0"/>
          <w:numId w:val="236"/>
        </w:numPr>
        <w:rPr>
          <w:rFonts w:ascii="Arial" w:cs="Arial" w:eastAsia="Arial" w:hAnsi="Arial"/>
          <w:sz w:val="22"/>
          <w:szCs w:val="22"/>
          <w:color w:val="auto"/>
        </w:rPr>
      </w:pPr>
      <w:r>
        <w:rPr>
          <w:rFonts w:ascii="Arial" w:cs="Arial" w:eastAsia="Arial" w:hAnsi="Arial"/>
          <w:sz w:val="22"/>
          <w:szCs w:val="22"/>
          <w:color w:val="auto"/>
        </w:rPr>
        <w:t>Permitted Encumbrances;</w:t>
      </w:r>
    </w:p>
    <w:p>
      <w:pPr>
        <w:spacing w:after="0" w:line="233" w:lineRule="exact"/>
        <w:rPr>
          <w:rFonts w:ascii="Arial" w:cs="Arial" w:eastAsia="Arial" w:hAnsi="Arial"/>
          <w:sz w:val="22"/>
          <w:szCs w:val="22"/>
          <w:color w:val="auto"/>
        </w:rPr>
      </w:pPr>
    </w:p>
    <w:p>
      <w:pPr>
        <w:jc w:val="both"/>
        <w:ind w:firstLine="656"/>
        <w:spacing w:after="0" w:line="277" w:lineRule="auto"/>
        <w:tabs>
          <w:tab w:leader="none" w:pos="1434" w:val="left"/>
        </w:tabs>
        <w:numPr>
          <w:ilvl w:val="0"/>
          <w:numId w:val="236"/>
        </w:numPr>
        <w:rPr>
          <w:rFonts w:ascii="Arial" w:cs="Arial" w:eastAsia="Arial" w:hAnsi="Arial"/>
          <w:sz w:val="19"/>
          <w:szCs w:val="19"/>
          <w:color w:val="auto"/>
        </w:rPr>
      </w:pPr>
      <w:r>
        <w:rPr>
          <w:rFonts w:ascii="Arial" w:cs="Arial" w:eastAsia="Arial" w:hAnsi="Arial"/>
          <w:sz w:val="19"/>
          <w:szCs w:val="19"/>
          <w:color w:val="auto"/>
        </w:rPr>
        <w:t xml:space="preserve">any Lien on any asset of the Borrowers or any Restricted Subsidiary existing on the Effective Date and set forth in </w:t>
      </w:r>
      <w:r>
        <w:rPr>
          <w:rFonts w:ascii="Arial" w:cs="Arial" w:eastAsia="Arial" w:hAnsi="Arial"/>
          <w:sz w:val="19"/>
          <w:szCs w:val="19"/>
          <w:u w:val="single" w:color="auto"/>
          <w:color w:val="auto"/>
        </w:rPr>
        <w:t>Schedule 6.02</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Lien shall not apply to any other asset of the Borrowers or any Restricted Subsidiary (other than assets financed by the same financing source in the ordinary course of business), and (ii) such Lien shall secure only those obligations that it secures on the Effective Date and extensions, renewals, replacements and refinancings thereof so long as the principal amount of such extensions, renewals, replacements and refinancings does not exceed the principal amount of the obligations being extended, renewed, replaced or refinanced or, in the case of any such obligations constituting Indebtedness, that are permitted under </w:t>
      </w:r>
      <w:r>
        <w:rPr>
          <w:rFonts w:ascii="Arial" w:cs="Arial" w:eastAsia="Arial" w:hAnsi="Arial"/>
          <w:sz w:val="19"/>
          <w:szCs w:val="19"/>
          <w:u w:val="single" w:color="auto"/>
          <w:color w:val="auto"/>
        </w:rPr>
        <w:t>Section 6.01(c)</w:t>
      </w:r>
      <w:r>
        <w:rPr>
          <w:rFonts w:ascii="Arial" w:cs="Arial" w:eastAsia="Arial" w:hAnsi="Arial"/>
          <w:sz w:val="19"/>
          <w:szCs w:val="19"/>
          <w:color w:val="auto"/>
        </w:rPr>
        <w:t xml:space="preserve"> as Refinancing Indebtedness in respect thereof;</w:t>
      </w:r>
    </w:p>
    <w:p>
      <w:pPr>
        <w:spacing w:after="0" w:line="178" w:lineRule="exact"/>
        <w:rPr>
          <w:rFonts w:ascii="Arial" w:cs="Arial" w:eastAsia="Arial" w:hAnsi="Arial"/>
          <w:sz w:val="19"/>
          <w:szCs w:val="19"/>
          <w:color w:val="auto"/>
        </w:rPr>
      </w:pPr>
    </w:p>
    <w:p>
      <w:pPr>
        <w:jc w:val="both"/>
        <w:ind w:firstLine="656"/>
        <w:spacing w:after="0" w:line="272" w:lineRule="auto"/>
        <w:tabs>
          <w:tab w:leader="none" w:pos="1427" w:val="left"/>
        </w:tabs>
        <w:numPr>
          <w:ilvl w:val="0"/>
          <w:numId w:val="236"/>
        </w:numPr>
        <w:rPr>
          <w:rFonts w:ascii="Arial" w:cs="Arial" w:eastAsia="Arial" w:hAnsi="Arial"/>
          <w:sz w:val="19"/>
          <w:szCs w:val="19"/>
          <w:color w:val="auto"/>
        </w:rPr>
      </w:pPr>
      <w:r>
        <w:rPr>
          <w:rFonts w:ascii="Arial" w:cs="Arial" w:eastAsia="Arial" w:hAnsi="Arial"/>
          <w:sz w:val="19"/>
          <w:szCs w:val="19"/>
          <w:color w:val="auto"/>
        </w:rPr>
        <w:t xml:space="preserve">any Lien existing on any asset prior to the acquisition thereof by the Borrowers or any Restricted Subsidiary or existing on any asset of any Person that becomes a Restricted Subsidiary (or of any Person not previously a Restricted Subsidiary that is merged or consolidated with or into the Borrowers or a Restricted Subsidiary in a transaction permitted hereunder) after the Effective Date but prior to the time such Person becomes a Restricted Subsidiary (or is so merged or consolidated);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Lien is not created in contemplation of or in connection with such acquisition or such Person becoming a Restricted Subsidiary (or such merger or consolidation), (ii) such Lien shall not apply to any other asset of the Borrowers or any Restricted Subsidiary (other than (x) assets financed by the same financing source in the ordinary course of business and (y) in the case of any such merger or consolidation, the assets of any special purpose merger Subsidiary that is a party thereto) and (iii) such Lien shall secure only those obligations that it secures on the date of such acquisition or the date such Person becomes a Restricted Subsidiary (or is so merged or consolidated) and extensions, renewals, replacements and refinancings thereof so long as the principal amount of such extensions, renewals and replacements does not exceed the principal amount of the obligations being extended, renewed or replaced or, in the case of any such obligations constituting Indebtedness, that are permitted under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6.01(g)</w:t>
      </w:r>
      <w:r>
        <w:rPr>
          <w:rFonts w:ascii="Arial" w:cs="Arial" w:eastAsia="Arial" w:hAnsi="Arial"/>
          <w:sz w:val="19"/>
          <w:szCs w:val="19"/>
          <w:color w:val="auto"/>
        </w:rPr>
        <w:t xml:space="preserve"> as Refinancing Indebtedness in respect thereof;</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8" w:name="page299"/>
    <w:bookmarkEnd w:id="298"/>
    <w:p>
      <w:pPr>
        <w:jc w:val="both"/>
        <w:ind w:firstLine="656"/>
        <w:spacing w:after="0" w:line="273" w:lineRule="auto"/>
        <w:tabs>
          <w:tab w:leader="none" w:pos="1445" w:val="left"/>
        </w:tabs>
        <w:numPr>
          <w:ilvl w:val="0"/>
          <w:numId w:val="237"/>
        </w:numPr>
        <w:rPr>
          <w:rFonts w:ascii="Arial" w:cs="Arial" w:eastAsia="Arial" w:hAnsi="Arial"/>
          <w:sz w:val="19"/>
          <w:szCs w:val="19"/>
          <w:color w:val="auto"/>
        </w:rPr>
      </w:pPr>
      <w:r>
        <w:rPr>
          <w:rFonts w:ascii="Arial" w:cs="Arial" w:eastAsia="Arial" w:hAnsi="Arial"/>
          <w:sz w:val="19"/>
          <w:szCs w:val="19"/>
          <w:color w:val="auto"/>
        </w:rPr>
        <w:t xml:space="preserve">Liens on fixed or capital assets acquired, constructed, repaired, replaced or improved (including any such assets made the subject of a Capital Lease Obligation incurred) by the Borrowers or any Restricted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Liens secure Indebtedness incurred to finance such acquisition, construction, repair, replacement or improvement and permitted by </w:t>
      </w:r>
      <w:r>
        <w:rPr>
          <w:rFonts w:ascii="Arial" w:cs="Arial" w:eastAsia="Arial" w:hAnsi="Arial"/>
          <w:sz w:val="19"/>
          <w:szCs w:val="19"/>
          <w:u w:val="single" w:color="auto"/>
          <w:color w:val="auto"/>
        </w:rPr>
        <w:t>Section 6.01(f)(i)</w:t>
      </w:r>
      <w:r>
        <w:rPr>
          <w:rFonts w:ascii="Arial" w:cs="Arial" w:eastAsia="Arial" w:hAnsi="Arial"/>
          <w:sz w:val="19"/>
          <w:szCs w:val="19"/>
          <w:color w:val="auto"/>
        </w:rPr>
        <w:t xml:space="preserve"> or any Refinancing Indebtedness in respect thereof permitted by </w:t>
      </w:r>
      <w:r>
        <w:rPr>
          <w:rFonts w:ascii="Arial" w:cs="Arial" w:eastAsia="Arial" w:hAnsi="Arial"/>
          <w:sz w:val="19"/>
          <w:szCs w:val="19"/>
          <w:u w:val="single" w:color="auto"/>
          <w:color w:val="auto"/>
        </w:rPr>
        <w:t>Section 6.01(f)(ii)</w:t>
      </w:r>
      <w:r>
        <w:rPr>
          <w:rFonts w:ascii="Arial" w:cs="Arial" w:eastAsia="Arial" w:hAnsi="Arial"/>
          <w:sz w:val="19"/>
          <w:szCs w:val="19"/>
          <w:color w:val="auto"/>
        </w:rPr>
        <w:t>, (ii) such Liens and the Indebtedness secured thereby are incurred prior to or within 270 days after such acquisition or the completion of such construction, repair, replacement or improvement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shall not apply to any Refinancing Indebtedness permitted by </w:t>
      </w:r>
      <w:r>
        <w:rPr>
          <w:rFonts w:ascii="Arial" w:cs="Arial" w:eastAsia="Arial" w:hAnsi="Arial"/>
          <w:sz w:val="19"/>
          <w:szCs w:val="19"/>
          <w:u w:val="single" w:color="auto"/>
          <w:color w:val="auto"/>
        </w:rPr>
        <w:t>Section 6.01(f)(ii)</w:t>
      </w:r>
      <w:r>
        <w:rPr>
          <w:rFonts w:ascii="Arial" w:cs="Arial" w:eastAsia="Arial" w:hAnsi="Arial"/>
          <w:sz w:val="19"/>
          <w:szCs w:val="19"/>
          <w:color w:val="auto"/>
        </w:rPr>
        <w:t xml:space="preserve"> or any Lien securing such Refinancing Indebtedness), (iii) the Indebtedness secured thereby does not exceed the cost of acquiring, constructing, repairing, replacing or improving such fixed or capital asset and in any event, the aggregate principal amount of such Indebtedness does not exceed the amount permitted under the second proviso of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6.01(f)</w:t>
      </w:r>
      <w:r>
        <w:rPr>
          <w:rFonts w:ascii="Arial" w:cs="Arial" w:eastAsia="Arial" w:hAnsi="Arial"/>
          <w:sz w:val="19"/>
          <w:szCs w:val="19"/>
          <w:color w:val="auto"/>
        </w:rPr>
        <w:t xml:space="preserve"> and (iv) such Liens shall not apply to any other property or assets of the Borrowers or any Restricted Subsidiary (except assets financed by the same financing source in the ordinary course of business);</w:t>
      </w:r>
    </w:p>
    <w:p>
      <w:pPr>
        <w:spacing w:after="0" w:line="182" w:lineRule="exact"/>
        <w:rPr>
          <w:rFonts w:ascii="Arial" w:cs="Arial" w:eastAsia="Arial" w:hAnsi="Arial"/>
          <w:sz w:val="19"/>
          <w:szCs w:val="19"/>
          <w:color w:val="auto"/>
        </w:rPr>
      </w:pPr>
    </w:p>
    <w:p>
      <w:pPr>
        <w:jc w:val="both"/>
        <w:ind w:firstLine="656"/>
        <w:spacing w:after="0"/>
        <w:tabs>
          <w:tab w:leader="none" w:pos="1568" w:val="left"/>
        </w:tabs>
        <w:numPr>
          <w:ilvl w:val="0"/>
          <w:numId w:val="237"/>
        </w:numPr>
        <w:rPr>
          <w:rFonts w:ascii="Arial" w:cs="Arial" w:eastAsia="Arial" w:hAnsi="Arial"/>
          <w:sz w:val="22"/>
          <w:szCs w:val="22"/>
          <w:color w:val="auto"/>
        </w:rPr>
      </w:pPr>
      <w:r>
        <w:rPr>
          <w:rFonts w:ascii="Arial" w:cs="Arial" w:eastAsia="Arial" w:hAnsi="Arial"/>
          <w:sz w:val="22"/>
          <w:szCs w:val="22"/>
          <w:color w:val="auto"/>
        </w:rPr>
        <w:t xml:space="preserve">in connection with the sale or transfer of any Equity Interests or other assets in a transaction permitted under </w:t>
      </w:r>
      <w:r>
        <w:rPr>
          <w:rFonts w:ascii="Arial" w:cs="Arial" w:eastAsia="Arial" w:hAnsi="Arial"/>
          <w:sz w:val="22"/>
          <w:szCs w:val="22"/>
          <w:u w:val="single" w:color="auto"/>
          <w:color w:val="auto"/>
        </w:rPr>
        <w:t>Section 6.05</w:t>
      </w:r>
      <w:r>
        <w:rPr>
          <w:rFonts w:ascii="Arial" w:cs="Arial" w:eastAsia="Arial" w:hAnsi="Arial"/>
          <w:sz w:val="22"/>
          <w:szCs w:val="22"/>
          <w:color w:val="auto"/>
        </w:rPr>
        <w:t>, customary rights and restrictions contained in agreements relating to such sale or transfer pending the completion thereof;</w:t>
      </w:r>
    </w:p>
    <w:p>
      <w:pPr>
        <w:spacing w:after="0" w:line="213" w:lineRule="exact"/>
        <w:rPr>
          <w:rFonts w:ascii="Arial" w:cs="Arial" w:eastAsia="Arial" w:hAnsi="Arial"/>
          <w:sz w:val="22"/>
          <w:szCs w:val="22"/>
          <w:color w:val="auto"/>
        </w:rPr>
      </w:pPr>
    </w:p>
    <w:p>
      <w:pPr>
        <w:jc w:val="both"/>
        <w:ind w:firstLine="656"/>
        <w:spacing w:after="0" w:line="287" w:lineRule="auto"/>
        <w:tabs>
          <w:tab w:leader="none" w:pos="1491" w:val="left"/>
        </w:tabs>
        <w:numPr>
          <w:ilvl w:val="0"/>
          <w:numId w:val="237"/>
        </w:numPr>
        <w:rPr>
          <w:rFonts w:ascii="Arial" w:cs="Arial" w:eastAsia="Arial" w:hAnsi="Arial"/>
          <w:sz w:val="19"/>
          <w:szCs w:val="19"/>
          <w:color w:val="auto"/>
        </w:rPr>
      </w:pPr>
      <w:r>
        <w:rPr>
          <w:rFonts w:ascii="Arial" w:cs="Arial" w:eastAsia="Arial" w:hAnsi="Arial"/>
          <w:sz w:val="19"/>
          <w:szCs w:val="19"/>
          <w:color w:val="auto"/>
        </w:rPr>
        <w:t>in the case of (i) any Restricted Subsidiary that is not a wholly owned Subsidiary or (ii) the Equity Interests in any Person that is not a Restricted Subsidiary, any encumbrance or restriction, including any put and call arrangements, related to Equity Interests in such Restricted Subsidiary or such other Person set forth in the organizational documents of such Restricted Subsidiary or such other Person or any related joint venture, shareholders’ or similar agreement;</w:t>
      </w:r>
    </w:p>
    <w:p>
      <w:pPr>
        <w:spacing w:after="0" w:line="169" w:lineRule="exact"/>
        <w:rPr>
          <w:rFonts w:ascii="Arial" w:cs="Arial" w:eastAsia="Arial" w:hAnsi="Arial"/>
          <w:sz w:val="19"/>
          <w:szCs w:val="19"/>
          <w:color w:val="auto"/>
        </w:rPr>
      </w:pPr>
    </w:p>
    <w:p>
      <w:pPr>
        <w:jc w:val="both"/>
        <w:ind w:firstLine="656"/>
        <w:spacing w:after="0"/>
        <w:tabs>
          <w:tab w:leader="none" w:pos="1573" w:val="left"/>
        </w:tabs>
        <w:numPr>
          <w:ilvl w:val="0"/>
          <w:numId w:val="237"/>
        </w:numPr>
        <w:rPr>
          <w:rFonts w:ascii="Arial" w:cs="Arial" w:eastAsia="Arial" w:hAnsi="Arial"/>
          <w:sz w:val="22"/>
          <w:szCs w:val="22"/>
          <w:color w:val="auto"/>
        </w:rPr>
      </w:pPr>
      <w:r>
        <w:rPr>
          <w:rFonts w:ascii="Arial" w:cs="Arial" w:eastAsia="Arial" w:hAnsi="Arial"/>
          <w:sz w:val="22"/>
          <w:szCs w:val="22"/>
          <w:color w:val="auto"/>
        </w:rPr>
        <w:t>Liens solely on any cash earnest money deposits, escrow arrangements or similar arrangements made by the Borrowers or any Restricted Subsidiary in connection with any letter of intent or purchase agreement for an acquisition or other transaction permitted hereunder;</w:t>
      </w:r>
    </w:p>
    <w:p>
      <w:pPr>
        <w:spacing w:after="0" w:line="213" w:lineRule="exact"/>
        <w:rPr>
          <w:rFonts w:ascii="Arial" w:cs="Arial" w:eastAsia="Arial" w:hAnsi="Arial"/>
          <w:sz w:val="22"/>
          <w:szCs w:val="22"/>
          <w:color w:val="auto"/>
        </w:rPr>
      </w:pPr>
    </w:p>
    <w:p>
      <w:pPr>
        <w:ind w:firstLine="656"/>
        <w:spacing w:after="0" w:line="250" w:lineRule="auto"/>
        <w:tabs>
          <w:tab w:leader="none" w:pos="1505" w:val="left"/>
        </w:tabs>
        <w:numPr>
          <w:ilvl w:val="0"/>
          <w:numId w:val="237"/>
        </w:numPr>
        <w:rPr>
          <w:rFonts w:ascii="Arial" w:cs="Arial" w:eastAsia="Arial" w:hAnsi="Arial"/>
          <w:sz w:val="22"/>
          <w:szCs w:val="22"/>
          <w:color w:val="auto"/>
        </w:rPr>
      </w:pPr>
      <w:r>
        <w:rPr>
          <w:rFonts w:ascii="Arial" w:cs="Arial" w:eastAsia="Arial" w:hAnsi="Arial"/>
          <w:sz w:val="22"/>
          <w:szCs w:val="22"/>
          <w:color w:val="auto"/>
        </w:rPr>
        <w:t>Liens securing Indebtedness under Secured Bilateral Facilities in an amount not to exceed $500,000,000 in the aggregate at any time;</w:t>
      </w:r>
    </w:p>
    <w:p>
      <w:pPr>
        <w:spacing w:after="0" w:line="201" w:lineRule="exact"/>
        <w:rPr>
          <w:rFonts w:ascii="Arial" w:cs="Arial" w:eastAsia="Arial" w:hAnsi="Arial"/>
          <w:sz w:val="22"/>
          <w:szCs w:val="22"/>
          <w:color w:val="auto"/>
        </w:rPr>
      </w:pPr>
    </w:p>
    <w:p>
      <w:pPr>
        <w:ind w:left="1400" w:hanging="744"/>
        <w:spacing w:after="0"/>
        <w:tabs>
          <w:tab w:leader="none" w:pos="1400" w:val="left"/>
        </w:tabs>
        <w:numPr>
          <w:ilvl w:val="0"/>
          <w:numId w:val="237"/>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ind w:firstLine="656"/>
        <w:spacing w:after="0" w:line="250" w:lineRule="auto"/>
        <w:tabs>
          <w:tab w:leader="none" w:pos="1529" w:val="left"/>
        </w:tabs>
        <w:numPr>
          <w:ilvl w:val="0"/>
          <w:numId w:val="237"/>
        </w:numPr>
        <w:rPr>
          <w:rFonts w:ascii="Arial" w:cs="Arial" w:eastAsia="Arial" w:hAnsi="Arial"/>
          <w:sz w:val="22"/>
          <w:szCs w:val="22"/>
          <w:color w:val="auto"/>
        </w:rPr>
      </w:pPr>
      <w:r>
        <w:rPr>
          <w:rFonts w:ascii="Arial" w:cs="Arial" w:eastAsia="Arial" w:hAnsi="Arial"/>
          <w:sz w:val="22"/>
          <w:szCs w:val="22"/>
          <w:color w:val="auto"/>
        </w:rPr>
        <w:t>Liens arising under the Dutch General Banking Conditions (</w:t>
      </w:r>
      <w:r>
        <w:rPr>
          <w:rFonts w:ascii="Arial" w:cs="Arial" w:eastAsia="Arial" w:hAnsi="Arial"/>
          <w:sz w:val="22"/>
          <w:szCs w:val="22"/>
          <w:i w:val="1"/>
          <w:iCs w:val="1"/>
          <w:color w:val="auto"/>
        </w:rPr>
        <w:t>Algemene Bankvoorwaarden</w:t>
      </w:r>
      <w:r>
        <w:rPr>
          <w:rFonts w:ascii="Arial" w:cs="Arial" w:eastAsia="Arial" w:hAnsi="Arial"/>
          <w:sz w:val="22"/>
          <w:szCs w:val="22"/>
          <w:color w:val="auto"/>
        </w:rPr>
        <w:t>) or any similar term applied by a financial institution in the Netherlands pursuant to its general terms and conditions; and</w:t>
      </w:r>
    </w:p>
    <w:p>
      <w:pPr>
        <w:spacing w:after="0" w:line="201" w:lineRule="exact"/>
        <w:rPr>
          <w:rFonts w:ascii="Arial" w:cs="Arial" w:eastAsia="Arial" w:hAnsi="Arial"/>
          <w:sz w:val="22"/>
          <w:szCs w:val="22"/>
          <w:color w:val="auto"/>
        </w:rPr>
      </w:pPr>
    </w:p>
    <w:p>
      <w:pPr>
        <w:jc w:val="both"/>
        <w:ind w:firstLine="656"/>
        <w:spacing w:after="0" w:line="238" w:lineRule="auto"/>
        <w:tabs>
          <w:tab w:leader="none" w:pos="1392" w:val="left"/>
        </w:tabs>
        <w:numPr>
          <w:ilvl w:val="0"/>
          <w:numId w:val="237"/>
        </w:numPr>
        <w:rPr>
          <w:rFonts w:ascii="Arial" w:cs="Arial" w:eastAsia="Arial" w:hAnsi="Arial"/>
          <w:sz w:val="22"/>
          <w:szCs w:val="22"/>
          <w:color w:val="auto"/>
        </w:rPr>
      </w:pPr>
      <w:r>
        <w:rPr>
          <w:rFonts w:ascii="Arial" w:cs="Arial" w:eastAsia="Arial" w:hAnsi="Arial"/>
          <w:sz w:val="22"/>
          <w:szCs w:val="22"/>
          <w:color w:val="auto"/>
        </w:rPr>
        <w:t xml:space="preserve">Liens not otherwise permitted by this Section to the extent that such Liens are not </w:t>
      </w:r>
      <w:r>
        <w:rPr>
          <w:rFonts w:ascii="Arial" w:cs="Arial" w:eastAsia="Arial" w:hAnsi="Arial"/>
          <w:sz w:val="22"/>
          <w:szCs w:val="22"/>
          <w:i w:val="1"/>
          <w:iCs w:val="1"/>
          <w:color w:val="auto"/>
        </w:rPr>
        <w:t>pari passu</w:t>
      </w:r>
      <w:r>
        <w:rPr>
          <w:rFonts w:ascii="Arial" w:cs="Arial" w:eastAsia="Arial" w:hAnsi="Arial"/>
          <w:sz w:val="22"/>
          <w:szCs w:val="22"/>
          <w:color w:val="auto"/>
        </w:rPr>
        <w:t xml:space="preserve"> with the Obligations or otherwise do not encumber any Collateral;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aggregate outstanding principal amount of the obligations secured thereby, at the time of incurrence thereof, does not exceed the greater of (i) $150,000,000 and (ii) 1.50% of Consolidated Total Assets determined at the time of incurrence.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9" w:name="page300"/>
    <w:bookmarkEnd w:id="299"/>
    <w:p>
      <w:pPr>
        <w:ind w:left="660"/>
        <w:spacing w:after="0"/>
        <w:rPr>
          <w:sz w:val="20"/>
          <w:szCs w:val="20"/>
          <w:color w:val="auto"/>
        </w:rPr>
      </w:pPr>
      <w:r>
        <w:rPr>
          <w:rFonts w:ascii="Arial" w:cs="Arial" w:eastAsia="Arial" w:hAnsi="Arial"/>
          <w:sz w:val="22"/>
          <w:szCs w:val="22"/>
          <w:color w:val="auto"/>
        </w:rPr>
        <w:t xml:space="preserve">SECTION 6.03. </w:t>
      </w:r>
      <w:r>
        <w:rPr>
          <w:rFonts w:ascii="Arial" w:cs="Arial" w:eastAsia="Arial" w:hAnsi="Arial"/>
          <w:sz w:val="22"/>
          <w:szCs w:val="22"/>
          <w:u w:val="single" w:color="auto"/>
          <w:color w:val="auto"/>
        </w:rPr>
        <w:t>Fundamental Changes</w:t>
      </w:r>
    </w:p>
    <w:p>
      <w:pPr>
        <w:spacing w:after="0" w:line="234" w:lineRule="exact"/>
        <w:rPr>
          <w:sz w:val="20"/>
          <w:szCs w:val="20"/>
          <w:color w:val="auto"/>
        </w:rPr>
      </w:pPr>
    </w:p>
    <w:p>
      <w:pPr>
        <w:jc w:val="both"/>
        <w:ind w:firstLine="656"/>
        <w:spacing w:after="0" w:line="273" w:lineRule="auto"/>
        <w:tabs>
          <w:tab w:leader="none" w:pos="1505" w:val="left"/>
        </w:tabs>
        <w:numPr>
          <w:ilvl w:val="0"/>
          <w:numId w:val="238"/>
        </w:numPr>
        <w:rPr>
          <w:rFonts w:ascii="Arial" w:cs="Arial" w:eastAsia="Arial" w:hAnsi="Arial"/>
          <w:sz w:val="19"/>
          <w:szCs w:val="19"/>
          <w:color w:val="auto"/>
        </w:rPr>
      </w:pPr>
      <w:r>
        <w:rPr>
          <w:rFonts w:ascii="Arial" w:cs="Arial" w:eastAsia="Arial" w:hAnsi="Arial"/>
          <w:sz w:val="19"/>
          <w:szCs w:val="19"/>
          <w:color w:val="auto"/>
        </w:rPr>
        <w:t xml:space="preserve">The Borrowers will not, nor will they permit any of their Restricted Subsidiaries to, merge into or consolidate with any other Person, or permit any other Person to merge into or consolidate with it, or liquidate or dissolve, except that, (i) any Person may merge into or consolidate with the Company in a transaction in which the Company is the surviving entity; (ii) any Person (other than the Company) may merge into or consolidate with any Restricted Subsidiary in a transaction in which the surviving entity is a Restricted Subsidiary and, if any party to such merger or consolidation is a Guarantor, is a Guarantor;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transaction involves the U.S. Borrower, the U.S. Borrower shall be the surviving entity; and (iii) any Restricted Subsidiary other than the U.S. Borrower may liquidate or dissolve if the Company determines in good faith that such liquidation or dissolution is in the best interests of the Borrowers and is not materially disadvantageous to the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merger or consolidation involving a Person that is not a wholly owned Restricted Subsidiary immediately prior to such merger or consolidation shall not be permitted unless (x) at the time thereof and immediately after giving effect thereto no Event of Default shall have occurred and be continuing, and (y) such merger or consolidation is also permitted by </w:t>
      </w:r>
      <w:r>
        <w:rPr>
          <w:rFonts w:ascii="Arial" w:cs="Arial" w:eastAsia="Arial" w:hAnsi="Arial"/>
          <w:sz w:val="19"/>
          <w:szCs w:val="19"/>
          <w:u w:val="single" w:color="auto"/>
          <w:color w:val="auto"/>
        </w:rPr>
        <w:t>Section 6.04</w:t>
      </w:r>
      <w:r>
        <w:rPr>
          <w:rFonts w:ascii="Arial" w:cs="Arial" w:eastAsia="Arial" w:hAnsi="Arial"/>
          <w:sz w:val="19"/>
          <w:szCs w:val="19"/>
          <w:color w:val="auto"/>
        </w:rPr>
        <w:t>.</w:t>
      </w:r>
    </w:p>
    <w:p>
      <w:pPr>
        <w:spacing w:after="0" w:line="182" w:lineRule="exact"/>
        <w:rPr>
          <w:rFonts w:ascii="Arial" w:cs="Arial" w:eastAsia="Arial" w:hAnsi="Arial"/>
          <w:sz w:val="19"/>
          <w:szCs w:val="19"/>
          <w:color w:val="auto"/>
        </w:rPr>
      </w:pPr>
    </w:p>
    <w:p>
      <w:pPr>
        <w:ind w:firstLine="656"/>
        <w:spacing w:after="0" w:line="250" w:lineRule="auto"/>
        <w:tabs>
          <w:tab w:leader="none" w:pos="1427" w:val="left"/>
        </w:tabs>
        <w:numPr>
          <w:ilvl w:val="0"/>
          <w:numId w:val="238"/>
        </w:numPr>
        <w:rPr>
          <w:rFonts w:ascii="Arial" w:cs="Arial" w:eastAsia="Arial" w:hAnsi="Arial"/>
          <w:sz w:val="22"/>
          <w:szCs w:val="22"/>
          <w:color w:val="auto"/>
        </w:rPr>
      </w:pPr>
      <w:r>
        <w:rPr>
          <w:rFonts w:ascii="Arial" w:cs="Arial" w:eastAsia="Arial" w:hAnsi="Arial"/>
          <w:sz w:val="22"/>
          <w:szCs w:val="22"/>
          <w:color w:val="auto"/>
        </w:rPr>
        <w:t>The Borrowers will not, nor will they permit any Restricted Subsidiary to, engage to any material extent in any business other than a Permitted Business.</w:t>
      </w:r>
    </w:p>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 xml:space="preserve">SECTION 6.04. </w:t>
      </w:r>
      <w:r>
        <w:rPr>
          <w:rFonts w:ascii="Arial" w:cs="Arial" w:eastAsia="Arial" w:hAnsi="Arial"/>
          <w:sz w:val="19"/>
          <w:szCs w:val="19"/>
          <w:u w:val="single" w:color="auto"/>
          <w:color w:val="auto"/>
        </w:rPr>
        <w:t>Investments, Loans, Advances, Guarantees and Acquisitions</w:t>
      </w:r>
      <w:r>
        <w:rPr>
          <w:rFonts w:ascii="Arial" w:cs="Arial" w:eastAsia="Arial" w:hAnsi="Arial"/>
          <w:sz w:val="19"/>
          <w:szCs w:val="19"/>
          <w:color w:val="auto"/>
        </w:rPr>
        <w:t>. The Borrowers will not, nor will they permit any of their Restricted Subsidiaries to, purchase, hold or acquire (including pursuant to any merger or consolidation with any Person that was not a wholly owned Restricted Subsidiary prior to such merger or consolidation) any Equity Interests in or evidences of Indebtedness or other securities (including any option, warrant or other right to acquire any of the foregoing) of, make or permit to exist any loans or advances to, Guarantee any obligations of, or make or permit to exist any investment in, any other Person, or purchase or otherwise acquire (in one transaction or a series of transactions) any assets of any other Person constituting a business unit (each of the foregoing, an “</w:t>
      </w:r>
      <w:r>
        <w:rPr>
          <w:rFonts w:ascii="Arial" w:cs="Arial" w:eastAsia="Arial" w:hAnsi="Arial"/>
          <w:sz w:val="19"/>
          <w:szCs w:val="19"/>
          <w:u w:val="single" w:color="auto"/>
          <w:color w:val="auto"/>
        </w:rPr>
        <w:t>Investment</w:t>
      </w:r>
      <w:r>
        <w:rPr>
          <w:rFonts w:ascii="Arial" w:cs="Arial" w:eastAsia="Arial" w:hAnsi="Arial"/>
          <w:sz w:val="19"/>
          <w:szCs w:val="19"/>
          <w:color w:val="auto"/>
        </w:rPr>
        <w:t>”), except:</w:t>
      </w:r>
    </w:p>
    <w:p>
      <w:pPr>
        <w:spacing w:after="0" w:line="179" w:lineRule="exact"/>
        <w:rPr>
          <w:sz w:val="20"/>
          <w:szCs w:val="20"/>
          <w:color w:val="auto"/>
        </w:rPr>
      </w:pPr>
    </w:p>
    <w:p>
      <w:pPr>
        <w:ind w:left="1440" w:hanging="784"/>
        <w:spacing w:after="0"/>
        <w:tabs>
          <w:tab w:leader="none" w:pos="1440" w:val="left"/>
        </w:tabs>
        <w:numPr>
          <w:ilvl w:val="0"/>
          <w:numId w:val="239"/>
        </w:numPr>
        <w:rPr>
          <w:rFonts w:ascii="Arial" w:cs="Arial" w:eastAsia="Arial" w:hAnsi="Arial"/>
          <w:sz w:val="22"/>
          <w:szCs w:val="22"/>
          <w:color w:val="auto"/>
        </w:rPr>
      </w:pPr>
      <w:r>
        <w:rPr>
          <w:rFonts w:ascii="Arial" w:cs="Arial" w:eastAsia="Arial" w:hAnsi="Arial"/>
          <w:sz w:val="22"/>
          <w:szCs w:val="22"/>
          <w:color w:val="auto"/>
        </w:rPr>
        <w:t>Permitted Investments;</w:t>
      </w:r>
    </w:p>
    <w:p>
      <w:pPr>
        <w:spacing w:after="0" w:line="233" w:lineRule="exact"/>
        <w:rPr>
          <w:rFonts w:ascii="Arial" w:cs="Arial" w:eastAsia="Arial" w:hAnsi="Arial"/>
          <w:sz w:val="22"/>
          <w:szCs w:val="22"/>
          <w:color w:val="auto"/>
        </w:rPr>
      </w:pPr>
    </w:p>
    <w:p>
      <w:pPr>
        <w:jc w:val="both"/>
        <w:ind w:firstLine="656"/>
        <w:spacing w:after="0" w:line="274" w:lineRule="auto"/>
        <w:tabs>
          <w:tab w:leader="none" w:pos="1472" w:val="left"/>
        </w:tabs>
        <w:numPr>
          <w:ilvl w:val="0"/>
          <w:numId w:val="239"/>
        </w:numPr>
        <w:rPr>
          <w:rFonts w:ascii="Arial" w:cs="Arial" w:eastAsia="Arial" w:hAnsi="Arial"/>
          <w:sz w:val="19"/>
          <w:szCs w:val="19"/>
          <w:color w:val="auto"/>
        </w:rPr>
      </w:pPr>
      <w:r>
        <w:rPr>
          <w:rFonts w:ascii="Arial" w:cs="Arial" w:eastAsia="Arial" w:hAnsi="Arial"/>
          <w:sz w:val="19"/>
          <w:szCs w:val="19"/>
          <w:color w:val="auto"/>
        </w:rPr>
        <w:t xml:space="preserve">Investments constituting the purchase or other acquisition (in one transaction or a series of related transactions) of all or substantially all of the property and assets or business of any Person or of assets constituting a business unit, a line of business or division of such Person, or the Equity Interests in a Person that, upon the consummation thereof, will be a Restricted Subsidiary if, after giving effect thereto on a Pro Forma Basis, the Borrowers would be in compliance with the Financial Covenants;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amount of cash consideration paid in respect of such Investments (including in the form of loans or advances made to Restricted Subsidiaries that are not Loan Parties) by Loan Parties involving the acquisition of Restricted Subsidiaries that do not become Loan Parties (together with Investments permitted under subclause (ii) of clause (e) of this Section) shall not exceed, at the time such Investment is made and after giving effect thereto, the greater of (A) $50,000,000 and (B) 0.50% of Consolidated Total Assets determined at the time of investment;</w:t>
      </w:r>
    </w:p>
    <w:p>
      <w:pPr>
        <w:spacing w:after="0" w:line="185" w:lineRule="exact"/>
        <w:rPr>
          <w:rFonts w:ascii="Arial" w:cs="Arial" w:eastAsia="Arial" w:hAnsi="Arial"/>
          <w:sz w:val="19"/>
          <w:szCs w:val="19"/>
          <w:color w:val="auto"/>
        </w:rPr>
      </w:pPr>
    </w:p>
    <w:p>
      <w:pPr>
        <w:ind w:left="1440" w:hanging="784"/>
        <w:spacing w:after="0"/>
        <w:tabs>
          <w:tab w:leader="none" w:pos="1440" w:val="left"/>
        </w:tabs>
        <w:numPr>
          <w:ilvl w:val="0"/>
          <w:numId w:val="239"/>
        </w:numPr>
        <w:rPr>
          <w:rFonts w:ascii="Arial" w:cs="Arial" w:eastAsia="Arial" w:hAnsi="Arial"/>
          <w:sz w:val="22"/>
          <w:szCs w:val="22"/>
          <w:color w:val="auto"/>
        </w:rPr>
      </w:pPr>
      <w:r>
        <w:rPr>
          <w:rFonts w:ascii="Arial" w:cs="Arial" w:eastAsia="Arial" w:hAnsi="Arial"/>
          <w:sz w:val="22"/>
          <w:szCs w:val="22"/>
          <w:color w:val="auto"/>
        </w:rPr>
        <w:t>cash and cash equivalents;</w:t>
      </w:r>
    </w:p>
    <w:p>
      <w:pPr>
        <w:spacing w:after="0" w:line="233" w:lineRule="exact"/>
        <w:rPr>
          <w:rFonts w:ascii="Arial" w:cs="Arial" w:eastAsia="Arial" w:hAnsi="Arial"/>
          <w:sz w:val="22"/>
          <w:szCs w:val="22"/>
          <w:color w:val="auto"/>
        </w:rPr>
      </w:pPr>
    </w:p>
    <w:p>
      <w:pPr>
        <w:ind w:right="20" w:firstLine="656"/>
        <w:spacing w:after="0" w:line="328" w:lineRule="auto"/>
        <w:tabs>
          <w:tab w:leader="none" w:pos="1406" w:val="left"/>
        </w:tabs>
        <w:numPr>
          <w:ilvl w:val="0"/>
          <w:numId w:val="239"/>
        </w:numPr>
        <w:rPr>
          <w:rFonts w:ascii="Arial" w:cs="Arial" w:eastAsia="Arial" w:hAnsi="Arial"/>
          <w:sz w:val="19"/>
          <w:szCs w:val="19"/>
          <w:color w:val="auto"/>
        </w:rPr>
      </w:pPr>
      <w:r>
        <w:rPr>
          <w:rFonts w:ascii="Arial" w:cs="Arial" w:eastAsia="Arial" w:hAnsi="Arial"/>
          <w:sz w:val="19"/>
          <w:szCs w:val="19"/>
          <w:color w:val="auto"/>
        </w:rPr>
        <w:t xml:space="preserve">(i) Investments (including intercompany loans and advances) existing on the Effective Date in the Borrowers and the Restricted Subsidiaries and (ii) other Investments existing on the Effective Date and set forth on </w:t>
      </w:r>
      <w:r>
        <w:rPr>
          <w:rFonts w:ascii="Arial" w:cs="Arial" w:eastAsia="Arial" w:hAnsi="Arial"/>
          <w:sz w:val="19"/>
          <w:szCs w:val="19"/>
          <w:u w:val="single" w:color="auto"/>
          <w:color w:val="auto"/>
        </w:rPr>
        <w:t>Schedule 6.04</w:t>
      </w:r>
      <w:r>
        <w:rPr>
          <w:rFonts w:ascii="Arial" w:cs="Arial" w:eastAsia="Arial" w:hAnsi="Arial"/>
          <w:sz w:val="19"/>
          <w:szCs w:val="19"/>
          <w:color w:val="auto"/>
        </w:rPr>
        <w:t>;</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0" w:name="page301"/>
    <w:bookmarkEnd w:id="300"/>
    <w:p>
      <w:pPr>
        <w:jc w:val="both"/>
        <w:ind w:firstLine="656"/>
        <w:spacing w:after="0" w:line="246" w:lineRule="auto"/>
        <w:tabs>
          <w:tab w:leader="none" w:pos="1517" w:val="left"/>
        </w:tabs>
        <w:numPr>
          <w:ilvl w:val="0"/>
          <w:numId w:val="240"/>
        </w:numPr>
        <w:rPr>
          <w:rFonts w:ascii="Arial" w:cs="Arial" w:eastAsia="Arial" w:hAnsi="Arial"/>
          <w:sz w:val="21"/>
          <w:szCs w:val="21"/>
          <w:color w:val="auto"/>
        </w:rPr>
      </w:pPr>
      <w:r>
        <w:rPr>
          <w:rFonts w:ascii="Arial" w:cs="Arial" w:eastAsia="Arial" w:hAnsi="Arial"/>
          <w:sz w:val="21"/>
          <w:szCs w:val="21"/>
          <w:color w:val="auto"/>
        </w:rPr>
        <w:t xml:space="preserve">Investments made by any Loan Party (i) in any other Loan Party or (ii) in Restricted Subsidiaries that are not Loan Parties;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any Equity Interests held by a Loan Party shall be pledged or charged to the extent required by the definition of the term “Collateral and Guarantee Requirement”, (B) any loans and advances made by a Loan Party shall be evidenced, on and after the Effective Date, by a promissory note pledged or charged pursuant to the Security Documents and (C) the aggregate amount of all Investments permitted under subclause (ii) of this clause (e) (together with Investments permitted under clause (b) of this Section) shall not exceed, at the time such Investment is made and after giving effect thereto, the greater of (A) $300,000,000 and (B) 3.00% of Consolidated Total Assets determined at the time of investment (in each case determined without regard to any write-downs or write-offs);</w:t>
      </w:r>
    </w:p>
    <w:p>
      <w:pPr>
        <w:spacing w:after="0" w:line="207" w:lineRule="exact"/>
        <w:rPr>
          <w:rFonts w:ascii="Arial" w:cs="Arial" w:eastAsia="Arial" w:hAnsi="Arial"/>
          <w:sz w:val="21"/>
          <w:szCs w:val="21"/>
          <w:color w:val="auto"/>
        </w:rPr>
      </w:pPr>
    </w:p>
    <w:p>
      <w:pPr>
        <w:ind w:left="1420" w:hanging="764"/>
        <w:spacing w:after="0"/>
        <w:tabs>
          <w:tab w:leader="none" w:pos="1420" w:val="left"/>
        </w:tabs>
        <w:numPr>
          <w:ilvl w:val="0"/>
          <w:numId w:val="240"/>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ind w:left="1400" w:hanging="744"/>
        <w:spacing w:after="0"/>
        <w:tabs>
          <w:tab w:leader="none" w:pos="1400" w:val="left"/>
        </w:tabs>
        <w:numPr>
          <w:ilvl w:val="0"/>
          <w:numId w:val="240"/>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jc w:val="both"/>
        <w:ind w:firstLine="656"/>
        <w:spacing w:after="0" w:line="297" w:lineRule="auto"/>
        <w:tabs>
          <w:tab w:leader="none" w:pos="1457" w:val="left"/>
        </w:tabs>
        <w:numPr>
          <w:ilvl w:val="0"/>
          <w:numId w:val="240"/>
        </w:numPr>
        <w:rPr>
          <w:rFonts w:ascii="Arial" w:cs="Arial" w:eastAsia="Arial" w:hAnsi="Arial"/>
          <w:sz w:val="19"/>
          <w:szCs w:val="19"/>
          <w:color w:val="auto"/>
        </w:rPr>
      </w:pPr>
      <w:r>
        <w:rPr>
          <w:rFonts w:ascii="Arial" w:cs="Arial" w:eastAsia="Arial" w:hAnsi="Arial"/>
          <w:sz w:val="19"/>
          <w:szCs w:val="19"/>
          <w:color w:val="auto"/>
        </w:rPr>
        <w:t>loans or advances to directors, officers, consultants or employees of the Borrowers or any Restricted Subsidiary made in the ordinary course of business of the Borrowers or such Restricted Subsidiary, as applicable, not exceeding $25,000,000 in the aggregate outstanding at any time (determined without regard to any write-downs or write-offs of such loans or advances);</w:t>
      </w:r>
    </w:p>
    <w:p>
      <w:pPr>
        <w:spacing w:after="0" w:line="160" w:lineRule="exact"/>
        <w:rPr>
          <w:rFonts w:ascii="Arial" w:cs="Arial" w:eastAsia="Arial" w:hAnsi="Arial"/>
          <w:sz w:val="19"/>
          <w:szCs w:val="19"/>
          <w:color w:val="auto"/>
        </w:rPr>
      </w:pPr>
    </w:p>
    <w:p>
      <w:pPr>
        <w:jc w:val="both"/>
        <w:ind w:firstLine="656"/>
        <w:spacing w:after="0"/>
        <w:tabs>
          <w:tab w:leader="none" w:pos="1405" w:val="left"/>
        </w:tabs>
        <w:numPr>
          <w:ilvl w:val="0"/>
          <w:numId w:val="240"/>
        </w:numPr>
        <w:rPr>
          <w:rFonts w:ascii="Arial" w:cs="Arial" w:eastAsia="Arial" w:hAnsi="Arial"/>
          <w:sz w:val="22"/>
          <w:szCs w:val="22"/>
          <w:color w:val="auto"/>
        </w:rPr>
      </w:pPr>
      <w:r>
        <w:rPr>
          <w:rFonts w:ascii="Arial" w:cs="Arial" w:eastAsia="Arial" w:hAnsi="Arial"/>
          <w:sz w:val="22"/>
          <w:szCs w:val="22"/>
          <w:color w:val="auto"/>
        </w:rPr>
        <w:t>payroll, travel and similar advances to cover matters that are expected at the time of such advances ultimately to be treated as expenses of the Borrowers or any Restricted Subsidiary for accounting purposes and that are made in the ordinary course of business;</w:t>
      </w:r>
    </w:p>
    <w:p>
      <w:pPr>
        <w:spacing w:after="0" w:line="213" w:lineRule="exact"/>
        <w:rPr>
          <w:rFonts w:ascii="Arial" w:cs="Arial" w:eastAsia="Arial" w:hAnsi="Arial"/>
          <w:sz w:val="22"/>
          <w:szCs w:val="22"/>
          <w:color w:val="auto"/>
        </w:rPr>
      </w:pPr>
    </w:p>
    <w:p>
      <w:pPr>
        <w:ind w:firstLine="656"/>
        <w:spacing w:after="0" w:line="250" w:lineRule="auto"/>
        <w:tabs>
          <w:tab w:leader="none" w:pos="1392" w:val="left"/>
        </w:tabs>
        <w:numPr>
          <w:ilvl w:val="0"/>
          <w:numId w:val="240"/>
        </w:numPr>
        <w:rPr>
          <w:rFonts w:ascii="Arial" w:cs="Arial" w:eastAsia="Arial" w:hAnsi="Arial"/>
          <w:sz w:val="22"/>
          <w:szCs w:val="22"/>
          <w:color w:val="auto"/>
        </w:rPr>
      </w:pPr>
      <w:r>
        <w:rPr>
          <w:rFonts w:ascii="Arial" w:cs="Arial" w:eastAsia="Arial" w:hAnsi="Arial"/>
          <w:sz w:val="22"/>
          <w:szCs w:val="22"/>
          <w:color w:val="auto"/>
        </w:rPr>
        <w:t>Investments received in connection with the bankruptcy or reorganization of, or settlement of delinquent accounts and disputes with, customers and suppliers, in each case in the ordinary course of business;</w:t>
      </w:r>
    </w:p>
    <w:p>
      <w:pPr>
        <w:spacing w:after="0" w:line="201" w:lineRule="exact"/>
        <w:rPr>
          <w:rFonts w:ascii="Arial" w:cs="Arial" w:eastAsia="Arial" w:hAnsi="Arial"/>
          <w:sz w:val="22"/>
          <w:szCs w:val="22"/>
          <w:color w:val="auto"/>
        </w:rPr>
      </w:pPr>
    </w:p>
    <w:p>
      <w:pPr>
        <w:ind w:left="1400" w:hanging="744"/>
        <w:spacing w:after="0"/>
        <w:tabs>
          <w:tab w:leader="none" w:pos="1400" w:val="left"/>
        </w:tabs>
        <w:numPr>
          <w:ilvl w:val="0"/>
          <w:numId w:val="240"/>
        </w:numPr>
        <w:rPr>
          <w:rFonts w:ascii="Arial" w:cs="Arial" w:eastAsia="Arial" w:hAnsi="Arial"/>
          <w:sz w:val="22"/>
          <w:szCs w:val="22"/>
          <w:color w:val="auto"/>
        </w:rPr>
      </w:pPr>
      <w:r>
        <w:rPr>
          <w:rFonts w:ascii="Arial" w:cs="Arial" w:eastAsia="Arial" w:hAnsi="Arial"/>
          <w:sz w:val="22"/>
          <w:szCs w:val="22"/>
          <w:color w:val="auto"/>
        </w:rPr>
        <w:t>Investments in the form of Hedging Agreements;</w:t>
      </w:r>
    </w:p>
    <w:p>
      <w:pPr>
        <w:spacing w:after="0" w:line="233" w:lineRule="exact"/>
        <w:rPr>
          <w:rFonts w:ascii="Arial" w:cs="Arial" w:eastAsia="Arial" w:hAnsi="Arial"/>
          <w:sz w:val="22"/>
          <w:szCs w:val="22"/>
          <w:color w:val="auto"/>
        </w:rPr>
      </w:pPr>
    </w:p>
    <w:p>
      <w:pPr>
        <w:jc w:val="both"/>
        <w:ind w:firstLine="656"/>
        <w:spacing w:after="0"/>
        <w:tabs>
          <w:tab w:leader="none" w:pos="1506" w:val="left"/>
        </w:tabs>
        <w:numPr>
          <w:ilvl w:val="0"/>
          <w:numId w:val="240"/>
        </w:numPr>
        <w:rPr>
          <w:rFonts w:ascii="Arial" w:cs="Arial" w:eastAsia="Arial" w:hAnsi="Arial"/>
          <w:sz w:val="22"/>
          <w:szCs w:val="22"/>
          <w:color w:val="auto"/>
        </w:rPr>
      </w:pPr>
      <w:r>
        <w:rPr>
          <w:rFonts w:ascii="Arial" w:cs="Arial" w:eastAsia="Arial" w:hAnsi="Arial"/>
          <w:sz w:val="22"/>
          <w:szCs w:val="22"/>
          <w:color w:val="auto"/>
        </w:rPr>
        <w:t>Investments of any Person existing at the time such Person becomes a Restricted Subsidiary or consolidates or merges with the Borrowers or any Restricted Subsidiary so long as such Investments were not made in contemplation of such Person becoming a Restricted Subsidiary or of such consolidation or merger;</w:t>
      </w:r>
    </w:p>
    <w:p>
      <w:pPr>
        <w:spacing w:after="0" w:line="213" w:lineRule="exact"/>
        <w:rPr>
          <w:rFonts w:ascii="Arial" w:cs="Arial" w:eastAsia="Arial" w:hAnsi="Arial"/>
          <w:sz w:val="22"/>
          <w:szCs w:val="22"/>
          <w:color w:val="auto"/>
        </w:rPr>
      </w:pPr>
    </w:p>
    <w:p>
      <w:pPr>
        <w:ind w:firstLine="656"/>
        <w:spacing w:after="0" w:line="250" w:lineRule="auto"/>
        <w:tabs>
          <w:tab w:leader="none" w:pos="1655" w:val="left"/>
        </w:tabs>
        <w:numPr>
          <w:ilvl w:val="0"/>
          <w:numId w:val="240"/>
        </w:numPr>
        <w:rPr>
          <w:rFonts w:ascii="Arial" w:cs="Arial" w:eastAsia="Arial" w:hAnsi="Arial"/>
          <w:sz w:val="22"/>
          <w:szCs w:val="22"/>
          <w:color w:val="auto"/>
        </w:rPr>
      </w:pPr>
      <w:r>
        <w:rPr>
          <w:rFonts w:ascii="Arial" w:cs="Arial" w:eastAsia="Arial" w:hAnsi="Arial"/>
          <w:sz w:val="22"/>
          <w:szCs w:val="22"/>
          <w:color w:val="auto"/>
        </w:rPr>
        <w:t>Investments resulting from pledges or deposits described in clause (c) or (d) of the definition of the term “Permitted Encumbrance”;</w:t>
      </w:r>
    </w:p>
    <w:p>
      <w:pPr>
        <w:spacing w:after="0" w:line="201" w:lineRule="exact"/>
        <w:rPr>
          <w:rFonts w:ascii="Arial" w:cs="Arial" w:eastAsia="Arial" w:hAnsi="Arial"/>
          <w:sz w:val="22"/>
          <w:szCs w:val="22"/>
          <w:color w:val="auto"/>
        </w:rPr>
      </w:pPr>
    </w:p>
    <w:p>
      <w:pPr>
        <w:ind w:firstLine="656"/>
        <w:spacing w:after="0" w:line="250" w:lineRule="auto"/>
        <w:tabs>
          <w:tab w:leader="none" w:pos="1699" w:val="left"/>
        </w:tabs>
        <w:numPr>
          <w:ilvl w:val="0"/>
          <w:numId w:val="240"/>
        </w:numPr>
        <w:rPr>
          <w:rFonts w:ascii="Arial" w:cs="Arial" w:eastAsia="Arial" w:hAnsi="Arial"/>
          <w:sz w:val="22"/>
          <w:szCs w:val="22"/>
          <w:color w:val="auto"/>
        </w:rPr>
      </w:pPr>
      <w:r>
        <w:rPr>
          <w:rFonts w:ascii="Arial" w:cs="Arial" w:eastAsia="Arial" w:hAnsi="Arial"/>
          <w:sz w:val="22"/>
          <w:szCs w:val="22"/>
          <w:color w:val="auto"/>
        </w:rPr>
        <w:t xml:space="preserve">Investments made as a result of the receipt of noncash consideration from a sale, transfer, lease or other disposition of any asset in compliance with </w:t>
      </w:r>
      <w:r>
        <w:rPr>
          <w:rFonts w:ascii="Arial" w:cs="Arial" w:eastAsia="Arial" w:hAnsi="Arial"/>
          <w:sz w:val="22"/>
          <w:szCs w:val="22"/>
          <w:u w:val="single" w:color="auto"/>
          <w:color w:val="auto"/>
        </w:rPr>
        <w:t>Section 6.05</w:t>
      </w:r>
      <w:r>
        <w:rPr>
          <w:rFonts w:ascii="Arial" w:cs="Arial" w:eastAsia="Arial" w:hAnsi="Arial"/>
          <w:sz w:val="22"/>
          <w:szCs w:val="22"/>
          <w:color w:val="auto"/>
        </w:rPr>
        <w:t>;</w:t>
      </w:r>
    </w:p>
    <w:p>
      <w:pPr>
        <w:spacing w:after="0" w:line="201" w:lineRule="exact"/>
        <w:rPr>
          <w:rFonts w:ascii="Arial" w:cs="Arial" w:eastAsia="Arial" w:hAnsi="Arial"/>
          <w:sz w:val="22"/>
          <w:szCs w:val="22"/>
          <w:color w:val="auto"/>
        </w:rPr>
      </w:pPr>
    </w:p>
    <w:p>
      <w:pPr>
        <w:jc w:val="both"/>
        <w:ind w:firstLine="656"/>
        <w:spacing w:after="0"/>
        <w:tabs>
          <w:tab w:leader="none" w:pos="1489" w:val="left"/>
        </w:tabs>
        <w:numPr>
          <w:ilvl w:val="0"/>
          <w:numId w:val="240"/>
        </w:numPr>
        <w:rPr>
          <w:rFonts w:ascii="Arial" w:cs="Arial" w:eastAsia="Arial" w:hAnsi="Arial"/>
          <w:sz w:val="22"/>
          <w:szCs w:val="22"/>
          <w:color w:val="auto"/>
        </w:rPr>
      </w:pPr>
      <w:r>
        <w:rPr>
          <w:rFonts w:ascii="Arial" w:cs="Arial" w:eastAsia="Arial" w:hAnsi="Arial"/>
          <w:sz w:val="22"/>
          <w:szCs w:val="22"/>
          <w:color w:val="auto"/>
        </w:rPr>
        <w:t>Investments that result solely from the receipt by the Borrowers or any Restricted Subsidiary from any of their subsidiaries of a dividend or other Restricted Payment in the form of Equity Interests, evidences of Indebtedness or other securities (but not any additions thereto made after the date of the receipt thereof);</w:t>
      </w:r>
    </w:p>
    <w:p>
      <w:pPr>
        <w:spacing w:after="0" w:line="213" w:lineRule="exact"/>
        <w:rPr>
          <w:rFonts w:ascii="Arial" w:cs="Arial" w:eastAsia="Arial" w:hAnsi="Arial"/>
          <w:sz w:val="22"/>
          <w:szCs w:val="22"/>
          <w:color w:val="auto"/>
        </w:rPr>
      </w:pPr>
    </w:p>
    <w:p>
      <w:pPr>
        <w:jc w:val="both"/>
        <w:ind w:firstLine="656"/>
        <w:spacing w:after="0" w:line="238" w:lineRule="auto"/>
        <w:tabs>
          <w:tab w:leader="none" w:pos="1390" w:val="left"/>
        </w:tabs>
        <w:numPr>
          <w:ilvl w:val="0"/>
          <w:numId w:val="240"/>
        </w:numPr>
        <w:rPr>
          <w:rFonts w:ascii="Arial" w:cs="Arial" w:eastAsia="Arial" w:hAnsi="Arial"/>
          <w:sz w:val="22"/>
          <w:szCs w:val="22"/>
          <w:color w:val="auto"/>
        </w:rPr>
      </w:pPr>
      <w:r>
        <w:rPr>
          <w:rFonts w:ascii="Arial" w:cs="Arial" w:eastAsia="Arial" w:hAnsi="Arial"/>
          <w:sz w:val="22"/>
          <w:szCs w:val="22"/>
          <w:color w:val="auto"/>
        </w:rPr>
        <w:t xml:space="preserve">receivables or other trade payables owing to the Borrowers or a Restricted Subsidiary if created or acquired in the ordinary course of business and payable or dischargeable in accordance with customary trade terms;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trade terms may include such concessionary trade terms as the Borrowers or any Restricted Subsidiary deems reasonable under the circumstances;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1" w:name="page302"/>
    <w:bookmarkEnd w:id="301"/>
    <w:p>
      <w:pPr>
        <w:ind w:firstLine="656"/>
        <w:spacing w:after="0" w:line="251" w:lineRule="auto"/>
        <w:tabs>
          <w:tab w:leader="none" w:pos="1395" w:val="left"/>
        </w:tabs>
        <w:numPr>
          <w:ilvl w:val="0"/>
          <w:numId w:val="241"/>
        </w:numPr>
        <w:rPr>
          <w:rFonts w:ascii="Arial" w:cs="Arial" w:eastAsia="Arial" w:hAnsi="Arial"/>
          <w:sz w:val="22"/>
          <w:szCs w:val="22"/>
          <w:color w:val="auto"/>
        </w:rPr>
      </w:pPr>
      <w:r>
        <w:rPr>
          <w:rFonts w:ascii="Arial" w:cs="Arial" w:eastAsia="Arial" w:hAnsi="Arial"/>
          <w:sz w:val="22"/>
          <w:szCs w:val="22"/>
          <w:color w:val="auto"/>
        </w:rPr>
        <w:t xml:space="preserve">mergers and consolidations permitted under </w:t>
      </w:r>
      <w:r>
        <w:rPr>
          <w:rFonts w:ascii="Arial" w:cs="Arial" w:eastAsia="Arial" w:hAnsi="Arial"/>
          <w:sz w:val="22"/>
          <w:szCs w:val="22"/>
          <w:u w:val="single" w:color="auto"/>
          <w:color w:val="auto"/>
        </w:rPr>
        <w:t>Section 6.03</w:t>
      </w:r>
      <w:r>
        <w:rPr>
          <w:rFonts w:ascii="Arial" w:cs="Arial" w:eastAsia="Arial" w:hAnsi="Arial"/>
          <w:sz w:val="22"/>
          <w:szCs w:val="22"/>
          <w:color w:val="auto"/>
        </w:rPr>
        <w:t xml:space="preserve"> that do not involve any Person other than the Borrowers and Restricted Subsidiaries that are wholly owned Restricted Subsidiaries;</w:t>
      </w:r>
    </w:p>
    <w:p>
      <w:pPr>
        <w:spacing w:after="0" w:line="200" w:lineRule="exact"/>
        <w:rPr>
          <w:rFonts w:ascii="Arial" w:cs="Arial" w:eastAsia="Arial" w:hAnsi="Arial"/>
          <w:sz w:val="22"/>
          <w:szCs w:val="22"/>
          <w:color w:val="auto"/>
        </w:rPr>
      </w:pPr>
    </w:p>
    <w:p>
      <w:pPr>
        <w:ind w:left="1420" w:hanging="764"/>
        <w:spacing w:after="0"/>
        <w:tabs>
          <w:tab w:leader="none" w:pos="1420" w:val="left"/>
        </w:tabs>
        <w:numPr>
          <w:ilvl w:val="0"/>
          <w:numId w:val="241"/>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ind w:right="20" w:firstLine="656"/>
        <w:spacing w:after="0" w:line="328" w:lineRule="auto"/>
        <w:tabs>
          <w:tab w:leader="none" w:pos="1468" w:val="left"/>
        </w:tabs>
        <w:numPr>
          <w:ilvl w:val="0"/>
          <w:numId w:val="241"/>
        </w:numPr>
        <w:rPr>
          <w:rFonts w:ascii="Arial" w:cs="Arial" w:eastAsia="Arial" w:hAnsi="Arial"/>
          <w:sz w:val="19"/>
          <w:szCs w:val="19"/>
          <w:color w:val="auto"/>
        </w:rPr>
      </w:pPr>
      <w:r>
        <w:rPr>
          <w:rFonts w:ascii="Arial" w:cs="Arial" w:eastAsia="Arial" w:hAnsi="Arial"/>
          <w:sz w:val="19"/>
          <w:szCs w:val="19"/>
          <w:color w:val="auto"/>
        </w:rPr>
        <w:t>Guarantees by the Borrowers or any Restricted Subsidiary of leases (other than Capital Lease Obligations) or of other obligations that do not constitute Indebtedness, in each case entered into in the ordinary course of business;</w:t>
      </w:r>
    </w:p>
    <w:p>
      <w:pPr>
        <w:spacing w:after="0" w:line="131" w:lineRule="exact"/>
        <w:rPr>
          <w:rFonts w:ascii="Arial" w:cs="Arial" w:eastAsia="Arial" w:hAnsi="Arial"/>
          <w:sz w:val="19"/>
          <w:szCs w:val="19"/>
          <w:color w:val="auto"/>
        </w:rPr>
      </w:pPr>
    </w:p>
    <w:p>
      <w:pPr>
        <w:jc w:val="both"/>
        <w:ind w:firstLine="656"/>
        <w:spacing w:after="0" w:line="257" w:lineRule="auto"/>
        <w:tabs>
          <w:tab w:leader="none" w:pos="1542" w:val="left"/>
        </w:tabs>
        <w:numPr>
          <w:ilvl w:val="0"/>
          <w:numId w:val="241"/>
        </w:numPr>
        <w:rPr>
          <w:rFonts w:ascii="Arial" w:cs="Arial" w:eastAsia="Arial" w:hAnsi="Arial"/>
          <w:sz w:val="21"/>
          <w:szCs w:val="21"/>
          <w:color w:val="auto"/>
        </w:rPr>
      </w:pPr>
      <w:r>
        <w:rPr>
          <w:rFonts w:ascii="Arial" w:cs="Arial" w:eastAsia="Arial" w:hAnsi="Arial"/>
          <w:sz w:val="21"/>
          <w:szCs w:val="21"/>
          <w:color w:val="auto"/>
        </w:rPr>
        <w:t>Investments by the Borrower or any Restricted Subsidiary if, on a Pro Forma Basis after giving effect thereto including all related commitments for future Investments (and the principal amount of any Indebtedness that is assumed or otherwise incurred in connection with such Investment), the Total Leverage Ratio is less than 2.75 to 1.00;</w:t>
      </w:r>
    </w:p>
    <w:p>
      <w:pPr>
        <w:spacing w:after="0" w:line="196" w:lineRule="exact"/>
        <w:rPr>
          <w:rFonts w:ascii="Arial" w:cs="Arial" w:eastAsia="Arial" w:hAnsi="Arial"/>
          <w:sz w:val="21"/>
          <w:szCs w:val="21"/>
          <w:color w:val="auto"/>
        </w:rPr>
      </w:pPr>
    </w:p>
    <w:p>
      <w:pPr>
        <w:jc w:val="both"/>
        <w:ind w:firstLine="656"/>
        <w:spacing w:after="0" w:line="238" w:lineRule="auto"/>
        <w:tabs>
          <w:tab w:leader="none" w:pos="1382" w:val="left"/>
        </w:tabs>
        <w:numPr>
          <w:ilvl w:val="0"/>
          <w:numId w:val="241"/>
        </w:numPr>
        <w:rPr>
          <w:rFonts w:ascii="Arial" w:cs="Arial" w:eastAsia="Arial" w:hAnsi="Arial"/>
          <w:sz w:val="22"/>
          <w:szCs w:val="22"/>
          <w:color w:val="auto"/>
        </w:rPr>
      </w:pPr>
      <w:r>
        <w:rPr>
          <w:rFonts w:ascii="Arial" w:cs="Arial" w:eastAsia="Arial" w:hAnsi="Arial"/>
          <w:sz w:val="22"/>
          <w:szCs w:val="22"/>
          <w:color w:val="auto"/>
        </w:rPr>
        <w:t>other Investments by the Borrowers or any Restricted Subsidiary in an aggregate amount, as valued at cost at the time each such Investment is made and including all related commitments for future Investments, in an aggregate amount not exceeding, at the time such Investments are made and after giving effect thereto, the greater of (i) $150,000,000 and (ii) 1.50% of Consolidated Total Assets determined at the time of investment; and</w:t>
      </w:r>
    </w:p>
    <w:p>
      <w:pPr>
        <w:spacing w:after="0" w:line="211" w:lineRule="exact"/>
        <w:rPr>
          <w:rFonts w:ascii="Arial" w:cs="Arial" w:eastAsia="Arial" w:hAnsi="Arial"/>
          <w:sz w:val="22"/>
          <w:szCs w:val="22"/>
          <w:color w:val="auto"/>
        </w:rPr>
      </w:pPr>
    </w:p>
    <w:p>
      <w:pPr>
        <w:jc w:val="both"/>
        <w:ind w:right="20" w:firstLine="656"/>
        <w:spacing w:after="0" w:line="287" w:lineRule="auto"/>
        <w:tabs>
          <w:tab w:leader="none" w:pos="1395" w:val="left"/>
        </w:tabs>
        <w:numPr>
          <w:ilvl w:val="0"/>
          <w:numId w:val="241"/>
        </w:numPr>
        <w:rPr>
          <w:rFonts w:ascii="Arial" w:cs="Arial" w:eastAsia="Arial" w:hAnsi="Arial"/>
          <w:sz w:val="19"/>
          <w:szCs w:val="19"/>
          <w:color w:val="auto"/>
        </w:rPr>
      </w:pPr>
      <w:r>
        <w:rPr>
          <w:rFonts w:ascii="Arial" w:cs="Arial" w:eastAsia="Arial" w:hAnsi="Arial"/>
          <w:sz w:val="19"/>
          <w:szCs w:val="19"/>
          <w:color w:val="auto"/>
        </w:rPr>
        <w:t>Permitted Joint Venture Investments made by the Company or any of its Restricted Subsidiaries, in an aggregate amount (measured on the date each such Investment was made and without giving effect to subsequent changes in value), when taken together with all other Investments made pursuant to this clause (v) and then outstanding, that does not exceed the greater of (a) $100.0 million and (b) 1.0% of Consolidated Total Assets determined at the time of investment.</w:t>
      </w:r>
    </w:p>
    <w:p>
      <w:pPr>
        <w:spacing w:after="0" w:line="170" w:lineRule="exact"/>
        <w:rPr>
          <w:sz w:val="20"/>
          <w:szCs w:val="20"/>
          <w:color w:val="auto"/>
        </w:rPr>
      </w:pPr>
    </w:p>
    <w:p>
      <w:pPr>
        <w:ind w:right="40" w:firstLine="648"/>
        <w:spacing w:after="0" w:line="287" w:lineRule="auto"/>
        <w:rPr>
          <w:sz w:val="20"/>
          <w:szCs w:val="20"/>
          <w:color w:val="auto"/>
        </w:rPr>
      </w:pPr>
      <w:r>
        <w:rPr>
          <w:rFonts w:ascii="Arial" w:cs="Arial" w:eastAsia="Arial" w:hAnsi="Arial"/>
          <w:sz w:val="19"/>
          <w:szCs w:val="19"/>
          <w:color w:val="auto"/>
        </w:rPr>
        <w:t xml:space="preserve">SECTION 6.05. </w:t>
      </w:r>
      <w:r>
        <w:rPr>
          <w:rFonts w:ascii="Arial" w:cs="Arial" w:eastAsia="Arial" w:hAnsi="Arial"/>
          <w:sz w:val="19"/>
          <w:szCs w:val="19"/>
          <w:u w:val="single" w:color="auto"/>
          <w:color w:val="auto"/>
        </w:rPr>
        <w:t>Asset Sales</w:t>
      </w:r>
      <w:r>
        <w:rPr>
          <w:rFonts w:ascii="Arial" w:cs="Arial" w:eastAsia="Arial" w:hAnsi="Arial"/>
          <w:sz w:val="19"/>
          <w:szCs w:val="19"/>
          <w:color w:val="auto"/>
        </w:rPr>
        <w:t>. The Borrowers will not, nor will they permit any of their Restricted Subsidiaries to, sell, transfer, lease, license or otherwise dispose of any asset, including any Equity Interest owned by it, nor will the Borrowers permit any Restricted Subsidiary to issue any additional Equity Interest in such Restricted Subsidiary (other than issuing directors’ qualifying shares and other than issuing Equity Interests to the Borrowers or another Restricted Subsidiary), except:</w:t>
      </w:r>
    </w:p>
    <w:p>
      <w:pPr>
        <w:spacing w:after="0" w:line="170" w:lineRule="exact"/>
        <w:rPr>
          <w:sz w:val="20"/>
          <w:szCs w:val="20"/>
          <w:color w:val="auto"/>
        </w:rPr>
      </w:pPr>
    </w:p>
    <w:p>
      <w:pPr>
        <w:jc w:val="both"/>
        <w:ind w:firstLine="656"/>
        <w:spacing w:after="0" w:line="238" w:lineRule="auto"/>
        <w:tabs>
          <w:tab w:leader="none" w:pos="1632" w:val="left"/>
        </w:tabs>
        <w:numPr>
          <w:ilvl w:val="0"/>
          <w:numId w:val="242"/>
        </w:numPr>
        <w:rPr>
          <w:rFonts w:ascii="Arial" w:cs="Arial" w:eastAsia="Arial" w:hAnsi="Arial"/>
          <w:sz w:val="22"/>
          <w:szCs w:val="22"/>
          <w:color w:val="auto"/>
        </w:rPr>
      </w:pPr>
      <w:r>
        <w:rPr>
          <w:rFonts w:ascii="Arial" w:cs="Arial" w:eastAsia="Arial" w:hAnsi="Arial"/>
          <w:sz w:val="22"/>
          <w:szCs w:val="22"/>
          <w:color w:val="auto"/>
        </w:rPr>
        <w:t xml:space="preserve">sales, transfers, leases and other dispositions of (i) inventory, (ii) used, obsolete or surplus equipment, (iii) property no longer used or useful in the conduct of the business of the Borrowers and the Restricted Subsidiaries (including intellectual property, subject to </w:t>
      </w:r>
      <w:r>
        <w:rPr>
          <w:rFonts w:ascii="Arial" w:cs="Arial" w:eastAsia="Arial" w:hAnsi="Arial"/>
          <w:sz w:val="22"/>
          <w:szCs w:val="22"/>
          <w:u w:val="single" w:color="auto"/>
          <w:color w:val="auto"/>
        </w:rPr>
        <w:t>Section 5.04(b)</w:t>
      </w:r>
      <w:r>
        <w:rPr>
          <w:rFonts w:ascii="Arial" w:cs="Arial" w:eastAsia="Arial" w:hAnsi="Arial"/>
          <w:sz w:val="22"/>
          <w:szCs w:val="22"/>
          <w:color w:val="auto"/>
        </w:rPr>
        <w:t>), (iv) immaterial assets and (v) cash and Permitted Investments, in each case in the ordinary course of business;</w:t>
      </w:r>
    </w:p>
    <w:p>
      <w:pPr>
        <w:spacing w:after="0" w:line="211" w:lineRule="exact"/>
        <w:rPr>
          <w:rFonts w:ascii="Arial" w:cs="Arial" w:eastAsia="Arial" w:hAnsi="Arial"/>
          <w:sz w:val="22"/>
          <w:szCs w:val="22"/>
          <w:color w:val="auto"/>
        </w:rPr>
      </w:pPr>
    </w:p>
    <w:p>
      <w:pPr>
        <w:jc w:val="both"/>
        <w:ind w:firstLine="656"/>
        <w:spacing w:after="0"/>
        <w:tabs>
          <w:tab w:leader="none" w:pos="1430" w:val="left"/>
        </w:tabs>
        <w:numPr>
          <w:ilvl w:val="0"/>
          <w:numId w:val="242"/>
        </w:numPr>
        <w:rPr>
          <w:rFonts w:ascii="Arial" w:cs="Arial" w:eastAsia="Arial" w:hAnsi="Arial"/>
          <w:sz w:val="22"/>
          <w:szCs w:val="22"/>
          <w:color w:val="auto"/>
        </w:rPr>
      </w:pPr>
      <w:r>
        <w:rPr>
          <w:rFonts w:ascii="Arial" w:cs="Arial" w:eastAsia="Arial" w:hAnsi="Arial"/>
          <w:sz w:val="22"/>
          <w:szCs w:val="22"/>
          <w:color w:val="auto"/>
        </w:rPr>
        <w:t xml:space="preserve">sales, transfers, leases and other dispositions to the Borrowers or a Restricted Subsidiary;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such sales, transfers, leases or other dispositions involving a Restricted Subsidiary that is not a Loan Party shall, to the extent applicable, be made in compliance with </w:t>
      </w:r>
      <w:r>
        <w:rPr>
          <w:rFonts w:ascii="Arial" w:cs="Arial" w:eastAsia="Arial" w:hAnsi="Arial"/>
          <w:sz w:val="22"/>
          <w:szCs w:val="22"/>
          <w:u w:val="single" w:color="auto"/>
          <w:color w:val="auto"/>
        </w:rPr>
        <w:t>Section 6.04</w:t>
      </w:r>
      <w:r>
        <w:rPr>
          <w:rFonts w:ascii="Arial" w:cs="Arial" w:eastAsia="Arial" w:hAnsi="Arial"/>
          <w:sz w:val="22"/>
          <w:szCs w:val="22"/>
          <w:color w:val="auto"/>
        </w:rPr>
        <w: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2" w:name="page303"/>
    <w:bookmarkEnd w:id="302"/>
    <w:p>
      <w:pPr>
        <w:ind w:right="20" w:firstLine="656"/>
        <w:spacing w:after="0" w:line="251" w:lineRule="auto"/>
        <w:tabs>
          <w:tab w:leader="none" w:pos="1495" w:val="left"/>
        </w:tabs>
        <w:numPr>
          <w:ilvl w:val="0"/>
          <w:numId w:val="243"/>
        </w:numPr>
        <w:rPr>
          <w:rFonts w:ascii="Arial" w:cs="Arial" w:eastAsia="Arial" w:hAnsi="Arial"/>
          <w:sz w:val="22"/>
          <w:szCs w:val="22"/>
          <w:color w:val="auto"/>
        </w:rPr>
      </w:pPr>
      <w:r>
        <w:rPr>
          <w:rFonts w:ascii="Arial" w:cs="Arial" w:eastAsia="Arial" w:hAnsi="Arial"/>
          <w:sz w:val="22"/>
          <w:szCs w:val="22"/>
          <w:color w:val="auto"/>
        </w:rPr>
        <w:t>sales, transfers and other dispositions of accounts receivable in connection with the compromise, settlement or collection thereof not as part of any accounts receivables financing transaction;</w:t>
      </w:r>
    </w:p>
    <w:p>
      <w:pPr>
        <w:spacing w:after="0" w:line="200" w:lineRule="exact"/>
        <w:rPr>
          <w:rFonts w:ascii="Arial" w:cs="Arial" w:eastAsia="Arial" w:hAnsi="Arial"/>
          <w:sz w:val="22"/>
          <w:szCs w:val="22"/>
          <w:color w:val="auto"/>
        </w:rPr>
      </w:pPr>
    </w:p>
    <w:p>
      <w:pPr>
        <w:jc w:val="both"/>
        <w:ind w:firstLine="656"/>
        <w:spacing w:after="0" w:line="279" w:lineRule="auto"/>
        <w:tabs>
          <w:tab w:leader="none" w:pos="1479" w:val="left"/>
        </w:tabs>
        <w:numPr>
          <w:ilvl w:val="0"/>
          <w:numId w:val="243"/>
        </w:numPr>
        <w:rPr>
          <w:rFonts w:ascii="Arial" w:cs="Arial" w:eastAsia="Arial" w:hAnsi="Arial"/>
          <w:sz w:val="19"/>
          <w:szCs w:val="19"/>
          <w:color w:val="auto"/>
        </w:rPr>
      </w:pPr>
      <w:r>
        <w:rPr>
          <w:rFonts w:ascii="Arial" w:cs="Arial" w:eastAsia="Arial" w:hAnsi="Arial"/>
          <w:sz w:val="19"/>
          <w:szCs w:val="19"/>
          <w:color w:val="auto"/>
        </w:rPr>
        <w:t xml:space="preserve">(i) sales, transfers, leases and other dispositions of assets to the extent that such assets constitute an Investment permitted by clause (j), (l) or (n) of </w:t>
      </w:r>
      <w:r>
        <w:rPr>
          <w:rFonts w:ascii="Arial" w:cs="Arial" w:eastAsia="Arial" w:hAnsi="Arial"/>
          <w:sz w:val="19"/>
          <w:szCs w:val="19"/>
          <w:u w:val="single" w:color="auto"/>
          <w:color w:val="auto"/>
        </w:rPr>
        <w:t>Section 6.04</w:t>
      </w:r>
      <w:r>
        <w:rPr>
          <w:rFonts w:ascii="Arial" w:cs="Arial" w:eastAsia="Arial" w:hAnsi="Arial"/>
          <w:sz w:val="19"/>
          <w:szCs w:val="19"/>
          <w:color w:val="auto"/>
        </w:rPr>
        <w:t xml:space="preserve"> or another asset received as consideration for the disposition of any asset permitted by this Section (in each case, other than Equity Interests in a Restricted Subsidiary, unless all Equity Interests in such Restricted Subsidiary (other than directors’ qualifying shares) are sold) and (ii) sales, transfers, and other dispositions of the Equity Interests of a Restricted Subsidiary by the Borrowers or a Restricted Subsidiary to the extent such sale, transfer or other disposition would be permissible as an Investment in a Restricted Subsidiary permitted by </w:t>
      </w:r>
      <w:r>
        <w:rPr>
          <w:rFonts w:ascii="Arial" w:cs="Arial" w:eastAsia="Arial" w:hAnsi="Arial"/>
          <w:sz w:val="19"/>
          <w:szCs w:val="19"/>
          <w:u w:val="single" w:color="auto"/>
          <w:color w:val="auto"/>
        </w:rPr>
        <w:t>Section 6.04(e)</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(u)</w:t>
      </w:r>
      <w:r>
        <w:rPr>
          <w:rFonts w:ascii="Arial" w:cs="Arial" w:eastAsia="Arial" w:hAnsi="Arial"/>
          <w:sz w:val="19"/>
          <w:szCs w:val="19"/>
          <w:color w:val="auto"/>
        </w:rPr>
        <w:t>;</w:t>
      </w:r>
    </w:p>
    <w:p>
      <w:pPr>
        <w:spacing w:after="0" w:line="177" w:lineRule="exact"/>
        <w:rPr>
          <w:rFonts w:ascii="Arial" w:cs="Arial" w:eastAsia="Arial" w:hAnsi="Arial"/>
          <w:sz w:val="19"/>
          <w:szCs w:val="19"/>
          <w:color w:val="auto"/>
        </w:rPr>
      </w:pPr>
    </w:p>
    <w:p>
      <w:pPr>
        <w:jc w:val="both"/>
        <w:ind w:firstLine="656"/>
        <w:spacing w:after="0" w:line="297" w:lineRule="auto"/>
        <w:tabs>
          <w:tab w:leader="none" w:pos="1599" w:val="left"/>
        </w:tabs>
        <w:numPr>
          <w:ilvl w:val="0"/>
          <w:numId w:val="243"/>
        </w:numPr>
        <w:rPr>
          <w:rFonts w:ascii="Arial" w:cs="Arial" w:eastAsia="Arial" w:hAnsi="Arial"/>
          <w:sz w:val="19"/>
          <w:szCs w:val="19"/>
          <w:color w:val="auto"/>
        </w:rPr>
      </w:pPr>
      <w:r>
        <w:rPr>
          <w:rFonts w:ascii="Arial" w:cs="Arial" w:eastAsia="Arial" w:hAnsi="Arial"/>
          <w:sz w:val="19"/>
          <w:szCs w:val="19"/>
          <w:color w:val="auto"/>
        </w:rPr>
        <w:t>leases or subleases entered into in the ordinary course of business, to the extent that they do not materially interfere with the business of the Borrowers or any Restricted Subsidiary and in the case of any Mortgaged Property within England only where such leases are granted to utility providers and are in a standard form utility substation or gas governor lease;</w:t>
      </w:r>
    </w:p>
    <w:p>
      <w:pPr>
        <w:spacing w:after="0" w:line="160" w:lineRule="exact"/>
        <w:rPr>
          <w:rFonts w:ascii="Arial" w:cs="Arial" w:eastAsia="Arial" w:hAnsi="Arial"/>
          <w:sz w:val="19"/>
          <w:szCs w:val="19"/>
          <w:color w:val="auto"/>
        </w:rPr>
      </w:pPr>
    </w:p>
    <w:p>
      <w:pPr>
        <w:ind w:firstLine="656"/>
        <w:spacing w:after="0" w:line="250" w:lineRule="auto"/>
        <w:tabs>
          <w:tab w:leader="none" w:pos="1425" w:val="left"/>
        </w:tabs>
        <w:numPr>
          <w:ilvl w:val="0"/>
          <w:numId w:val="243"/>
        </w:numPr>
        <w:rPr>
          <w:rFonts w:ascii="Arial" w:cs="Arial" w:eastAsia="Arial" w:hAnsi="Arial"/>
          <w:sz w:val="22"/>
          <w:szCs w:val="22"/>
          <w:color w:val="auto"/>
        </w:rPr>
      </w:pPr>
      <w:r>
        <w:rPr>
          <w:rFonts w:ascii="Arial" w:cs="Arial" w:eastAsia="Arial" w:hAnsi="Arial"/>
          <w:sz w:val="22"/>
          <w:szCs w:val="22"/>
          <w:color w:val="auto"/>
        </w:rPr>
        <w:t>non-exclusive licenses or sublicenses of intellectual property in the ordinary course of business, to the extent that they do not materially interfere with the business of the Borrowers or any Restricted Subsidiary;</w:t>
      </w:r>
    </w:p>
    <w:p>
      <w:pPr>
        <w:spacing w:after="0" w:line="201" w:lineRule="exact"/>
        <w:rPr>
          <w:rFonts w:ascii="Arial" w:cs="Arial" w:eastAsia="Arial" w:hAnsi="Arial"/>
          <w:sz w:val="22"/>
          <w:szCs w:val="22"/>
          <w:color w:val="auto"/>
        </w:rPr>
      </w:pPr>
    </w:p>
    <w:p>
      <w:pPr>
        <w:ind w:firstLine="656"/>
        <w:spacing w:after="0" w:line="274" w:lineRule="auto"/>
        <w:tabs>
          <w:tab w:leader="none" w:pos="1624" w:val="left"/>
        </w:tabs>
        <w:numPr>
          <w:ilvl w:val="0"/>
          <w:numId w:val="243"/>
        </w:numPr>
        <w:rPr>
          <w:rFonts w:ascii="Arial" w:cs="Arial" w:eastAsia="Arial" w:hAnsi="Arial"/>
          <w:sz w:val="21"/>
          <w:szCs w:val="21"/>
          <w:color w:val="auto"/>
        </w:rPr>
      </w:pPr>
      <w:r>
        <w:rPr>
          <w:rFonts w:ascii="Arial" w:cs="Arial" w:eastAsia="Arial" w:hAnsi="Arial"/>
          <w:sz w:val="21"/>
          <w:szCs w:val="21"/>
          <w:color w:val="auto"/>
        </w:rPr>
        <w:t>dispositions resulting from any casualty or other insured damage to, or any taking under power of eminent domain or by condemnation or similar proceeding of, any asset of the Borrowers or any Restricted Subsidiary;</w:t>
      </w:r>
    </w:p>
    <w:p>
      <w:pPr>
        <w:spacing w:after="0" w:line="177" w:lineRule="exact"/>
        <w:rPr>
          <w:rFonts w:ascii="Arial" w:cs="Arial" w:eastAsia="Arial" w:hAnsi="Arial"/>
          <w:sz w:val="21"/>
          <w:szCs w:val="21"/>
          <w:color w:val="auto"/>
        </w:rPr>
      </w:pPr>
    </w:p>
    <w:p>
      <w:pPr>
        <w:jc w:val="both"/>
        <w:ind w:firstLine="656"/>
        <w:spacing w:after="0"/>
        <w:tabs>
          <w:tab w:leader="none" w:pos="1579" w:val="left"/>
        </w:tabs>
        <w:numPr>
          <w:ilvl w:val="0"/>
          <w:numId w:val="243"/>
        </w:numPr>
        <w:rPr>
          <w:rFonts w:ascii="Arial" w:cs="Arial" w:eastAsia="Arial" w:hAnsi="Arial"/>
          <w:sz w:val="22"/>
          <w:szCs w:val="22"/>
          <w:color w:val="auto"/>
        </w:rPr>
      </w:pPr>
      <w:r>
        <w:rPr>
          <w:rFonts w:ascii="Arial" w:cs="Arial" w:eastAsia="Arial" w:hAnsi="Arial"/>
          <w:sz w:val="22"/>
          <w:szCs w:val="22"/>
          <w:color w:val="auto"/>
        </w:rPr>
        <w:t>dispositions of assets to the extent that (i) such assets are exchanged for credit against the purchase price of similar replacement assets or (ii) the proceeds of such disposition are promptly applied to the purchase price of such replacement assets;</w:t>
      </w:r>
    </w:p>
    <w:p>
      <w:pPr>
        <w:spacing w:after="0" w:line="213" w:lineRule="exact"/>
        <w:rPr>
          <w:rFonts w:ascii="Arial" w:cs="Arial" w:eastAsia="Arial" w:hAnsi="Arial"/>
          <w:sz w:val="22"/>
          <w:szCs w:val="22"/>
          <w:color w:val="auto"/>
        </w:rPr>
      </w:pPr>
    </w:p>
    <w:p>
      <w:pPr>
        <w:ind w:left="1400" w:hanging="744"/>
        <w:spacing w:after="0"/>
        <w:tabs>
          <w:tab w:leader="none" w:pos="1400" w:val="left"/>
        </w:tabs>
        <w:numPr>
          <w:ilvl w:val="0"/>
          <w:numId w:val="243"/>
        </w:numPr>
        <w:rPr>
          <w:rFonts w:ascii="Arial" w:cs="Arial" w:eastAsia="Arial" w:hAnsi="Arial"/>
          <w:sz w:val="22"/>
          <w:szCs w:val="22"/>
          <w:color w:val="auto"/>
        </w:rPr>
      </w:pPr>
      <w:r>
        <w:rPr>
          <w:rFonts w:ascii="Arial" w:cs="Arial" w:eastAsia="Arial" w:hAnsi="Arial"/>
          <w:sz w:val="22"/>
          <w:szCs w:val="22"/>
          <w:color w:val="auto"/>
        </w:rPr>
        <w:t xml:space="preserve">dispositions permitted by </w:t>
      </w:r>
      <w:r>
        <w:rPr>
          <w:rFonts w:ascii="Arial" w:cs="Arial" w:eastAsia="Arial" w:hAnsi="Arial"/>
          <w:sz w:val="22"/>
          <w:szCs w:val="22"/>
          <w:u w:val="single" w:color="auto"/>
          <w:color w:val="auto"/>
        </w:rPr>
        <w:t>Section 6.08</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firstLine="656"/>
        <w:spacing w:after="0" w:line="250" w:lineRule="auto"/>
        <w:tabs>
          <w:tab w:leader="none" w:pos="1532" w:val="left"/>
        </w:tabs>
        <w:numPr>
          <w:ilvl w:val="0"/>
          <w:numId w:val="243"/>
        </w:numPr>
        <w:rPr>
          <w:rFonts w:ascii="Arial" w:cs="Arial" w:eastAsia="Arial" w:hAnsi="Arial"/>
          <w:sz w:val="22"/>
          <w:szCs w:val="22"/>
          <w:color w:val="auto"/>
        </w:rPr>
      </w:pPr>
      <w:r>
        <w:rPr>
          <w:rFonts w:ascii="Arial" w:cs="Arial" w:eastAsia="Arial" w:hAnsi="Arial"/>
          <w:sz w:val="22"/>
          <w:szCs w:val="22"/>
          <w:color w:val="auto"/>
        </w:rPr>
        <w:t>sales, transfers or other dispositions of accounts receivable in connection with the factoring on a non-recourse basis of such accounts receivable;</w:t>
      </w:r>
    </w:p>
    <w:p>
      <w:pPr>
        <w:spacing w:after="0" w:line="201" w:lineRule="exact"/>
        <w:rPr>
          <w:rFonts w:ascii="Arial" w:cs="Arial" w:eastAsia="Arial" w:hAnsi="Arial"/>
          <w:sz w:val="22"/>
          <w:szCs w:val="22"/>
          <w:color w:val="auto"/>
        </w:rPr>
      </w:pPr>
    </w:p>
    <w:p>
      <w:pPr>
        <w:jc w:val="both"/>
        <w:ind w:firstLine="656"/>
        <w:spacing w:after="0"/>
        <w:tabs>
          <w:tab w:leader="none" w:pos="1539" w:val="left"/>
        </w:tabs>
        <w:numPr>
          <w:ilvl w:val="0"/>
          <w:numId w:val="243"/>
        </w:numPr>
        <w:rPr>
          <w:rFonts w:ascii="Arial" w:cs="Arial" w:eastAsia="Arial" w:hAnsi="Arial"/>
          <w:sz w:val="22"/>
          <w:szCs w:val="22"/>
          <w:color w:val="auto"/>
        </w:rPr>
      </w:pPr>
      <w:r>
        <w:rPr>
          <w:rFonts w:ascii="Arial" w:cs="Arial" w:eastAsia="Arial" w:hAnsi="Arial"/>
          <w:sz w:val="22"/>
          <w:szCs w:val="22"/>
          <w:color w:val="auto"/>
        </w:rPr>
        <w:t>sales, transfers, leases, licenses and other dispositions of assets if (i) on a Pro Forma Basis after giving effect thereto, the Total Leverage Ratio is less than 3.00 to 1.00 and (ii) no Event of Default has occurred and is continuing at the time of such sale, transfer, lease or other disposition or would result therefrom; and</w:t>
      </w:r>
    </w:p>
    <w:p>
      <w:pPr>
        <w:spacing w:after="0" w:line="213" w:lineRule="exact"/>
        <w:rPr>
          <w:rFonts w:ascii="Arial" w:cs="Arial" w:eastAsia="Arial" w:hAnsi="Arial"/>
          <w:sz w:val="22"/>
          <w:szCs w:val="22"/>
          <w:color w:val="auto"/>
        </w:rPr>
      </w:pPr>
    </w:p>
    <w:p>
      <w:pPr>
        <w:jc w:val="both"/>
        <w:ind w:firstLine="656"/>
        <w:spacing w:after="0" w:line="235" w:lineRule="auto"/>
        <w:tabs>
          <w:tab w:leader="none" w:pos="1455" w:val="left"/>
        </w:tabs>
        <w:numPr>
          <w:ilvl w:val="0"/>
          <w:numId w:val="243"/>
        </w:numPr>
        <w:rPr>
          <w:rFonts w:ascii="Arial" w:cs="Arial" w:eastAsia="Arial" w:hAnsi="Arial"/>
          <w:sz w:val="22"/>
          <w:szCs w:val="22"/>
          <w:color w:val="auto"/>
        </w:rPr>
      </w:pPr>
      <w:r>
        <w:rPr>
          <w:rFonts w:ascii="Arial" w:cs="Arial" w:eastAsia="Arial" w:hAnsi="Arial"/>
          <w:sz w:val="22"/>
          <w:szCs w:val="22"/>
          <w:color w:val="auto"/>
        </w:rPr>
        <w:t xml:space="preserve">sales, transfers, leases, licenses and other dispositions of assets that are not permitted by any other clause of this Section;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 the aggregate fair value of all assets sold, transferred, leased, licensed or otherwise disposed of in reliance upon this clause (l) shall not exceed, during the term of this Agreement, the sum of (A) $300,000,000 and (B) the amount of any proceeds received by the Company or any Restricted Subsidiary in connection with the Specified Asset Sale and (ii) no Event of Default has occurred and is continuing at the time of such sale, transfer, lease or other disposition or would result therefrom;</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3" w:name="page304"/>
    <w:bookmarkEnd w:id="303"/>
    <w:p>
      <w:pPr>
        <w:jc w:val="both"/>
        <w:ind w:firstLine="648"/>
        <w:spacing w:after="0" w:line="243" w:lineRule="auto"/>
        <w:rPr>
          <w:sz w:val="20"/>
          <w:szCs w:val="20"/>
          <w:color w:val="auto"/>
        </w:rPr>
      </w:pP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all sales, transfers, leases, licenses and other dispositions permitted by clauses (k) and (l) shall be made for fair value (as determined in good faith by the Borrowers), and at least 75% of the aggregate consideration from all sales, transfers, leases and other dispositions permitted by clauses (k) and (l) and made on or after the Effective Date, on a cumulative basis, is in the form of cash or cash equivalents;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(i) any consideration in the form of Permitted Investments that are disposed of for cash consideration within 30 Business Days after such sale, transfer or other disposition shall be deemed to be cash consideration in an amount equal to the amount of such cash consideration for purposes of this proviso; (ii) any liabilities (as shown on the Company’s most recent balance sheet provided hereunder or in the footnotes thereto) of a Borrower or such Restricted Subsidiary, other than liabilities that are by their terms subordinated to the payment in cash of the Obligations, that are assumed by the transferee with respect to the applicable sale, transfer, lease or other disposition and for which the Borrowers and all the Restricted Subsidiaries shall have been validly released by all applicable creditors in writing shall be deemed to be cash consideration in an amount equal to the liabilities so assumed; and (iii) any Designated Non-Cash Consideration received by such Borrower or such Restricted Subsidiary in respect of any such sale, transfer, lease or other disposition having an aggregate fair market value, taken together with all other Designated Non-Cash Consideration received pursuant to this clause (iii) that is at that time outstanding, not in excess of $10,000,000 at the time of the receipt of such Designated Non-Cash Consideration (with the fair market value of each item of Designated Non-Cash Consideration being measured at the time received and without giving effect to subsequent changes in value) shall be deemed to be cash consideration.</w:t>
      </w:r>
    </w:p>
    <w:p>
      <w:pPr>
        <w:spacing w:after="0" w:line="218" w:lineRule="exact"/>
        <w:rPr>
          <w:sz w:val="20"/>
          <w:szCs w:val="20"/>
          <w:color w:val="auto"/>
        </w:rPr>
      </w:pPr>
    </w:p>
    <w:p>
      <w:pPr>
        <w:ind w:left="660"/>
        <w:spacing w:after="0"/>
        <w:tabs>
          <w:tab w:leader="none" w:pos="2300" w:val="left"/>
        </w:tabs>
        <w:rPr>
          <w:sz w:val="20"/>
          <w:szCs w:val="20"/>
          <w:color w:val="auto"/>
        </w:rPr>
      </w:pPr>
      <w:r>
        <w:rPr>
          <w:rFonts w:ascii="Arial" w:cs="Arial" w:eastAsia="Arial" w:hAnsi="Arial"/>
          <w:sz w:val="22"/>
          <w:szCs w:val="22"/>
          <w:color w:val="auto"/>
        </w:rPr>
        <w:t>SECTION 6.06.</w:t>
      </w:r>
      <w:r>
        <w:rPr>
          <w:sz w:val="20"/>
          <w:szCs w:val="20"/>
          <w:color w:val="auto"/>
        </w:rPr>
        <w:tab/>
      </w:r>
      <w:r>
        <w:rPr>
          <w:rFonts w:ascii="Arial" w:cs="Arial" w:eastAsia="Arial" w:hAnsi="Arial"/>
          <w:sz w:val="19"/>
          <w:szCs w:val="19"/>
          <w:u w:val="single" w:color="auto"/>
          <w:color w:val="auto"/>
        </w:rPr>
        <w:t>[Reserved]</w:t>
      </w:r>
    </w:p>
    <w:p>
      <w:pPr>
        <w:spacing w:after="0" w:line="233" w:lineRule="exact"/>
        <w:rPr>
          <w:sz w:val="20"/>
          <w:szCs w:val="20"/>
          <w:color w:val="auto"/>
        </w:rPr>
      </w:pPr>
    </w:p>
    <w:p>
      <w:pPr>
        <w:ind w:right="80" w:firstLine="648"/>
        <w:spacing w:after="0" w:line="274" w:lineRule="auto"/>
        <w:rPr>
          <w:sz w:val="20"/>
          <w:szCs w:val="20"/>
          <w:color w:val="auto"/>
        </w:rPr>
      </w:pPr>
      <w:r>
        <w:rPr>
          <w:rFonts w:ascii="Arial" w:cs="Arial" w:eastAsia="Arial" w:hAnsi="Arial"/>
          <w:sz w:val="19"/>
          <w:szCs w:val="19"/>
          <w:color w:val="auto"/>
        </w:rPr>
        <w:t xml:space="preserve">SECTION 6.07. </w:t>
      </w:r>
      <w:r>
        <w:rPr>
          <w:rFonts w:ascii="Arial" w:cs="Arial" w:eastAsia="Arial" w:hAnsi="Arial"/>
          <w:sz w:val="19"/>
          <w:szCs w:val="19"/>
          <w:u w:val="single" w:color="auto"/>
          <w:color w:val="auto"/>
        </w:rPr>
        <w:t>Use of Proceeds and Letters of Credit</w:t>
      </w:r>
      <w:r>
        <w:rPr>
          <w:rFonts w:ascii="Arial" w:cs="Arial" w:eastAsia="Arial" w:hAnsi="Arial"/>
          <w:sz w:val="19"/>
          <w:szCs w:val="19"/>
          <w:color w:val="auto"/>
        </w:rPr>
        <w:t>. No part of the proceeds of any Loan will be used, whether directly or indirectly, for any purpose that entails a violation of any of the regulations of the Federal Reserve Board, including Regulations T, U and X. The Borrowers will not request any Borrowing or Letter of Credit, and the Borrowers shall not use, and shall procure that their Subsidiaries and their or their respective directors, officers, employees and agents shall not use, the proceeds of any Borrowing or Letter of Credit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except to the extent permitted for a Person required to comply with Sanctions, or (C) in any manner that would result in the violation of any Sanctions applicable to any party hereto.</w:t>
      </w:r>
    </w:p>
    <w:p>
      <w:pPr>
        <w:spacing w:after="0" w:line="185" w:lineRule="exact"/>
        <w:rPr>
          <w:sz w:val="20"/>
          <w:szCs w:val="20"/>
          <w:color w:val="auto"/>
        </w:rPr>
      </w:pPr>
    </w:p>
    <w:p>
      <w:pPr>
        <w:ind w:left="660"/>
        <w:spacing w:after="0"/>
        <w:tabs>
          <w:tab w:leader="none" w:pos="2300" w:val="left"/>
        </w:tabs>
        <w:rPr>
          <w:sz w:val="20"/>
          <w:szCs w:val="20"/>
          <w:color w:val="auto"/>
        </w:rPr>
      </w:pPr>
      <w:r>
        <w:rPr>
          <w:rFonts w:ascii="Arial" w:cs="Arial" w:eastAsia="Arial" w:hAnsi="Arial"/>
          <w:sz w:val="22"/>
          <w:szCs w:val="22"/>
          <w:color w:val="auto"/>
        </w:rPr>
        <w:t>SECTION 6.08.</w:t>
      </w:r>
      <w:r>
        <w:rPr>
          <w:sz w:val="20"/>
          <w:szCs w:val="20"/>
          <w:color w:val="auto"/>
        </w:rPr>
        <w:tab/>
      </w:r>
      <w:r>
        <w:rPr>
          <w:rFonts w:ascii="Arial" w:cs="Arial" w:eastAsia="Arial" w:hAnsi="Arial"/>
          <w:sz w:val="19"/>
          <w:szCs w:val="19"/>
          <w:u w:val="single" w:color="auto"/>
          <w:color w:val="auto"/>
        </w:rPr>
        <w:t>Restricted Payments; Certain Payments of Junior Indebtedness</w:t>
      </w:r>
    </w:p>
    <w:p>
      <w:pPr>
        <w:spacing w:after="0" w:line="233" w:lineRule="exact"/>
        <w:rPr>
          <w:sz w:val="20"/>
          <w:szCs w:val="20"/>
          <w:color w:val="auto"/>
        </w:rPr>
      </w:pPr>
    </w:p>
    <w:p>
      <w:pPr>
        <w:jc w:val="both"/>
        <w:ind w:firstLine="656"/>
        <w:spacing w:after="0"/>
        <w:tabs>
          <w:tab w:leader="none" w:pos="1388" w:val="left"/>
        </w:tabs>
        <w:numPr>
          <w:ilvl w:val="0"/>
          <w:numId w:val="244"/>
        </w:numPr>
        <w:rPr>
          <w:rFonts w:ascii="Arial" w:cs="Arial" w:eastAsia="Arial" w:hAnsi="Arial"/>
          <w:sz w:val="22"/>
          <w:szCs w:val="22"/>
          <w:color w:val="auto"/>
        </w:rPr>
      </w:pPr>
      <w:r>
        <w:rPr>
          <w:rFonts w:ascii="Arial" w:cs="Arial" w:eastAsia="Arial" w:hAnsi="Arial"/>
          <w:sz w:val="22"/>
          <w:szCs w:val="22"/>
          <w:color w:val="auto"/>
        </w:rPr>
        <w:t>The Borrowers will not, nor will they permit any of their Restricted Subsidiaries to, declare or make, or agree to pay or make, directly or indirectly, any Restricted Payment, or incur any obligation (contingent or otherwise) to do so, except that:</w:t>
      </w:r>
    </w:p>
    <w:p>
      <w:pPr>
        <w:spacing w:after="0" w:line="213" w:lineRule="exact"/>
        <w:rPr>
          <w:rFonts w:ascii="Arial" w:cs="Arial" w:eastAsia="Arial" w:hAnsi="Arial"/>
          <w:sz w:val="22"/>
          <w:szCs w:val="22"/>
          <w:color w:val="auto"/>
        </w:rPr>
      </w:pPr>
    </w:p>
    <w:p>
      <w:pPr>
        <w:ind w:left="2220" w:hanging="916"/>
        <w:spacing w:after="0"/>
        <w:tabs>
          <w:tab w:leader="none" w:pos="2220" w:val="left"/>
        </w:tabs>
        <w:numPr>
          <w:ilvl w:val="1"/>
          <w:numId w:val="244"/>
        </w:numPr>
        <w:rPr>
          <w:rFonts w:ascii="Arial" w:cs="Arial" w:eastAsia="Arial" w:hAnsi="Arial"/>
          <w:sz w:val="22"/>
          <w:szCs w:val="22"/>
          <w:color w:val="auto"/>
        </w:rPr>
      </w:pPr>
      <w:r>
        <w:rPr>
          <w:rFonts w:ascii="Arial" w:cs="Arial" w:eastAsia="Arial" w:hAnsi="Arial"/>
          <w:sz w:val="22"/>
          <w:szCs w:val="22"/>
          <w:color w:val="auto"/>
        </w:rPr>
        <w:t>Permitted Tax Distributions;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4" w:name="page305"/>
    <w:bookmarkEnd w:id="304"/>
    <w:p>
      <w:pPr>
        <w:jc w:val="both"/>
        <w:ind w:left="-460" w:firstLine="644"/>
        <w:spacing w:after="0" w:line="241" w:lineRule="auto"/>
        <w:tabs>
          <w:tab w:leader="none" w:pos="1109" w:val="left"/>
        </w:tabs>
        <w:numPr>
          <w:ilvl w:val="0"/>
          <w:numId w:val="245"/>
        </w:numPr>
        <w:rPr>
          <w:rFonts w:ascii="Arial" w:cs="Arial" w:eastAsia="Arial" w:hAnsi="Arial"/>
          <w:sz w:val="22"/>
          <w:szCs w:val="22"/>
          <w:color w:val="auto"/>
        </w:rPr>
      </w:pPr>
      <w:r>
        <w:rPr>
          <w:rFonts w:ascii="Arial" w:cs="Arial" w:eastAsia="Arial" w:hAnsi="Arial"/>
          <w:sz w:val="22"/>
          <w:szCs w:val="22"/>
          <w:color w:val="auto"/>
        </w:rPr>
        <w:t>any Restricted Subsidiary may declare and pay dividends or make other distributions with respect to its Equity Interests, or make other Restricted Payments in respect of its Equity Interests, in each case ratably to the holders of such Equity Interests;</w:t>
      </w:r>
    </w:p>
    <w:p>
      <w:pPr>
        <w:spacing w:after="0" w:line="210" w:lineRule="exact"/>
        <w:rPr>
          <w:rFonts w:ascii="Arial" w:cs="Arial" w:eastAsia="Arial" w:hAnsi="Arial"/>
          <w:sz w:val="22"/>
          <w:szCs w:val="22"/>
          <w:color w:val="auto"/>
        </w:rPr>
      </w:pPr>
    </w:p>
    <w:p>
      <w:pPr>
        <w:ind w:left="1040" w:hanging="856"/>
        <w:spacing w:after="0"/>
        <w:tabs>
          <w:tab w:leader="none" w:pos="1040" w:val="left"/>
        </w:tabs>
        <w:numPr>
          <w:ilvl w:val="0"/>
          <w:numId w:val="245"/>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ind w:left="-460" w:right="20" w:firstLine="644"/>
        <w:spacing w:after="0" w:line="250" w:lineRule="auto"/>
        <w:tabs>
          <w:tab w:leader="none" w:pos="1110" w:val="left"/>
        </w:tabs>
        <w:numPr>
          <w:ilvl w:val="0"/>
          <w:numId w:val="245"/>
        </w:numPr>
        <w:rPr>
          <w:rFonts w:ascii="Arial" w:cs="Arial" w:eastAsia="Arial" w:hAnsi="Arial"/>
          <w:sz w:val="22"/>
          <w:szCs w:val="22"/>
          <w:color w:val="auto"/>
        </w:rPr>
      </w:pPr>
      <w:r>
        <w:rPr>
          <w:rFonts w:ascii="Arial" w:cs="Arial" w:eastAsia="Arial" w:hAnsi="Arial"/>
          <w:sz w:val="22"/>
          <w:szCs w:val="22"/>
          <w:color w:val="auto"/>
        </w:rPr>
        <w:t>the Borrowers may declare and pay dividends with respect to their Equity Interests payable solely in shares of Qualified Equity Interests;</w:t>
      </w:r>
    </w:p>
    <w:p>
      <w:pPr>
        <w:spacing w:after="0" w:line="201" w:lineRule="exact"/>
        <w:rPr>
          <w:rFonts w:ascii="Arial" w:cs="Arial" w:eastAsia="Arial" w:hAnsi="Arial"/>
          <w:sz w:val="22"/>
          <w:szCs w:val="22"/>
          <w:color w:val="auto"/>
        </w:rPr>
      </w:pPr>
    </w:p>
    <w:p>
      <w:pPr>
        <w:jc w:val="both"/>
        <w:ind w:left="-460" w:firstLine="644"/>
        <w:spacing w:after="0" w:line="282" w:lineRule="auto"/>
        <w:tabs>
          <w:tab w:leader="none" w:pos="1019" w:val="left"/>
        </w:tabs>
        <w:numPr>
          <w:ilvl w:val="0"/>
          <w:numId w:val="245"/>
        </w:numPr>
        <w:rPr>
          <w:rFonts w:ascii="Arial" w:cs="Arial" w:eastAsia="Arial" w:hAnsi="Arial"/>
          <w:sz w:val="19"/>
          <w:szCs w:val="19"/>
          <w:color w:val="auto"/>
        </w:rPr>
      </w:pPr>
      <w:r>
        <w:rPr>
          <w:rFonts w:ascii="Arial" w:cs="Arial" w:eastAsia="Arial" w:hAnsi="Arial"/>
          <w:sz w:val="19"/>
          <w:szCs w:val="19"/>
          <w:color w:val="auto"/>
        </w:rPr>
        <w:t>the Borrowers may make Restricted Payments, not exceeding $25,000,000 during any fiscal year, for the repurchase, retirement, cancellation or other acquisition or retirement for value of Equity Interests of the Borrowers and the Restricted Subsidiaries held by any future, present or former employee, director, manager or consultant of the Borrowers and the Restricted Subsidiaries pursuant to any management equity plan or stock option plan or any other management or employee benefit plan or agreement, or any stock subscription or stockholder agreement;</w:t>
      </w:r>
    </w:p>
    <w:p>
      <w:pPr>
        <w:spacing w:after="0" w:line="174" w:lineRule="exact"/>
        <w:rPr>
          <w:rFonts w:ascii="Arial" w:cs="Arial" w:eastAsia="Arial" w:hAnsi="Arial"/>
          <w:sz w:val="19"/>
          <w:szCs w:val="19"/>
          <w:color w:val="auto"/>
        </w:rPr>
      </w:pPr>
    </w:p>
    <w:p>
      <w:pPr>
        <w:ind w:left="1100" w:hanging="916"/>
        <w:spacing w:after="0"/>
        <w:tabs>
          <w:tab w:leader="none" w:pos="1100" w:val="left"/>
        </w:tabs>
        <w:numPr>
          <w:ilvl w:val="0"/>
          <w:numId w:val="245"/>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jc w:val="both"/>
        <w:ind w:left="-460" w:firstLine="644"/>
        <w:spacing w:after="0" w:line="328" w:lineRule="auto"/>
        <w:tabs>
          <w:tab w:leader="none" w:pos="1143" w:val="left"/>
        </w:tabs>
        <w:numPr>
          <w:ilvl w:val="0"/>
          <w:numId w:val="245"/>
        </w:numPr>
        <w:rPr>
          <w:rFonts w:ascii="Arial" w:cs="Arial" w:eastAsia="Arial" w:hAnsi="Arial"/>
          <w:sz w:val="19"/>
          <w:szCs w:val="19"/>
          <w:color w:val="auto"/>
        </w:rPr>
      </w:pPr>
      <w:r>
        <w:rPr>
          <w:rFonts w:ascii="Arial" w:cs="Arial" w:eastAsia="Arial" w:hAnsi="Arial"/>
          <w:sz w:val="19"/>
          <w:szCs w:val="19"/>
          <w:color w:val="auto"/>
        </w:rPr>
        <w:t>the Borrowers may make cash payments in lieu of the issuance of fractional shares in connection with the exercise of warrants, options or other securities convertible into or exchangeable for Equity Interests in the Borrowers;</w:t>
      </w:r>
    </w:p>
    <w:p>
      <w:pPr>
        <w:spacing w:after="0" w:line="131" w:lineRule="exact"/>
        <w:rPr>
          <w:rFonts w:ascii="Arial" w:cs="Arial" w:eastAsia="Arial" w:hAnsi="Arial"/>
          <w:sz w:val="19"/>
          <w:szCs w:val="19"/>
          <w:color w:val="auto"/>
        </w:rPr>
      </w:pPr>
    </w:p>
    <w:p>
      <w:pPr>
        <w:jc w:val="both"/>
        <w:ind w:left="-460" w:firstLine="644"/>
        <w:spacing w:after="0" w:line="249" w:lineRule="auto"/>
        <w:tabs>
          <w:tab w:leader="none" w:pos="1317" w:val="left"/>
        </w:tabs>
        <w:numPr>
          <w:ilvl w:val="0"/>
          <w:numId w:val="245"/>
        </w:numPr>
        <w:rPr>
          <w:rFonts w:ascii="Arial" w:cs="Arial" w:eastAsia="Arial" w:hAnsi="Arial"/>
          <w:sz w:val="21"/>
          <w:szCs w:val="21"/>
          <w:color w:val="auto"/>
        </w:rPr>
      </w:pPr>
      <w:r>
        <w:rPr>
          <w:rFonts w:ascii="Arial" w:cs="Arial" w:eastAsia="Arial" w:hAnsi="Arial"/>
          <w:sz w:val="21"/>
          <w:szCs w:val="21"/>
          <w:color w:val="auto"/>
        </w:rPr>
        <w:t>the Borrowers may repurchase Equity Interests upon the exercise or vesting of stock options and restricted stock (a) if such Equity Interests represent a portion of the exercise price of such stock options or restricted stock (and related redemption or cancellation of shares for payment of taxes or other amounts with respect to such exercise or vesting) or (b) in order to reduce the dilutive effect of such exercise (so long as the amount of Equity Interests repurchased is in an equal or lesser amount to the amount exercised);</w:t>
      </w:r>
    </w:p>
    <w:p>
      <w:pPr>
        <w:spacing w:after="0" w:line="205" w:lineRule="exact"/>
        <w:rPr>
          <w:rFonts w:ascii="Arial" w:cs="Arial" w:eastAsia="Arial" w:hAnsi="Arial"/>
          <w:sz w:val="21"/>
          <w:szCs w:val="21"/>
          <w:color w:val="auto"/>
        </w:rPr>
      </w:pPr>
    </w:p>
    <w:p>
      <w:pPr>
        <w:jc w:val="both"/>
        <w:ind w:left="-460" w:firstLine="644"/>
        <w:spacing w:after="0"/>
        <w:tabs>
          <w:tab w:leader="none" w:pos="1211" w:val="left"/>
        </w:tabs>
        <w:numPr>
          <w:ilvl w:val="0"/>
          <w:numId w:val="245"/>
        </w:numPr>
        <w:rPr>
          <w:rFonts w:ascii="Arial" w:cs="Arial" w:eastAsia="Arial" w:hAnsi="Arial"/>
          <w:sz w:val="22"/>
          <w:szCs w:val="22"/>
          <w:color w:val="auto"/>
        </w:rPr>
      </w:pPr>
      <w:r>
        <w:rPr>
          <w:rFonts w:ascii="Arial" w:cs="Arial" w:eastAsia="Arial" w:hAnsi="Arial"/>
          <w:sz w:val="22"/>
          <w:szCs w:val="22"/>
          <w:color w:val="auto"/>
        </w:rPr>
        <w:t>concurrently with any issuance of Qualified Equity Interests, the Borrowers may redeem, purchase or retire any Equity Interests of the Borrowers using the proceeds of, or convert or exchange any Equity Interests of the Borrowers for, such Qualified Equity Interests;</w:t>
      </w:r>
    </w:p>
    <w:p>
      <w:pPr>
        <w:spacing w:after="0" w:line="213" w:lineRule="exact"/>
        <w:rPr>
          <w:rFonts w:ascii="Arial" w:cs="Arial" w:eastAsia="Arial" w:hAnsi="Arial"/>
          <w:sz w:val="22"/>
          <w:szCs w:val="22"/>
          <w:color w:val="auto"/>
        </w:rPr>
      </w:pPr>
    </w:p>
    <w:p>
      <w:pPr>
        <w:jc w:val="both"/>
        <w:ind w:left="-460" w:firstLine="644"/>
        <w:spacing w:after="0"/>
        <w:tabs>
          <w:tab w:leader="none" w:pos="1098" w:val="left"/>
        </w:tabs>
        <w:numPr>
          <w:ilvl w:val="0"/>
          <w:numId w:val="245"/>
        </w:numPr>
        <w:rPr>
          <w:rFonts w:ascii="Arial" w:cs="Arial" w:eastAsia="Arial" w:hAnsi="Arial"/>
          <w:sz w:val="22"/>
          <w:szCs w:val="22"/>
          <w:color w:val="auto"/>
        </w:rPr>
      </w:pPr>
      <w:r>
        <w:rPr>
          <w:rFonts w:ascii="Arial" w:cs="Arial" w:eastAsia="Arial" w:hAnsi="Arial"/>
          <w:sz w:val="22"/>
          <w:szCs w:val="22"/>
          <w:color w:val="auto"/>
        </w:rPr>
        <w:t>the Company may declare and make Restricted Payments so long as (A) after giving effect thereto on a Pro Forma Basis, the Total Leverage Ratio does not exceed 2.75 to 1.00 and (B) no Event of Default has occurred and is continuing or would result therefrom;</w:t>
      </w:r>
    </w:p>
    <w:p>
      <w:pPr>
        <w:spacing w:after="0" w:line="213" w:lineRule="exact"/>
        <w:rPr>
          <w:rFonts w:ascii="Arial" w:cs="Arial" w:eastAsia="Arial" w:hAnsi="Arial"/>
          <w:sz w:val="22"/>
          <w:szCs w:val="22"/>
          <w:color w:val="auto"/>
        </w:rPr>
      </w:pPr>
    </w:p>
    <w:p>
      <w:pPr>
        <w:jc w:val="both"/>
        <w:ind w:left="-460" w:firstLine="644"/>
        <w:spacing w:after="0" w:line="287" w:lineRule="auto"/>
        <w:tabs>
          <w:tab w:leader="none" w:pos="1107" w:val="left"/>
        </w:tabs>
        <w:numPr>
          <w:ilvl w:val="0"/>
          <w:numId w:val="245"/>
        </w:numPr>
        <w:rPr>
          <w:rFonts w:ascii="Arial" w:cs="Arial" w:eastAsia="Arial" w:hAnsi="Arial"/>
          <w:sz w:val="19"/>
          <w:szCs w:val="19"/>
          <w:color w:val="auto"/>
        </w:rPr>
      </w:pPr>
      <w:r>
        <w:rPr>
          <w:rFonts w:ascii="Arial" w:cs="Arial" w:eastAsia="Arial" w:hAnsi="Arial"/>
          <w:sz w:val="19"/>
          <w:szCs w:val="19"/>
          <w:color w:val="auto"/>
        </w:rPr>
        <w:t xml:space="preserve">the Borrowers may declare and make Restricted Payments in an aggregate amount not to exceed, at the time such dividends are paid and after giving effect thereto, the greater of (A) $100,000,000 and (B) 1.00% of Consolidated Total Assets (reduced by the amount of any prepayments of Indebtedness pursuant to </w:t>
      </w:r>
      <w:r>
        <w:rPr>
          <w:rFonts w:ascii="Arial" w:cs="Arial" w:eastAsia="Arial" w:hAnsi="Arial"/>
          <w:sz w:val="19"/>
          <w:szCs w:val="19"/>
          <w:u w:val="single" w:color="auto"/>
          <w:color w:val="auto"/>
        </w:rPr>
        <w:t>Section 6.08(b)(iv)</w:t>
      </w:r>
      <w:r>
        <w:rPr>
          <w:rFonts w:ascii="Arial" w:cs="Arial" w:eastAsia="Arial" w:hAnsi="Arial"/>
          <w:sz w:val="19"/>
          <w:szCs w:val="19"/>
          <w:color w:val="auto"/>
        </w:rPr>
        <w:t>), so long as no Default or Event of Default has occurred and is continuing or would result therefrom.</w:t>
      </w:r>
    </w:p>
    <w:p>
      <w:pPr>
        <w:spacing w:after="0" w:line="348" w:lineRule="exact"/>
        <w:rPr>
          <w:sz w:val="20"/>
          <w:szCs w:val="20"/>
          <w:color w:val="auto"/>
        </w:rPr>
      </w:pPr>
    </w:p>
    <w:p>
      <w:pPr>
        <w:ind w:left="4400"/>
        <w:spacing w:after="0"/>
        <w:rPr>
          <w:sz w:val="20"/>
          <w:szCs w:val="20"/>
          <w:color w:val="auto"/>
        </w:rPr>
      </w:pPr>
      <w:r>
        <w:rPr>
          <w:rFonts w:ascii="Arial" w:cs="Arial" w:eastAsia="Arial" w:hAnsi="Arial"/>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305" w:name="page306"/>
    <w:bookmarkEnd w:id="305"/>
    <w:p>
      <w:pPr>
        <w:jc w:val="both"/>
        <w:ind w:firstLine="656"/>
        <w:spacing w:after="0" w:line="238" w:lineRule="auto"/>
        <w:tabs>
          <w:tab w:leader="none" w:pos="1437" w:val="left"/>
        </w:tabs>
        <w:numPr>
          <w:ilvl w:val="0"/>
          <w:numId w:val="246"/>
        </w:numPr>
        <w:rPr>
          <w:rFonts w:ascii="Arial" w:cs="Arial" w:eastAsia="Arial" w:hAnsi="Arial"/>
          <w:sz w:val="22"/>
          <w:szCs w:val="22"/>
          <w:color w:val="auto"/>
        </w:rPr>
      </w:pPr>
      <w:r>
        <w:rPr>
          <w:rFonts w:ascii="Arial" w:cs="Arial" w:eastAsia="Arial" w:hAnsi="Arial"/>
          <w:sz w:val="22"/>
          <w:szCs w:val="22"/>
          <w:color w:val="auto"/>
        </w:rPr>
        <w:t>The Borrowers will not, nor will they permit any of their Restricted Subsidiaries to, prepay, redeem, purchase or otherwise satisfy any Material Indebtedness described in clauses (a) or (b) of the definition thereof, the Senior Unsecured Notes or any other Indebtedness for borrowed money that is subordinated in right of payment to or is unsecured or secured by a Lien that is junior to the Indebtedness incurred hereunder, except for:</w:t>
      </w:r>
    </w:p>
    <w:p>
      <w:pPr>
        <w:spacing w:after="0" w:line="212" w:lineRule="exact"/>
        <w:rPr>
          <w:rFonts w:ascii="Arial" w:cs="Arial" w:eastAsia="Arial" w:hAnsi="Arial"/>
          <w:sz w:val="22"/>
          <w:szCs w:val="22"/>
          <w:color w:val="auto"/>
        </w:rPr>
      </w:pPr>
    </w:p>
    <w:p>
      <w:pPr>
        <w:jc w:val="both"/>
        <w:ind w:left="660" w:firstLine="644"/>
        <w:spacing w:after="0"/>
        <w:tabs>
          <w:tab w:leader="none" w:pos="2241" w:val="left"/>
        </w:tabs>
        <w:numPr>
          <w:ilvl w:val="1"/>
          <w:numId w:val="246"/>
        </w:numPr>
        <w:rPr>
          <w:rFonts w:ascii="Arial" w:cs="Arial" w:eastAsia="Arial" w:hAnsi="Arial"/>
          <w:sz w:val="22"/>
          <w:szCs w:val="22"/>
          <w:color w:val="auto"/>
        </w:rPr>
      </w:pPr>
      <w:r>
        <w:rPr>
          <w:rFonts w:ascii="Arial" w:cs="Arial" w:eastAsia="Arial" w:hAnsi="Arial"/>
          <w:sz w:val="22"/>
          <w:szCs w:val="22"/>
          <w:color w:val="auto"/>
        </w:rPr>
        <w:t>payments of or in respect of any such Indebtedness if, after giving effect thereto on a Pro Forma Basis, the Total Leverage Ratio is less than 2.75 to 1.00, so long as no Default or Event of Default has occurred and is continuing or would result therefrom;</w:t>
      </w:r>
    </w:p>
    <w:p>
      <w:pPr>
        <w:spacing w:after="0" w:line="213" w:lineRule="exact"/>
        <w:rPr>
          <w:rFonts w:ascii="Arial" w:cs="Arial" w:eastAsia="Arial" w:hAnsi="Arial"/>
          <w:sz w:val="22"/>
          <w:szCs w:val="22"/>
          <w:color w:val="auto"/>
        </w:rPr>
      </w:pPr>
    </w:p>
    <w:p>
      <w:pPr>
        <w:ind w:left="660" w:firstLine="644"/>
        <w:spacing w:after="0" w:line="328" w:lineRule="auto"/>
        <w:tabs>
          <w:tab w:leader="none" w:pos="2117" w:val="left"/>
        </w:tabs>
        <w:numPr>
          <w:ilvl w:val="1"/>
          <w:numId w:val="246"/>
        </w:numPr>
        <w:rPr>
          <w:rFonts w:ascii="Arial" w:cs="Arial" w:eastAsia="Arial" w:hAnsi="Arial"/>
          <w:sz w:val="19"/>
          <w:szCs w:val="19"/>
          <w:color w:val="auto"/>
        </w:rPr>
      </w:pPr>
      <w:r>
        <w:rPr>
          <w:rFonts w:ascii="Arial" w:cs="Arial" w:eastAsia="Arial" w:hAnsi="Arial"/>
          <w:sz w:val="19"/>
          <w:szCs w:val="19"/>
          <w:color w:val="auto"/>
        </w:rPr>
        <w:t>regularly scheduled interest and principal payments as and when due in respect of any such Indebtedness, other than payments in respect of such Indebtedness prohibited by the subordination provisions thereof;</w:t>
      </w:r>
    </w:p>
    <w:p>
      <w:pPr>
        <w:spacing w:after="0" w:line="131" w:lineRule="exact"/>
        <w:rPr>
          <w:rFonts w:ascii="Arial" w:cs="Arial" w:eastAsia="Arial" w:hAnsi="Arial"/>
          <w:sz w:val="19"/>
          <w:szCs w:val="19"/>
          <w:color w:val="auto"/>
        </w:rPr>
      </w:pPr>
    </w:p>
    <w:p>
      <w:pPr>
        <w:ind w:left="2220" w:hanging="916"/>
        <w:spacing w:after="0"/>
        <w:tabs>
          <w:tab w:leader="none" w:pos="2220" w:val="left"/>
        </w:tabs>
        <w:numPr>
          <w:ilvl w:val="1"/>
          <w:numId w:val="246"/>
        </w:numPr>
        <w:rPr>
          <w:rFonts w:ascii="Arial" w:cs="Arial" w:eastAsia="Arial" w:hAnsi="Arial"/>
          <w:sz w:val="22"/>
          <w:szCs w:val="22"/>
          <w:color w:val="auto"/>
        </w:rPr>
      </w:pPr>
      <w:r>
        <w:rPr>
          <w:rFonts w:ascii="Arial" w:cs="Arial" w:eastAsia="Arial" w:hAnsi="Arial"/>
          <w:sz w:val="22"/>
          <w:szCs w:val="22"/>
          <w:color w:val="auto"/>
        </w:rPr>
        <w:t xml:space="preserve">Refinancing Indebtedness incurred to refinance Indebtedness permitted under </w:t>
      </w:r>
      <w:r>
        <w:rPr>
          <w:rFonts w:ascii="Arial" w:cs="Arial" w:eastAsia="Arial" w:hAnsi="Arial"/>
          <w:sz w:val="22"/>
          <w:szCs w:val="22"/>
          <w:u w:val="single" w:color="auto"/>
          <w:color w:val="auto"/>
        </w:rPr>
        <w:t>Section 6.01</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660" w:firstLine="644"/>
        <w:spacing w:after="0" w:line="252" w:lineRule="auto"/>
        <w:tabs>
          <w:tab w:leader="none" w:pos="2183" w:val="left"/>
        </w:tabs>
        <w:numPr>
          <w:ilvl w:val="1"/>
          <w:numId w:val="246"/>
        </w:numPr>
        <w:rPr>
          <w:rFonts w:ascii="Arial" w:cs="Arial" w:eastAsia="Arial" w:hAnsi="Arial"/>
          <w:sz w:val="21"/>
          <w:szCs w:val="21"/>
          <w:color w:val="auto"/>
        </w:rPr>
      </w:pPr>
      <w:r>
        <w:rPr>
          <w:rFonts w:ascii="Arial" w:cs="Arial" w:eastAsia="Arial" w:hAnsi="Arial"/>
          <w:sz w:val="21"/>
          <w:szCs w:val="21"/>
          <w:color w:val="auto"/>
        </w:rPr>
        <w:t xml:space="preserve">payments of or in respect of any such Indebtedness in an amount equal to, at the time such payments are made and after giving effect thereto, the greater of (A) $150,000,000 (reduced by any amounts declared and paid as Restricted Payments pursuant to </w:t>
      </w:r>
      <w:r>
        <w:rPr>
          <w:rFonts w:ascii="Arial" w:cs="Arial" w:eastAsia="Arial" w:hAnsi="Arial"/>
          <w:sz w:val="21"/>
          <w:szCs w:val="21"/>
          <w:u w:val="single" w:color="auto"/>
          <w:color w:val="auto"/>
        </w:rPr>
        <w:t>Section 6.08(a)(xi)</w:t>
      </w:r>
      <w:r>
        <w:rPr>
          <w:rFonts w:ascii="Arial" w:cs="Arial" w:eastAsia="Arial" w:hAnsi="Arial"/>
          <w:sz w:val="21"/>
          <w:szCs w:val="21"/>
          <w:color w:val="auto"/>
        </w:rPr>
        <w:t>), and (B) 1.50% of Consolidated Total Assets, so long as no Default or Event of Default has occurred and is continuing or would result therefrom.</w:t>
      </w:r>
    </w:p>
    <w:p>
      <w:pPr>
        <w:spacing w:after="0" w:line="201" w:lineRule="exact"/>
        <w:rPr>
          <w:sz w:val="20"/>
          <w:szCs w:val="20"/>
          <w:color w:val="auto"/>
        </w:rPr>
      </w:pPr>
    </w:p>
    <w:p>
      <w:pPr>
        <w:ind w:right="40" w:firstLine="648"/>
        <w:spacing w:after="0" w:line="270" w:lineRule="auto"/>
        <w:rPr>
          <w:sz w:val="20"/>
          <w:szCs w:val="20"/>
          <w:color w:val="auto"/>
        </w:rPr>
      </w:pPr>
      <w:r>
        <w:rPr>
          <w:rFonts w:ascii="Arial" w:cs="Arial" w:eastAsia="Arial" w:hAnsi="Arial"/>
          <w:sz w:val="19"/>
          <w:szCs w:val="19"/>
          <w:color w:val="auto"/>
        </w:rPr>
        <w:t xml:space="preserve">SECTION 6.09. </w:t>
      </w:r>
      <w:r>
        <w:rPr>
          <w:rFonts w:ascii="Arial" w:cs="Arial" w:eastAsia="Arial" w:hAnsi="Arial"/>
          <w:sz w:val="19"/>
          <w:szCs w:val="19"/>
          <w:u w:val="single" w:color="auto"/>
          <w:color w:val="auto"/>
        </w:rPr>
        <w:t>Transactions with Affiliates</w:t>
      </w:r>
      <w:r>
        <w:rPr>
          <w:rFonts w:ascii="Arial" w:cs="Arial" w:eastAsia="Arial" w:hAnsi="Arial"/>
          <w:sz w:val="19"/>
          <w:szCs w:val="19"/>
          <w:color w:val="auto"/>
        </w:rPr>
        <w:t>. The Borrowers will not, nor will they permit any of their Restricted Subsidiaries to, sell, lease, license or otherwise transfer any assets to, or purchase, lease, license or otherwise acquire any assets from, or otherwise engage in any other transactions involving aggregate consideration in excess of $15,000,000 with, any of their Affiliates, except (i) transactions that are at prices and on terms and conditions not materially less favorable to the Borrowers or such Restricted Subsidiary than could be obtained on an arm’s-length basis from unrelated third parties, (ii) transactions between or among the Borrowers and any Restricted Subsidiaries not involving any other Affiliate, (iii) advances, equity issuances, other Restricted Payments permitted under Section 6.08, and Investments permitted under Section 6.04 and any other transaction involving the Borrowers and the Restricted Subsidiaries permitted under Section 6.03 (to the extent such transaction is between the Borrowers and one or more Restricted Subsidiaries or between two or more Restricted Subsidiaries) and Section 6.05 (to the extent such transaction is not required to be for fair value thereunder, (iv) the payment of reasonable fees to directors of the Borrowers or any Restricted Subsidiary who are not employees of the Borrowers or any Restricted Subsidiary, and compensation and employee benefit arrangements paid to, and indemnities provided for the benefit of, directors, officers, consultants or employees of the Borrowers or the Restricted Subsidiaries in the ordinary course of business, (v) any issuances of securities or other payments, awards or grants in cash, securities or otherwise pursuant to, or the funding of, employment agreements, stock options and stock ownership plans approved by the Borrowers’ board of directors and (vi) employment and severance arrangements entered into in the ordinary course of business between the Borrowers or any Restricted Subsidiary and any employee thereof and approved by the applicable Borrower’s board of directors.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6" w:name="page307"/>
    <w:bookmarkEnd w:id="306"/>
    <w:p>
      <w:pPr>
        <w:ind w:right="60" w:firstLine="648"/>
        <w:spacing w:after="0" w:line="269" w:lineRule="auto"/>
        <w:rPr>
          <w:sz w:val="20"/>
          <w:szCs w:val="20"/>
          <w:color w:val="auto"/>
        </w:rPr>
      </w:pPr>
      <w:r>
        <w:rPr>
          <w:rFonts w:ascii="Arial" w:cs="Arial" w:eastAsia="Arial" w:hAnsi="Arial"/>
          <w:sz w:val="19"/>
          <w:szCs w:val="19"/>
          <w:color w:val="auto"/>
        </w:rPr>
        <w:t xml:space="preserve">SECTION 6.10. </w:t>
      </w:r>
      <w:r>
        <w:rPr>
          <w:rFonts w:ascii="Arial" w:cs="Arial" w:eastAsia="Arial" w:hAnsi="Arial"/>
          <w:sz w:val="19"/>
          <w:szCs w:val="19"/>
          <w:u w:val="single" w:color="auto"/>
          <w:color w:val="auto"/>
        </w:rPr>
        <w:t>Restrictive Agreements</w:t>
      </w:r>
      <w:r>
        <w:rPr>
          <w:rFonts w:ascii="Arial" w:cs="Arial" w:eastAsia="Arial" w:hAnsi="Arial"/>
          <w:sz w:val="19"/>
          <w:szCs w:val="19"/>
          <w:color w:val="auto"/>
        </w:rPr>
        <w:t>. The Borrowers will not, nor will they permit any of their Restricted Subsidiaries to, directly or indirectly, enter into, incur or permit to exist any agreement or other arrangement that prohibits, restricts or imposes any condition upon (a) the ability of the Borrowers or any Restricted Subsidiary to create, incur or permit to exist any Lien upon any of their assets in favor of the Collateral Agent to secure the Obligations or (b) the ability of any Restricted Subsidiary to make or repay loans or advances to the Borrowers or any Restricted Subsidiary, to Guarantee the Obligations, or to transfer any of its properties or assets to the Borrowers or any Restricted Subsidiary; provided that (i) the foregoing shall not apply to (A) restrictions and conditions imposed by law or by this Agreement, any other Loan Document or any document governing any Refinancing Indebtedness in respect of the Loan Documents, (B) restrictions and conditions imposed by the Senior Unsecured Notes Documents as in effect on the Effective Date or any agreement or document evidencing Refinancing Indebtedness in respect of the Senior Unsecured Notes Documents permitted under Section 6.01(b); provided that the restrictions and conditions contained in any such agreement or document taken as a whole are not materially less favorable to the Lenders than the restrictions and conditions imposed by the Senior Unsecured Notes Documents, (C) in the case of any Restricted Subsidiary that is not a wholly owned Restricted Subsidiary, restrictions and conditions imposed by its organizational documents or any related joint venture or similar agreements; provided that such restrictions and conditions apply only to such Restricted Subsidiary, (D) customary restrictions and conditions contained in agreements relating to the sale of a Restricted Subsidiary or any assets of the Borrowers or any Restricted Subsidiary, in each case pending such sale; provided that such restrictions and conditions apply only to such Restricted Subsidiary or the assets that are to be sold and, in each case, such sale is permitted hereunder, (E) restrictions and conditions existing on the Effective Date and identified on Schedule 6.10 (and any extension or renewal of, or any amendment, modification or replacement of the documents set forth on such schedule that do not expand the scope of, any such restriction or condition in any material respect) and (F) restrictions and conditions imposed by any agreement relating to Indebtedness of any Restricted Subsidiary in existence at the time such Restricted Subsidiary became a Restricted Subsidiary and otherwise permitted by Section 6.01(g) or to any restrictions in any Indebtedness of a non-Loan Party Restricted Subsidiary permitted by Section 6.01(h) or Section 6.01(s), in each case if such restrictions and conditions apply only to such Restricted Subsidiary and its subsidiaries; and (ii) clause (a) of the foregoing shall not apply to (A) restrictions and conditions imposed by any agreement relating to secured Indebtedness permitted by Section 6.01(f) if such restrictions and conditions apply only to the assets securing such Indebtedness and (B) customary provisions in leases and other agreements restricting the assignment thereof.</w:t>
      </w:r>
    </w:p>
    <w:p>
      <w:pPr>
        <w:spacing w:after="0" w:line="200" w:lineRule="exact"/>
        <w:rPr>
          <w:sz w:val="20"/>
          <w:szCs w:val="20"/>
          <w:color w:val="auto"/>
        </w:rPr>
      </w:pPr>
    </w:p>
    <w:p>
      <w:pPr>
        <w:spacing w:after="0" w:line="238"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color w:val="auto"/>
        </w:rPr>
        <w:t xml:space="preserve">SECTION 6.11. </w:t>
      </w:r>
      <w:r>
        <w:rPr>
          <w:rFonts w:ascii="Arial" w:cs="Arial" w:eastAsia="Arial" w:hAnsi="Arial"/>
          <w:sz w:val="22"/>
          <w:szCs w:val="22"/>
          <w:u w:val="single" w:color="auto"/>
          <w:color w:val="auto"/>
        </w:rPr>
        <w:t>Amendment of Material Documents</w:t>
      </w:r>
      <w:r>
        <w:rPr>
          <w:rFonts w:ascii="Arial" w:cs="Arial" w:eastAsia="Arial" w:hAnsi="Arial"/>
          <w:sz w:val="22"/>
          <w:szCs w:val="22"/>
          <w:color w:val="auto"/>
        </w:rPr>
        <w:t>. The Borrowers will not, nor will they permit any of their Restricted Subsidiaries to (a) amend, modify or waive their certificate of incorporation, bylaws or other organizational documents or (b) amend, modify, waive or otherwise change, or consent or agree to any amendment, modification, waiver or other change to, any of the terms of any Material Indebtedness, including the Senior Unsecured Notes, other than amendments or modifications that otherwise comply with the definition of Refinancing Indebtedness that may be incurred to refinance any such Material Indebtedness.</w:t>
      </w:r>
    </w:p>
    <w:p>
      <w:pPr>
        <w:spacing w:after="0" w:line="215" w:lineRule="exact"/>
        <w:rPr>
          <w:sz w:val="20"/>
          <w:szCs w:val="20"/>
          <w:color w:val="auto"/>
        </w:rPr>
      </w:pPr>
    </w:p>
    <w:p>
      <w:pPr>
        <w:ind w:right="180" w:firstLine="648"/>
        <w:spacing w:after="0" w:line="250" w:lineRule="auto"/>
        <w:rPr>
          <w:sz w:val="20"/>
          <w:szCs w:val="20"/>
          <w:color w:val="auto"/>
        </w:rPr>
      </w:pPr>
      <w:r>
        <w:rPr>
          <w:rFonts w:ascii="Arial" w:cs="Arial" w:eastAsia="Arial" w:hAnsi="Arial"/>
          <w:sz w:val="22"/>
          <w:szCs w:val="22"/>
          <w:color w:val="auto"/>
        </w:rPr>
        <w:t xml:space="preserve">SECTION 6.12. </w:t>
      </w:r>
      <w:r>
        <w:rPr>
          <w:rFonts w:ascii="Arial" w:cs="Arial" w:eastAsia="Arial" w:hAnsi="Arial"/>
          <w:sz w:val="22"/>
          <w:szCs w:val="22"/>
          <w:u w:val="single" w:color="auto"/>
          <w:color w:val="auto"/>
        </w:rPr>
        <w:t>Interest Coverage Ratio</w:t>
      </w:r>
      <w:r>
        <w:rPr>
          <w:rFonts w:ascii="Arial" w:cs="Arial" w:eastAsia="Arial" w:hAnsi="Arial"/>
          <w:sz w:val="22"/>
          <w:szCs w:val="22"/>
          <w:color w:val="auto"/>
        </w:rPr>
        <w:t>. The Company will not permit the Interest Coverage Ratio as of the last day of any period of four consecutive fiscal quarters of the Company to be less than 3.00 to 1.00.</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07" w:name="page308"/>
    <w:bookmarkEnd w:id="307"/>
    <w:p>
      <w:pPr>
        <w:ind w:right="220" w:firstLine="648"/>
        <w:spacing w:after="0" w:line="241" w:lineRule="auto"/>
        <w:rPr>
          <w:sz w:val="20"/>
          <w:szCs w:val="20"/>
          <w:color w:val="auto"/>
        </w:rPr>
      </w:pPr>
      <w:r>
        <w:rPr>
          <w:rFonts w:ascii="Arial" w:cs="Arial" w:eastAsia="Arial" w:hAnsi="Arial"/>
          <w:sz w:val="22"/>
          <w:szCs w:val="22"/>
          <w:color w:val="auto"/>
        </w:rPr>
        <w:t xml:space="preserve">SECTION 6.13. </w:t>
      </w:r>
      <w:r>
        <w:rPr>
          <w:rFonts w:ascii="Arial" w:cs="Arial" w:eastAsia="Arial" w:hAnsi="Arial"/>
          <w:sz w:val="22"/>
          <w:szCs w:val="22"/>
          <w:u w:val="single" w:color="auto"/>
          <w:color w:val="auto"/>
        </w:rPr>
        <w:t>Total Leverage Ratio</w:t>
      </w:r>
      <w:r>
        <w:rPr>
          <w:rFonts w:ascii="Arial" w:cs="Arial" w:eastAsia="Arial" w:hAnsi="Arial"/>
          <w:sz w:val="22"/>
          <w:szCs w:val="22"/>
          <w:color w:val="auto"/>
        </w:rPr>
        <w:t>. Commencing with the fiscal quarter ending June 30, 2021, the Company will not permit the Total Leverage Ratio as of the last day of any fiscal quarter of the Company ending during any period set forth below, to exceed the ratio set forth below opposite such period:</w:t>
      </w:r>
    </w:p>
    <w:p>
      <w:pPr>
        <w:spacing w:after="0" w:line="212" w:lineRule="exact"/>
        <w:rPr>
          <w:sz w:val="20"/>
          <w:szCs w:val="20"/>
          <w:color w:val="auto"/>
        </w:rPr>
      </w:pPr>
    </w:p>
    <w:tbl>
      <w:tblPr>
        <w:tblLayout w:type="fixed"/>
        <w:tblInd w:w="1710" w:type="dxa"/>
        <w:tblCellMar>
          <w:top w:w="0" w:type="dxa"/>
          <w:left w:w="0" w:type="dxa"/>
          <w:bottom w:w="0" w:type="dxa"/>
          <w:right w:w="0" w:type="dxa"/>
        </w:tblCellMar>
      </w:tblPr>
      <w:tr>
        <w:trPr>
          <w:trHeight w:val="203"/>
        </w:trPr>
        <w:tc>
          <w:tcPr>
            <w:tcW w:w="4500" w:type="dxa"/>
            <w:vAlign w:val="bottom"/>
            <w:tcBorders>
              <w:top w:val="single" w:sz="8" w:color="auto"/>
              <w:left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Fiscal Quarter Ending</w:t>
            </w:r>
          </w:p>
        </w:tc>
        <w:tc>
          <w:tcPr>
            <w:tcW w:w="20" w:type="dxa"/>
            <w:vAlign w:val="bottom"/>
            <w:tcBorders>
              <w:top w:val="single" w:sz="8" w:color="auto"/>
            </w:tcBorders>
          </w:tcPr>
          <w:p>
            <w:pPr>
              <w:spacing w:after="0"/>
              <w:rPr>
                <w:sz w:val="17"/>
                <w:szCs w:val="17"/>
                <w:color w:val="auto"/>
              </w:rPr>
            </w:pPr>
          </w:p>
        </w:tc>
        <w:tc>
          <w:tcPr>
            <w:tcW w:w="3340" w:type="dxa"/>
            <w:vAlign w:val="bottom"/>
            <w:tcBorders>
              <w:top w:val="single" w:sz="8" w:color="auto"/>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Total Leverage Ratio</w:t>
            </w:r>
          </w:p>
        </w:tc>
      </w:tr>
      <w:tr>
        <w:trPr>
          <w:trHeight w:val="28"/>
        </w:trPr>
        <w:tc>
          <w:tcPr>
            <w:tcW w:w="1620" w:type="dxa"/>
            <w:vAlign w:val="bottom"/>
            <w:tcBorders>
              <w:top w:val="single" w:sz="8" w:color="auto"/>
              <w:left w:val="single" w:sz="8" w:color="auto"/>
              <w:bottom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20" w:type="dxa"/>
            <w:vAlign w:val="bottom"/>
            <w:tcBorders>
              <w:top w:val="single" w:sz="8" w:color="auto"/>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23"/>
        </w:trPr>
        <w:tc>
          <w:tcPr>
            <w:tcW w:w="4500" w:type="dxa"/>
            <w:vAlign w:val="bottom"/>
            <w:tcBorders>
              <w:left w:val="single" w:sz="8" w:color="auto"/>
              <w:bottom w:val="single" w:sz="8" w:color="auto"/>
              <w:right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June 30, 2021</w:t>
            </w:r>
          </w:p>
        </w:tc>
        <w:tc>
          <w:tcPr>
            <w:tcW w:w="20" w:type="dxa"/>
            <w:vAlign w:val="bottom"/>
            <w:tcBorders>
              <w:bottom w:val="single" w:sz="8" w:color="auto"/>
            </w:tcBorders>
            <w:shd w:val="clear" w:color="auto" w:fill="CCEEFF"/>
          </w:tcPr>
          <w:p>
            <w:pPr>
              <w:spacing w:after="0"/>
              <w:rPr>
                <w:sz w:val="19"/>
                <w:szCs w:val="19"/>
                <w:color w:val="auto"/>
              </w:rPr>
            </w:pPr>
          </w:p>
        </w:tc>
        <w:tc>
          <w:tcPr>
            <w:tcW w:w="334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5.50 to 1.00</w:t>
            </w:r>
          </w:p>
        </w:tc>
      </w:tr>
      <w:tr>
        <w:trPr>
          <w:trHeight w:val="223"/>
        </w:trPr>
        <w:tc>
          <w:tcPr>
            <w:tcW w:w="45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September 30, 2021</w:t>
            </w:r>
          </w:p>
        </w:tc>
        <w:tc>
          <w:tcPr>
            <w:tcW w:w="20" w:type="dxa"/>
            <w:vAlign w:val="bottom"/>
            <w:tcBorders>
              <w:bottom w:val="single" w:sz="8" w:color="auto"/>
            </w:tcBorders>
          </w:tcPr>
          <w:p>
            <w:pPr>
              <w:spacing w:after="0"/>
              <w:rPr>
                <w:sz w:val="19"/>
                <w:szCs w:val="19"/>
                <w:color w:val="auto"/>
              </w:rPr>
            </w:pPr>
          </w:p>
        </w:tc>
        <w:tc>
          <w:tcPr>
            <w:tcW w:w="33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5.25 to 1.00</w:t>
            </w:r>
          </w:p>
        </w:tc>
      </w:tr>
      <w:tr>
        <w:trPr>
          <w:trHeight w:val="223"/>
        </w:trPr>
        <w:tc>
          <w:tcPr>
            <w:tcW w:w="4500" w:type="dxa"/>
            <w:vAlign w:val="bottom"/>
            <w:tcBorders>
              <w:left w:val="single" w:sz="8" w:color="auto"/>
              <w:bottom w:val="single" w:sz="8" w:color="auto"/>
              <w:right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December 31, 2021</w:t>
            </w:r>
          </w:p>
        </w:tc>
        <w:tc>
          <w:tcPr>
            <w:tcW w:w="20" w:type="dxa"/>
            <w:vAlign w:val="bottom"/>
            <w:tcBorders>
              <w:bottom w:val="single" w:sz="8" w:color="auto"/>
            </w:tcBorders>
            <w:shd w:val="clear" w:color="auto" w:fill="CCEEFF"/>
          </w:tcPr>
          <w:p>
            <w:pPr>
              <w:spacing w:after="0"/>
              <w:rPr>
                <w:sz w:val="19"/>
                <w:szCs w:val="19"/>
                <w:color w:val="auto"/>
              </w:rPr>
            </w:pPr>
          </w:p>
        </w:tc>
        <w:tc>
          <w:tcPr>
            <w:tcW w:w="334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5.25 to 1.00</w:t>
            </w:r>
          </w:p>
        </w:tc>
      </w:tr>
      <w:tr>
        <w:trPr>
          <w:trHeight w:val="223"/>
        </w:trPr>
        <w:tc>
          <w:tcPr>
            <w:tcW w:w="45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March 31, 2022</w:t>
            </w:r>
          </w:p>
        </w:tc>
        <w:tc>
          <w:tcPr>
            <w:tcW w:w="20" w:type="dxa"/>
            <w:vAlign w:val="bottom"/>
            <w:tcBorders>
              <w:bottom w:val="single" w:sz="8" w:color="auto"/>
            </w:tcBorders>
          </w:tcPr>
          <w:p>
            <w:pPr>
              <w:spacing w:after="0"/>
              <w:rPr>
                <w:sz w:val="19"/>
                <w:szCs w:val="19"/>
                <w:color w:val="auto"/>
              </w:rPr>
            </w:pPr>
          </w:p>
        </w:tc>
        <w:tc>
          <w:tcPr>
            <w:tcW w:w="33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4.50 to 1.00</w:t>
            </w:r>
          </w:p>
        </w:tc>
      </w:tr>
      <w:tr>
        <w:trPr>
          <w:trHeight w:val="223"/>
        </w:trPr>
        <w:tc>
          <w:tcPr>
            <w:tcW w:w="4500" w:type="dxa"/>
            <w:vAlign w:val="bottom"/>
            <w:tcBorders>
              <w:left w:val="single" w:sz="8" w:color="auto"/>
              <w:bottom w:val="single" w:sz="8" w:color="auto"/>
              <w:right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June 30, 2022</w:t>
            </w:r>
          </w:p>
        </w:tc>
        <w:tc>
          <w:tcPr>
            <w:tcW w:w="20" w:type="dxa"/>
            <w:vAlign w:val="bottom"/>
            <w:tcBorders>
              <w:bottom w:val="single" w:sz="8" w:color="auto"/>
            </w:tcBorders>
            <w:shd w:val="clear" w:color="auto" w:fill="CCEEFF"/>
          </w:tcPr>
          <w:p>
            <w:pPr>
              <w:spacing w:after="0"/>
              <w:rPr>
                <w:sz w:val="19"/>
                <w:szCs w:val="19"/>
                <w:color w:val="auto"/>
              </w:rPr>
            </w:pPr>
          </w:p>
        </w:tc>
        <w:tc>
          <w:tcPr>
            <w:tcW w:w="334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4.50 to 1.00</w:t>
            </w:r>
          </w:p>
        </w:tc>
      </w:tr>
      <w:tr>
        <w:trPr>
          <w:trHeight w:val="223"/>
        </w:trPr>
        <w:tc>
          <w:tcPr>
            <w:tcW w:w="45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September 30, 2022</w:t>
            </w:r>
          </w:p>
        </w:tc>
        <w:tc>
          <w:tcPr>
            <w:tcW w:w="20" w:type="dxa"/>
            <w:vAlign w:val="bottom"/>
            <w:tcBorders>
              <w:bottom w:val="single" w:sz="8" w:color="auto"/>
            </w:tcBorders>
          </w:tcPr>
          <w:p>
            <w:pPr>
              <w:spacing w:after="0"/>
              <w:rPr>
                <w:sz w:val="19"/>
                <w:szCs w:val="19"/>
                <w:color w:val="auto"/>
              </w:rPr>
            </w:pPr>
          </w:p>
        </w:tc>
        <w:tc>
          <w:tcPr>
            <w:tcW w:w="33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4.50 to 1.00</w:t>
            </w:r>
          </w:p>
        </w:tc>
      </w:tr>
      <w:tr>
        <w:trPr>
          <w:trHeight w:val="223"/>
        </w:trPr>
        <w:tc>
          <w:tcPr>
            <w:tcW w:w="4500" w:type="dxa"/>
            <w:vAlign w:val="bottom"/>
            <w:tcBorders>
              <w:left w:val="single" w:sz="8" w:color="auto"/>
              <w:bottom w:val="single" w:sz="8" w:color="auto"/>
              <w:right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December 31, 2022</w:t>
            </w:r>
          </w:p>
        </w:tc>
        <w:tc>
          <w:tcPr>
            <w:tcW w:w="20" w:type="dxa"/>
            <w:vAlign w:val="bottom"/>
            <w:tcBorders>
              <w:bottom w:val="single" w:sz="8" w:color="auto"/>
            </w:tcBorders>
            <w:shd w:val="clear" w:color="auto" w:fill="CCEEFF"/>
          </w:tcPr>
          <w:p>
            <w:pPr>
              <w:spacing w:after="0"/>
              <w:rPr>
                <w:sz w:val="19"/>
                <w:szCs w:val="19"/>
                <w:color w:val="auto"/>
              </w:rPr>
            </w:pPr>
          </w:p>
        </w:tc>
        <w:tc>
          <w:tcPr>
            <w:tcW w:w="334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4.00 to 1.00</w:t>
            </w:r>
          </w:p>
        </w:tc>
      </w:tr>
      <w:tr>
        <w:trPr>
          <w:trHeight w:val="223"/>
        </w:trPr>
        <w:tc>
          <w:tcPr>
            <w:tcW w:w="45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March 31, 2023 and thereafter</w:t>
            </w:r>
          </w:p>
        </w:tc>
        <w:tc>
          <w:tcPr>
            <w:tcW w:w="20" w:type="dxa"/>
            <w:vAlign w:val="bottom"/>
            <w:tcBorders>
              <w:bottom w:val="single" w:sz="8" w:color="auto"/>
            </w:tcBorders>
          </w:tcPr>
          <w:p>
            <w:pPr>
              <w:spacing w:after="0"/>
              <w:rPr>
                <w:sz w:val="19"/>
                <w:szCs w:val="19"/>
                <w:color w:val="auto"/>
              </w:rPr>
            </w:pPr>
          </w:p>
        </w:tc>
        <w:tc>
          <w:tcPr>
            <w:tcW w:w="33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3.50 to 1.00</w:t>
            </w:r>
          </w:p>
        </w:tc>
      </w:tr>
    </w:tbl>
    <w:p>
      <w:pPr>
        <w:spacing w:after="0" w:line="222" w:lineRule="exact"/>
        <w:rPr>
          <w:sz w:val="20"/>
          <w:szCs w:val="20"/>
          <w:color w:val="auto"/>
        </w:rPr>
      </w:pPr>
    </w:p>
    <w:p>
      <w:pPr>
        <w:ind w:right="220" w:firstLine="648"/>
        <w:spacing w:after="0" w:line="328" w:lineRule="auto"/>
        <w:rPr>
          <w:sz w:val="20"/>
          <w:szCs w:val="20"/>
          <w:color w:val="auto"/>
        </w:rPr>
      </w:pPr>
      <w:r>
        <w:rPr>
          <w:rFonts w:ascii="Arial" w:cs="Arial" w:eastAsia="Arial" w:hAnsi="Arial"/>
          <w:sz w:val="19"/>
          <w:szCs w:val="19"/>
          <w:color w:val="auto"/>
        </w:rPr>
        <w:t xml:space="preserve">SECTION 6.14. </w:t>
      </w:r>
      <w:r>
        <w:rPr>
          <w:rFonts w:ascii="Arial" w:cs="Arial" w:eastAsia="Arial" w:hAnsi="Arial"/>
          <w:sz w:val="19"/>
          <w:szCs w:val="19"/>
          <w:u w:val="single" w:color="auto"/>
          <w:color w:val="auto"/>
        </w:rPr>
        <w:t>First Lien Leverage Ratio</w:t>
      </w:r>
      <w:r>
        <w:rPr>
          <w:rFonts w:ascii="Arial" w:cs="Arial" w:eastAsia="Arial" w:hAnsi="Arial"/>
          <w:sz w:val="19"/>
          <w:szCs w:val="19"/>
          <w:color w:val="auto"/>
        </w:rPr>
        <w:t>. The Company will not permit the First Lien Leverage Ratio as of the last day of any fiscal quarter of the Company, commencing with the fiscal quarter ending June 30, 2021, to exceed 2.50 to 1.00.</w:t>
      </w:r>
    </w:p>
    <w:p>
      <w:pPr>
        <w:spacing w:after="0" w:line="132" w:lineRule="exact"/>
        <w:rPr>
          <w:sz w:val="20"/>
          <w:szCs w:val="20"/>
          <w:color w:val="auto"/>
        </w:rPr>
      </w:pPr>
    </w:p>
    <w:p>
      <w:pPr>
        <w:ind w:right="120" w:firstLine="648"/>
        <w:spacing w:after="0" w:line="328" w:lineRule="auto"/>
        <w:rPr>
          <w:sz w:val="20"/>
          <w:szCs w:val="20"/>
          <w:color w:val="auto"/>
        </w:rPr>
      </w:pPr>
      <w:r>
        <w:rPr>
          <w:rFonts w:ascii="Arial" w:cs="Arial" w:eastAsia="Arial" w:hAnsi="Arial"/>
          <w:sz w:val="19"/>
          <w:szCs w:val="19"/>
          <w:color w:val="auto"/>
        </w:rPr>
        <w:t xml:space="preserve">SECTION 6.15. </w:t>
      </w:r>
      <w:r>
        <w:rPr>
          <w:rFonts w:ascii="Arial" w:cs="Arial" w:eastAsia="Arial" w:hAnsi="Arial"/>
          <w:sz w:val="19"/>
          <w:szCs w:val="19"/>
          <w:u w:val="single" w:color="auto"/>
          <w:color w:val="auto"/>
        </w:rPr>
        <w:t>Changes in Fiscal Periods</w:t>
      </w:r>
      <w:r>
        <w:rPr>
          <w:rFonts w:ascii="Arial" w:cs="Arial" w:eastAsia="Arial" w:hAnsi="Arial"/>
          <w:sz w:val="19"/>
          <w:szCs w:val="19"/>
          <w:color w:val="auto"/>
        </w:rPr>
        <w:t>. The Borrowers will neither (a) permit their fiscal year or the fiscal year of any Restricted Subsidiary to end on a day other than December 31, nor (b) change their method of determining fiscal quarters.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Events of Default</w:t>
      </w:r>
    </w:p>
    <w:p>
      <w:pPr>
        <w:spacing w:after="0" w:line="233" w:lineRule="exact"/>
        <w:rPr>
          <w:sz w:val="20"/>
          <w:szCs w:val="20"/>
          <w:color w:val="auto"/>
        </w:rPr>
      </w:pPr>
    </w:p>
    <w:p>
      <w:pPr>
        <w:ind w:left="660"/>
        <w:spacing w:after="0"/>
        <w:tabs>
          <w:tab w:leader="none" w:pos="2300" w:val="left"/>
        </w:tabs>
        <w:rPr>
          <w:sz w:val="20"/>
          <w:szCs w:val="20"/>
          <w:color w:val="auto"/>
        </w:rPr>
      </w:pPr>
      <w:r>
        <w:rPr>
          <w:rFonts w:ascii="Arial" w:cs="Arial" w:eastAsia="Arial" w:hAnsi="Arial"/>
          <w:sz w:val="22"/>
          <w:szCs w:val="22"/>
          <w:color w:val="auto"/>
        </w:rPr>
        <w:t>SECTION 7.01.</w:t>
      </w:r>
      <w:r>
        <w:rPr>
          <w:sz w:val="20"/>
          <w:szCs w:val="20"/>
          <w:color w:val="auto"/>
        </w:rPr>
        <w:tab/>
      </w:r>
      <w:r>
        <w:rPr>
          <w:rFonts w:ascii="Arial" w:cs="Arial" w:eastAsia="Arial" w:hAnsi="Arial"/>
          <w:sz w:val="19"/>
          <w:szCs w:val="19"/>
          <w:u w:val="single" w:color="auto"/>
          <w:color w:val="auto"/>
        </w:rPr>
        <w:t>Events of Default</w:t>
      </w:r>
      <w:r>
        <w:rPr>
          <w:rFonts w:ascii="Arial" w:cs="Arial" w:eastAsia="Arial" w:hAnsi="Arial"/>
          <w:sz w:val="19"/>
          <w:szCs w:val="19"/>
          <w:color w:val="auto"/>
        </w:rPr>
        <w:t>. If any of the following events (each such event, an “Event of Default”) shall occur:</w:t>
      </w:r>
    </w:p>
    <w:p>
      <w:pPr>
        <w:spacing w:after="0" w:line="233" w:lineRule="exact"/>
        <w:rPr>
          <w:sz w:val="20"/>
          <w:szCs w:val="20"/>
          <w:color w:val="auto"/>
        </w:rPr>
      </w:pPr>
    </w:p>
    <w:p>
      <w:pPr>
        <w:jc w:val="both"/>
        <w:ind w:right="20" w:firstLine="656"/>
        <w:spacing w:after="0"/>
        <w:tabs>
          <w:tab w:leader="none" w:pos="1452" w:val="left"/>
        </w:tabs>
        <w:numPr>
          <w:ilvl w:val="0"/>
          <w:numId w:val="247"/>
        </w:numPr>
        <w:rPr>
          <w:rFonts w:ascii="Arial" w:cs="Arial" w:eastAsia="Arial" w:hAnsi="Arial"/>
          <w:sz w:val="22"/>
          <w:szCs w:val="22"/>
          <w:color w:val="auto"/>
        </w:rPr>
      </w:pPr>
      <w:r>
        <w:rPr>
          <w:rFonts w:ascii="Arial" w:cs="Arial" w:eastAsia="Arial" w:hAnsi="Arial"/>
          <w:sz w:val="22"/>
          <w:szCs w:val="22"/>
          <w:color w:val="auto"/>
        </w:rPr>
        <w:t>the Borrowers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213" w:lineRule="exact"/>
        <w:rPr>
          <w:rFonts w:ascii="Arial" w:cs="Arial" w:eastAsia="Arial" w:hAnsi="Arial"/>
          <w:sz w:val="22"/>
          <w:szCs w:val="22"/>
          <w:color w:val="auto"/>
        </w:rPr>
      </w:pPr>
    </w:p>
    <w:p>
      <w:pPr>
        <w:jc w:val="both"/>
        <w:ind w:firstLine="656"/>
        <w:spacing w:after="0" w:line="297" w:lineRule="auto"/>
        <w:tabs>
          <w:tab w:leader="none" w:pos="1444" w:val="left"/>
        </w:tabs>
        <w:numPr>
          <w:ilvl w:val="0"/>
          <w:numId w:val="247"/>
        </w:numPr>
        <w:rPr>
          <w:rFonts w:ascii="Arial" w:cs="Arial" w:eastAsia="Arial" w:hAnsi="Arial"/>
          <w:sz w:val="19"/>
          <w:szCs w:val="19"/>
          <w:color w:val="auto"/>
        </w:rPr>
      </w:pPr>
      <w:r>
        <w:rPr>
          <w:rFonts w:ascii="Arial" w:cs="Arial" w:eastAsia="Arial" w:hAnsi="Arial"/>
          <w:sz w:val="19"/>
          <w:szCs w:val="19"/>
          <w:color w:val="auto"/>
        </w:rPr>
        <w:t>the Borrowers shall fail to pay any interest on any Loan or any fee or any other amount (other than an amount referred to in clause (a) of this Section) payable under this Agreement or any other Loan Document, when and as the same shall become due and payable, and such failure shall continue unremedied for a period of three (3) Business Days;</w:t>
      </w:r>
    </w:p>
    <w:p>
      <w:pPr>
        <w:spacing w:after="0" w:line="160" w:lineRule="exact"/>
        <w:rPr>
          <w:rFonts w:ascii="Arial" w:cs="Arial" w:eastAsia="Arial" w:hAnsi="Arial"/>
          <w:sz w:val="19"/>
          <w:szCs w:val="19"/>
          <w:color w:val="auto"/>
        </w:rPr>
      </w:pPr>
    </w:p>
    <w:p>
      <w:pPr>
        <w:jc w:val="both"/>
        <w:ind w:firstLine="656"/>
        <w:spacing w:after="0" w:line="238" w:lineRule="auto"/>
        <w:tabs>
          <w:tab w:leader="none" w:pos="1492" w:val="left"/>
        </w:tabs>
        <w:numPr>
          <w:ilvl w:val="0"/>
          <w:numId w:val="247"/>
        </w:numPr>
        <w:rPr>
          <w:rFonts w:ascii="Arial" w:cs="Arial" w:eastAsia="Arial" w:hAnsi="Arial"/>
          <w:sz w:val="22"/>
          <w:szCs w:val="22"/>
          <w:color w:val="auto"/>
        </w:rPr>
      </w:pPr>
      <w:r>
        <w:rPr>
          <w:rFonts w:ascii="Arial" w:cs="Arial" w:eastAsia="Arial" w:hAnsi="Arial"/>
          <w:sz w:val="22"/>
          <w:szCs w:val="22"/>
          <w:color w:val="auto"/>
        </w:rPr>
        <w:t>on and after the Effective Date, any representation or warranty made or deemed made by or on behalf of the Borrowers or any Restricted Subsidiary in this Agreement or any other Loan Document, or in any report, certificate or financial statement furnished pursuant to or in connection with this Agreement or any other Loan Document, shall prove to have been incorrect in any material respect when made or deemed made;</w:t>
      </w:r>
    </w:p>
    <w:p>
      <w:pPr>
        <w:spacing w:after="0" w:line="211" w:lineRule="exact"/>
        <w:rPr>
          <w:rFonts w:ascii="Arial" w:cs="Arial" w:eastAsia="Arial" w:hAnsi="Arial"/>
          <w:sz w:val="22"/>
          <w:szCs w:val="22"/>
          <w:color w:val="auto"/>
        </w:rPr>
      </w:pPr>
    </w:p>
    <w:p>
      <w:pPr>
        <w:ind w:firstLine="656"/>
        <w:spacing w:after="0" w:line="274" w:lineRule="auto"/>
        <w:tabs>
          <w:tab w:leader="none" w:pos="1591" w:val="left"/>
        </w:tabs>
        <w:numPr>
          <w:ilvl w:val="0"/>
          <w:numId w:val="247"/>
        </w:numPr>
        <w:rPr>
          <w:rFonts w:ascii="Arial" w:cs="Arial" w:eastAsia="Arial" w:hAnsi="Arial"/>
          <w:sz w:val="21"/>
          <w:szCs w:val="21"/>
          <w:color w:val="auto"/>
        </w:rPr>
      </w:pPr>
      <w:r>
        <w:rPr>
          <w:rFonts w:ascii="Arial" w:cs="Arial" w:eastAsia="Arial" w:hAnsi="Arial"/>
          <w:sz w:val="21"/>
          <w:szCs w:val="21"/>
          <w:color w:val="auto"/>
        </w:rPr>
        <w:t xml:space="preserve">on and after the Effective Date, the Borrowers shall fail to observe or perform any covenant, condition or agreement contained in </w:t>
      </w:r>
      <w:r>
        <w:rPr>
          <w:rFonts w:ascii="Arial" w:cs="Arial" w:eastAsia="Arial" w:hAnsi="Arial"/>
          <w:sz w:val="21"/>
          <w:szCs w:val="21"/>
          <w:u w:val="single" w:color="auto"/>
          <w:color w:val="auto"/>
        </w:rPr>
        <w:t>Section 5.02(a)</w:t>
      </w:r>
      <w:r>
        <w:rPr>
          <w:rFonts w:ascii="Arial" w:cs="Arial" w:eastAsia="Arial" w:hAnsi="Arial"/>
          <w:sz w:val="21"/>
          <w:szCs w:val="21"/>
          <w:color w:val="auto"/>
        </w:rPr>
        <w:t xml:space="preserve">, </w:t>
      </w:r>
      <w:r>
        <w:rPr>
          <w:rFonts w:ascii="Arial" w:cs="Arial" w:eastAsia="Arial" w:hAnsi="Arial"/>
          <w:sz w:val="21"/>
          <w:szCs w:val="21"/>
          <w:u w:val="single" w:color="auto"/>
          <w:color w:val="auto"/>
        </w:rPr>
        <w:t>5.04</w:t>
      </w:r>
      <w:r>
        <w:rPr>
          <w:rFonts w:ascii="Arial" w:cs="Arial" w:eastAsia="Arial" w:hAnsi="Arial"/>
          <w:sz w:val="21"/>
          <w:szCs w:val="21"/>
          <w:color w:val="auto"/>
        </w:rPr>
        <w:t xml:space="preserve"> (with respect to the existence of the Borrowers), </w:t>
      </w:r>
      <w:r>
        <w:rPr>
          <w:rFonts w:ascii="Arial" w:cs="Arial" w:eastAsia="Arial" w:hAnsi="Arial"/>
          <w:sz w:val="21"/>
          <w:szCs w:val="21"/>
          <w:u w:val="single" w:color="auto"/>
          <w:color w:val="auto"/>
        </w:rPr>
        <w:t>5.16</w:t>
      </w:r>
      <w:r>
        <w:rPr>
          <w:rFonts w:ascii="Arial" w:cs="Arial" w:eastAsia="Arial" w:hAnsi="Arial"/>
          <w:sz w:val="21"/>
          <w:szCs w:val="21"/>
          <w:color w:val="auto"/>
        </w:rPr>
        <w:t xml:space="preserve"> or in </w:t>
      </w:r>
      <w:r>
        <w:rPr>
          <w:rFonts w:ascii="Arial" w:cs="Arial" w:eastAsia="Arial" w:hAnsi="Arial"/>
          <w:sz w:val="21"/>
          <w:szCs w:val="21"/>
          <w:u w:val="single" w:color="auto"/>
          <w:color w:val="auto"/>
        </w:rPr>
        <w:t>Article VI</w:t>
      </w:r>
      <w:r>
        <w:rPr>
          <w:rFonts w:ascii="Arial" w:cs="Arial" w:eastAsia="Arial" w:hAnsi="Arial"/>
          <w:sz w:val="21"/>
          <w:szCs w:val="21"/>
          <w:color w:val="auto"/>
        </w:rPr>
        <w: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8" w:name="page309"/>
    <w:bookmarkEnd w:id="308"/>
    <w:p>
      <w:pPr>
        <w:jc w:val="both"/>
        <w:ind w:firstLine="656"/>
        <w:spacing w:after="0" w:line="238" w:lineRule="auto"/>
        <w:tabs>
          <w:tab w:leader="none" w:pos="1544" w:val="left"/>
        </w:tabs>
        <w:numPr>
          <w:ilvl w:val="0"/>
          <w:numId w:val="248"/>
        </w:numPr>
        <w:rPr>
          <w:rFonts w:ascii="Arial" w:cs="Arial" w:eastAsia="Arial" w:hAnsi="Arial"/>
          <w:sz w:val="22"/>
          <w:szCs w:val="22"/>
          <w:color w:val="auto"/>
        </w:rPr>
      </w:pPr>
      <w:r>
        <w:rPr>
          <w:rFonts w:ascii="Arial" w:cs="Arial" w:eastAsia="Arial" w:hAnsi="Arial"/>
          <w:sz w:val="22"/>
          <w:szCs w:val="22"/>
          <w:color w:val="auto"/>
        </w:rPr>
        <w:t>on and after the Effective Date, any Loan Party shall fail to observe or perform any covenant, condition or agreement contained in this Agreement or any other Loan Document (other than those specified in clause (a), (b) or (d) of this Section), and such failure shall continue unremedied for a period of 30 days after notice thereof from the Administrative Agent or any Lender to the Borrowers;</w:t>
      </w:r>
    </w:p>
    <w:p>
      <w:pPr>
        <w:spacing w:after="0" w:line="212" w:lineRule="exact"/>
        <w:rPr>
          <w:rFonts w:ascii="Arial" w:cs="Arial" w:eastAsia="Arial" w:hAnsi="Arial"/>
          <w:sz w:val="22"/>
          <w:szCs w:val="22"/>
          <w:color w:val="auto"/>
        </w:rPr>
      </w:pPr>
    </w:p>
    <w:p>
      <w:pPr>
        <w:jc w:val="both"/>
        <w:ind w:firstLine="656"/>
        <w:spacing w:after="0" w:line="238" w:lineRule="auto"/>
        <w:tabs>
          <w:tab w:leader="none" w:pos="1685" w:val="left"/>
        </w:tabs>
        <w:numPr>
          <w:ilvl w:val="0"/>
          <w:numId w:val="248"/>
        </w:numPr>
        <w:rPr>
          <w:rFonts w:ascii="Arial" w:cs="Arial" w:eastAsia="Arial" w:hAnsi="Arial"/>
          <w:sz w:val="22"/>
          <w:szCs w:val="22"/>
          <w:color w:val="auto"/>
        </w:rPr>
      </w:pPr>
      <w:r>
        <w:rPr>
          <w:rFonts w:ascii="Arial" w:cs="Arial" w:eastAsia="Arial" w:hAnsi="Arial"/>
          <w:sz w:val="22"/>
          <w:szCs w:val="22"/>
          <w:color w:val="auto"/>
        </w:rPr>
        <w:t>the Borrowers or any Restricted Subsidiary shall fail to make any payment (whether of principal, interest, premium or otherwise and regardless of amount) in respect of any Material Indebtedness when and as the same shall become due and payable (after giving effect to any applicable grace period in respect of such failure under the documentation governing such Material Indebtedness);</w:t>
      </w:r>
    </w:p>
    <w:p>
      <w:pPr>
        <w:spacing w:after="0" w:line="211" w:lineRule="exact"/>
        <w:rPr>
          <w:rFonts w:ascii="Arial" w:cs="Arial" w:eastAsia="Arial" w:hAnsi="Arial"/>
          <w:sz w:val="22"/>
          <w:szCs w:val="22"/>
          <w:color w:val="auto"/>
        </w:rPr>
      </w:pPr>
    </w:p>
    <w:p>
      <w:pPr>
        <w:jc w:val="both"/>
        <w:ind w:firstLine="656"/>
        <w:spacing w:after="0" w:line="245" w:lineRule="auto"/>
        <w:tabs>
          <w:tab w:leader="none" w:pos="1561" w:val="left"/>
        </w:tabs>
        <w:numPr>
          <w:ilvl w:val="0"/>
          <w:numId w:val="248"/>
        </w:numPr>
        <w:rPr>
          <w:rFonts w:ascii="Arial" w:cs="Arial" w:eastAsia="Arial" w:hAnsi="Arial"/>
          <w:sz w:val="21"/>
          <w:szCs w:val="21"/>
          <w:color w:val="auto"/>
        </w:rPr>
      </w:pPr>
      <w:r>
        <w:rPr>
          <w:rFonts w:ascii="Arial" w:cs="Arial" w:eastAsia="Arial" w:hAnsi="Arial"/>
          <w:sz w:val="21"/>
          <w:szCs w:val="21"/>
          <w:color w:val="auto"/>
        </w:rPr>
        <w:t xml:space="preserve">any event or condition occurs that results in any Material Indebtedness becoming due or being terminated or required to be prepaid, repurchased, redeemed or defeased prior to its scheduled maturity or that enables or permits (with all applicable grace periods, if any, in respect of such event or condition under the documentation representing such Material Indebtedness having expired) the holder or holders of any Material Indebtedness or any trustee or agent on its or their behalf, or, in the case of any Hedging Agreement, the applicable counterparty, to cause any Material Indebtedness to become due, or to terminate or require the prepayment, repurchase, redemption or defeasance thereof, prior to its scheduled maturity;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this clause (g) shall not apply to (i) any secured Indebtedness that becomes due as a result of the voluntary sale, transfer or other disposition of the assets securing such Indebtedness (to the extent such sale, transfer or other disposition is not prohibited under this Agreement) or (ii) any Indebtedness that becomes due as a result of a voluntary refinancing thereof permitted under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6.01</w:t>
      </w:r>
      <w:r>
        <w:rPr>
          <w:rFonts w:ascii="Arial" w:cs="Arial" w:eastAsia="Arial" w:hAnsi="Arial"/>
          <w:sz w:val="21"/>
          <w:szCs w:val="21"/>
          <w:color w:val="auto"/>
        </w:rPr>
        <w:t>;</w:t>
      </w:r>
    </w:p>
    <w:p>
      <w:pPr>
        <w:spacing w:after="0" w:line="207" w:lineRule="exact"/>
        <w:rPr>
          <w:rFonts w:ascii="Arial" w:cs="Arial" w:eastAsia="Arial" w:hAnsi="Arial"/>
          <w:sz w:val="21"/>
          <w:szCs w:val="21"/>
          <w:color w:val="auto"/>
        </w:rPr>
      </w:pPr>
    </w:p>
    <w:p>
      <w:pPr>
        <w:jc w:val="both"/>
        <w:ind w:firstLine="656"/>
        <w:spacing w:after="0" w:line="279" w:lineRule="auto"/>
        <w:tabs>
          <w:tab w:leader="none" w:pos="1459" w:val="left"/>
        </w:tabs>
        <w:numPr>
          <w:ilvl w:val="0"/>
          <w:numId w:val="248"/>
        </w:numPr>
        <w:rPr>
          <w:rFonts w:ascii="Arial" w:cs="Arial" w:eastAsia="Arial" w:hAnsi="Arial"/>
          <w:sz w:val="19"/>
          <w:szCs w:val="19"/>
          <w:color w:val="auto"/>
        </w:rPr>
      </w:pPr>
      <w:r>
        <w:rPr>
          <w:rFonts w:ascii="Arial" w:cs="Arial" w:eastAsia="Arial" w:hAnsi="Arial"/>
          <w:sz w:val="19"/>
          <w:szCs w:val="19"/>
          <w:color w:val="auto"/>
        </w:rPr>
        <w:t>an involuntary proceeding shall be commenced or an involuntary petition shall be filed seeking (i) liquidation, reorganization or other relief in respect of the Borrowers or any Material Subsidiary or its debts, or of a substantial part of its assets, under any Federal, State or foreign bankruptcy, insolvency, receivership or similar law now or hereafter in effect or (ii) the appointment of a receiver, trustee, custodian, sequestrator, conservator or similar official for the Borrowers or any Material Subsidiary or for a substantial part of its assets, and, in any such case, such proceeding or petition shall continue undismissed for 60 days or an order or decree approving or ordering any of the foregoing shall be entered;</w:t>
      </w:r>
    </w:p>
    <w:p>
      <w:pPr>
        <w:spacing w:after="0" w:line="177" w:lineRule="exact"/>
        <w:rPr>
          <w:rFonts w:ascii="Arial" w:cs="Arial" w:eastAsia="Arial" w:hAnsi="Arial"/>
          <w:sz w:val="19"/>
          <w:szCs w:val="19"/>
          <w:color w:val="auto"/>
        </w:rPr>
      </w:pPr>
    </w:p>
    <w:p>
      <w:pPr>
        <w:jc w:val="both"/>
        <w:ind w:firstLine="656"/>
        <w:spacing w:after="0" w:line="245" w:lineRule="auto"/>
        <w:tabs>
          <w:tab w:leader="none" w:pos="1592" w:val="left"/>
        </w:tabs>
        <w:numPr>
          <w:ilvl w:val="0"/>
          <w:numId w:val="248"/>
        </w:numPr>
        <w:rPr>
          <w:rFonts w:ascii="Arial" w:cs="Arial" w:eastAsia="Arial" w:hAnsi="Arial"/>
          <w:sz w:val="21"/>
          <w:szCs w:val="21"/>
          <w:color w:val="auto"/>
        </w:rPr>
      </w:pPr>
      <w:r>
        <w:rPr>
          <w:rFonts w:ascii="Arial" w:cs="Arial" w:eastAsia="Arial" w:hAnsi="Arial"/>
          <w:sz w:val="21"/>
          <w:szCs w:val="21"/>
          <w:color w:val="auto"/>
        </w:rPr>
        <w:t xml:space="preserve">the Borrowers or any Material Subsidiary shall (i) voluntarily commence any proceeding or file any petition seeking liquidation (other than any liquidation permitted under </w:t>
      </w:r>
      <w:r>
        <w:rPr>
          <w:rFonts w:ascii="Arial" w:cs="Arial" w:eastAsia="Arial" w:hAnsi="Arial"/>
          <w:sz w:val="21"/>
          <w:szCs w:val="21"/>
          <w:u w:val="single" w:color="auto"/>
          <w:color w:val="auto"/>
        </w:rPr>
        <w:t>Section 6.03(a)(iv)</w:t>
      </w:r>
      <w:r>
        <w:rPr>
          <w:rFonts w:ascii="Arial" w:cs="Arial" w:eastAsia="Arial" w:hAnsi="Arial"/>
          <w:sz w:val="21"/>
          <w:szCs w:val="21"/>
          <w:color w:val="auto"/>
        </w:rPr>
        <w:t>), reorganization or other relief under any Federal, State or foreign bankruptcy, insolvency, receivership or similar law now or hereafter in effect, (ii) consent to the institution of, or fail to contest in a timely and appropriate manner, any proceeding or petition described in clause (h) of this Section, (iii) apply for or consent to the appointment of a receiver, trustee, custodian, sequestrator, conservator or similar official for the Borrowers or any Material Subsidiary or for a substantial part of their assets, (iv) file an answer admitting the material allegations of a petition filed against it in any such proceeding or (v) make a general assignment for the benefit of creditors, or the board of directors (or similar governing body) of the Borrowers or any Material Subsidiary (or any committee thereof) shall adopt any resolution or otherwise authorize any action to approve any of the actions referred to above in this clause (i) or in clause (h) of this Section;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9" w:name="page310"/>
    <w:bookmarkEnd w:id="309"/>
    <w:p>
      <w:pPr>
        <w:ind w:right="20" w:firstLine="656"/>
        <w:spacing w:after="0" w:line="251" w:lineRule="auto"/>
        <w:tabs>
          <w:tab w:leader="none" w:pos="1435" w:val="left"/>
        </w:tabs>
        <w:numPr>
          <w:ilvl w:val="1"/>
          <w:numId w:val="249"/>
        </w:numPr>
        <w:rPr>
          <w:rFonts w:ascii="Arial" w:cs="Arial" w:eastAsia="Arial" w:hAnsi="Arial"/>
          <w:sz w:val="22"/>
          <w:szCs w:val="22"/>
          <w:color w:val="auto"/>
        </w:rPr>
      </w:pPr>
      <w:r>
        <w:rPr>
          <w:rFonts w:ascii="Arial" w:cs="Arial" w:eastAsia="Arial" w:hAnsi="Arial"/>
          <w:sz w:val="22"/>
          <w:szCs w:val="22"/>
          <w:color w:val="auto"/>
        </w:rPr>
        <w:t>the Borrowers or any Material Subsidiary shall admit in writing their inability or fail generally to pay their debts as they become due;</w:t>
      </w:r>
    </w:p>
    <w:p>
      <w:pPr>
        <w:spacing w:after="0" w:line="200" w:lineRule="exact"/>
        <w:rPr>
          <w:rFonts w:ascii="Arial" w:cs="Arial" w:eastAsia="Arial" w:hAnsi="Arial"/>
          <w:sz w:val="22"/>
          <w:szCs w:val="22"/>
          <w:color w:val="auto"/>
        </w:rPr>
      </w:pPr>
    </w:p>
    <w:p>
      <w:pPr>
        <w:jc w:val="both"/>
        <w:ind w:firstLine="656"/>
        <w:spacing w:after="0" w:line="279" w:lineRule="auto"/>
        <w:tabs>
          <w:tab w:leader="none" w:pos="1440" w:val="left"/>
        </w:tabs>
        <w:numPr>
          <w:ilvl w:val="1"/>
          <w:numId w:val="249"/>
        </w:numPr>
        <w:rPr>
          <w:rFonts w:ascii="Arial" w:cs="Arial" w:eastAsia="Arial" w:hAnsi="Arial"/>
          <w:sz w:val="19"/>
          <w:szCs w:val="19"/>
          <w:color w:val="auto"/>
        </w:rPr>
      </w:pPr>
      <w:r>
        <w:rPr>
          <w:rFonts w:ascii="Arial" w:cs="Arial" w:eastAsia="Arial" w:hAnsi="Arial"/>
          <w:sz w:val="19"/>
          <w:szCs w:val="19"/>
          <w:color w:val="auto"/>
        </w:rPr>
        <w:t>one or more judgments for the payment of money in an aggregate amount in excess of $100,000,000 (other than any such judgment covered by insurance (other than under a self-insurance program) to the extent a claim therefor has been made in writing and liability therefor has not been denied by the insurer) shall be rendered against the Borrowers, any Restricted Subsidiary or any combination thereof and the same shall remain undischarged for a period of 60 consecutive days during which execution shall not be effectively stayed, or any action shall be legally taken by a judgment creditor to attach or levy upon any assets of the Borrowers or any Restricted Subsidiary to enforce any such judgment;</w:t>
      </w:r>
    </w:p>
    <w:p>
      <w:pPr>
        <w:spacing w:after="0" w:line="177" w:lineRule="exact"/>
        <w:rPr>
          <w:rFonts w:ascii="Arial" w:cs="Arial" w:eastAsia="Arial" w:hAnsi="Arial"/>
          <w:sz w:val="19"/>
          <w:szCs w:val="19"/>
          <w:color w:val="auto"/>
        </w:rPr>
      </w:pPr>
    </w:p>
    <w:p>
      <w:pPr>
        <w:ind w:left="1460" w:hanging="804"/>
        <w:spacing w:after="0"/>
        <w:tabs>
          <w:tab w:leader="none" w:pos="1460" w:val="left"/>
        </w:tabs>
        <w:numPr>
          <w:ilvl w:val="1"/>
          <w:numId w:val="249"/>
        </w:numPr>
        <w:rPr>
          <w:rFonts w:ascii="Arial" w:cs="Arial" w:eastAsia="Arial" w:hAnsi="Arial"/>
          <w:sz w:val="19"/>
          <w:szCs w:val="19"/>
          <w:color w:val="auto"/>
        </w:rPr>
      </w:pPr>
      <w:r>
        <w:rPr>
          <w:rFonts w:ascii="Arial" w:cs="Arial" w:eastAsia="Arial" w:hAnsi="Arial"/>
          <w:sz w:val="19"/>
          <w:szCs w:val="19"/>
          <w:color w:val="auto"/>
        </w:rPr>
        <w:t>an ERISA Event shall have occurred that, when taken together with all other ERISA Events that have occurred,</w:t>
      </w:r>
    </w:p>
    <w:p>
      <w:pPr>
        <w:spacing w:after="0" w:line="42" w:lineRule="exact"/>
        <w:rPr>
          <w:rFonts w:ascii="Arial" w:cs="Arial" w:eastAsia="Arial" w:hAnsi="Arial"/>
          <w:sz w:val="19"/>
          <w:szCs w:val="19"/>
          <w:color w:val="auto"/>
        </w:rPr>
      </w:pPr>
    </w:p>
    <w:p>
      <w:pPr>
        <w:ind w:firstLine="8"/>
        <w:spacing w:after="0" w:line="236" w:lineRule="auto"/>
        <w:tabs>
          <w:tab w:leader="none" w:pos="273" w:val="left"/>
        </w:tabs>
        <w:numPr>
          <w:ilvl w:val="0"/>
          <w:numId w:val="250"/>
        </w:numPr>
        <w:rPr>
          <w:rFonts w:ascii="Arial" w:cs="Arial" w:eastAsia="Arial" w:hAnsi="Arial"/>
          <w:sz w:val="22"/>
          <w:szCs w:val="22"/>
          <w:color w:val="auto"/>
        </w:rPr>
      </w:pPr>
      <w:r>
        <w:rPr>
          <w:rFonts w:ascii="Arial" w:cs="Arial" w:eastAsia="Arial" w:hAnsi="Arial"/>
          <w:sz w:val="22"/>
          <w:szCs w:val="22"/>
          <w:color w:val="auto"/>
        </w:rPr>
        <w:t>could reasonably be expected to result in a Material Adverse Effect or (ii) result in a Lien on any of the assets of any Loan Party;</w:t>
      </w:r>
    </w:p>
    <w:p>
      <w:pPr>
        <w:spacing w:after="0" w:line="213" w:lineRule="exact"/>
        <w:rPr>
          <w:rFonts w:ascii="Arial" w:cs="Arial" w:eastAsia="Arial" w:hAnsi="Arial"/>
          <w:sz w:val="22"/>
          <w:szCs w:val="22"/>
          <w:color w:val="auto"/>
        </w:rPr>
      </w:pPr>
    </w:p>
    <w:p>
      <w:pPr>
        <w:jc w:val="both"/>
        <w:ind w:firstLine="656"/>
        <w:spacing w:after="0" w:line="287" w:lineRule="auto"/>
        <w:tabs>
          <w:tab w:leader="none" w:pos="1424" w:val="left"/>
        </w:tabs>
        <w:numPr>
          <w:ilvl w:val="1"/>
          <w:numId w:val="250"/>
        </w:numPr>
        <w:rPr>
          <w:rFonts w:ascii="Arial" w:cs="Arial" w:eastAsia="Arial" w:hAnsi="Arial"/>
          <w:sz w:val="19"/>
          <w:szCs w:val="19"/>
          <w:color w:val="auto"/>
        </w:rPr>
      </w:pPr>
      <w:r>
        <w:rPr>
          <w:rFonts w:ascii="Arial" w:cs="Arial" w:eastAsia="Arial" w:hAnsi="Arial"/>
          <w:sz w:val="19"/>
          <w:szCs w:val="19"/>
          <w:color w:val="auto"/>
        </w:rPr>
        <w:t xml:space="preserve">on and after the Effective Date, any Lien purported to be created under any Security Document shall cease to be, or shall be asserted by any Loan Party not to be, a valid and perfected Lien on any material Collateral, with the priority required by the applicable Security Document, except as a result of (i) the sale or other disposition of the applicable Collateral in a transaction permitted under the Loan Documents or (ii) the release thereof as provided in </w:t>
      </w:r>
      <w:r>
        <w:rPr>
          <w:rFonts w:ascii="Arial" w:cs="Arial" w:eastAsia="Arial" w:hAnsi="Arial"/>
          <w:sz w:val="19"/>
          <w:szCs w:val="19"/>
          <w:u w:val="single" w:color="auto"/>
          <w:color w:val="auto"/>
        </w:rPr>
        <w:t>Section 9.14</w:t>
      </w:r>
      <w:r>
        <w:rPr>
          <w:rFonts w:ascii="Arial" w:cs="Arial" w:eastAsia="Arial" w:hAnsi="Arial"/>
          <w:sz w:val="19"/>
          <w:szCs w:val="19"/>
          <w:color w:val="auto"/>
        </w:rPr>
        <w:t>;</w:t>
      </w:r>
    </w:p>
    <w:p>
      <w:pPr>
        <w:spacing w:after="0" w:line="169" w:lineRule="exact"/>
        <w:rPr>
          <w:rFonts w:ascii="Arial" w:cs="Arial" w:eastAsia="Arial" w:hAnsi="Arial"/>
          <w:sz w:val="19"/>
          <w:szCs w:val="19"/>
          <w:color w:val="auto"/>
        </w:rPr>
      </w:pPr>
    </w:p>
    <w:p>
      <w:pPr>
        <w:jc w:val="both"/>
        <w:ind w:firstLine="656"/>
        <w:spacing w:after="0"/>
        <w:tabs>
          <w:tab w:leader="none" w:pos="1440" w:val="left"/>
        </w:tabs>
        <w:numPr>
          <w:ilvl w:val="1"/>
          <w:numId w:val="250"/>
        </w:numPr>
        <w:rPr>
          <w:rFonts w:ascii="Arial" w:cs="Arial" w:eastAsia="Arial" w:hAnsi="Arial"/>
          <w:sz w:val="22"/>
          <w:szCs w:val="22"/>
          <w:color w:val="auto"/>
        </w:rPr>
      </w:pPr>
      <w:r>
        <w:rPr>
          <w:rFonts w:ascii="Arial" w:cs="Arial" w:eastAsia="Arial" w:hAnsi="Arial"/>
          <w:sz w:val="22"/>
          <w:szCs w:val="22"/>
          <w:color w:val="auto"/>
        </w:rPr>
        <w:t xml:space="preserve">on and after the Effective Date, any Security Document shall cease to be, or shall be asserted by any Loan Party not to be, in full force and effect, except as a result of the release thereof as provided in the applicable Loan Document or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9.14</w:t>
      </w:r>
      <w:r>
        <w:rPr>
          <w:rFonts w:ascii="Arial" w:cs="Arial" w:eastAsia="Arial" w:hAnsi="Arial"/>
          <w:sz w:val="22"/>
          <w:szCs w:val="22"/>
          <w:color w:val="auto"/>
        </w:rPr>
        <w:t>;</w:t>
      </w:r>
    </w:p>
    <w:p>
      <w:pPr>
        <w:spacing w:after="0" w:line="213" w:lineRule="exact"/>
        <w:rPr>
          <w:rFonts w:ascii="Arial" w:cs="Arial" w:eastAsia="Arial" w:hAnsi="Arial"/>
          <w:sz w:val="22"/>
          <w:szCs w:val="22"/>
          <w:color w:val="auto"/>
        </w:rPr>
      </w:pPr>
    </w:p>
    <w:p>
      <w:pPr>
        <w:jc w:val="both"/>
        <w:ind w:firstLine="656"/>
        <w:spacing w:after="0"/>
        <w:tabs>
          <w:tab w:leader="none" w:pos="1453" w:val="left"/>
        </w:tabs>
        <w:numPr>
          <w:ilvl w:val="1"/>
          <w:numId w:val="250"/>
        </w:numPr>
        <w:rPr>
          <w:rFonts w:ascii="Arial" w:cs="Arial" w:eastAsia="Arial" w:hAnsi="Arial"/>
          <w:sz w:val="22"/>
          <w:szCs w:val="22"/>
          <w:color w:val="auto"/>
        </w:rPr>
      </w:pPr>
      <w:r>
        <w:rPr>
          <w:rFonts w:ascii="Arial" w:cs="Arial" w:eastAsia="Arial" w:hAnsi="Arial"/>
          <w:sz w:val="22"/>
          <w:szCs w:val="22"/>
          <w:color w:val="auto"/>
        </w:rPr>
        <w:t xml:space="preserve">on and after the Effective Date, any Guarantee purported to be created under any Loan Document shall cease to be, or shall be asserted by any Loan Party not to be, in full force and effect, except as a result of the release thereof as provided in the applicable Loan Document or </w:t>
      </w:r>
      <w:r>
        <w:rPr>
          <w:rFonts w:ascii="Arial" w:cs="Arial" w:eastAsia="Arial" w:hAnsi="Arial"/>
          <w:sz w:val="22"/>
          <w:szCs w:val="22"/>
          <w:u w:val="single" w:color="auto"/>
          <w:color w:val="auto"/>
        </w:rPr>
        <w:t>Section 9.14</w:t>
      </w:r>
      <w:r>
        <w:rPr>
          <w:rFonts w:ascii="Arial" w:cs="Arial" w:eastAsia="Arial" w:hAnsi="Arial"/>
          <w:sz w:val="22"/>
          <w:szCs w:val="22"/>
          <w:color w:val="auto"/>
        </w:rPr>
        <w:t>; or</w:t>
      </w:r>
    </w:p>
    <w:p>
      <w:pPr>
        <w:spacing w:after="0" w:line="213" w:lineRule="exact"/>
        <w:rPr>
          <w:rFonts w:ascii="Arial" w:cs="Arial" w:eastAsia="Arial" w:hAnsi="Arial"/>
          <w:sz w:val="22"/>
          <w:szCs w:val="22"/>
          <w:color w:val="auto"/>
        </w:rPr>
      </w:pPr>
    </w:p>
    <w:p>
      <w:pPr>
        <w:ind w:left="1400" w:hanging="744"/>
        <w:spacing w:after="0"/>
        <w:tabs>
          <w:tab w:leader="none" w:pos="1400" w:val="left"/>
        </w:tabs>
        <w:numPr>
          <w:ilvl w:val="1"/>
          <w:numId w:val="250"/>
        </w:numPr>
        <w:rPr>
          <w:rFonts w:ascii="Arial" w:cs="Arial" w:eastAsia="Arial" w:hAnsi="Arial"/>
          <w:sz w:val="22"/>
          <w:szCs w:val="22"/>
          <w:color w:val="auto"/>
        </w:rPr>
      </w:pPr>
      <w:r>
        <w:rPr>
          <w:rFonts w:ascii="Arial" w:cs="Arial" w:eastAsia="Arial" w:hAnsi="Arial"/>
          <w:sz w:val="22"/>
          <w:szCs w:val="22"/>
          <w:color w:val="auto"/>
        </w:rPr>
        <w:t>a Change in Control shall occur; or</w:t>
      </w:r>
    </w:p>
    <w:p>
      <w:pPr>
        <w:spacing w:after="0" w:line="233" w:lineRule="exact"/>
        <w:rPr>
          <w:rFonts w:ascii="Arial" w:cs="Arial" w:eastAsia="Arial" w:hAnsi="Arial"/>
          <w:sz w:val="22"/>
          <w:szCs w:val="22"/>
          <w:color w:val="auto"/>
        </w:rPr>
      </w:pPr>
    </w:p>
    <w:p>
      <w:pPr>
        <w:ind w:left="1400" w:hanging="744"/>
        <w:spacing w:after="0"/>
        <w:tabs>
          <w:tab w:leader="none" w:pos="1400" w:val="left"/>
        </w:tabs>
        <w:numPr>
          <w:ilvl w:val="1"/>
          <w:numId w:val="250"/>
        </w:numPr>
        <w:rPr>
          <w:rFonts w:ascii="Arial" w:cs="Arial" w:eastAsia="Arial" w:hAnsi="Arial"/>
          <w:sz w:val="22"/>
          <w:szCs w:val="22"/>
          <w:color w:val="auto"/>
        </w:rPr>
      </w:pPr>
      <w:r>
        <w:rPr>
          <w:rFonts w:ascii="Arial" w:cs="Arial" w:eastAsia="Arial" w:hAnsi="Arial"/>
          <w:sz w:val="22"/>
          <w:szCs w:val="22"/>
          <w:color w:val="auto"/>
        </w:rPr>
        <w:t>a UK Insolvency Event shall occur in respect of any UK Relevant Entity;</w:t>
      </w:r>
    </w:p>
    <w:p>
      <w:pPr>
        <w:spacing w:after="0" w:line="233"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 xml:space="preserve">then, (I) and in every such event (other than an event with respect to the Borrowers described in clause (h) or (i)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7.01</w:t>
      </w:r>
      <w:r>
        <w:rPr>
          <w:rFonts w:ascii="Arial" w:cs="Arial" w:eastAsia="Arial" w:hAnsi="Arial"/>
          <w:sz w:val="19"/>
          <w:szCs w:val="19"/>
          <w:color w:val="auto"/>
        </w:rPr>
        <w:t xml:space="preserve">), and at any time thereafter during the continuance of such event, the Administrative Agent may, and at the request of the Required Lenders shall, by notice to the Borrowers, take any or all of the following actions, at the same or different times: (i) terminate the Commitments, and thereupon the Commitments shall terminate immediately,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Borrowers hereunder, shall become due and payable immediately and (iii) require the deposit of cash collateral in respect of LC Exposure as provided in </w:t>
      </w:r>
      <w:r>
        <w:rPr>
          <w:rFonts w:ascii="Arial" w:cs="Arial" w:eastAsia="Arial" w:hAnsi="Arial"/>
          <w:sz w:val="19"/>
          <w:szCs w:val="19"/>
          <w:u w:val="single" w:color="auto"/>
          <w:color w:val="auto"/>
        </w:rPr>
        <w:t>Section 2.05(i)</w:t>
      </w:r>
      <w:r>
        <w:rPr>
          <w:rFonts w:ascii="Arial" w:cs="Arial" w:eastAsia="Arial" w:hAnsi="Arial"/>
          <w:sz w:val="19"/>
          <w:szCs w:val="19"/>
          <w:color w:val="auto"/>
        </w:rPr>
        <w:t>, in each case, without presentment, demand, protest or other notice of any kind, all of which are hereby waived by the Borrowers, and (II) in the case of any event with respect to the Borrowers described in clause (h) or (i) of this Section, the Commitments shall automatically terminate and the principal of the Loans then outstanding, together with accrued interest thereon and all fees and other obligations of the Borrowers hereunder, shall immediately and automatically become due and payable and the deposit of such cash collateral in respect of LC Exposure shall immediately and automatically become due, in each case, without presentment, demand, protest or other notice of any kind, all of which are hereby waived by the Borrowers.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0" w:name="page311"/>
    <w:bookmarkEnd w:id="310"/>
    <w:p>
      <w:pPr>
        <w:jc w:val="center"/>
        <w:spacing w:after="0"/>
        <w:rPr>
          <w:sz w:val="20"/>
          <w:szCs w:val="20"/>
          <w:color w:val="auto"/>
        </w:rPr>
      </w:pPr>
      <w:r>
        <w:rPr>
          <w:rFonts w:ascii="Arial" w:cs="Arial" w:eastAsia="Arial" w:hAnsi="Arial"/>
          <w:sz w:val="22"/>
          <w:szCs w:val="22"/>
          <w:color w:val="auto"/>
        </w:rPr>
        <w:t>ARTICLE VIII</w:t>
      </w:r>
    </w:p>
    <w:p>
      <w:pPr>
        <w:spacing w:after="0" w:line="234" w:lineRule="exact"/>
        <w:rPr>
          <w:sz w:val="20"/>
          <w:szCs w:val="20"/>
          <w:color w:val="auto"/>
        </w:rPr>
      </w:pPr>
    </w:p>
    <w:p>
      <w:pPr>
        <w:ind w:left="4500"/>
        <w:spacing w:after="0"/>
        <w:rPr>
          <w:sz w:val="20"/>
          <w:szCs w:val="20"/>
          <w:color w:val="auto"/>
        </w:rPr>
      </w:pPr>
      <w:r>
        <w:rPr>
          <w:rFonts w:ascii="Arial" w:cs="Arial" w:eastAsia="Arial" w:hAnsi="Arial"/>
          <w:sz w:val="22"/>
          <w:szCs w:val="22"/>
          <w:u w:val="single" w:color="auto"/>
          <w:color w:val="auto"/>
        </w:rPr>
        <w:t>The Administrative Agent</w:t>
      </w:r>
    </w:p>
    <w:p>
      <w:pPr>
        <w:spacing w:after="0" w:line="233"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22"/>
          <w:szCs w:val="22"/>
          <w:color w:val="auto"/>
        </w:rPr>
        <w:t>SECTION 8.01.</w:t>
      </w:r>
      <w:r>
        <w:rPr>
          <w:sz w:val="20"/>
          <w:szCs w:val="20"/>
          <w:color w:val="auto"/>
        </w:rPr>
        <w:tab/>
      </w:r>
      <w:r>
        <w:rPr>
          <w:rFonts w:ascii="Arial" w:cs="Arial" w:eastAsia="Arial" w:hAnsi="Arial"/>
          <w:sz w:val="19"/>
          <w:szCs w:val="19"/>
          <w:u w:val="single" w:color="auto"/>
          <w:color w:val="auto"/>
        </w:rPr>
        <w:t>Administrative Agent Matters</w:t>
      </w:r>
    </w:p>
    <w:p>
      <w:pPr>
        <w:spacing w:after="0" w:line="233" w:lineRule="exact"/>
        <w:rPr>
          <w:sz w:val="20"/>
          <w:szCs w:val="20"/>
          <w:color w:val="auto"/>
        </w:rPr>
      </w:pPr>
    </w:p>
    <w:p>
      <w:pPr>
        <w:jc w:val="both"/>
        <w:ind w:firstLine="656"/>
        <w:spacing w:after="0" w:line="272" w:lineRule="auto"/>
        <w:tabs>
          <w:tab w:leader="none" w:pos="1311" w:val="left"/>
        </w:tabs>
        <w:numPr>
          <w:ilvl w:val="0"/>
          <w:numId w:val="251"/>
        </w:numPr>
        <w:rPr>
          <w:rFonts w:ascii="Arial" w:cs="Arial" w:eastAsia="Arial" w:hAnsi="Arial"/>
          <w:sz w:val="19"/>
          <w:szCs w:val="19"/>
          <w:color w:val="auto"/>
        </w:rPr>
      </w:pPr>
      <w:r>
        <w:rPr>
          <w:rFonts w:ascii="Arial" w:cs="Arial" w:eastAsia="Arial" w:hAnsi="Arial"/>
          <w:sz w:val="19"/>
          <w:szCs w:val="19"/>
          <w:color w:val="auto"/>
        </w:rPr>
        <w:t>Each of the Lenders and the Issuing Banks hereby irrevocably appoints the entity named as Administrative Agent in the heading of this Agreement and its successors to serve as administrative agent and collateral agent (without prejudice to the right of the Administrative Agent to designate any sub-agent, co-agent or trustee to serve as collateral agent or security trustee) under the Loan Documents and authorizes the Administrative Agent to take such actions and to exercise such powers as are delegated to the Administrative Agent by the terms of the Loan Documents, together with such actions and powers as are reasonably incidental thereto. In addition, to the extent required under the laws of any jurisdiction other than the United States of America, each of the Lenders and the Issuing Banks hereby grants to the Administrative Agent (including any sub-agent, co-agent or trustee designated by the Administrative Agent) any required powers of attorney to execute any Security Document governed by the laws of such jurisdiction on such Lender’s or such Issuing Bank’s behalf.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200" w:lineRule="exact"/>
        <w:rPr>
          <w:rFonts w:ascii="Arial" w:cs="Arial" w:eastAsia="Arial" w:hAnsi="Arial"/>
          <w:sz w:val="19"/>
          <w:szCs w:val="19"/>
          <w:color w:val="auto"/>
        </w:rPr>
      </w:pPr>
    </w:p>
    <w:p>
      <w:pPr>
        <w:spacing w:after="0" w:line="230" w:lineRule="exact"/>
        <w:rPr>
          <w:rFonts w:ascii="Arial" w:cs="Arial" w:eastAsia="Arial" w:hAnsi="Arial"/>
          <w:sz w:val="19"/>
          <w:szCs w:val="19"/>
          <w:color w:val="auto"/>
        </w:rPr>
      </w:pPr>
    </w:p>
    <w:p>
      <w:pPr>
        <w:jc w:val="both"/>
        <w:ind w:firstLine="656"/>
        <w:spacing w:after="0" w:line="235" w:lineRule="auto"/>
        <w:tabs>
          <w:tab w:leader="none" w:pos="1451" w:val="left"/>
        </w:tabs>
        <w:numPr>
          <w:ilvl w:val="0"/>
          <w:numId w:val="251"/>
        </w:numPr>
        <w:rPr>
          <w:rFonts w:ascii="Arial" w:cs="Arial" w:eastAsia="Arial" w:hAnsi="Arial"/>
          <w:sz w:val="22"/>
          <w:szCs w:val="22"/>
          <w:color w:val="auto"/>
        </w:rPr>
      </w:pPr>
      <w:r>
        <w:rPr>
          <w:rFonts w:ascii="Arial" w:cs="Arial" w:eastAsia="Arial" w:hAnsi="Arial"/>
          <w:sz w:val="22"/>
          <w:szCs w:val="22"/>
          <w:color w:val="auto"/>
        </w:rPr>
        <w:t>The Person serving as the Administrative Agent hereunder shall have the same rights and powers in its capacity as a Lender or an Issuing Bank as any other Lender or Issuing Bank and may exercise the same as though it were not the Administrative Agent, and such Person and its Affiliates may accept deposits from, lend money to, own securities of, act as the financial advisor or in any other advisory capacity for and generally engage in any kind of business with the Borrowers or any Subsidiary or other Affiliate thereof as if such Person were not the Administrative Agent hereunder and without any duty to account therefor to the Lenders or the Issuing Banks.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1" w:name="page312"/>
    <w:bookmarkEnd w:id="311"/>
    <w:p>
      <w:pPr>
        <w:jc w:val="both"/>
        <w:ind w:firstLine="656"/>
        <w:spacing w:after="0" w:line="269" w:lineRule="auto"/>
        <w:tabs>
          <w:tab w:leader="none" w:pos="1396" w:val="left"/>
        </w:tabs>
        <w:numPr>
          <w:ilvl w:val="0"/>
          <w:numId w:val="252"/>
        </w:numPr>
        <w:rPr>
          <w:rFonts w:ascii="Arial" w:cs="Arial" w:eastAsia="Arial" w:hAnsi="Arial"/>
          <w:sz w:val="19"/>
          <w:szCs w:val="19"/>
          <w:color w:val="auto"/>
        </w:rPr>
      </w:pPr>
      <w:r>
        <w:rPr>
          <w:rFonts w:ascii="Arial" w:cs="Arial" w:eastAsia="Arial" w:hAnsi="Arial"/>
          <w:sz w:val="19"/>
          <w:szCs w:val="19"/>
          <w:color w:val="auto"/>
        </w:rPr>
        <w:t xml:space="preserve">The Administrative Agent shall not have any duties or obligations except those expressly set forth in the Loan Documents, and its duties hereunder shall be administrative in nature. Without limiting the generality of the foregoing, (i) the Administrative Agent shall not be subject to any fiduciary or other implied duties, regardless of whether a Default has occurred and is continuing, (ii) the Administrative Agent shall not have any duty to take any discretionary action or to exercise any discretionary power, except discretionary rights and powers expressly contemplated by the Loan Documents that the Administrative Agent is required to exercise as directed in writing by the Required Lenders (or such other number or percentage of the Lenders as shall be necessary, or as the Administrative Agent shall believe in good faith to be necessary, under the circumstances as provided in the Loan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Administrative Agent shall not be required to take any action that, in its opinion, could expose the Administrative Agent to liability or be contrary to this Agreement or any other Loan Document or applicable law, and (iii) except as expressly set forth in the Loan Documents, the Administrative Agent shall not have any duty to disclose, and shall not be liable for the failure to disclose, any information relating to the Borrowers, any Subsidiary or any other Affiliate of any of the foregoing that is communicated to or obtained by the Person serving as Administrative Agent or any of its Affiliates in any capacity. The Administrative Agent shall not be liable for any action taken or not taken by it with the consent or at the request of the Required Lenders (or such other number or percentage of the Lenders as shall be necessary, or as the Administrative Agent shall believe in good faith to be necessary, under the circumstances as provided in the Loan Documents) or in the absence of its own gross negligence or willful misconduct (such absence to be presumed unless otherwise determined by a court of competent jurisdiction by a final and nonappealable judgment). The Administrative Agent shall be deemed not to have knowledge of any Default unless and until written notice thereof (stating that it is a “notice of default”) is given to the Administrative Agent by the Borrowers, a Lender or an Issuing Bank, and the Administrative Agent shall not be responsible for or have any duty to ascertain or inquire into (A) any statement, warranty or representation made in or in connection with this Agreement or any other Loan Document, (B) the contents of any certificate, report or other document delivered hereunder or thereunder or in connection herewith or therewith, (C) the performance or observance of any of the covenants, agreements or other terms or conditions set forth in this Agreement or any other Loan Document or the occurrence of any Default, (D) the sufficiency, validity, enforceability, effectiveness or genuineness of this Agreement or any other Loan Document or any other agreement, instrument or document or (E) the satisfaction of any condition set forth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or elsewhere in this Agreement or any other Loan Document, other than to confirm receipt of items expressly required to be delivered to the Administrative Agent or satisfaction of any condition that expressly refers to the matters described therein being acceptable or satisfactory to the Administrative Agent. Notwithstanding anything herein to the contrary, the Administrative Agent shall not be liable for, or be responsible for any loss, cost or expense suffered by the Borrowers or any Lender as a result of, any determination of the Revolving Exposure or the component amounts thereof.</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jc w:val="both"/>
        <w:ind w:firstLine="656"/>
        <w:spacing w:after="0" w:line="271" w:lineRule="auto"/>
        <w:tabs>
          <w:tab w:leader="none" w:pos="1423" w:val="left"/>
        </w:tabs>
        <w:numPr>
          <w:ilvl w:val="0"/>
          <w:numId w:val="252"/>
        </w:numPr>
        <w:rPr>
          <w:rFonts w:ascii="Arial" w:cs="Arial" w:eastAsia="Arial" w:hAnsi="Arial"/>
          <w:sz w:val="19"/>
          <w:szCs w:val="19"/>
          <w:color w:val="auto"/>
        </w:rPr>
      </w:pPr>
      <w:r>
        <w:rPr>
          <w:rFonts w:ascii="Arial" w:cs="Arial" w:eastAsia="Arial" w:hAnsi="Arial"/>
          <w:sz w:val="19"/>
          <w:szCs w:val="19"/>
          <w:color w:val="auto"/>
        </w:rPr>
        <w:t>The Administrative Agent shall be entitled to rely,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or sent or otherwise authenticated by the proper Person (whether or not such Person in fact meets the requirements set forth in the Loan Documents for being the signatory, sender or authenticator thereof). The Administrative Agent also shall be entitled to rely, and shall not incur any liability for relying, upon any statement made to it orally or by telephone and believed by it to be made by the proper Person (whether or not such Person in fact meets the requirements set forth in the Loan Documents for being the signatory, sender or authenticator thereof), and may act upon any such statement prior to receipt of written confirmation thereof. In determining compliance with any condition hereunder to the making of a Loan, or the issuance, extension, renewal or increase of a Letter of Credit, that by its terms must be fulfilled to the satisfaction of a Lender or an Issuing Bank, the Administrative Agent may presume that such condition is satisfactory to such Lender or such Issuing Bank unless the Administrative Agent shall have received notice to the contrary from such Lender or such Issuing Bank prior to the making of such Loan or the issuance of such Letter of Credit. The Administrative Agent may consult with legal counsel (who may be counsel for the Borrowers), independent accountants and other experts selected by it, and shall not be liable for any action taken or not taken by it in accordance with the advice of any such counsel, accountants or experts.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2" w:name="page313"/>
    <w:bookmarkEnd w:id="312"/>
    <w:p>
      <w:pPr>
        <w:jc w:val="both"/>
        <w:ind w:firstLine="656"/>
        <w:spacing w:after="0" w:line="273" w:lineRule="auto"/>
        <w:tabs>
          <w:tab w:leader="none" w:pos="1446" w:val="left"/>
        </w:tabs>
        <w:numPr>
          <w:ilvl w:val="0"/>
          <w:numId w:val="253"/>
        </w:numPr>
        <w:rPr>
          <w:rFonts w:ascii="Arial" w:cs="Arial" w:eastAsia="Arial" w:hAnsi="Arial"/>
          <w:sz w:val="19"/>
          <w:szCs w:val="19"/>
          <w:color w:val="auto"/>
        </w:rPr>
      </w:pPr>
      <w:r>
        <w:rPr>
          <w:rFonts w:ascii="Arial" w:cs="Arial" w:eastAsia="Arial" w:hAnsi="Arial"/>
          <w:sz w:val="19"/>
          <w:szCs w:val="19"/>
          <w:color w:val="auto"/>
        </w:rPr>
        <w:t>The Administrative Agent may perform any of and all its duties and exercise its rights and powers hereunder or under any other Loan Document (including, for the avoidance of doubt, the role of collateral agent and/or security trustee) by or through any one or more sub-agents, co-agents or trustees appointed by the Administrative Agent. The Administrative Agent and any such sub-agent may perform any of and all their duties and exercise their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 co-agent or trustee except to the extent that a court of competent jurisdiction determines in a final and nonappealable judgment that the Administrative Agent acted with gross negligence or willful misconduct in the selection of such sub-agents.</w:t>
      </w:r>
    </w:p>
    <w:p>
      <w:pPr>
        <w:spacing w:after="0" w:line="188" w:lineRule="exact"/>
        <w:rPr>
          <w:rFonts w:ascii="Arial" w:cs="Arial" w:eastAsia="Arial" w:hAnsi="Arial"/>
          <w:sz w:val="19"/>
          <w:szCs w:val="19"/>
          <w:color w:val="auto"/>
        </w:rPr>
      </w:pPr>
    </w:p>
    <w:p>
      <w:pPr>
        <w:jc w:val="both"/>
        <w:ind w:firstLine="656"/>
        <w:spacing w:after="0" w:line="268" w:lineRule="auto"/>
        <w:tabs>
          <w:tab w:leader="none" w:pos="1354" w:val="left"/>
        </w:tabs>
        <w:numPr>
          <w:ilvl w:val="0"/>
          <w:numId w:val="253"/>
        </w:numPr>
        <w:rPr>
          <w:rFonts w:ascii="Arial" w:cs="Arial" w:eastAsia="Arial" w:hAnsi="Arial"/>
          <w:sz w:val="19"/>
          <w:szCs w:val="19"/>
          <w:color w:val="auto"/>
        </w:rPr>
      </w:pPr>
      <w:r>
        <w:rPr>
          <w:rFonts w:ascii="Arial" w:cs="Arial" w:eastAsia="Arial" w:hAnsi="Arial"/>
          <w:sz w:val="19"/>
          <w:szCs w:val="19"/>
          <w:color w:val="auto"/>
        </w:rPr>
        <w:t xml:space="preserve">Subject to the terms of this paragraph, the Administrative Agent may resign at any time from its capacity as such. In connection with such resignation, the Administrative Agent shall give notice of its intent to resign to the Lenders, the Issuing Banks and the Borrowers. Upon receipt of any such notice of resignation, the Required Lenders shall have the right, with the consent of the Borrowers (which shall not be unreasonably withheld or delayed), to appoint a successor. If no successor shall have been so appointed by the Required Lenders and shall have accepted such appointment within 30 days after the retiring Administrative Agent gives notice of its intent to resign, then the retiring Administrative Agent may, on behalf of the Lenders and the Issuing Banks, appoint a successor Administrative Agent, which shall be a bank with an office in New York, New York, or an Affiliate of any such bank. Upon the acceptance of its appointment as Administrative Agent hereunder by a successor, such successor shall succeed to and become vested with all the rights, powers, privileges and duties of the retiring Administrative Agent, and the retiring Administrative Agent shall be discharged from its duties and obligations hereunder and under the other Loan Documents. The fees payable by the Borrowers to a successor Administrative Agent shall be the same as those payable to its predecessor unless otherwise agreed by the Borrowers and such successor. Notwithstanding the foregoing,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the Issuing Banks and the Borrowers, whereupon, on the date of effectiveness of such resignation stated in such notice, (i) the retiring Administrative Agent shall be discharged from its duties and obligations hereunder and under the other Loan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solely for purposes of maintaining any security interest granted to the Collateral Agent under any Security Document for the benefit of the Secured Parties, the retiring Administrative Agent (or any applicable sub-agent or security trustee) shall continue to be vested with such security interest as collateral agent for the benefit of the Secured Parties and, in the case of any Collateral in the possession of the Administrative Agent (or such sub-agent or security trustee), shall continue to hold such Collateral, in each case until such time as a successor Administrative Agent is appointed and accepts such appointment in accordance with this paragraph (it being understood and agreed that the retiring Administrative Agent shall have no duty or obligation to take any further action under any Security Document, including any action required to maintain the perfection of any such security interest), and (ii) the Required Lenders shall succeed to and become vested with all the rights, powers, privileges and duties of the retiring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all payments required to be made hereunder or under any other Loan Document to the Administrative Agent for the account of any Person other than the Administrative Agent shall be made directly to such Person and (B) all notices and other communications required or contemplated to be given or made to the Administrative Agent shall also directly be given or made to each Lender and each Issuing Bank. Following the effectiveness of the Administrative Agent’s resignation from its capacity as such, the provisions of this Article and </w:t>
      </w:r>
      <w:r>
        <w:rPr>
          <w:rFonts w:ascii="Arial" w:cs="Arial" w:eastAsia="Arial" w:hAnsi="Arial"/>
          <w:sz w:val="19"/>
          <w:szCs w:val="19"/>
          <w:u w:val="single" w:color="auto"/>
          <w:color w:val="auto"/>
        </w:rPr>
        <w:t>Section 9.03</w:t>
      </w:r>
      <w:r>
        <w:rPr>
          <w:rFonts w:ascii="Arial" w:cs="Arial" w:eastAsia="Arial" w:hAnsi="Arial"/>
          <w:sz w:val="19"/>
          <w:szCs w:val="19"/>
          <w:color w:val="auto"/>
        </w:rPr>
        <w:t>,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it was acting as Administrative Agent and in respect of the matters referred to in the proviso under clause (a) above.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3" w:name="page314"/>
    <w:bookmarkEnd w:id="313"/>
    <w:p>
      <w:pPr>
        <w:jc w:val="both"/>
        <w:ind w:firstLine="656"/>
        <w:spacing w:after="0" w:line="246" w:lineRule="auto"/>
        <w:tabs>
          <w:tab w:leader="none" w:pos="1619" w:val="left"/>
        </w:tabs>
        <w:numPr>
          <w:ilvl w:val="0"/>
          <w:numId w:val="254"/>
        </w:numPr>
        <w:rPr>
          <w:rFonts w:ascii="Arial" w:cs="Arial" w:eastAsia="Arial" w:hAnsi="Arial"/>
          <w:sz w:val="21"/>
          <w:szCs w:val="21"/>
          <w:color w:val="auto"/>
        </w:rPr>
      </w:pPr>
      <w:r>
        <w:rPr>
          <w:rFonts w:ascii="Arial" w:cs="Arial" w:eastAsia="Arial" w:hAnsi="Arial"/>
          <w:sz w:val="21"/>
          <w:szCs w:val="21"/>
          <w:color w:val="auto"/>
        </w:rPr>
        <w:t>Each Lender and each Issuing Bank acknowledges that it has, independently and without reliance upon the Administrative Agent, the Arrangers or any other Lender or Issuing Bank, or any of the Related Parties of any of the foregoing, and based on such documents and information as it has deemed appropriate, made its own credit analysis and decision to enter into this Agreement. Each Lender and each Issuing Bank also acknowledges that it will, independently and without reliance upon the Administrative Agent, the Arrangers or any other Lender or Issuing Bank, or any of the Related Parties of any of the foregoing,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207" w:lineRule="exact"/>
        <w:rPr>
          <w:rFonts w:ascii="Arial" w:cs="Arial" w:eastAsia="Arial" w:hAnsi="Arial"/>
          <w:sz w:val="21"/>
          <w:szCs w:val="21"/>
          <w:color w:val="auto"/>
        </w:rPr>
      </w:pPr>
    </w:p>
    <w:p>
      <w:pPr>
        <w:jc w:val="both"/>
        <w:ind w:firstLine="656"/>
        <w:spacing w:after="0" w:line="270" w:lineRule="auto"/>
        <w:tabs>
          <w:tab w:leader="none" w:pos="1458" w:val="left"/>
        </w:tabs>
        <w:numPr>
          <w:ilvl w:val="0"/>
          <w:numId w:val="254"/>
        </w:numPr>
        <w:rPr>
          <w:rFonts w:ascii="Arial" w:cs="Arial" w:eastAsia="Arial" w:hAnsi="Arial"/>
          <w:sz w:val="19"/>
          <w:szCs w:val="19"/>
          <w:color w:val="auto"/>
        </w:rPr>
      </w:pPr>
      <w:r>
        <w:rPr>
          <w:rFonts w:ascii="Arial" w:cs="Arial" w:eastAsia="Arial" w:hAnsi="Arial"/>
          <w:sz w:val="19"/>
          <w:szCs w:val="19"/>
          <w:color w:val="auto"/>
        </w:rPr>
        <w:t xml:space="preserve">Each Lender, by delivering its signature page to this Agreement and funding its Loans on the Effective Date, or delivering its signature page to an Assignment and Assumption or any other Loan Document pursuant to which it shall become a Lender hereunder, shall be deemed to have acknowledged receipt of, and consented to and approved, this Agreement and each other Loan Document and each other document required to be delivered to, or be approved by or satisfactory to, the Administrative Agent or the Lenders on the Effective Date and shall be deemed to have consented to and approved the Collateral Agency Agreement and each Security Document to be entered into by the Administrative Agent and any Collateral Agent after the Effective Date pursuant to </w:t>
      </w:r>
      <w:r>
        <w:rPr>
          <w:rFonts w:ascii="Arial" w:cs="Arial" w:eastAsia="Arial" w:hAnsi="Arial"/>
          <w:sz w:val="19"/>
          <w:szCs w:val="19"/>
          <w:u w:val="single" w:color="auto"/>
          <w:color w:val="auto"/>
        </w:rPr>
        <w:t>Section 5.15</w:t>
      </w:r>
      <w:r>
        <w:rPr>
          <w:rFonts w:ascii="Arial" w:cs="Arial" w:eastAsia="Arial" w:hAnsi="Arial"/>
          <w:sz w:val="19"/>
          <w:szCs w:val="19"/>
          <w:color w:val="auto"/>
        </w:rPr>
        <w:t xml:space="preserve">. The Lenders, each Issuing Bank and each other Secured Party irrevocably (i) authorizes the Administrative Agent to enter into or amend any Bilateral Facility Intercreditor Agreement with any representative of the holders of Secured Bilateral Facility Obligations that are permitted to be secured by a Lien on the Collateral as permitted under this Agreement, in each case for the purpose of adding the holders of such Indebtedness (or their representative) as a party thereto and otherwise causing such Indebtedness to be subject thereto and (ii) and consents to the Administrative Agent and agrees not to assert any claims against the Administrative Agent or any successor thereof arising from the role of the Administrative Agent or such successor under such Bilateral Facility Intercreditor Agreement, so long as it is acting in accordance with the terms of the Loan Documents and such Bilateral Facility Intercreditor Agreement (it being understood that any action taken by the Administrative Agent acting at the direction of, or with the negative consent of, the Required Lenders shall be an action that is undertaken in accordance with the terms of the Loan Documents). Upon request by the Administrative Agent at any time, the Required Lenders will confirm in writing the Administrative Agent’s authority to enter into or amend such Bilateral Facility Intercreditor Agreement pursuant to this </w:t>
      </w:r>
      <w:r>
        <w:rPr>
          <w:rFonts w:ascii="Arial" w:cs="Arial" w:eastAsia="Arial" w:hAnsi="Arial"/>
          <w:sz w:val="19"/>
          <w:szCs w:val="19"/>
          <w:u w:val="single" w:color="auto"/>
          <w:color w:val="auto"/>
        </w:rPr>
        <w:t>Section 8.01(h)</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4" w:name="page315"/>
    <w:bookmarkEnd w:id="314"/>
    <w:p>
      <w:pPr>
        <w:jc w:val="both"/>
        <w:ind w:firstLine="656"/>
        <w:spacing w:after="0" w:line="271" w:lineRule="auto"/>
        <w:tabs>
          <w:tab w:leader="none" w:pos="1383" w:val="left"/>
        </w:tabs>
        <w:numPr>
          <w:ilvl w:val="0"/>
          <w:numId w:val="255"/>
        </w:numPr>
        <w:rPr>
          <w:rFonts w:ascii="Arial" w:cs="Arial" w:eastAsia="Arial" w:hAnsi="Arial"/>
          <w:sz w:val="19"/>
          <w:szCs w:val="19"/>
          <w:color w:val="auto"/>
        </w:rPr>
      </w:pPr>
      <w:r>
        <w:rPr>
          <w:rFonts w:ascii="Arial" w:cs="Arial" w:eastAsia="Arial" w:hAnsi="Arial"/>
          <w:sz w:val="19"/>
          <w:szCs w:val="19"/>
          <w:color w:val="auto"/>
        </w:rPr>
        <w:t xml:space="preserve">Except with respect to the exercise of setoff rights of any Lender in accordance with </w:t>
      </w:r>
      <w:r>
        <w:rPr>
          <w:rFonts w:ascii="Arial" w:cs="Arial" w:eastAsia="Arial" w:hAnsi="Arial"/>
          <w:sz w:val="19"/>
          <w:szCs w:val="19"/>
          <w:u w:val="single" w:color="auto"/>
          <w:color w:val="auto"/>
        </w:rPr>
        <w:t>Section 9.08</w:t>
      </w:r>
      <w:r>
        <w:rPr>
          <w:rFonts w:ascii="Arial" w:cs="Arial" w:eastAsia="Arial" w:hAnsi="Arial"/>
          <w:sz w:val="19"/>
          <w:szCs w:val="19"/>
          <w:color w:val="auto"/>
        </w:rPr>
        <w:t xml:space="preserve"> or with respect to a Lender’s right to file a proof of claim in an insolvency proceeding, no Secured Party shall have any right individually to realize upon any of the Collateral or to enforce any Guarantee of the Obligations, it being understood and agreed that all powers, rights and remedies under the Loan Documents may be exercised solely by the Administrative Agent (or any sub-agent, co-agent or trustee designated by it as collateral agent or security trustee) on behalf of the Secured Parties in accordance with the terms thereof. In the event of a foreclosure by the Administrative Agent (or any sub-agent(s) designated by it as collateral agent or security trustee) on any of the Collateral pursuant to a public or private sale or other disposition, the Administrative Agent or any Lender may be the purchaser or licensor of any or all of such Collateral at any such sale or other disposition, and the Administrative Agent (or any sub-agent, co-agent or trustee designated by it as collateral agent or security trustee), as agent for and representative of the Secured Parties (but not any Lender or Lenders in its or their respective individual capacities unless the Required Lenders shall otherwise agree in writing) shall be entitled, for the purpose of bidding and making settlement or payment of the purchase price for all or any portion of the Collateral sold at any such public sale, to use and apply any of the Loan Document Obligations as a credit on account of the purchase price for any collateral payable by the Administrative Agent (or any sub-agent, co-agent or trustee designated by it as collateral agent or security trustee) on behalf of the Secured Parties at such sale or other disposition.</w:t>
      </w:r>
    </w:p>
    <w:p>
      <w:pPr>
        <w:spacing w:after="0" w:line="200" w:lineRule="exact"/>
        <w:rPr>
          <w:rFonts w:ascii="Arial" w:cs="Arial" w:eastAsia="Arial" w:hAnsi="Arial"/>
          <w:sz w:val="19"/>
          <w:szCs w:val="19"/>
          <w:color w:val="auto"/>
        </w:rPr>
      </w:pPr>
    </w:p>
    <w:p>
      <w:pPr>
        <w:spacing w:after="0" w:line="234" w:lineRule="exact"/>
        <w:rPr>
          <w:rFonts w:ascii="Arial" w:cs="Arial" w:eastAsia="Arial" w:hAnsi="Arial"/>
          <w:sz w:val="19"/>
          <w:szCs w:val="19"/>
          <w:color w:val="auto"/>
        </w:rPr>
      </w:pPr>
    </w:p>
    <w:p>
      <w:pPr>
        <w:jc w:val="both"/>
        <w:ind w:firstLine="656"/>
        <w:spacing w:after="0" w:line="244" w:lineRule="auto"/>
        <w:tabs>
          <w:tab w:leader="none" w:pos="1399" w:val="left"/>
        </w:tabs>
        <w:numPr>
          <w:ilvl w:val="0"/>
          <w:numId w:val="255"/>
        </w:numPr>
        <w:rPr>
          <w:rFonts w:ascii="Arial" w:cs="Arial" w:eastAsia="Arial" w:hAnsi="Arial"/>
          <w:sz w:val="21"/>
          <w:szCs w:val="21"/>
          <w:color w:val="auto"/>
        </w:rPr>
      </w:pPr>
      <w:r>
        <w:rPr>
          <w:rFonts w:ascii="Arial" w:cs="Arial" w:eastAsia="Arial" w:hAnsi="Arial"/>
          <w:sz w:val="21"/>
          <w:szCs w:val="21"/>
          <w:color w:val="auto"/>
        </w:rPr>
        <w:t>The Secured Cash Management Obligations, the Secured Hedging Obligations and the Secured Bilateral Facility Obligations, shall be secured and guaranteed pursuant to the Loan Documents only to the extent that, and for so long as, the other Obligations are so secured and guaranteed. No person shall have any voting rights under any Loan Document solely as a result of the existence of obligations owed to it under any such Secured Hedge Agreement, Secured Cash Management Agreement or Secured Bilateral Facility. For the avoidance of doubt, no release of Collateral or Guarantors effected in the manner permitted by this Agreement shall require the consent of any holder of obligations under Secured Hedge Agreements, any Secured Cash Management Agreements or any Secured Bilateral Facility. By accepting the benefits of the Collateral, each Secured Party that is a party to any such Cash Management Services, Hedging Agreement or Secured Bilateral Facility shall be deemed to have appointed the Administrative Agent to serve as administrative agent and collateral agent (without prejudice to the Administrative Agent’s right to designate any sub-agent, co-agent or trustee as collateral agent or security trustee) under the Loan Documents and agreed to be bound by the Loan Documents as a Secured Party thereunder, subject to the limitations set forth in this paragraph.</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5" w:name="page316"/>
    <w:bookmarkEnd w:id="315"/>
    <w:p>
      <w:pPr>
        <w:jc w:val="both"/>
        <w:ind w:firstLine="656"/>
        <w:spacing w:after="0" w:line="274" w:lineRule="auto"/>
        <w:tabs>
          <w:tab w:leader="none" w:pos="1668" w:val="left"/>
        </w:tabs>
        <w:numPr>
          <w:ilvl w:val="0"/>
          <w:numId w:val="256"/>
        </w:numPr>
        <w:rPr>
          <w:rFonts w:ascii="Arial" w:cs="Arial" w:eastAsia="Arial" w:hAnsi="Arial"/>
          <w:sz w:val="19"/>
          <w:szCs w:val="19"/>
          <w:color w:val="auto"/>
        </w:rPr>
      </w:pPr>
      <w:r>
        <w:rPr>
          <w:rFonts w:ascii="Arial" w:cs="Arial" w:eastAsia="Arial" w:hAnsi="Arial"/>
          <w:sz w:val="19"/>
          <w:szCs w:val="19"/>
          <w:color w:val="auto"/>
        </w:rPr>
        <w:t xml:space="preserve">The Secured Parties irrevocably authorize the Administrative Agent (or any sub-agent, co-agent or trustee designated by it as collateral agent or security trustee), at its option and in its discretion, to subordinate any Lien on any property granted to or held by the Administrative Agent under any Loan Document to the holder of any Lien on such property that is permitted by </w:t>
      </w:r>
      <w:r>
        <w:rPr>
          <w:rFonts w:ascii="Arial" w:cs="Arial" w:eastAsia="Arial" w:hAnsi="Arial"/>
          <w:sz w:val="19"/>
          <w:szCs w:val="19"/>
          <w:u w:val="single" w:color="auto"/>
          <w:color w:val="auto"/>
        </w:rPr>
        <w:t>Section 6.02(e)</w:t>
      </w:r>
      <w:r>
        <w:rPr>
          <w:rFonts w:ascii="Arial" w:cs="Arial" w:eastAsia="Arial" w:hAnsi="Arial"/>
          <w:sz w:val="19"/>
          <w:szCs w:val="19"/>
          <w:color w:val="auto"/>
        </w:rPr>
        <w:t>. The Administrative Agent (or any sub-agent, co-agent or trustee designated by it as collateral agent or security trustee) shall not be responsible for or have a duty to ascertain or inquire into any representation or warranty regarding the existence, value or collectability of the Collateral, the existence, priority or perfection of the Administrative Agent’s (or any designated collateral agent’s or security trustee’s) Lien thereon or any certificate prepared by any Loan Party in connection therewith, nor shall the Administrative Agent (or any sub-agent, co-agent or trustee designated by it as collateral agent or security trustee) be responsible or liable to the Lenders for any failure to monitor or maintain any portion of the Collateral.</w:t>
      </w:r>
    </w:p>
    <w:p>
      <w:pPr>
        <w:spacing w:after="0" w:line="185" w:lineRule="exact"/>
        <w:rPr>
          <w:rFonts w:ascii="Arial" w:cs="Arial" w:eastAsia="Arial" w:hAnsi="Arial"/>
          <w:sz w:val="19"/>
          <w:szCs w:val="19"/>
          <w:color w:val="auto"/>
        </w:rPr>
      </w:pPr>
    </w:p>
    <w:p>
      <w:pPr>
        <w:jc w:val="both"/>
        <w:ind w:firstLine="656"/>
        <w:spacing w:after="0" w:line="268" w:lineRule="auto"/>
        <w:tabs>
          <w:tab w:leader="none" w:pos="1560" w:val="left"/>
        </w:tabs>
        <w:numPr>
          <w:ilvl w:val="0"/>
          <w:numId w:val="256"/>
        </w:numPr>
        <w:rPr>
          <w:rFonts w:ascii="Arial" w:cs="Arial" w:eastAsia="Arial" w:hAnsi="Arial"/>
          <w:sz w:val="19"/>
          <w:szCs w:val="19"/>
          <w:color w:val="auto"/>
        </w:rPr>
      </w:pPr>
      <w:r>
        <w:rPr>
          <w:rFonts w:ascii="Arial" w:cs="Arial" w:eastAsia="Arial" w:hAnsi="Arial"/>
          <w:sz w:val="19"/>
          <w:szCs w:val="19"/>
          <w:color w:val="auto"/>
        </w:rPr>
        <w:t>The Secured Parties hereby irrevocably authorize the Administrative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(i) at any sale thereof conducted under the provisions of the Bankruptcy Code, including under Sections 363, 1123 or 1129 of the Bankruptcy Code, or any similar laws in any other jurisdictions to which a Loan Party is subject, or (ii)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by the Administrative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(A) the Administrative Agent shall be authorized to form one or more acquisition vehicles and to assign any successful credit bid to such acquisition vehicle or vehicles (B) each of the Secured Parties’ ratable interests in the Obligations which were credit bid shall be deemed without any further action under this Agreement to be assigned to such vehicle or vehicles for the purpose of closing such sale, (C) the Administrative Agent shall be authorized to adopt documents providing for the governance of the acquisition vehicle or vehicles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w:t>
      </w:r>
      <w:r>
        <w:rPr>
          <w:rFonts w:ascii="Arial" w:cs="Arial" w:eastAsia="Arial" w:hAnsi="Arial"/>
          <w:sz w:val="19"/>
          <w:szCs w:val="19"/>
          <w:u w:val="single" w:color="auto"/>
          <w:color w:val="auto"/>
        </w:rPr>
        <w:t>Section 9.02</w:t>
      </w:r>
      <w:r>
        <w:rPr>
          <w:rFonts w:ascii="Arial" w:cs="Arial" w:eastAsia="Arial" w:hAnsi="Arial"/>
          <w:sz w:val="19"/>
          <w:szCs w:val="19"/>
          <w:color w:val="auto"/>
        </w:rPr>
        <w:t xml:space="preserve"> of this Agreement), (D) the Administrative Agent on behalf of such acquisition vehicle or vehicles shall be authorized to issue to each of the Secured Parties, ratably on account of the relevant Obligations which were credit bid, interests, whether as equity, partnership interests, limited partnership interests or membership interests, in any such acquisition vehicle and/or debt instruments issued by such acquisition vehicle, all without the need for any Secured Party or acquisition vehicle to take any further action and (E)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with their original interest in such Obligations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clause (B)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6" w:name="page317"/>
    <w:bookmarkEnd w:id="316"/>
    <w:p>
      <w:pPr>
        <w:jc w:val="both"/>
        <w:ind w:firstLine="656"/>
        <w:spacing w:after="0" w:line="282" w:lineRule="auto"/>
        <w:tabs>
          <w:tab w:leader="none" w:pos="1465" w:val="left"/>
        </w:tabs>
        <w:numPr>
          <w:ilvl w:val="0"/>
          <w:numId w:val="257"/>
        </w:numPr>
        <w:rPr>
          <w:rFonts w:ascii="Arial" w:cs="Arial" w:eastAsia="Arial" w:hAnsi="Arial"/>
          <w:sz w:val="19"/>
          <w:szCs w:val="19"/>
          <w:color w:val="auto"/>
        </w:rPr>
      </w:pPr>
      <w:r>
        <w:rPr>
          <w:rFonts w:ascii="Arial" w:cs="Arial" w:eastAsia="Arial" w:hAnsi="Arial"/>
          <w:sz w:val="19"/>
          <w:szCs w:val="19"/>
          <w:color w:val="auto"/>
        </w:rPr>
        <w:t>In case of the pendency of any proceeding with respect to any Loan Party under any Federal, State or foreign bankruptcy, insolvency, receivership or similar law now or hereafter in effect, the Administrative Agent (irrespective of whether the principal of any Loan or any LC Disbursement shall then be due and payable as herein expressed or by declaration or otherwise and irrespective of whether the Administrative Agent shall have made any demand on the Borrowers) shall be entitled and empowered (but not obligated) by intervention in such proceeding or otherwise:</w:t>
      </w:r>
    </w:p>
    <w:p>
      <w:pPr>
        <w:spacing w:after="0" w:line="174" w:lineRule="exact"/>
        <w:rPr>
          <w:rFonts w:ascii="Arial" w:cs="Arial" w:eastAsia="Arial" w:hAnsi="Arial"/>
          <w:sz w:val="19"/>
          <w:szCs w:val="19"/>
          <w:color w:val="auto"/>
        </w:rPr>
      </w:pPr>
    </w:p>
    <w:p>
      <w:pPr>
        <w:jc w:val="both"/>
        <w:ind w:left="660" w:firstLine="644"/>
        <w:spacing w:after="0" w:line="287" w:lineRule="auto"/>
        <w:tabs>
          <w:tab w:leader="none" w:pos="2217" w:val="left"/>
        </w:tabs>
        <w:numPr>
          <w:ilvl w:val="1"/>
          <w:numId w:val="257"/>
        </w:numPr>
        <w:rPr>
          <w:rFonts w:ascii="Arial" w:cs="Arial" w:eastAsia="Arial" w:hAnsi="Arial"/>
          <w:sz w:val="19"/>
          <w:szCs w:val="19"/>
          <w:color w:val="auto"/>
        </w:rPr>
      </w:pPr>
      <w:r>
        <w:rPr>
          <w:rFonts w:ascii="Arial" w:cs="Arial" w:eastAsia="Arial" w:hAnsi="Arial"/>
          <w:sz w:val="19"/>
          <w:szCs w:val="19"/>
          <w:color w:val="auto"/>
        </w:rPr>
        <w:t xml:space="preserve">to file and prove a claim for the whole amount of the principal and interest owing and unpaid in respect of the Loans, LC Exposure and all other Obligations that are owing and unpaid and to file such other documents as may be necessary or advisable in order to have the claims of the Lenders, the Issuing Banks and the Administrative Agent (including any claim under </w:t>
      </w:r>
      <w:r>
        <w:rPr>
          <w:rFonts w:ascii="Arial" w:cs="Arial" w:eastAsia="Arial" w:hAnsi="Arial"/>
          <w:sz w:val="19"/>
          <w:szCs w:val="19"/>
          <w:u w:val="single" w:color="auto"/>
          <w:color w:val="auto"/>
        </w:rPr>
        <w:t>Sections 2.12</w:t>
      </w:r>
      <w:r>
        <w:rPr>
          <w:rFonts w:ascii="Arial" w:cs="Arial" w:eastAsia="Arial" w:hAnsi="Arial"/>
          <w:sz w:val="19"/>
          <w:szCs w:val="19"/>
          <w:color w:val="auto"/>
        </w:rPr>
        <w:t xml:space="preserve">, </w:t>
      </w:r>
      <w:r>
        <w:rPr>
          <w:rFonts w:ascii="Arial" w:cs="Arial" w:eastAsia="Arial" w:hAnsi="Arial"/>
          <w:sz w:val="19"/>
          <w:szCs w:val="19"/>
          <w:u w:val="single" w:color="auto"/>
          <w:color w:val="auto"/>
        </w:rPr>
        <w:t>2.13</w:t>
      </w:r>
      <w:r>
        <w:rPr>
          <w:rFonts w:ascii="Arial" w:cs="Arial" w:eastAsia="Arial" w:hAnsi="Arial"/>
          <w:sz w:val="19"/>
          <w:szCs w:val="19"/>
          <w:color w:val="auto"/>
        </w:rPr>
        <w:t xml:space="preserve">, </w:t>
      </w:r>
      <w:r>
        <w:rPr>
          <w:rFonts w:ascii="Arial" w:cs="Arial" w:eastAsia="Arial" w:hAnsi="Arial"/>
          <w:sz w:val="19"/>
          <w:szCs w:val="19"/>
          <w:u w:val="single" w:color="auto"/>
          <w:color w:val="auto"/>
        </w:rPr>
        <w:t>2.15</w:t>
      </w:r>
      <w:r>
        <w:rPr>
          <w:rFonts w:ascii="Arial" w:cs="Arial" w:eastAsia="Arial" w:hAnsi="Arial"/>
          <w:sz w:val="19"/>
          <w:szCs w:val="19"/>
          <w:color w:val="auto"/>
        </w:rPr>
        <w:t xml:space="preserve">, </w:t>
      </w:r>
      <w:r>
        <w:rPr>
          <w:rFonts w:ascii="Arial" w:cs="Arial" w:eastAsia="Arial" w:hAnsi="Arial"/>
          <w:sz w:val="19"/>
          <w:szCs w:val="19"/>
          <w:u w:val="single" w:color="auto"/>
          <w:color w:val="auto"/>
        </w:rPr>
        <w:t>2.16</w:t>
      </w:r>
      <w:r>
        <w:rPr>
          <w:rFonts w:ascii="Arial" w:cs="Arial" w:eastAsia="Arial" w:hAnsi="Arial"/>
          <w:sz w:val="19"/>
          <w:szCs w:val="19"/>
          <w:color w:val="auto"/>
        </w:rPr>
        <w:t xml:space="preserve">, </w:t>
      </w:r>
      <w:r>
        <w:rPr>
          <w:rFonts w:ascii="Arial" w:cs="Arial" w:eastAsia="Arial" w:hAnsi="Arial"/>
          <w:sz w:val="19"/>
          <w:szCs w:val="19"/>
          <w:u w:val="single" w:color="auto"/>
          <w:color w:val="auto"/>
        </w:rPr>
        <w:t>2.17</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9.03</w:t>
      </w:r>
      <w:r>
        <w:rPr>
          <w:rFonts w:ascii="Arial" w:cs="Arial" w:eastAsia="Arial" w:hAnsi="Arial"/>
          <w:sz w:val="19"/>
          <w:szCs w:val="19"/>
          <w:color w:val="auto"/>
        </w:rPr>
        <w:t>) allowed in such judicial proceeding; and</w:t>
      </w:r>
    </w:p>
    <w:p>
      <w:pPr>
        <w:spacing w:after="0" w:line="169" w:lineRule="exact"/>
        <w:rPr>
          <w:rFonts w:ascii="Arial" w:cs="Arial" w:eastAsia="Arial" w:hAnsi="Arial"/>
          <w:sz w:val="19"/>
          <w:szCs w:val="19"/>
          <w:color w:val="auto"/>
        </w:rPr>
      </w:pPr>
    </w:p>
    <w:p>
      <w:pPr>
        <w:ind w:left="2360" w:hanging="1056"/>
        <w:spacing w:after="0"/>
        <w:tabs>
          <w:tab w:leader="none" w:pos="2360" w:val="left"/>
        </w:tabs>
        <w:numPr>
          <w:ilvl w:val="1"/>
          <w:numId w:val="257"/>
        </w:numPr>
        <w:rPr>
          <w:rFonts w:ascii="Arial" w:cs="Arial" w:eastAsia="Arial" w:hAnsi="Arial"/>
          <w:sz w:val="19"/>
          <w:szCs w:val="19"/>
          <w:color w:val="auto"/>
        </w:rPr>
      </w:pPr>
      <w:r>
        <w:rPr>
          <w:rFonts w:ascii="Arial" w:cs="Arial" w:eastAsia="Arial" w:hAnsi="Arial"/>
          <w:sz w:val="19"/>
          <w:szCs w:val="19"/>
          <w:color w:val="auto"/>
        </w:rPr>
        <w:t>to collect and receive any monies or other property payable or deliverable on any such claims and to</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distribute the same;</w:t>
      </w:r>
    </w:p>
    <w:p>
      <w:pPr>
        <w:spacing w:after="0" w:line="215"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 xml:space="preserve">and any custodian, receiver, assignee, trustee, liquidator, sequestrator or other similar official in any such proceeding is hereby authorized by each Lender, each Issuing Bank and each other Secured Party to make such payments to the Administrative Agent and, in the event that the Administrative Agent shall consent to the making of such payments directly to the Lenders, the Issuing Banks or the other Secured Parties, to pay to the Administrative Agent any amount due to it, in its capacity as the Administrative Agent, under the Loan Documents (including under </w:t>
      </w:r>
      <w:r>
        <w:rPr>
          <w:rFonts w:ascii="Arial" w:cs="Arial" w:eastAsia="Arial" w:hAnsi="Arial"/>
          <w:sz w:val="21"/>
          <w:szCs w:val="21"/>
          <w:u w:val="single" w:color="auto"/>
          <w:color w:val="auto"/>
        </w:rPr>
        <w:t>Section 9.03</w:t>
      </w:r>
      <w:r>
        <w:rPr>
          <w:rFonts w:ascii="Arial" w:cs="Arial" w:eastAsia="Arial" w:hAnsi="Arial"/>
          <w:sz w:val="21"/>
          <w:szCs w:val="21"/>
          <w:color w:val="auto"/>
        </w:rPr>
        <w:t>).</w:t>
      </w:r>
    </w:p>
    <w:p>
      <w:pPr>
        <w:spacing w:after="0" w:line="205" w:lineRule="exact"/>
        <w:rPr>
          <w:sz w:val="20"/>
          <w:szCs w:val="20"/>
          <w:color w:val="auto"/>
        </w:rPr>
      </w:pPr>
    </w:p>
    <w:p>
      <w:pPr>
        <w:jc w:val="both"/>
        <w:ind w:firstLine="656"/>
        <w:spacing w:after="0" w:line="238" w:lineRule="auto"/>
        <w:tabs>
          <w:tab w:leader="none" w:pos="1298" w:val="left"/>
        </w:tabs>
        <w:numPr>
          <w:ilvl w:val="0"/>
          <w:numId w:val="258"/>
        </w:numPr>
        <w:rPr>
          <w:rFonts w:ascii="Arial" w:cs="Arial" w:eastAsia="Arial" w:hAnsi="Arial"/>
          <w:sz w:val="22"/>
          <w:szCs w:val="22"/>
          <w:color w:val="auto"/>
        </w:rPr>
      </w:pPr>
      <w:r>
        <w:rPr>
          <w:rFonts w:ascii="Arial" w:cs="Arial" w:eastAsia="Arial" w:hAnsi="Arial"/>
          <w:sz w:val="22"/>
          <w:szCs w:val="22"/>
          <w:color w:val="auto"/>
        </w:rPr>
        <w:t>Notwithstanding anything herein to the contrary, neither the Arrangers nor any Person named on the cover page of this Agreement as a Documentation Agent shall have any duties or obligations under this Agreement or any other Loan Document (except in its capacity, as applicable, as a Lender or an Issuing Bank), but all such Persons shall have the benefit of the indemnities provided for hereunder.</w:t>
      </w:r>
    </w:p>
    <w:p>
      <w:pPr>
        <w:spacing w:after="0" w:line="211" w:lineRule="exact"/>
        <w:rPr>
          <w:rFonts w:ascii="Arial" w:cs="Arial" w:eastAsia="Arial" w:hAnsi="Arial"/>
          <w:sz w:val="22"/>
          <w:szCs w:val="22"/>
          <w:color w:val="auto"/>
        </w:rPr>
      </w:pPr>
    </w:p>
    <w:p>
      <w:pPr>
        <w:jc w:val="both"/>
        <w:ind w:firstLine="656"/>
        <w:spacing w:after="0" w:line="235" w:lineRule="auto"/>
        <w:tabs>
          <w:tab w:leader="none" w:pos="1531" w:val="left"/>
        </w:tabs>
        <w:numPr>
          <w:ilvl w:val="0"/>
          <w:numId w:val="258"/>
        </w:numPr>
        <w:rPr>
          <w:rFonts w:ascii="Arial" w:cs="Arial" w:eastAsia="Arial" w:hAnsi="Arial"/>
          <w:sz w:val="22"/>
          <w:szCs w:val="22"/>
          <w:color w:val="auto"/>
        </w:rPr>
      </w:pPr>
      <w:r>
        <w:rPr>
          <w:rFonts w:ascii="Arial" w:cs="Arial" w:eastAsia="Arial" w:hAnsi="Arial"/>
          <w:sz w:val="22"/>
          <w:szCs w:val="22"/>
          <w:color w:val="auto"/>
        </w:rPr>
        <w:t>The provisions of this Article are solely for the benefit of the Administrative Agent, the Collateral Agent, the Lenders and the Issuing Banks, and, except solely to the extent of the Borrowers’ rights to consent pursuant to and subject to the conditions set forth in this Article, none of the Borrowers or any Subsidiary shall have any rights as a third party beneficiary of any such provisions. Each Secured Party, whether or not a party hereto, will be deemed, by its acceptance of the benefits of the Collateral and the Guarantees of the Obligations provided under the Loan Documents, to have agreed to the provisions of this Article.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7" w:name="page318"/>
    <w:bookmarkEnd w:id="317"/>
    <w:p>
      <w:pPr>
        <w:jc w:val="both"/>
        <w:ind w:firstLine="656"/>
        <w:spacing w:after="0" w:line="271" w:lineRule="auto"/>
        <w:tabs>
          <w:tab w:leader="none" w:pos="1399" w:val="left"/>
        </w:tabs>
        <w:numPr>
          <w:ilvl w:val="0"/>
          <w:numId w:val="259"/>
        </w:numPr>
        <w:rPr>
          <w:rFonts w:ascii="Arial" w:cs="Arial" w:eastAsia="Arial" w:hAnsi="Arial"/>
          <w:sz w:val="19"/>
          <w:szCs w:val="19"/>
          <w:color w:val="auto"/>
        </w:rPr>
      </w:pPr>
      <w:r>
        <w:rPr>
          <w:rFonts w:ascii="Arial" w:cs="Arial" w:eastAsia="Arial" w:hAnsi="Arial"/>
          <w:sz w:val="19"/>
          <w:szCs w:val="19"/>
          <w:color w:val="auto"/>
        </w:rPr>
        <w:t>To the extent required by any applicable Requirement of Law, the Administrative Agent may withhold from any payment to any Lender under any Loan Document an amount equal to any applicable withholding Tax. If the IRS or any Governmental Authority asserts a claim that the Administrative Agent did not properly withhold Tax from any amount paid to or for the account of any Lender for any reason (including because the appropriate form was not delivered or was not properly executed, or because such Lender failed to notify the Administrative Agent of a change in circumstances that rendered the exemption from, or reduction of, withholding Tax ineffective), such Lender shall indemnify and hold harmless the Administrative Agent (to the extent that the Administrative Agent has not already been reimbursed by the Loan Parties and without limiting or expanding the obligation of the Loan Parties to do so) for all amounts paid, directly or indirectly, by the Administrative Agent as Tax or otherwise, together with all expenses incurred, including legal expenses and any out-of-pocket expenses, whether or not such Tax was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to the Administrative Agent under this paragraph. The agreements in this paragraph shall survive the resignation and/or replacement of the Administrative Agent, any assignment of rights by, or the replacement of, a Lender, the termination of the Loans and the repayment, satisfaction or discharge of all obligations under this Agreement.</w:t>
      </w:r>
    </w:p>
    <w:p>
      <w:pPr>
        <w:spacing w:after="0" w:line="200" w:lineRule="exact"/>
        <w:rPr>
          <w:rFonts w:ascii="Arial" w:cs="Arial" w:eastAsia="Arial" w:hAnsi="Arial"/>
          <w:sz w:val="19"/>
          <w:szCs w:val="19"/>
          <w:color w:val="auto"/>
        </w:rPr>
      </w:pPr>
    </w:p>
    <w:p>
      <w:pPr>
        <w:spacing w:after="0" w:line="230" w:lineRule="exact"/>
        <w:rPr>
          <w:rFonts w:ascii="Arial" w:cs="Arial" w:eastAsia="Arial" w:hAnsi="Arial"/>
          <w:sz w:val="19"/>
          <w:szCs w:val="19"/>
          <w:color w:val="auto"/>
        </w:rPr>
      </w:pPr>
    </w:p>
    <w:p>
      <w:pPr>
        <w:jc w:val="both"/>
        <w:ind w:firstLine="656"/>
        <w:spacing w:after="0" w:line="257" w:lineRule="auto"/>
        <w:tabs>
          <w:tab w:leader="none" w:pos="1386" w:val="left"/>
        </w:tabs>
        <w:numPr>
          <w:ilvl w:val="0"/>
          <w:numId w:val="259"/>
        </w:numPr>
        <w:rPr>
          <w:rFonts w:ascii="Arial" w:cs="Arial" w:eastAsia="Arial" w:hAnsi="Arial"/>
          <w:sz w:val="21"/>
          <w:szCs w:val="21"/>
          <w:color w:val="auto"/>
        </w:rPr>
      </w:pPr>
      <w:r>
        <w:rPr>
          <w:rFonts w:ascii="Arial" w:cs="Arial" w:eastAsia="Arial" w:hAnsi="Arial"/>
          <w:sz w:val="21"/>
          <w:szCs w:val="21"/>
          <w:color w:val="auto"/>
        </w:rPr>
        <w:t>Unless required by applicable Requirement of Law, at no time shall the Administrative Agent have any obligation to file for or otherwise pursue on behalf of a Lender any refund of Taxes withheld or deducted from funds paid for the account of such Lender. For purposes of this paragraph, the term “Lender” includes any Issuing Bank.</w:t>
      </w:r>
    </w:p>
    <w:p>
      <w:pPr>
        <w:spacing w:after="0" w:line="196" w:lineRule="exact"/>
        <w:rPr>
          <w:sz w:val="20"/>
          <w:szCs w:val="20"/>
          <w:color w:val="auto"/>
        </w:rPr>
      </w:pPr>
    </w:p>
    <w:p>
      <w:pPr>
        <w:ind w:left="660"/>
        <w:spacing w:after="0"/>
        <w:tabs>
          <w:tab w:leader="none" w:pos="2300" w:val="left"/>
        </w:tabs>
        <w:rPr>
          <w:sz w:val="20"/>
          <w:szCs w:val="20"/>
          <w:color w:val="auto"/>
        </w:rPr>
      </w:pPr>
      <w:r>
        <w:rPr>
          <w:rFonts w:ascii="Arial" w:cs="Arial" w:eastAsia="Arial" w:hAnsi="Arial"/>
          <w:sz w:val="22"/>
          <w:szCs w:val="22"/>
          <w:color w:val="auto"/>
        </w:rPr>
        <w:t>SECTION 8.02.</w:t>
      </w:r>
      <w:r>
        <w:rPr>
          <w:sz w:val="20"/>
          <w:szCs w:val="20"/>
          <w:color w:val="auto"/>
        </w:rPr>
        <w:tab/>
      </w:r>
      <w:r>
        <w:rPr>
          <w:rFonts w:ascii="Arial" w:cs="Arial" w:eastAsia="Arial" w:hAnsi="Arial"/>
          <w:sz w:val="19"/>
          <w:szCs w:val="19"/>
          <w:u w:val="single" w:color="auto"/>
          <w:color w:val="auto"/>
        </w:rPr>
        <w:t>Certain ERISA Matters</w:t>
      </w:r>
    </w:p>
    <w:p>
      <w:pPr>
        <w:spacing w:after="0" w:line="233" w:lineRule="exact"/>
        <w:rPr>
          <w:sz w:val="20"/>
          <w:szCs w:val="20"/>
          <w:color w:val="auto"/>
        </w:rPr>
      </w:pPr>
    </w:p>
    <w:p>
      <w:pPr>
        <w:jc w:val="both"/>
        <w:ind w:firstLine="656"/>
        <w:spacing w:after="0" w:line="287" w:lineRule="auto"/>
        <w:tabs>
          <w:tab w:leader="none" w:pos="1452" w:val="left"/>
        </w:tabs>
        <w:numPr>
          <w:ilvl w:val="0"/>
          <w:numId w:val="260"/>
        </w:numPr>
        <w:rPr>
          <w:rFonts w:ascii="Arial" w:cs="Arial" w:eastAsia="Arial" w:hAnsi="Arial"/>
          <w:sz w:val="19"/>
          <w:szCs w:val="19"/>
          <w:color w:val="auto"/>
        </w:rPr>
      </w:pPr>
      <w:r>
        <w:rPr>
          <w:rFonts w:ascii="Arial" w:cs="Arial" w:eastAsia="Arial" w:hAnsi="Arial"/>
          <w:sz w:val="19"/>
          <w:szCs w:val="19"/>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each Arranger and their respective Affiliates, and not, for the avoidance of doubt, to or for the benefit of the Borrowers or any other Loan Party, that at least one of the following is and will be true:</w:t>
      </w:r>
    </w:p>
    <w:p>
      <w:pPr>
        <w:spacing w:after="0" w:line="169" w:lineRule="exact"/>
        <w:rPr>
          <w:rFonts w:ascii="Arial" w:cs="Arial" w:eastAsia="Arial" w:hAnsi="Arial"/>
          <w:sz w:val="19"/>
          <w:szCs w:val="19"/>
          <w:color w:val="auto"/>
        </w:rPr>
      </w:pPr>
    </w:p>
    <w:p>
      <w:pPr>
        <w:ind w:left="660" w:firstLine="644"/>
        <w:spacing w:after="0" w:line="250" w:lineRule="auto"/>
        <w:tabs>
          <w:tab w:leader="none" w:pos="2401" w:val="left"/>
        </w:tabs>
        <w:numPr>
          <w:ilvl w:val="1"/>
          <w:numId w:val="260"/>
        </w:numPr>
        <w:rPr>
          <w:rFonts w:ascii="Arial" w:cs="Arial" w:eastAsia="Arial" w:hAnsi="Arial"/>
          <w:sz w:val="22"/>
          <w:szCs w:val="22"/>
          <w:color w:val="auto"/>
        </w:rPr>
      </w:pPr>
      <w:r>
        <w:rPr>
          <w:rFonts w:ascii="Arial" w:cs="Arial" w:eastAsia="Arial" w:hAnsi="Arial"/>
          <w:sz w:val="22"/>
          <w:szCs w:val="22"/>
          <w:color w:val="auto"/>
        </w:rPr>
        <w:t>such Lender is not using “plan assets” (within the meaning of the Plan Asset Regulations) of one or more Benefit Plans in connection with the Loans, the Letters of Credit or the Commitments,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8" w:name="page319"/>
    <w:bookmarkEnd w:id="318"/>
    <w:p>
      <w:pPr>
        <w:jc w:val="both"/>
        <w:ind w:left="660" w:firstLine="644"/>
        <w:spacing w:after="0" w:line="277" w:lineRule="auto"/>
        <w:tabs>
          <w:tab w:leader="none" w:pos="2373" w:val="left"/>
        </w:tabs>
        <w:numPr>
          <w:ilvl w:val="1"/>
          <w:numId w:val="261"/>
        </w:numPr>
        <w:rPr>
          <w:rFonts w:ascii="Arial" w:cs="Arial" w:eastAsia="Arial" w:hAnsi="Arial"/>
          <w:sz w:val="19"/>
          <w:szCs w:val="19"/>
          <w:color w:val="auto"/>
        </w:rPr>
      </w:pPr>
      <w:r>
        <w:rPr>
          <w:rFonts w:ascii="Arial" w:cs="Arial" w:eastAsia="Arial" w:hAnsi="Arial"/>
          <w:sz w:val="19"/>
          <w:szCs w:val="19"/>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79" w:lineRule="exact"/>
        <w:rPr>
          <w:rFonts w:ascii="Arial" w:cs="Arial" w:eastAsia="Arial" w:hAnsi="Arial"/>
          <w:sz w:val="19"/>
          <w:szCs w:val="19"/>
          <w:color w:val="auto"/>
        </w:rPr>
      </w:pPr>
    </w:p>
    <w:p>
      <w:pPr>
        <w:jc w:val="both"/>
        <w:ind w:left="660" w:firstLine="644"/>
        <w:spacing w:after="0" w:line="275" w:lineRule="auto"/>
        <w:tabs>
          <w:tab w:leader="none" w:pos="2284" w:val="left"/>
        </w:tabs>
        <w:numPr>
          <w:ilvl w:val="1"/>
          <w:numId w:val="261"/>
        </w:numPr>
        <w:rPr>
          <w:rFonts w:ascii="Arial" w:cs="Arial" w:eastAsia="Arial" w:hAnsi="Arial"/>
          <w:sz w:val="19"/>
          <w:szCs w:val="19"/>
          <w:color w:val="auto"/>
        </w:rPr>
      </w:pPr>
      <w:r>
        <w:rPr>
          <w:rFonts w:ascii="Arial" w:cs="Arial" w:eastAsia="Arial" w:hAnsi="Arial"/>
          <w:sz w:val="19"/>
          <w:szCs w:val="19"/>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84" w:lineRule="exact"/>
        <w:rPr>
          <w:rFonts w:ascii="Arial" w:cs="Arial" w:eastAsia="Arial" w:hAnsi="Arial"/>
          <w:sz w:val="19"/>
          <w:szCs w:val="19"/>
          <w:color w:val="auto"/>
        </w:rPr>
      </w:pPr>
    </w:p>
    <w:p>
      <w:pPr>
        <w:ind w:left="660" w:firstLine="644"/>
        <w:spacing w:after="0" w:line="250" w:lineRule="auto"/>
        <w:tabs>
          <w:tab w:leader="none" w:pos="2723" w:val="left"/>
        </w:tabs>
        <w:numPr>
          <w:ilvl w:val="1"/>
          <w:numId w:val="261"/>
        </w:numPr>
        <w:rPr>
          <w:rFonts w:ascii="Arial" w:cs="Arial" w:eastAsia="Arial" w:hAnsi="Arial"/>
          <w:sz w:val="22"/>
          <w:szCs w:val="22"/>
          <w:color w:val="auto"/>
        </w:rPr>
      </w:pPr>
      <w:r>
        <w:rPr>
          <w:rFonts w:ascii="Arial" w:cs="Arial" w:eastAsia="Arial" w:hAnsi="Arial"/>
          <w:sz w:val="22"/>
          <w:szCs w:val="22"/>
          <w:color w:val="auto"/>
        </w:rPr>
        <w:t>such other representation, warranty and covenant as may be agreed in writing between the Administrative Agent, in its sole discretion, and such Lender.</w:t>
      </w:r>
    </w:p>
    <w:p>
      <w:pPr>
        <w:spacing w:after="0" w:line="201" w:lineRule="exact"/>
        <w:rPr>
          <w:rFonts w:ascii="Arial" w:cs="Arial" w:eastAsia="Arial" w:hAnsi="Arial"/>
          <w:sz w:val="22"/>
          <w:szCs w:val="22"/>
          <w:color w:val="auto"/>
        </w:rPr>
      </w:pPr>
    </w:p>
    <w:p>
      <w:pPr>
        <w:jc w:val="both"/>
        <w:ind w:firstLine="656"/>
        <w:spacing w:after="0" w:line="245" w:lineRule="auto"/>
        <w:tabs>
          <w:tab w:leader="none" w:pos="1434" w:val="left"/>
        </w:tabs>
        <w:numPr>
          <w:ilvl w:val="0"/>
          <w:numId w:val="262"/>
        </w:numPr>
        <w:rPr>
          <w:rFonts w:ascii="Arial" w:cs="Arial" w:eastAsia="Arial" w:hAnsi="Arial"/>
          <w:sz w:val="21"/>
          <w:szCs w:val="21"/>
          <w:color w:val="auto"/>
        </w:rPr>
      </w:pPr>
      <w:r>
        <w:rPr>
          <w:rFonts w:ascii="Arial" w:cs="Arial" w:eastAsia="Arial" w:hAnsi="Arial"/>
          <w:sz w:val="21"/>
          <w:szCs w:val="21"/>
          <w:color w:val="auto"/>
        </w:rPr>
        <w:t>In addition, unless sub-clause (i) in the immediately preceding clause (a) is true with respect to a Lender or such Lender has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Borrowers or any other Loan Party, that none of the Administrative Agent, any Arranger, the Documentation Agent or any of their respective Affiliates is a fiduciary with respect to the assets of such Lender (including in connection with the reservation or exercise of any rights by the Administrative Agent under this Agreement, any Loan Document or any documents related hereto or thereto).</w:t>
      </w:r>
    </w:p>
    <w:p>
      <w:pPr>
        <w:spacing w:after="0" w:line="211" w:lineRule="exact"/>
        <w:rPr>
          <w:rFonts w:ascii="Arial" w:cs="Arial" w:eastAsia="Arial" w:hAnsi="Arial"/>
          <w:sz w:val="21"/>
          <w:szCs w:val="21"/>
          <w:color w:val="auto"/>
        </w:rPr>
      </w:pPr>
    </w:p>
    <w:p>
      <w:pPr>
        <w:jc w:val="both"/>
        <w:ind w:firstLine="656"/>
        <w:spacing w:after="0" w:line="273" w:lineRule="auto"/>
        <w:tabs>
          <w:tab w:leader="none" w:pos="1506" w:val="left"/>
        </w:tabs>
        <w:numPr>
          <w:ilvl w:val="0"/>
          <w:numId w:val="262"/>
        </w:numPr>
        <w:rPr>
          <w:rFonts w:ascii="Arial" w:cs="Arial" w:eastAsia="Arial" w:hAnsi="Arial"/>
          <w:sz w:val="19"/>
          <w:szCs w:val="19"/>
          <w:color w:val="auto"/>
        </w:rPr>
      </w:pPr>
      <w:r>
        <w:rPr>
          <w:rFonts w:ascii="Arial" w:cs="Arial" w:eastAsia="Arial" w:hAnsi="Arial"/>
          <w:sz w:val="19"/>
          <w:szCs w:val="19"/>
          <w:color w:val="auto"/>
        </w:rPr>
        <w:t>The Administrative Agent, each Arranger and the Documentation Agent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Documents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9" w:name="page320"/>
    <w:bookmarkEnd w:id="319"/>
    <w:p>
      <w:pPr>
        <w:jc w:val="center"/>
        <w:spacing w:after="0"/>
        <w:rPr>
          <w:sz w:val="20"/>
          <w:szCs w:val="20"/>
          <w:color w:val="auto"/>
        </w:rPr>
      </w:pPr>
      <w:r>
        <w:rPr>
          <w:rFonts w:ascii="Arial" w:cs="Arial" w:eastAsia="Arial" w:hAnsi="Arial"/>
          <w:sz w:val="22"/>
          <w:szCs w:val="22"/>
          <w:color w:val="auto"/>
        </w:rPr>
        <w:t>ARTICLE IX</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Miscellaneous</w:t>
      </w:r>
    </w:p>
    <w:p>
      <w:pPr>
        <w:spacing w:after="0" w:line="233"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22"/>
          <w:szCs w:val="22"/>
          <w:color w:val="auto"/>
        </w:rPr>
        <w:t>SECTION 9.01.</w:t>
      </w:r>
      <w:r>
        <w:rPr>
          <w:sz w:val="20"/>
          <w:szCs w:val="20"/>
          <w:color w:val="auto"/>
        </w:rPr>
        <w:tab/>
      </w:r>
      <w:r>
        <w:rPr>
          <w:rFonts w:ascii="Arial" w:cs="Arial" w:eastAsia="Arial" w:hAnsi="Arial"/>
          <w:sz w:val="19"/>
          <w:szCs w:val="19"/>
          <w:u w:val="single" w:color="auto"/>
          <w:color w:val="auto"/>
        </w:rPr>
        <w:t>Notices</w:t>
      </w:r>
    </w:p>
    <w:p>
      <w:pPr>
        <w:spacing w:after="0" w:line="233" w:lineRule="exact"/>
        <w:rPr>
          <w:sz w:val="20"/>
          <w:szCs w:val="20"/>
          <w:color w:val="auto"/>
        </w:rPr>
      </w:pPr>
    </w:p>
    <w:p>
      <w:pPr>
        <w:ind w:firstLine="656"/>
        <w:spacing w:after="0" w:line="250" w:lineRule="auto"/>
        <w:tabs>
          <w:tab w:leader="none" w:pos="1387" w:val="left"/>
        </w:tabs>
        <w:numPr>
          <w:ilvl w:val="0"/>
          <w:numId w:val="263"/>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All notices and other communications provided for herein shall be in writing and shall be delivered by hand or overnight courier service, mailed by certified or registered mail or sent by fax, as follows:</w:t>
      </w:r>
    </w:p>
    <w:p>
      <w:pPr>
        <w:spacing w:after="0" w:line="201" w:lineRule="exact"/>
        <w:rPr>
          <w:rFonts w:ascii="Arial" w:cs="Arial" w:eastAsia="Arial" w:hAnsi="Arial"/>
          <w:sz w:val="22"/>
          <w:szCs w:val="22"/>
          <w:color w:val="auto"/>
        </w:rPr>
      </w:pPr>
    </w:p>
    <w:p>
      <w:pPr>
        <w:ind w:left="2000" w:hanging="696"/>
        <w:spacing w:after="0"/>
        <w:tabs>
          <w:tab w:leader="none" w:pos="2000" w:val="left"/>
        </w:tabs>
        <w:numPr>
          <w:ilvl w:val="1"/>
          <w:numId w:val="263"/>
        </w:numPr>
        <w:rPr>
          <w:rFonts w:ascii="Arial" w:cs="Arial" w:eastAsia="Arial" w:hAnsi="Arial"/>
          <w:sz w:val="21"/>
          <w:szCs w:val="21"/>
          <w:color w:val="auto"/>
        </w:rPr>
      </w:pPr>
      <w:r>
        <w:rPr>
          <w:rFonts w:ascii="Arial" w:cs="Arial" w:eastAsia="Arial" w:hAnsi="Arial"/>
          <w:sz w:val="21"/>
          <w:szCs w:val="21"/>
          <w:color w:val="auto"/>
        </w:rPr>
        <w:t>if to the Borrowers, One St. Paul’s Churchyard, London, EC4M 8AP, United Kingdom, Attention: Alf</w:t>
      </w:r>
    </w:p>
    <w:p>
      <w:pPr>
        <w:spacing w:after="0" w:line="19"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22"/>
          <w:szCs w:val="22"/>
          <w:color w:val="auto"/>
        </w:rPr>
        <w:t>Melin, Email: alf.melin@technipfmc.com;</w:t>
      </w:r>
    </w:p>
    <w:p>
      <w:pPr>
        <w:spacing w:after="0" w:line="215" w:lineRule="exact"/>
        <w:rPr>
          <w:rFonts w:ascii="Arial" w:cs="Arial" w:eastAsia="Arial" w:hAnsi="Arial"/>
          <w:sz w:val="21"/>
          <w:szCs w:val="21"/>
          <w:color w:val="auto"/>
        </w:rPr>
      </w:pPr>
    </w:p>
    <w:p>
      <w:pPr>
        <w:ind w:left="2280" w:hanging="976"/>
        <w:spacing w:after="0"/>
        <w:tabs>
          <w:tab w:leader="none" w:pos="2280" w:val="left"/>
        </w:tabs>
        <w:numPr>
          <w:ilvl w:val="1"/>
          <w:numId w:val="263"/>
        </w:numPr>
        <w:rPr>
          <w:rFonts w:ascii="Arial" w:cs="Arial" w:eastAsia="Arial" w:hAnsi="Arial"/>
          <w:sz w:val="22"/>
          <w:szCs w:val="22"/>
          <w:color w:val="auto"/>
        </w:rPr>
      </w:pPr>
      <w:r>
        <w:rPr>
          <w:rFonts w:ascii="Arial" w:cs="Arial" w:eastAsia="Arial" w:hAnsi="Arial"/>
          <w:sz w:val="22"/>
          <w:szCs w:val="22"/>
          <w:color w:val="auto"/>
        </w:rPr>
        <w:t>if to the Administrative Agent, to it at:</w:t>
      </w:r>
    </w:p>
    <w:p>
      <w:pPr>
        <w:spacing w:after="0" w:line="233"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JPMorgan Chase Bank, N.A.</w:t>
      </w:r>
    </w:p>
    <w:p>
      <w:pPr>
        <w:ind w:left="2120"/>
        <w:spacing w:after="0" w:line="180" w:lineRule="auto"/>
        <w:rPr>
          <w:sz w:val="20"/>
          <w:szCs w:val="20"/>
          <w:color w:val="auto"/>
        </w:rPr>
      </w:pPr>
      <w:r>
        <w:rPr>
          <w:rFonts w:ascii="Arial" w:cs="Arial" w:eastAsia="Arial" w:hAnsi="Arial"/>
          <w:sz w:val="19"/>
          <w:szCs w:val="19"/>
          <w:color w:val="auto"/>
        </w:rPr>
        <w:t>712 Main Street, 5</w:t>
      </w:r>
      <w:r>
        <w:rPr>
          <w:rFonts w:ascii="Arial" w:cs="Arial" w:eastAsia="Arial" w:hAnsi="Arial"/>
          <w:sz w:val="29"/>
          <w:szCs w:val="29"/>
          <w:color w:val="auto"/>
          <w:vertAlign w:val="superscript"/>
        </w:rPr>
        <w:t>th</w:t>
      </w:r>
      <w:r>
        <w:rPr>
          <w:rFonts w:ascii="Arial" w:cs="Arial" w:eastAsia="Arial" w:hAnsi="Arial"/>
          <w:sz w:val="19"/>
          <w:szCs w:val="19"/>
          <w:color w:val="auto"/>
        </w:rPr>
        <w:t xml:space="preserve"> Floor</w:t>
      </w:r>
    </w:p>
    <w:p>
      <w:pPr>
        <w:ind w:left="2120"/>
        <w:spacing w:after="0" w:line="231" w:lineRule="auto"/>
        <w:rPr>
          <w:sz w:val="20"/>
          <w:szCs w:val="20"/>
          <w:color w:val="auto"/>
        </w:rPr>
      </w:pPr>
      <w:r>
        <w:rPr>
          <w:rFonts w:ascii="Arial" w:cs="Arial" w:eastAsia="Arial" w:hAnsi="Arial"/>
          <w:sz w:val="22"/>
          <w:szCs w:val="22"/>
          <w:color w:val="auto"/>
        </w:rPr>
        <w:t>Houston, TX 77002</w:t>
      </w:r>
    </w:p>
    <w:p>
      <w:pPr>
        <w:ind w:left="2120"/>
        <w:spacing w:after="0" w:line="231" w:lineRule="auto"/>
        <w:rPr>
          <w:sz w:val="20"/>
          <w:szCs w:val="20"/>
          <w:color w:val="auto"/>
        </w:rPr>
      </w:pPr>
      <w:r>
        <w:rPr>
          <w:rFonts w:ascii="Arial" w:cs="Arial" w:eastAsia="Arial" w:hAnsi="Arial"/>
          <w:sz w:val="22"/>
          <w:szCs w:val="22"/>
          <w:color w:val="auto"/>
        </w:rPr>
        <w:t>Attention: Anson Williams</w:t>
      </w:r>
    </w:p>
    <w:p>
      <w:pPr>
        <w:ind w:left="2120"/>
        <w:spacing w:after="0"/>
        <w:rPr>
          <w:sz w:val="20"/>
          <w:szCs w:val="20"/>
          <w:color w:val="auto"/>
        </w:rPr>
      </w:pPr>
      <w:r>
        <w:rPr>
          <w:rFonts w:ascii="Arial" w:cs="Arial" w:eastAsia="Arial" w:hAnsi="Arial"/>
          <w:sz w:val="22"/>
          <w:szCs w:val="22"/>
          <w:color w:val="auto"/>
        </w:rPr>
        <w:t>Email: anson.d.williams@jpmorgan.com</w:t>
      </w:r>
    </w:p>
    <w:p>
      <w:pPr>
        <w:spacing w:after="0" w:line="215"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and</w:t>
      </w:r>
    </w:p>
    <w:p>
      <w:pPr>
        <w:spacing w:after="0" w:line="233"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JPMorgan Chase Bank, N.A.</w:t>
      </w:r>
    </w:p>
    <w:p>
      <w:pPr>
        <w:ind w:left="2120"/>
        <w:spacing w:after="0" w:line="238" w:lineRule="auto"/>
        <w:rPr>
          <w:sz w:val="20"/>
          <w:szCs w:val="20"/>
          <w:color w:val="auto"/>
        </w:rPr>
      </w:pPr>
      <w:r>
        <w:rPr>
          <w:rFonts w:ascii="Arial" w:cs="Arial" w:eastAsia="Arial" w:hAnsi="Arial"/>
          <w:sz w:val="22"/>
          <w:szCs w:val="22"/>
          <w:color w:val="auto"/>
        </w:rPr>
        <w:t>10 South Dearborn, Floor L2</w:t>
      </w:r>
    </w:p>
    <w:p>
      <w:pPr>
        <w:ind w:left="2120"/>
        <w:spacing w:after="0" w:line="230" w:lineRule="auto"/>
        <w:rPr>
          <w:sz w:val="20"/>
          <w:szCs w:val="20"/>
          <w:color w:val="auto"/>
        </w:rPr>
      </w:pPr>
      <w:r>
        <w:rPr>
          <w:rFonts w:ascii="Arial" w:cs="Arial" w:eastAsia="Arial" w:hAnsi="Arial"/>
          <w:sz w:val="22"/>
          <w:szCs w:val="22"/>
          <w:color w:val="auto"/>
        </w:rPr>
        <w:t>Chicago, IL 60603-2300</w:t>
      </w:r>
    </w:p>
    <w:p>
      <w:pPr>
        <w:ind w:left="2120"/>
        <w:spacing w:after="0" w:line="231" w:lineRule="auto"/>
        <w:rPr>
          <w:sz w:val="20"/>
          <w:szCs w:val="20"/>
          <w:color w:val="auto"/>
        </w:rPr>
      </w:pPr>
      <w:r>
        <w:rPr>
          <w:rFonts w:ascii="Arial" w:cs="Arial" w:eastAsia="Arial" w:hAnsi="Arial"/>
          <w:sz w:val="22"/>
          <w:szCs w:val="22"/>
          <w:color w:val="auto"/>
        </w:rPr>
        <w:t>Attention: Michael Stevens</w:t>
      </w:r>
    </w:p>
    <w:p>
      <w:pPr>
        <w:ind w:left="2120"/>
        <w:spacing w:after="0" w:line="230" w:lineRule="auto"/>
        <w:rPr>
          <w:sz w:val="20"/>
          <w:szCs w:val="20"/>
          <w:color w:val="auto"/>
        </w:rPr>
      </w:pPr>
      <w:r>
        <w:rPr>
          <w:rFonts w:ascii="Arial" w:cs="Arial" w:eastAsia="Arial" w:hAnsi="Arial"/>
          <w:sz w:val="22"/>
          <w:szCs w:val="22"/>
          <w:color w:val="auto"/>
        </w:rPr>
        <w:t>Phone: (312) 732-6468</w:t>
      </w:r>
    </w:p>
    <w:p>
      <w:pPr>
        <w:ind w:left="2120"/>
        <w:spacing w:after="0" w:line="231" w:lineRule="auto"/>
        <w:rPr>
          <w:sz w:val="20"/>
          <w:szCs w:val="20"/>
          <w:color w:val="auto"/>
        </w:rPr>
      </w:pPr>
      <w:r>
        <w:rPr>
          <w:rFonts w:ascii="Arial" w:cs="Arial" w:eastAsia="Arial" w:hAnsi="Arial"/>
          <w:sz w:val="22"/>
          <w:szCs w:val="22"/>
          <w:color w:val="auto"/>
        </w:rPr>
        <w:t>Fax: (844) 490-5665</w:t>
      </w:r>
    </w:p>
    <w:p>
      <w:pPr>
        <w:ind w:left="2120"/>
        <w:spacing w:after="0"/>
        <w:rPr>
          <w:sz w:val="20"/>
          <w:szCs w:val="20"/>
          <w:color w:val="auto"/>
        </w:rPr>
      </w:pPr>
      <w:r>
        <w:rPr>
          <w:rFonts w:ascii="Arial" w:cs="Arial" w:eastAsia="Arial" w:hAnsi="Arial"/>
          <w:sz w:val="22"/>
          <w:szCs w:val="22"/>
          <w:color w:val="auto"/>
        </w:rPr>
        <w:t>Email: Jpm.agency.servicing.1@jpmorgan.com</w:t>
      </w:r>
    </w:p>
    <w:p>
      <w:pPr>
        <w:spacing w:after="0" w:line="215" w:lineRule="exact"/>
        <w:rPr>
          <w:sz w:val="20"/>
          <w:szCs w:val="20"/>
          <w:color w:val="auto"/>
        </w:rPr>
      </w:pPr>
    </w:p>
    <w:p>
      <w:pPr>
        <w:jc w:val="both"/>
        <w:ind w:left="660" w:firstLine="644"/>
        <w:spacing w:after="0" w:line="238" w:lineRule="auto"/>
        <w:tabs>
          <w:tab w:leader="none" w:pos="2340" w:val="left"/>
        </w:tabs>
        <w:numPr>
          <w:ilvl w:val="0"/>
          <w:numId w:val="264"/>
        </w:numPr>
        <w:rPr>
          <w:rFonts w:ascii="Arial" w:cs="Arial" w:eastAsia="Arial" w:hAnsi="Arial"/>
          <w:sz w:val="22"/>
          <w:szCs w:val="22"/>
          <w:color w:val="auto"/>
        </w:rPr>
      </w:pPr>
      <w:r>
        <w:rPr>
          <w:rFonts w:ascii="Arial" w:cs="Arial" w:eastAsia="Arial" w:hAnsi="Arial"/>
          <w:sz w:val="22"/>
          <w:szCs w:val="22"/>
          <w:color w:val="auto"/>
        </w:rPr>
        <w:t>if to any Issuing Bank, to it at its address (or fax number) most recently specified by it in a notice delivered to the Administrative Agent and the Borrowers (or, in the absence of any such notice, to the address (or fax number) set forth in the Administrative Questionnaire of the Lender that is serving as such Issuing Bank or is an Affiliate thereof); and</w:t>
      </w:r>
    </w:p>
    <w:p>
      <w:pPr>
        <w:spacing w:after="0" w:line="211" w:lineRule="exact"/>
        <w:rPr>
          <w:rFonts w:ascii="Arial" w:cs="Arial" w:eastAsia="Arial" w:hAnsi="Arial"/>
          <w:sz w:val="22"/>
          <w:szCs w:val="22"/>
          <w:color w:val="auto"/>
        </w:rPr>
      </w:pPr>
    </w:p>
    <w:p>
      <w:pPr>
        <w:ind w:left="2220" w:hanging="916"/>
        <w:spacing w:after="0"/>
        <w:tabs>
          <w:tab w:leader="none" w:pos="2220" w:val="left"/>
        </w:tabs>
        <w:numPr>
          <w:ilvl w:val="0"/>
          <w:numId w:val="264"/>
        </w:numPr>
        <w:rPr>
          <w:rFonts w:ascii="Arial" w:cs="Arial" w:eastAsia="Arial" w:hAnsi="Arial"/>
          <w:sz w:val="19"/>
          <w:szCs w:val="19"/>
          <w:color w:val="auto"/>
        </w:rPr>
      </w:pPr>
      <w:r>
        <w:rPr>
          <w:rFonts w:ascii="Arial" w:cs="Arial" w:eastAsia="Arial" w:hAnsi="Arial"/>
          <w:sz w:val="19"/>
          <w:szCs w:val="19"/>
          <w:color w:val="auto"/>
        </w:rPr>
        <w:t>if to any other Lender, to it at its address (or fax number) set forth in its Administrative Questionnaire.</w:t>
      </w:r>
    </w:p>
    <w:p>
      <w:pPr>
        <w:spacing w:after="0" w:line="268"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 xml:space="preserve">Notices and communications sent by hand or overnight courier service, or mailed by certified or registered mail, shall be deemed to have been given when received; notices sent by fax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w:t>
      </w:r>
      <w:r>
        <w:rPr>
          <w:rFonts w:ascii="Arial" w:cs="Arial" w:eastAsia="Arial" w:hAnsi="Arial"/>
          <w:sz w:val="21"/>
          <w:szCs w:val="21"/>
          <w:u w:val="single" w:color="auto"/>
          <w:color w:val="auto"/>
        </w:rPr>
        <w:t>paragraph (b)</w:t>
      </w:r>
      <w:r>
        <w:rPr>
          <w:rFonts w:ascii="Arial" w:cs="Arial" w:eastAsia="Arial" w:hAnsi="Arial"/>
          <w:sz w:val="21"/>
          <w:szCs w:val="21"/>
          <w:color w:val="auto"/>
        </w:rPr>
        <w:t xml:space="preserve"> of this Section, shall be effective as provided in such paragraph.</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0" w:name="page321"/>
    <w:bookmarkEnd w:id="320"/>
    <w:p>
      <w:pPr>
        <w:jc w:val="both"/>
        <w:ind w:firstLine="656"/>
        <w:spacing w:after="0" w:line="275" w:lineRule="auto"/>
        <w:tabs>
          <w:tab w:leader="none" w:pos="1413" w:val="left"/>
        </w:tabs>
        <w:numPr>
          <w:ilvl w:val="0"/>
          <w:numId w:val="265"/>
        </w:numPr>
        <w:rPr>
          <w:rFonts w:ascii="Arial" w:cs="Arial" w:eastAsia="Arial" w:hAnsi="Arial"/>
          <w:sz w:val="19"/>
          <w:szCs w:val="19"/>
          <w:color w:val="auto"/>
        </w:rPr>
      </w:pPr>
      <w:r>
        <w:rPr>
          <w:rFonts w:ascii="Arial" w:cs="Arial" w:eastAsia="Arial" w:hAnsi="Arial"/>
          <w:sz w:val="19"/>
          <w:szCs w:val="19"/>
          <w:u w:val="single" w:color="auto"/>
          <w:color w:val="auto"/>
        </w:rPr>
        <w:t>Electronic Communications</w:t>
      </w:r>
      <w:r>
        <w:rPr>
          <w:rFonts w:ascii="Arial" w:cs="Arial" w:eastAsia="Arial" w:hAnsi="Arial"/>
          <w:sz w:val="19"/>
          <w:szCs w:val="19"/>
          <w:color w:val="auto"/>
        </w:rPr>
        <w:t xml:space="preserve">. Notices and other communications to the Lenders and the Issuing Banks hereunder may be delivered or furnished by electronic communication (including e-mail and Internet and intranet websites) pursuant to procedures approved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apply to notices under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to any Lender or any Issuing Bank if such Lender or such Issuing Bank, as applicable, has notified the Administrative Agent that it is incapable of receiving notices under such Article by electronic communication. The Administrative Agent, or the Borrowers may, in their discretion, agree to accept notices and other communications to it hereunder by electronic communications pursuant to procedures approved by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approval of such procedures may be limited to particular notices or communications or may be rescinded by any such Person by notice to each other such Person.</w:t>
      </w:r>
    </w:p>
    <w:p>
      <w:pPr>
        <w:spacing w:after="0" w:line="18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 xml:space="preserve">Unless the Administrative Agent otherwise prescribes, (i) notices and other communications sent to an e-mail address shall be deemed received upon the sender’s receipt of an acknowledgment from the intended recipient (such as by the “return receipt requested” function, as available, return e-mail or other written acknowledgment) and (ii) notices and other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both clauses (i) and (ii) above, if such notice or other communication is not sent during the normal business hours of the recipient, such notice or communication shall be deemed to have been sent at the opening of business on the next Business Day for the recipient.</w:t>
      </w:r>
    </w:p>
    <w:p>
      <w:pPr>
        <w:spacing w:after="0" w:line="184" w:lineRule="exact"/>
        <w:rPr>
          <w:sz w:val="20"/>
          <w:szCs w:val="20"/>
          <w:color w:val="auto"/>
        </w:rPr>
      </w:pPr>
    </w:p>
    <w:p>
      <w:pPr>
        <w:ind w:firstLine="656"/>
        <w:spacing w:after="0" w:line="250" w:lineRule="auto"/>
        <w:tabs>
          <w:tab w:leader="none" w:pos="1725" w:val="left"/>
        </w:tabs>
        <w:numPr>
          <w:ilvl w:val="0"/>
          <w:numId w:val="266"/>
        </w:numPr>
        <w:rPr>
          <w:rFonts w:ascii="Arial" w:cs="Arial" w:eastAsia="Arial" w:hAnsi="Arial"/>
          <w:sz w:val="22"/>
          <w:szCs w:val="22"/>
          <w:color w:val="auto"/>
        </w:rPr>
      </w:pPr>
      <w:r>
        <w:rPr>
          <w:rFonts w:ascii="Arial" w:cs="Arial" w:eastAsia="Arial" w:hAnsi="Arial"/>
          <w:sz w:val="22"/>
          <w:szCs w:val="22"/>
          <w:u w:val="single" w:color="auto"/>
          <w:color w:val="auto"/>
        </w:rPr>
        <w:t>Change of Address, etc</w:t>
      </w:r>
      <w:r>
        <w:rPr>
          <w:rFonts w:ascii="Arial" w:cs="Arial" w:eastAsia="Arial" w:hAnsi="Arial"/>
          <w:sz w:val="22"/>
          <w:szCs w:val="22"/>
          <w:color w:val="auto"/>
        </w:rPr>
        <w:t>. Any party hereto may change its address or fax number for notices and other communications hereunder by notice to the other parties hereto.</w:t>
      </w:r>
    </w:p>
    <w:p>
      <w:pPr>
        <w:spacing w:after="0" w:line="201" w:lineRule="exact"/>
        <w:rPr>
          <w:rFonts w:ascii="Arial" w:cs="Arial" w:eastAsia="Arial" w:hAnsi="Arial"/>
          <w:sz w:val="22"/>
          <w:szCs w:val="22"/>
          <w:color w:val="auto"/>
        </w:rPr>
      </w:pPr>
    </w:p>
    <w:p>
      <w:pPr>
        <w:jc w:val="both"/>
        <w:ind w:firstLine="656"/>
        <w:spacing w:after="0" w:line="275" w:lineRule="auto"/>
        <w:tabs>
          <w:tab w:leader="none" w:pos="1534" w:val="left"/>
        </w:tabs>
        <w:numPr>
          <w:ilvl w:val="0"/>
          <w:numId w:val="266"/>
        </w:numPr>
        <w:rPr>
          <w:rFonts w:ascii="Arial" w:cs="Arial" w:eastAsia="Arial" w:hAnsi="Arial"/>
          <w:sz w:val="19"/>
          <w:szCs w:val="19"/>
          <w:color w:val="auto"/>
        </w:rPr>
      </w:pPr>
      <w:r>
        <w:rPr>
          <w:rFonts w:ascii="Arial" w:cs="Arial" w:eastAsia="Arial" w:hAnsi="Arial"/>
          <w:sz w:val="19"/>
          <w:szCs w:val="19"/>
          <w:u w:val="single" w:color="auto"/>
          <w:color w:val="auto"/>
        </w:rPr>
        <w:t>Platform</w:t>
      </w:r>
      <w:r>
        <w:rPr>
          <w:rFonts w:ascii="Arial" w:cs="Arial" w:eastAsia="Arial" w:hAnsi="Arial"/>
          <w:sz w:val="19"/>
          <w:szCs w:val="19"/>
          <w:color w:val="auto"/>
        </w:rPr>
        <w:t>. The Borrowers agree that the Administrative Agent may, but shall not be obligated to, make any Communications by posting such Communication on Debt Domain, IntraLinks, SyndTrak or a substantially similar electronic transmission system (the “</w:t>
      </w:r>
      <w:r>
        <w:rPr>
          <w:rFonts w:ascii="Arial" w:cs="Arial" w:eastAsia="Arial" w:hAnsi="Arial"/>
          <w:sz w:val="19"/>
          <w:szCs w:val="19"/>
          <w:u w:val="single" w:color="auto"/>
          <w:color w:val="auto"/>
        </w:rPr>
        <w:t>Platform</w:t>
      </w:r>
      <w:r>
        <w:rPr>
          <w:rFonts w:ascii="Arial" w:cs="Arial" w:eastAsia="Arial" w:hAnsi="Arial"/>
          <w:sz w:val="19"/>
          <w:szCs w:val="19"/>
          <w:color w:val="auto"/>
        </w:rPr>
        <w:t>”). The Platform is provided “as is” and “as available.” Neither the Administrative Agent nor any of its Related Parties warrants, or shall be deemed to warrant, as to the adequacy of the Platform and each such Person expressly disclaims any liability for errors or omissions in the Communications. No warranty of any kind, express, implied or statutory, including any warranty of merchantability, fitness for a particular purpose, non-infringement of third- party rights or freedom from viruses or other code defects, is made, or shall be deemed to be made, by the Administrative Agent or any of its Related Parties in connection with the Communications or the Platform.</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1" w:name="page322"/>
    <w:bookmarkEnd w:id="321"/>
    <w:p>
      <w:pPr>
        <w:ind w:left="652"/>
        <w:spacing w:after="0"/>
        <w:tabs>
          <w:tab w:leader="none" w:pos="2352" w:val="left"/>
        </w:tabs>
        <w:rPr>
          <w:sz w:val="20"/>
          <w:szCs w:val="20"/>
          <w:color w:val="auto"/>
        </w:rPr>
      </w:pPr>
      <w:r>
        <w:rPr>
          <w:rFonts w:ascii="Arial" w:cs="Arial" w:eastAsia="Arial" w:hAnsi="Arial"/>
          <w:sz w:val="22"/>
          <w:szCs w:val="22"/>
          <w:color w:val="auto"/>
        </w:rPr>
        <w:t>SECTION 9.02.</w:t>
      </w:r>
      <w:r>
        <w:rPr>
          <w:sz w:val="20"/>
          <w:szCs w:val="20"/>
          <w:color w:val="auto"/>
        </w:rPr>
        <w:tab/>
      </w:r>
      <w:r>
        <w:rPr>
          <w:rFonts w:ascii="Arial" w:cs="Arial" w:eastAsia="Arial" w:hAnsi="Arial"/>
          <w:sz w:val="19"/>
          <w:szCs w:val="19"/>
          <w:u w:val="single" w:color="auto"/>
          <w:color w:val="auto"/>
        </w:rPr>
        <w:t>Waivers; Amendments</w:t>
      </w:r>
    </w:p>
    <w:p>
      <w:pPr>
        <w:spacing w:after="0" w:line="234" w:lineRule="exact"/>
        <w:rPr>
          <w:sz w:val="20"/>
          <w:szCs w:val="20"/>
          <w:color w:val="auto"/>
        </w:rPr>
      </w:pPr>
    </w:p>
    <w:p>
      <w:pPr>
        <w:jc w:val="both"/>
        <w:ind w:left="-8" w:firstLine="656"/>
        <w:spacing w:after="0" w:line="272" w:lineRule="auto"/>
        <w:tabs>
          <w:tab w:leader="none" w:pos="1366" w:val="left"/>
        </w:tabs>
        <w:numPr>
          <w:ilvl w:val="1"/>
          <w:numId w:val="267"/>
        </w:numPr>
        <w:rPr>
          <w:rFonts w:ascii="Arial" w:cs="Arial" w:eastAsia="Arial" w:hAnsi="Arial"/>
          <w:sz w:val="19"/>
          <w:szCs w:val="19"/>
          <w:color w:val="auto"/>
        </w:rPr>
      </w:pPr>
      <w:r>
        <w:rPr>
          <w:rFonts w:ascii="Arial" w:cs="Arial" w:eastAsia="Arial" w:hAnsi="Arial"/>
          <w:sz w:val="19"/>
          <w:szCs w:val="19"/>
          <w:color w:val="auto"/>
        </w:rPr>
        <w:t xml:space="preserve">No failure or delay by the Administrative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the other Loan Documents are cumulative and are not exclusive of any rights or remedies that they would otherwise have. No waiver of any provision of this Agreement or any other Loan Document or consent to any departure by any Loan Party therefrom shall in any event be effective unless the same shall be permitted by </w:t>
      </w:r>
      <w:r>
        <w:rPr>
          <w:rFonts w:ascii="Arial" w:cs="Arial" w:eastAsia="Arial" w:hAnsi="Arial"/>
          <w:sz w:val="19"/>
          <w:szCs w:val="19"/>
          <w:u w:val="single" w:color="auto"/>
          <w:color w:val="auto"/>
        </w:rPr>
        <w:t>paragraph (b)</w:t>
      </w:r>
      <w:r>
        <w:rPr>
          <w:rFonts w:ascii="Arial" w:cs="Arial" w:eastAsia="Arial" w:hAnsi="Arial"/>
          <w:sz w:val="19"/>
          <w:szCs w:val="19"/>
          <w:color w:val="auto"/>
        </w:rPr>
        <w:t xml:space="preserve"> of this Section, and then such waiver or consent shall be effective only in the specific instance and for the specific purpose for which given. Without limiting the generality of the foregoing, the execution and delivery of this Agreement, the making of a Loan or the issuance, amendment, renewal or extension of a Letter of Credit shall not be construed as a waiver of any Default, regardless of whether the Administrative Agent, any Lender or any Issuing Bank may have had notice or knowledge of such Default at the time. No notice or demand on the Borrowers in any case shall entitle the Borrowers to any other or further notice or demand in similar or other circumstances.</w:t>
      </w:r>
    </w:p>
    <w:p>
      <w:pPr>
        <w:spacing w:after="0" w:line="200" w:lineRule="exact"/>
        <w:rPr>
          <w:rFonts w:ascii="Arial" w:cs="Arial" w:eastAsia="Arial" w:hAnsi="Arial"/>
          <w:sz w:val="19"/>
          <w:szCs w:val="19"/>
          <w:color w:val="auto"/>
        </w:rPr>
      </w:pPr>
    </w:p>
    <w:p>
      <w:pPr>
        <w:spacing w:after="0" w:line="230" w:lineRule="exact"/>
        <w:rPr>
          <w:rFonts w:ascii="Arial" w:cs="Arial" w:eastAsia="Arial" w:hAnsi="Arial"/>
          <w:sz w:val="19"/>
          <w:szCs w:val="19"/>
          <w:color w:val="auto"/>
        </w:rPr>
      </w:pPr>
    </w:p>
    <w:p>
      <w:pPr>
        <w:jc w:val="both"/>
        <w:ind w:left="-8" w:firstLine="656"/>
        <w:spacing w:after="0" w:line="267" w:lineRule="auto"/>
        <w:tabs>
          <w:tab w:leader="none" w:pos="1499" w:val="left"/>
        </w:tabs>
        <w:numPr>
          <w:ilvl w:val="1"/>
          <w:numId w:val="267"/>
        </w:numPr>
        <w:rPr>
          <w:rFonts w:ascii="Arial" w:cs="Arial" w:eastAsia="Arial" w:hAnsi="Arial"/>
          <w:sz w:val="19"/>
          <w:szCs w:val="19"/>
          <w:color w:val="auto"/>
        </w:rPr>
      </w:pPr>
      <w:r>
        <w:rPr>
          <w:rFonts w:ascii="Arial" w:cs="Arial" w:eastAsia="Arial" w:hAnsi="Arial"/>
          <w:sz w:val="19"/>
          <w:szCs w:val="19"/>
          <w:color w:val="auto"/>
        </w:rPr>
        <w:t xml:space="preserve">Except as provided in </w:t>
      </w:r>
      <w:r>
        <w:rPr>
          <w:rFonts w:ascii="Arial" w:cs="Arial" w:eastAsia="Arial" w:hAnsi="Arial"/>
          <w:sz w:val="19"/>
          <w:szCs w:val="19"/>
          <w:u w:val="single" w:color="auto"/>
          <w:color w:val="auto"/>
        </w:rPr>
        <w:t>Sections 2.14(b)</w:t>
      </w:r>
      <w:r>
        <w:rPr>
          <w:rFonts w:ascii="Arial" w:cs="Arial" w:eastAsia="Arial" w:hAnsi="Arial"/>
          <w:sz w:val="19"/>
          <w:szCs w:val="19"/>
          <w:color w:val="auto"/>
        </w:rPr>
        <w:t xml:space="preserve">, </w:t>
      </w:r>
      <w:r>
        <w:rPr>
          <w:rFonts w:ascii="Arial" w:cs="Arial" w:eastAsia="Arial" w:hAnsi="Arial"/>
          <w:sz w:val="19"/>
          <w:szCs w:val="19"/>
          <w:u w:val="single" w:color="auto"/>
          <w:color w:val="auto"/>
        </w:rPr>
        <w:t>(c)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(d)</w:t>
      </w:r>
      <w:r>
        <w:rPr>
          <w:rFonts w:ascii="Arial" w:cs="Arial" w:eastAsia="Arial" w:hAnsi="Arial"/>
          <w:sz w:val="19"/>
          <w:szCs w:val="19"/>
          <w:color w:val="auto"/>
        </w:rPr>
        <w:t xml:space="preserve">, none of this Agreement, any other Loan Document or any provision hereof or thereof may be waived, amended or modified except, in the case of this Agreement, pursuant to an agreement or agreements in writing entered into by the Borrowers, the Administrative Agent and the Required Lenders and, in the case of any other Loan Document, pursuant to an agreement or agreements in writing entered into by the Administrative Agent and the Loan Party or Loan Parties that are parties thereto, in each case with the consent of the Required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agreement shall (i) increase the Commitment of any Lender without the written consent of such Lender, (ii) reduce the principal amount of any Loan or LC Disbursement or reduce the rate of interest thereon, or reduce any fees payable hereunder, in each case without the written consent of each Lender affected thereby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consent of the Required Lenders shall be sufficient to waive or reduce the increased portion of interest resulting from </w:t>
      </w:r>
      <w:r>
        <w:rPr>
          <w:rFonts w:ascii="Arial" w:cs="Arial" w:eastAsia="Arial" w:hAnsi="Arial"/>
          <w:sz w:val="19"/>
          <w:szCs w:val="19"/>
          <w:u w:val="single" w:color="auto"/>
          <w:color w:val="auto"/>
        </w:rPr>
        <w:t>Section 2.13(c)</w:t>
      </w:r>
      <w:r>
        <w:rPr>
          <w:rFonts w:ascii="Arial" w:cs="Arial" w:eastAsia="Arial" w:hAnsi="Arial"/>
          <w:sz w:val="19"/>
          <w:szCs w:val="19"/>
          <w:color w:val="auto"/>
        </w:rPr>
        <w:t xml:space="preserve">), (iii) postpone the scheduled maturity date of any Loan or the required date of reimbursement of any LC Disbursement, or any date for the payment of any interest or fees payable hereunder, or reduce the amount of, waive or excuse any such payment, or postpone the scheduled date of expiration of any Commitment, without the written consent of each Lender affected thereby, (iv) change any of the provisions of this Section, change any provision of </w:t>
      </w:r>
      <w:r>
        <w:rPr>
          <w:rFonts w:ascii="Arial" w:cs="Arial" w:eastAsia="Arial" w:hAnsi="Arial"/>
          <w:sz w:val="19"/>
          <w:szCs w:val="19"/>
          <w:u w:val="single" w:color="auto"/>
          <w:color w:val="auto"/>
        </w:rPr>
        <w:t>Section 2.18(b)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in a manner that would alter the pro rata sharing of payments required thereby or the percentage set forth in the definition of the term “Required Lenders” or any other provision of this Agreement or any other Loan Document specifying the number or percentage of Lenders required to waive, amend or otherwise modify any rights thereunder or make any determination or grant any consent thereunder, without the written consent of each Lender, (v) release all or substantially all of the value of the Guarantees provided by the Loan Parties under the New York-Law Guarantee, in each case without the written consent of each Lender (except as expressly provided in </w:t>
      </w:r>
      <w:r>
        <w:rPr>
          <w:rFonts w:ascii="Arial" w:cs="Arial" w:eastAsia="Arial" w:hAnsi="Arial"/>
          <w:sz w:val="19"/>
          <w:szCs w:val="19"/>
          <w:u w:val="single" w:color="auto"/>
          <w:color w:val="auto"/>
        </w:rPr>
        <w:t>Section 9.14</w:t>
      </w:r>
      <w:r>
        <w:rPr>
          <w:rFonts w:ascii="Arial" w:cs="Arial" w:eastAsia="Arial" w:hAnsi="Arial"/>
          <w:sz w:val="19"/>
          <w:szCs w:val="19"/>
          <w:color w:val="auto"/>
        </w:rPr>
        <w:t xml:space="preserve"> or the New York-Law Guarantee (including any such release by the Administrative Agent in connection with any sale or other disposition of any Subsidiary upon the exercise of remedies under the Security Documents), it being understood and agreed that an amendment or other modification of the type of obligations guaranteed under the New York-Law Guarantee shall not be deemed to be a release of any Guarantee),</w:t>
      </w:r>
    </w:p>
    <w:p>
      <w:pPr>
        <w:spacing w:after="0" w:line="16" w:lineRule="exact"/>
        <w:rPr>
          <w:rFonts w:ascii="Arial" w:cs="Arial" w:eastAsia="Arial" w:hAnsi="Arial"/>
          <w:sz w:val="19"/>
          <w:szCs w:val="19"/>
          <w:color w:val="auto"/>
        </w:rPr>
      </w:pPr>
    </w:p>
    <w:p>
      <w:pPr>
        <w:jc w:val="both"/>
        <w:ind w:left="-8" w:firstLine="8"/>
        <w:spacing w:after="0" w:line="269" w:lineRule="auto"/>
        <w:tabs>
          <w:tab w:leader="none" w:pos="375" w:val="left"/>
        </w:tabs>
        <w:numPr>
          <w:ilvl w:val="0"/>
          <w:numId w:val="268"/>
        </w:numPr>
        <w:rPr>
          <w:rFonts w:ascii="Arial" w:cs="Arial" w:eastAsia="Arial" w:hAnsi="Arial"/>
          <w:sz w:val="19"/>
          <w:szCs w:val="19"/>
          <w:color w:val="auto"/>
        </w:rPr>
      </w:pPr>
      <w:r>
        <w:rPr>
          <w:rFonts w:ascii="Arial" w:cs="Arial" w:eastAsia="Arial" w:hAnsi="Arial"/>
          <w:sz w:val="19"/>
          <w:szCs w:val="19"/>
          <w:color w:val="auto"/>
        </w:rPr>
        <w:t xml:space="preserve">release all or substantially all the Collateral from the Liens of the Security Documents without the written consent of each Lender (except as expressly provided in </w:t>
      </w:r>
      <w:r>
        <w:rPr>
          <w:rFonts w:ascii="Arial" w:cs="Arial" w:eastAsia="Arial" w:hAnsi="Arial"/>
          <w:sz w:val="19"/>
          <w:szCs w:val="19"/>
          <w:u w:val="single" w:color="auto"/>
          <w:color w:val="auto"/>
        </w:rPr>
        <w:t>Section 9.14</w:t>
      </w:r>
      <w:r>
        <w:rPr>
          <w:rFonts w:ascii="Arial" w:cs="Arial" w:eastAsia="Arial" w:hAnsi="Arial"/>
          <w:sz w:val="19"/>
          <w:szCs w:val="19"/>
          <w:color w:val="auto"/>
        </w:rPr>
        <w:t xml:space="preserve"> or the applicable Security Document (including any such release by the Administrative Agent in connection with any sale or other disposition of the Collateral upon the exercise of remedies under the Security Documents), it being understood and agreed that an amendment or other modification of the type of obligations secured by the Security Documents shall not be deemed to be a release of the Collateral from the Liens of the Security Documents), (vii) [reserved], (viii) [reserved] or (ix) amend </w:t>
      </w:r>
      <w:r>
        <w:rPr>
          <w:rFonts w:ascii="Arial" w:cs="Arial" w:eastAsia="Arial" w:hAnsi="Arial"/>
          <w:sz w:val="19"/>
          <w:szCs w:val="19"/>
          <w:u w:val="single" w:color="auto"/>
          <w:color w:val="auto"/>
        </w:rPr>
        <w:t>Section 2.18(f)</w:t>
      </w:r>
      <w:r>
        <w:rPr>
          <w:rFonts w:ascii="Arial" w:cs="Arial" w:eastAsia="Arial" w:hAnsi="Arial"/>
          <w:sz w:val="19"/>
          <w:szCs w:val="19"/>
          <w:color w:val="auto"/>
        </w:rPr>
        <w:t xml:space="preserve"> without the written consent of each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no such agreement shall amend, modify, extend or otherwise affect the rights or obligations of the Administrative Agent or any Issuing Bank without the prior written consent of the Administrative Agent or such Issuing Bank, as applicable. Notwithstanding any of the foregoing, (1) no consent with respect to any waiver, amendment or other modification of this Agreement or any other Loan Document shall be required of any Defaulting Lender, except with respect to any waiver, amendment or other modification referred to in clause (i), (ii) or (iii) of the first proviso of this paragraph and then only in the event such Defaulting Lender shall be affected by such waiver, amendment or other modification and (2) any provision of this Agreement or any other Loan Document may be amended by an agreement in writing entered into by the Borrowers and the Administrative Agent to cure any ambiguity, omission, mistake, defect or inconsistency so long as, in each case, the Lenders shall have received at least five Business Days prior written notice thereof and the Administrative Agent shall not have received, within five Business Days of the date of such notice to the Lenders, a written notice from (x) the Required Lenders stating that the Required Lenders object to such amendment or (y) if affected by such amendment, any Issuing Bank stating that it objects to such amendment.</w:t>
      </w:r>
    </w:p>
    <w:p>
      <w:pPr>
        <w:sectPr>
          <w:pgSz w:w="11900" w:h="16838" w:orient="portrait"/>
          <w:cols w:equalWidth="0" w:num="1">
            <w:col w:w="11232"/>
          </w:cols>
          <w:pgMar w:left="328" w:top="118" w:right="339" w:bottom="1440" w:gutter="0" w:footer="0" w:header="0"/>
        </w:sectPr>
      </w:pPr>
    </w:p>
    <w:p>
      <w:pPr>
        <w:spacing w:after="0" w:line="371" w:lineRule="exact"/>
        <w:rPr>
          <w:sz w:val="20"/>
          <w:szCs w:val="20"/>
          <w:color w:val="auto"/>
        </w:rPr>
      </w:pPr>
    </w:p>
    <w:p>
      <w:pPr>
        <w:jc w:val="center"/>
        <w:ind w:right="-11"/>
        <w:spacing w:after="0"/>
        <w:rPr>
          <w:sz w:val="20"/>
          <w:szCs w:val="20"/>
          <w:color w:val="auto"/>
        </w:rPr>
      </w:pPr>
      <w:r>
        <w:rPr>
          <w:rFonts w:ascii="Arial" w:cs="Arial" w:eastAsia="Arial" w:hAnsi="Arial"/>
          <w:sz w:val="13"/>
          <w:szCs w:val="13"/>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1323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18" w:right="339" w:bottom="1440" w:gutter="0" w:footer="0" w:header="0"/>
          <w:type w:val="continuous"/>
        </w:sectPr>
      </w:pPr>
    </w:p>
    <w:bookmarkStart w:id="322" w:name="page323"/>
    <w:bookmarkEnd w:id="322"/>
    <w:p>
      <w:pPr>
        <w:jc w:val="both"/>
        <w:ind w:firstLine="656"/>
        <w:spacing w:after="0" w:line="270" w:lineRule="auto"/>
        <w:tabs>
          <w:tab w:leader="none" w:pos="1584" w:val="left"/>
        </w:tabs>
        <w:numPr>
          <w:ilvl w:val="0"/>
          <w:numId w:val="269"/>
        </w:numPr>
        <w:rPr>
          <w:rFonts w:ascii="Arial" w:cs="Arial" w:eastAsia="Arial" w:hAnsi="Arial"/>
          <w:sz w:val="19"/>
          <w:szCs w:val="19"/>
          <w:color w:val="auto"/>
        </w:rPr>
      </w:pPr>
      <w:r>
        <w:rPr>
          <w:rFonts w:ascii="Arial" w:cs="Arial" w:eastAsia="Arial" w:hAnsi="Arial"/>
          <w:sz w:val="19"/>
          <w:szCs w:val="19"/>
          <w:color w:val="auto"/>
        </w:rPr>
        <w:t xml:space="preserve">In connection with any Proposed Change requiring the consent of all Lenders or all affected Lenders, if the consent of the Required Lenders to such Proposed Change is obtained, but the consent to such Proposed Change of other Lenders whose consent is required is not obtained (any such Lender whose consent is not obtained as described in </w:t>
      </w:r>
      <w:r>
        <w:rPr>
          <w:rFonts w:ascii="Arial" w:cs="Arial" w:eastAsia="Arial" w:hAnsi="Arial"/>
          <w:sz w:val="19"/>
          <w:szCs w:val="19"/>
          <w:u w:val="single" w:color="auto"/>
          <w:color w:val="auto"/>
        </w:rPr>
        <w:t>paragraph (b)</w:t>
      </w:r>
      <w:r>
        <w:rPr>
          <w:rFonts w:ascii="Arial" w:cs="Arial" w:eastAsia="Arial" w:hAnsi="Arial"/>
          <w:sz w:val="19"/>
          <w:szCs w:val="19"/>
          <w:color w:val="auto"/>
        </w:rPr>
        <w:t xml:space="preserve"> of this Section being referred to as a “</w:t>
      </w:r>
      <w:r>
        <w:rPr>
          <w:rFonts w:ascii="Arial" w:cs="Arial" w:eastAsia="Arial" w:hAnsi="Arial"/>
          <w:sz w:val="19"/>
          <w:szCs w:val="19"/>
          <w:u w:val="single" w:color="auto"/>
          <w:color w:val="auto"/>
        </w:rPr>
        <w:t>Non-Consenting Lender</w:t>
      </w:r>
      <w:r>
        <w:rPr>
          <w:rFonts w:ascii="Arial" w:cs="Arial" w:eastAsia="Arial" w:hAnsi="Arial"/>
          <w:sz w:val="19"/>
          <w:szCs w:val="19"/>
          <w:color w:val="auto"/>
        </w:rPr>
        <w:t xml:space="preserve">” for purposes of this clause (c)), then the Borrowers may, at their sole expense and effort, upon notice to such Non-Consenting Lender and the Administrative Agent, require such Non-Consenting Lender to assign and delegate, without recourse (in accordance with and subject to the restrictions contained in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all its interests, rights and obligations under this Agreement to an assignee that shall assume such obligations (which assignee may be another Lender, if a Lender accepts such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if the Administrative Agent is not such Non-Consenting Lender, the Borrowers shall have received the prior written consent of the Administrative Agent (and, if a Commitment is being assigned, each Issuing Bank), which consent shall not unreasonably be withheld or delayed, (ii) such Non-Consenting Lender shall have received payment of an amount equal to the outstanding principal of its Loans and participations in LC Disbursements, accrued interest thereon, accrued fees and all other amounts payable to it hereunder from the assignee or the Borrowers, (iii) the Borrowers or such assignee shall have paid to the Administrative Agent the processing and recordation fee specified in </w:t>
      </w:r>
      <w:r>
        <w:rPr>
          <w:rFonts w:ascii="Arial" w:cs="Arial" w:eastAsia="Arial" w:hAnsi="Arial"/>
          <w:sz w:val="19"/>
          <w:szCs w:val="19"/>
          <w:u w:val="single" w:color="auto"/>
          <w:color w:val="auto"/>
        </w:rPr>
        <w:t>Section 9.04(b)</w:t>
      </w:r>
      <w:r>
        <w:rPr>
          <w:rFonts w:ascii="Arial" w:cs="Arial" w:eastAsia="Arial" w:hAnsi="Arial"/>
          <w:sz w:val="19"/>
          <w:szCs w:val="19"/>
          <w:color w:val="auto"/>
        </w:rPr>
        <w:t xml:space="preserve">, (iv) such assignment does not conflict with applicable law and (v) the assignee shall have given its consent to such Proposed Change and, as a result of such assignment and delegation and any contemporaneous assignments and delegations and consents, such Proposed Change can be effected. Any assignment required pursuant to this </w:t>
      </w:r>
      <w:r>
        <w:rPr>
          <w:rFonts w:ascii="Arial" w:cs="Arial" w:eastAsia="Arial" w:hAnsi="Arial"/>
          <w:sz w:val="19"/>
          <w:szCs w:val="19"/>
          <w:u w:val="single" w:color="auto"/>
          <w:color w:val="auto"/>
        </w:rPr>
        <w:t>Section 9.02(c)</w:t>
      </w:r>
      <w:r>
        <w:rPr>
          <w:rFonts w:ascii="Arial" w:cs="Arial" w:eastAsia="Arial" w:hAnsi="Arial"/>
          <w:sz w:val="19"/>
          <w:szCs w:val="19"/>
          <w:color w:val="auto"/>
        </w:rPr>
        <w:t xml:space="preserve"> may be effected pursuant to an Assignment and Assumption executed by the Borrowers, the Administrative Agent and the assignee, and the Lender required to make such assignment shall not be required to be a party to such Assignment and Assumption.</w:t>
      </w:r>
    </w:p>
    <w:p>
      <w:pPr>
        <w:spacing w:after="0" w:line="193" w:lineRule="exact"/>
        <w:rPr>
          <w:rFonts w:ascii="Arial" w:cs="Arial" w:eastAsia="Arial" w:hAnsi="Arial"/>
          <w:sz w:val="19"/>
          <w:szCs w:val="19"/>
          <w:color w:val="auto"/>
        </w:rPr>
      </w:pPr>
    </w:p>
    <w:p>
      <w:pPr>
        <w:jc w:val="both"/>
        <w:ind w:firstLine="656"/>
        <w:spacing w:after="0" w:line="252" w:lineRule="auto"/>
        <w:tabs>
          <w:tab w:leader="none" w:pos="1613" w:val="left"/>
        </w:tabs>
        <w:numPr>
          <w:ilvl w:val="0"/>
          <w:numId w:val="269"/>
        </w:numPr>
        <w:rPr>
          <w:rFonts w:ascii="Arial" w:cs="Arial" w:eastAsia="Arial" w:hAnsi="Arial"/>
          <w:sz w:val="21"/>
          <w:szCs w:val="21"/>
          <w:color w:val="auto"/>
        </w:rPr>
      </w:pPr>
      <w:r>
        <w:rPr>
          <w:rFonts w:ascii="Arial" w:cs="Arial" w:eastAsia="Arial" w:hAnsi="Arial"/>
          <w:sz w:val="21"/>
          <w:szCs w:val="21"/>
          <w:color w:val="auto"/>
        </w:rPr>
        <w:t>Notwithstanding anything herein to the contrary, the Administrative Agent may, without the consent of any Secured Party, consent to a departure by any Loan Party from any covenant of such Loan Party set forth in this Agreement, the New York-Law Guarantee or any Security Document to the extent such departure is consistent with the authority of the Administrative Agent set forth in the definition of the term “Collateral and Guarantee Requirement.”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3" w:name="page324"/>
    <w:bookmarkEnd w:id="323"/>
    <w:p>
      <w:pPr>
        <w:jc w:val="both"/>
        <w:ind w:firstLine="656"/>
        <w:spacing w:after="0" w:line="238" w:lineRule="auto"/>
        <w:tabs>
          <w:tab w:leader="none" w:pos="1554" w:val="left"/>
        </w:tabs>
        <w:numPr>
          <w:ilvl w:val="0"/>
          <w:numId w:val="270"/>
        </w:numPr>
        <w:rPr>
          <w:rFonts w:ascii="Arial" w:cs="Arial" w:eastAsia="Arial" w:hAnsi="Arial"/>
          <w:sz w:val="22"/>
          <w:szCs w:val="22"/>
          <w:color w:val="auto"/>
        </w:rPr>
      </w:pPr>
      <w:r>
        <w:rPr>
          <w:rFonts w:ascii="Arial" w:cs="Arial" w:eastAsia="Arial" w:hAnsi="Arial"/>
          <w:sz w:val="22"/>
          <w:szCs w:val="22"/>
          <w:color w:val="auto"/>
        </w:rPr>
        <w:t>The Administrative Agent may, but shall have no obligation to, with the concurrence of any Lender, execute waivers, amendments or other modifications on behalf of such Lender. Any waiver, amendment or other modification effected in accordance with this Section, shall be binding upon each Person that is at the time thereof a Lender and each Person that subsequently becomes a Lender.</w:t>
      </w:r>
    </w:p>
    <w:p>
      <w:pPr>
        <w:spacing w:after="0" w:line="212" w:lineRule="exact"/>
        <w:rPr>
          <w:sz w:val="20"/>
          <w:szCs w:val="20"/>
          <w:color w:val="auto"/>
        </w:rPr>
      </w:pPr>
    </w:p>
    <w:p>
      <w:pPr>
        <w:ind w:left="660"/>
        <w:spacing w:after="0"/>
        <w:tabs>
          <w:tab w:leader="none" w:pos="2300" w:val="left"/>
        </w:tabs>
        <w:rPr>
          <w:sz w:val="20"/>
          <w:szCs w:val="20"/>
          <w:color w:val="auto"/>
        </w:rPr>
      </w:pPr>
      <w:r>
        <w:rPr>
          <w:rFonts w:ascii="Arial" w:cs="Arial" w:eastAsia="Arial" w:hAnsi="Arial"/>
          <w:sz w:val="22"/>
          <w:szCs w:val="22"/>
          <w:color w:val="auto"/>
        </w:rPr>
        <w:t>SECTION 9.03.</w:t>
      </w:r>
      <w:r>
        <w:rPr>
          <w:sz w:val="20"/>
          <w:szCs w:val="20"/>
          <w:color w:val="auto"/>
        </w:rPr>
        <w:tab/>
      </w:r>
      <w:r>
        <w:rPr>
          <w:rFonts w:ascii="Arial" w:cs="Arial" w:eastAsia="Arial" w:hAnsi="Arial"/>
          <w:sz w:val="19"/>
          <w:szCs w:val="19"/>
          <w:u w:val="single" w:color="auto"/>
          <w:color w:val="auto"/>
        </w:rPr>
        <w:t>Expenses; Limitation of Liability; Indemnity, Etc</w:t>
      </w:r>
    </w:p>
    <w:p>
      <w:pPr>
        <w:spacing w:after="0" w:line="233" w:lineRule="exact"/>
        <w:rPr>
          <w:sz w:val="20"/>
          <w:szCs w:val="20"/>
          <w:color w:val="auto"/>
        </w:rPr>
      </w:pPr>
    </w:p>
    <w:p>
      <w:pPr>
        <w:jc w:val="both"/>
        <w:ind w:firstLine="656"/>
        <w:spacing w:after="0" w:line="270" w:lineRule="auto"/>
        <w:tabs>
          <w:tab w:leader="none" w:pos="1401" w:val="left"/>
        </w:tabs>
        <w:numPr>
          <w:ilvl w:val="0"/>
          <w:numId w:val="271"/>
        </w:numPr>
        <w:rPr>
          <w:rFonts w:ascii="Arial" w:cs="Arial" w:eastAsia="Arial" w:hAnsi="Arial"/>
          <w:sz w:val="19"/>
          <w:szCs w:val="19"/>
          <w:color w:val="auto"/>
        </w:rPr>
      </w:pPr>
      <w:r>
        <w:rPr>
          <w:rFonts w:ascii="Arial" w:cs="Arial" w:eastAsia="Arial" w:hAnsi="Arial"/>
          <w:sz w:val="19"/>
          <w:szCs w:val="19"/>
          <w:u w:val="single" w:color="auto"/>
          <w:color w:val="auto"/>
        </w:rPr>
        <w:t>Expenses</w:t>
      </w:r>
      <w:r>
        <w:rPr>
          <w:rFonts w:ascii="Arial" w:cs="Arial" w:eastAsia="Arial" w:hAnsi="Arial"/>
          <w:sz w:val="19"/>
          <w:szCs w:val="19"/>
          <w:color w:val="auto"/>
        </w:rPr>
        <w:t>. The Borrowers shall pay (i) all reasonable and documented out-of-pocket expenses incurred by the Administrative Agent, the Arrangers, the Documentation Agent and their respective Affiliates, including the reasonable fees, charges and disbursements of one firm of counsel for all such Persons, taken as a whole, and, if relevant, of a single firm of local counsel in each applicable jurisdiction (which may include a single firm of special counsel acting in multiple jurisdictions) for all such Persons, taken as a whole (and, in the case of an actual or perceived conflict of interest where the Person affected by such conflict informs the Borrowers of such conflict and thereafter retains its own counsel, of another firm of counsel for such affected Person and, if reasonably necessary, of a single firm of local counsel in each applicable jurisdiction (which may include a single firm of special counsel acting in multiple jurisdictions) for such affected Person), in connection with the structuring, arrangement and syndication of the credit facilities provided for herein and any credit or similar facility refinancing or replacing, in whole or in part, any of the credit facilities provided for herein, as well as the preparation, negotiation, execution, delivery and administration of this Agreement, the other Loan Documents or any waiver, amendments or modifications of the provisions hereof or thereof (whether or not the transactions contemplated hereby or thereby shall be consummated), (ii) all reasonable and documented out-of-pocket expenses incurred by any Issuing Bank in connection with the issuance, amendment, renewal or extension of any Letter of Credit or any demand for payment thereunder and (iii) all reasonable and documented out-of-pocket expenses incurred by the Administrative Agent, any Issuing Bank or any Lender, including the reasonable and documented fees, charges and disbursements of counsel for any of the foregoing, in connection with the enforcement or protection of its rights in connection with the Loan Documents, including its rights under this Section, or in connection with the Loans made or Letters of Credit issued hereunder, including all such out-of-pocket expenses incurred during any workout, restructuring or negotiations in respect of such Loans or Letters of Credit.</w:t>
      </w:r>
    </w:p>
    <w:p>
      <w:pPr>
        <w:spacing w:after="0" w:line="200" w:lineRule="exact"/>
        <w:rPr>
          <w:rFonts w:ascii="Arial" w:cs="Arial" w:eastAsia="Arial" w:hAnsi="Arial"/>
          <w:sz w:val="19"/>
          <w:szCs w:val="19"/>
          <w:color w:val="auto"/>
        </w:rPr>
      </w:pPr>
    </w:p>
    <w:p>
      <w:pPr>
        <w:spacing w:after="0" w:line="235" w:lineRule="exact"/>
        <w:rPr>
          <w:rFonts w:ascii="Arial" w:cs="Arial" w:eastAsia="Arial" w:hAnsi="Arial"/>
          <w:sz w:val="19"/>
          <w:szCs w:val="19"/>
          <w:color w:val="auto"/>
        </w:rPr>
      </w:pPr>
    </w:p>
    <w:p>
      <w:pPr>
        <w:jc w:val="both"/>
        <w:ind w:firstLine="656"/>
        <w:spacing w:after="0" w:line="272" w:lineRule="auto"/>
        <w:tabs>
          <w:tab w:leader="none" w:pos="1480" w:val="left"/>
        </w:tabs>
        <w:numPr>
          <w:ilvl w:val="0"/>
          <w:numId w:val="271"/>
        </w:numPr>
        <w:rPr>
          <w:rFonts w:ascii="Arial" w:cs="Arial" w:eastAsia="Arial" w:hAnsi="Arial"/>
          <w:sz w:val="19"/>
          <w:szCs w:val="19"/>
          <w:color w:val="auto"/>
        </w:rPr>
      </w:pPr>
      <w:r>
        <w:rPr>
          <w:rFonts w:ascii="Arial" w:cs="Arial" w:eastAsia="Arial" w:hAnsi="Arial"/>
          <w:sz w:val="19"/>
          <w:szCs w:val="19"/>
          <w:u w:val="single" w:color="auto"/>
          <w:color w:val="auto"/>
        </w:rPr>
        <w:t>Limitation of Liability</w:t>
      </w:r>
      <w:r>
        <w:rPr>
          <w:rFonts w:ascii="Arial" w:cs="Arial" w:eastAsia="Arial" w:hAnsi="Arial"/>
          <w:sz w:val="19"/>
          <w:szCs w:val="19"/>
          <w:color w:val="auto"/>
        </w:rPr>
        <w:t>. To the extent permitted by applicable law (i) the Borrowers and each other Loan Party shall not assert, and the Borrowers and each other Loan Party hereby waive, any claim against the Administrative Agent, any Arranger, the Documentation Agent, any Issuing Bank and any Lender, and any Related Party of any of the foregoing Persons (each such Person being called a “</w:t>
      </w:r>
      <w:r>
        <w:rPr>
          <w:rFonts w:ascii="Arial" w:cs="Arial" w:eastAsia="Arial" w:hAnsi="Arial"/>
          <w:sz w:val="19"/>
          <w:szCs w:val="19"/>
          <w:u w:val="single" w:color="auto"/>
          <w:color w:val="auto"/>
        </w:rPr>
        <w:t>Lender-Related Person</w:t>
      </w:r>
      <w:r>
        <w:rPr>
          <w:rFonts w:ascii="Arial" w:cs="Arial" w:eastAsia="Arial" w:hAnsi="Arial"/>
          <w:sz w:val="19"/>
          <w:szCs w:val="19"/>
          <w:color w:val="auto"/>
        </w:rPr>
        <w:t xml:space="preserve">”) for any Liabilities arising from the use by others of information or other materials (including, without limitation, any personal data) obtained through telecommunications, electronic or other information transmission systems (including the Internet), and (ii)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in this </w:t>
      </w:r>
      <w:r>
        <w:rPr>
          <w:rFonts w:ascii="Arial" w:cs="Arial" w:eastAsia="Arial" w:hAnsi="Arial"/>
          <w:sz w:val="19"/>
          <w:szCs w:val="19"/>
          <w:u w:val="single" w:color="auto"/>
          <w:color w:val="auto"/>
        </w:rPr>
        <w:t>Section 9.03(b)</w:t>
      </w:r>
      <w:r>
        <w:rPr>
          <w:rFonts w:ascii="Arial" w:cs="Arial" w:eastAsia="Arial" w:hAnsi="Arial"/>
          <w:sz w:val="19"/>
          <w:szCs w:val="19"/>
          <w:color w:val="auto"/>
        </w:rPr>
        <w:t xml:space="preserve"> shall relieve the Borrowers or any other Loan Party of any obligation they may have to indemnify an Indemnitee, as provided in </w:t>
      </w:r>
      <w:r>
        <w:rPr>
          <w:rFonts w:ascii="Arial" w:cs="Arial" w:eastAsia="Arial" w:hAnsi="Arial"/>
          <w:sz w:val="19"/>
          <w:szCs w:val="19"/>
          <w:u w:val="single" w:color="auto"/>
          <w:color w:val="auto"/>
        </w:rPr>
        <w:t>Section 9.03(c)</w:t>
      </w:r>
      <w:r>
        <w:rPr>
          <w:rFonts w:ascii="Arial" w:cs="Arial" w:eastAsia="Arial" w:hAnsi="Arial"/>
          <w:sz w:val="19"/>
          <w:szCs w:val="19"/>
          <w:color w:val="auto"/>
        </w:rPr>
        <w:t>, against any special, indirect, consequential or punitive damages asserted against such Indemnitee by a third party.</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4" w:name="page325"/>
    <w:bookmarkEnd w:id="324"/>
    <w:p>
      <w:pPr>
        <w:jc w:val="both"/>
        <w:ind w:firstLine="656"/>
        <w:spacing w:after="0" w:line="269" w:lineRule="auto"/>
        <w:tabs>
          <w:tab w:leader="none" w:pos="1441" w:val="left"/>
        </w:tabs>
        <w:numPr>
          <w:ilvl w:val="0"/>
          <w:numId w:val="272"/>
        </w:numPr>
        <w:rPr>
          <w:rFonts w:ascii="Arial" w:cs="Arial" w:eastAsia="Arial" w:hAnsi="Arial"/>
          <w:sz w:val="19"/>
          <w:szCs w:val="19"/>
          <w:color w:val="auto"/>
        </w:rPr>
      </w:pPr>
      <w:r>
        <w:rPr>
          <w:rFonts w:ascii="Arial" w:cs="Arial" w:eastAsia="Arial" w:hAnsi="Arial"/>
          <w:sz w:val="19"/>
          <w:szCs w:val="19"/>
          <w:u w:val="single" w:color="auto"/>
          <w:color w:val="auto"/>
        </w:rPr>
        <w:t>Indemnity</w:t>
      </w:r>
      <w:r>
        <w:rPr>
          <w:rFonts w:ascii="Arial" w:cs="Arial" w:eastAsia="Arial" w:hAnsi="Arial"/>
          <w:sz w:val="19"/>
          <w:szCs w:val="19"/>
          <w:color w:val="auto"/>
        </w:rPr>
        <w:t>. The Borrowers shall indemnify the Administrative Agent, the Arrangers, the Documentation Agent, the Lenders, the Issuing Banks and each Related Party of any of the foregoing Persons (each such Person being called an “</w:t>
      </w:r>
      <w:r>
        <w:rPr>
          <w:rFonts w:ascii="Arial" w:cs="Arial" w:eastAsia="Arial" w:hAnsi="Arial"/>
          <w:sz w:val="19"/>
          <w:szCs w:val="19"/>
          <w:u w:val="single" w:color="auto"/>
          <w:color w:val="auto"/>
        </w:rPr>
        <w:t>Indemnitee</w:t>
      </w:r>
      <w:r>
        <w:rPr>
          <w:rFonts w:ascii="Arial" w:cs="Arial" w:eastAsia="Arial" w:hAnsi="Arial"/>
          <w:sz w:val="19"/>
          <w:szCs w:val="19"/>
          <w:color w:val="auto"/>
        </w:rPr>
        <w:t xml:space="preserve">”), against, and hold each Indemnitee harmless from, any and all Liabilities and related expenses (including the reasonable and documented fees, charges and disbursements of one firm of counsel for all such Indemnitees, taken as a whole, and, if relevant, of a single firm of local counsel in each applicable jurisdiction (which may include a single firm of special counsel acting in multiple jurisdictions) for all such Indemnitees, taken as a whole (and, in the case of an actual or perceived conflict of interest where the Indemnitee affected by such conflict informs the Borrowers of such conflict and thereafter retains its own counsel, of another firm of counsel for such affected Indemnitee and, if reasonably necessary, of a single firm of local counsel in each applicable jurisdiction (which may include a single firm of special counsel acting in multiple jurisdictions) for such affected Indemnitee)), incurred by or asserted against such Indemnitees arising out of, in connection with or as a result of any actual or prospective Proceeding relating to (i) the structuring, arrangement and syndication of the credit facilities provided for herein, the preparation, negotiation, execution, delivery and administration of this Agreement, the other Loan Documents or any other agreement or instrument contemplated hereby or thereby, the performance by the parties to this Agreement or the other Loan Documents of their respective obligations hereunder or thereunder or the consummation of the Transactions or any other transactions contemplated hereby or thereby, (ii) any Loan or Letter of Credit or the use of the proceeds therefrom (including any refusal by any Issuing Bank to honor a demand for payment under a Letter of Credit if the documents presented in connection with such demand do not strictly comply with the terms of such Letter of Credit) or (iii) any actual or alleged presence or Release of Hazardous Materials on, at, to or from any Mortgaged Property or any other property currently or formerly owned or operated by the Borrowers or any Subsidiary, or any other Environmental Liability related in any way to the Borrowers or any Subsidiary, in each case, whether based on contract, tort or any other theory and whether initiated against or by any party to this Agreement or any other Loan Document, any Affiliate of any of the foregoing or any third party (and regardless of whether any Indemnitee is a party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indemnity shall not, as to any Indemnitee, apply to any Liabilities or related expenses to the extent (A) they are found in a final and non-appealable judgment of a court of competent jurisdiction to have primarily resulted from the willful misconduct, bad faith or gross negligence of such Indemnitee or (B) a proceeding that does not involve an act or omission by the Borrowers or any of their respective Affiliates and that is brought by an Indemnitee against any other Indemnitee (other than a proceeding that is brought against the Administrative Agent, any Issuing Bank or any other agent or any Arranger in its capacity or in fulfilling its roles as an agent, issuing bank or arranger hereunder or any similar role with respect to the Indebtedness incurred or to be incurred hereunder). This </w:t>
      </w:r>
      <w:r>
        <w:rPr>
          <w:rFonts w:ascii="Arial" w:cs="Arial" w:eastAsia="Arial" w:hAnsi="Arial"/>
          <w:sz w:val="19"/>
          <w:szCs w:val="19"/>
          <w:u w:val="single" w:color="auto"/>
          <w:color w:val="auto"/>
        </w:rPr>
        <w:t>Section 9.03(c)</w:t>
      </w:r>
      <w:r>
        <w:rPr>
          <w:rFonts w:ascii="Arial" w:cs="Arial" w:eastAsia="Arial" w:hAnsi="Arial"/>
          <w:sz w:val="19"/>
          <w:szCs w:val="19"/>
          <w:color w:val="auto"/>
        </w:rPr>
        <w:t xml:space="preserve"> shall not apply with respect to Taxes other than any Taxes that represent losses, claims or damages arising from any non-Tax claim.</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5" w:name="page326"/>
    <w:bookmarkEnd w:id="325"/>
    <w:p>
      <w:pPr>
        <w:jc w:val="both"/>
        <w:ind w:firstLine="656"/>
        <w:spacing w:after="0" w:line="270" w:lineRule="auto"/>
        <w:tabs>
          <w:tab w:leader="none" w:pos="1453" w:val="left"/>
        </w:tabs>
        <w:numPr>
          <w:ilvl w:val="0"/>
          <w:numId w:val="273"/>
        </w:numPr>
        <w:rPr>
          <w:rFonts w:ascii="Arial" w:cs="Arial" w:eastAsia="Arial" w:hAnsi="Arial"/>
          <w:sz w:val="19"/>
          <w:szCs w:val="19"/>
          <w:color w:val="auto"/>
        </w:rPr>
      </w:pPr>
      <w:r>
        <w:rPr>
          <w:rFonts w:ascii="Arial" w:cs="Arial" w:eastAsia="Arial" w:hAnsi="Arial"/>
          <w:sz w:val="19"/>
          <w:szCs w:val="19"/>
          <w:u w:val="single" w:color="auto"/>
          <w:color w:val="auto"/>
        </w:rPr>
        <w:t>Lender Reimbursement</w:t>
      </w:r>
      <w:r>
        <w:rPr>
          <w:rFonts w:ascii="Arial" w:cs="Arial" w:eastAsia="Arial" w:hAnsi="Arial"/>
          <w:sz w:val="19"/>
          <w:szCs w:val="19"/>
          <w:color w:val="auto"/>
        </w:rPr>
        <w:t xml:space="preserve">. Each Lender severally agrees to pay any amount required to be paid by the Borrowers under </w:t>
      </w:r>
      <w:r>
        <w:rPr>
          <w:rFonts w:ascii="Arial" w:cs="Arial" w:eastAsia="Arial" w:hAnsi="Arial"/>
          <w:sz w:val="19"/>
          <w:szCs w:val="19"/>
          <w:u w:val="single" w:color="auto"/>
          <w:color w:val="auto"/>
        </w:rPr>
        <w:t>paragraphs (a)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9.03</w:t>
      </w:r>
      <w:r>
        <w:rPr>
          <w:rFonts w:ascii="Arial" w:cs="Arial" w:eastAsia="Arial" w:hAnsi="Arial"/>
          <w:sz w:val="19"/>
          <w:szCs w:val="19"/>
          <w:color w:val="auto"/>
        </w:rPr>
        <w:t xml:space="preserve"> or the Collateral Agency Agreement to the Administrative Agent, the Collateral Agent, any Issuing Bank, or any Related Party of any of the foregoing Persons (each, an “</w:t>
      </w:r>
      <w:r>
        <w:rPr>
          <w:rFonts w:ascii="Arial" w:cs="Arial" w:eastAsia="Arial" w:hAnsi="Arial"/>
          <w:sz w:val="19"/>
          <w:szCs w:val="19"/>
          <w:u w:val="single" w:color="auto"/>
          <w:color w:val="auto"/>
        </w:rPr>
        <w:t>Agent-Related Person</w:t>
      </w:r>
      <w:r>
        <w:rPr>
          <w:rFonts w:ascii="Arial" w:cs="Arial" w:eastAsia="Arial" w:hAnsi="Arial"/>
          <w:sz w:val="19"/>
          <w:szCs w:val="19"/>
          <w:color w:val="auto"/>
        </w:rPr>
        <w:t xml:space="preserve">”) (to the extent not reimbursed by the Borrowers and without limiting their obligation to do so), ratably according to their respective Applicable Percentage in effect on the date on which such payment is sought under this Section (or, if such payment is sought after the date upon which the Commitments shall have terminated and the Loans shall have been paid in full, ratably in accordance with such Applicable Percentage immediately prior to such date), from and against any and all Liabilities and related expenses, including the fees, charges and disbursements of any kind whatsoever that may at any time (whether before or after the payment of the Loans) be imposed on, incurred by or asserted against such Agent-Related Person in any way relating to or arising out of the Commitments, this Agreement, any of the other Loan Documents or any documents contemplated by or referred to herein or therein or the transactions contemplated hereby or thereby or any action taken or omitted by such Agent-Related Person under or in connection with any of the foregoing;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unreimbursed expense or Liability or related expense, as the case may be, was incurred by or asserted against such Agent-Related Person in its capacity as such;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no Lender shall be liable for the payment of any portion of such Liabilities, costs, expenses or disbursements that are found by a final and nonappealable decision of a court of competent jurisdiction to have resulted primarily from such Agent-Related Party’s gross negligence or willful misconduct. The agreements in this Section shall survive the termination of this Agreement and the payment of the Loans and all other amounts payable hereunder.</w:t>
      </w:r>
    </w:p>
    <w:p>
      <w:pPr>
        <w:spacing w:after="0" w:line="195" w:lineRule="exact"/>
        <w:rPr>
          <w:rFonts w:ascii="Arial" w:cs="Arial" w:eastAsia="Arial" w:hAnsi="Arial"/>
          <w:sz w:val="19"/>
          <w:szCs w:val="19"/>
          <w:color w:val="auto"/>
        </w:rPr>
      </w:pPr>
    </w:p>
    <w:p>
      <w:pPr>
        <w:ind w:left="1440" w:hanging="784"/>
        <w:spacing w:after="0"/>
        <w:tabs>
          <w:tab w:leader="none" w:pos="1440" w:val="left"/>
        </w:tabs>
        <w:numPr>
          <w:ilvl w:val="0"/>
          <w:numId w:val="273"/>
        </w:numPr>
        <w:rPr>
          <w:rFonts w:ascii="Arial" w:cs="Arial" w:eastAsia="Arial" w:hAnsi="Arial"/>
          <w:sz w:val="22"/>
          <w:szCs w:val="22"/>
          <w:color w:val="auto"/>
        </w:rPr>
      </w:pPr>
      <w:r>
        <w:rPr>
          <w:rFonts w:ascii="Arial" w:cs="Arial" w:eastAsia="Arial" w:hAnsi="Arial"/>
          <w:sz w:val="22"/>
          <w:szCs w:val="22"/>
          <w:color w:val="auto"/>
        </w:rPr>
        <w:t>All amounts due under this Section shall be payable promptly after written demand therefor.</w:t>
      </w:r>
    </w:p>
    <w:p>
      <w:pPr>
        <w:spacing w:after="0" w:line="233"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22"/>
          <w:szCs w:val="22"/>
          <w:color w:val="auto"/>
        </w:rPr>
        <w:t>SECTION 9.04.</w:t>
      </w:r>
      <w:r>
        <w:rPr>
          <w:sz w:val="20"/>
          <w:szCs w:val="20"/>
          <w:color w:val="auto"/>
        </w:rPr>
        <w:tab/>
      </w:r>
      <w:r>
        <w:rPr>
          <w:rFonts w:ascii="Arial" w:cs="Arial" w:eastAsia="Arial" w:hAnsi="Arial"/>
          <w:sz w:val="18"/>
          <w:szCs w:val="18"/>
          <w:u w:val="single" w:color="auto"/>
          <w:color w:val="auto"/>
        </w:rPr>
        <w:t>Successors and Assigns</w:t>
      </w:r>
    </w:p>
    <w:p>
      <w:pPr>
        <w:spacing w:after="0" w:line="233" w:lineRule="exact"/>
        <w:rPr>
          <w:sz w:val="20"/>
          <w:szCs w:val="20"/>
          <w:color w:val="auto"/>
        </w:rPr>
      </w:pPr>
    </w:p>
    <w:p>
      <w:pPr>
        <w:jc w:val="both"/>
        <w:ind w:firstLine="656"/>
        <w:spacing w:after="0" w:line="273" w:lineRule="auto"/>
        <w:tabs>
          <w:tab w:leader="none" w:pos="1482" w:val="left"/>
        </w:tabs>
        <w:numPr>
          <w:ilvl w:val="0"/>
          <w:numId w:val="274"/>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xml:space="preserve">. The provisions of this Agreement shall be binding upon and inure to the benefit of the parties hereto and their respective successors and assigns permitted hereby (including any Affiliate of any Issuing Bank that issues any Letter of Credit), except that (i) neither of the Borrowers may assign, delegate or otherwise transfer any of their rights or obligations hereunder without the prior written consent of the Administrative Agent and each Lender (and any attempted assignment, delegation or transfer by a Borrower without such consent shall be null and void) and (ii) no Lender may assign, delegate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w:t>
      </w:r>
      <w:r>
        <w:rPr>
          <w:rFonts w:ascii="Arial" w:cs="Arial" w:eastAsia="Arial" w:hAnsi="Arial"/>
          <w:sz w:val="19"/>
          <w:szCs w:val="19"/>
          <w:u w:val="single" w:color="auto"/>
          <w:color w:val="auto"/>
        </w:rPr>
        <w:t>paragraph (c)</w:t>
      </w:r>
      <w:r>
        <w:rPr>
          <w:rFonts w:ascii="Arial" w:cs="Arial" w:eastAsia="Arial" w:hAnsi="Arial"/>
          <w:sz w:val="19"/>
          <w:szCs w:val="19"/>
          <w:color w:val="auto"/>
        </w:rPr>
        <w:t xml:space="preserve"> of this Section), the Arrangers, the Documentation Agent and, to the extent expressly contemplated hereby, the Related Parties of any of the Administrative Agent, any Arranger, the Documentation Agent, any Issuing Bank and any Lender) any legal or equitable right, remedy or claim under or by reason of this Agreement.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6" w:name="page327"/>
    <w:bookmarkEnd w:id="326"/>
    <w:p>
      <w:pPr>
        <w:jc w:val="both"/>
        <w:ind w:firstLine="656"/>
        <w:spacing w:after="0" w:line="272" w:lineRule="auto"/>
        <w:tabs>
          <w:tab w:leader="none" w:pos="1561" w:val="left"/>
        </w:tabs>
        <w:numPr>
          <w:ilvl w:val="1"/>
          <w:numId w:val="275"/>
        </w:numPr>
        <w:rPr>
          <w:rFonts w:ascii="Arial" w:cs="Arial" w:eastAsia="Arial" w:hAnsi="Arial"/>
          <w:sz w:val="19"/>
          <w:szCs w:val="19"/>
          <w:color w:val="auto"/>
        </w:rPr>
      </w:pPr>
      <w:r>
        <w:rPr>
          <w:rFonts w:ascii="Arial" w:cs="Arial" w:eastAsia="Arial" w:hAnsi="Arial"/>
          <w:sz w:val="19"/>
          <w:szCs w:val="19"/>
          <w:u w:val="single" w:color="auto"/>
          <w:color w:val="auto"/>
        </w:rPr>
        <w:t>Assignments by Lenders</w:t>
      </w:r>
      <w:r>
        <w:rPr>
          <w:rFonts w:ascii="Arial" w:cs="Arial" w:eastAsia="Arial" w:hAnsi="Arial"/>
          <w:sz w:val="19"/>
          <w:szCs w:val="19"/>
          <w:color w:val="auto"/>
        </w:rPr>
        <w:t xml:space="preserve">. (2) Subject to the conditions set forth in </w:t>
      </w:r>
      <w:r>
        <w:rPr>
          <w:rFonts w:ascii="Arial" w:cs="Arial" w:eastAsia="Arial" w:hAnsi="Arial"/>
          <w:sz w:val="19"/>
          <w:szCs w:val="19"/>
          <w:u w:val="single" w:color="auto"/>
          <w:color w:val="auto"/>
        </w:rPr>
        <w:t>paragraph (b)(ii)</w:t>
      </w:r>
      <w:r>
        <w:rPr>
          <w:rFonts w:ascii="Arial" w:cs="Arial" w:eastAsia="Arial" w:hAnsi="Arial"/>
          <w:sz w:val="19"/>
          <w:szCs w:val="19"/>
          <w:color w:val="auto"/>
        </w:rPr>
        <w:t xml:space="preserve"> below, any Lender may assign and delegate to one or more Eligible Assignees all or a portion of its rights and obligations under this Agreement (including all or a portion of its Commitment and the Loans at the time owing to it) with the prior written consent (such consent not to be unreasonably withheld or delayed, except in connection with a proposed assignment to any Disqualified Institution) of</w:t>
      </w:r>
    </w:p>
    <w:p>
      <w:pPr>
        <w:jc w:val="both"/>
        <w:ind w:firstLine="8"/>
        <w:spacing w:after="0" w:line="243" w:lineRule="auto"/>
        <w:tabs>
          <w:tab w:leader="none" w:pos="390" w:val="left"/>
        </w:tabs>
        <w:numPr>
          <w:ilvl w:val="0"/>
          <w:numId w:val="276"/>
        </w:numPr>
        <w:rPr>
          <w:rFonts w:ascii="Arial" w:cs="Arial" w:eastAsia="Arial" w:hAnsi="Arial"/>
          <w:sz w:val="21"/>
          <w:szCs w:val="21"/>
          <w:color w:val="auto"/>
        </w:rPr>
      </w:pPr>
      <w:r>
        <w:rPr>
          <w:rFonts w:ascii="Arial" w:cs="Arial" w:eastAsia="Arial" w:hAnsi="Arial"/>
          <w:sz w:val="21"/>
          <w:szCs w:val="21"/>
          <w:color w:val="auto"/>
        </w:rPr>
        <w:t xml:space="preserve">the Borrowers;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consent of the Borrowers shall be required (1) for an assignment and delegation to a Revolving Lender, an affiliate of a Revolving Lender or an Approved Fund in respect of a Revolving Lender and (2) if an Event of Default of the type set forth in </w:t>
      </w:r>
      <w:r>
        <w:rPr>
          <w:rFonts w:ascii="Arial" w:cs="Arial" w:eastAsia="Arial" w:hAnsi="Arial"/>
          <w:sz w:val="21"/>
          <w:szCs w:val="21"/>
          <w:u w:val="single" w:color="auto"/>
          <w:color w:val="auto"/>
        </w:rPr>
        <w:t>Section 7.01(a)</w:t>
      </w:r>
      <w:r>
        <w:rPr>
          <w:rFonts w:ascii="Arial" w:cs="Arial" w:eastAsia="Arial" w:hAnsi="Arial"/>
          <w:sz w:val="21"/>
          <w:szCs w:val="21"/>
          <w:color w:val="auto"/>
        </w:rPr>
        <w:t xml:space="preserve">, </w:t>
      </w:r>
      <w:r>
        <w:rPr>
          <w:rFonts w:ascii="Arial" w:cs="Arial" w:eastAsia="Arial" w:hAnsi="Arial"/>
          <w:sz w:val="21"/>
          <w:szCs w:val="21"/>
          <w:u w:val="single" w:color="auto"/>
          <w:color w:val="auto"/>
        </w:rPr>
        <w:t>(b)</w:t>
      </w:r>
      <w:r>
        <w:rPr>
          <w:rFonts w:ascii="Arial" w:cs="Arial" w:eastAsia="Arial" w:hAnsi="Arial"/>
          <w:sz w:val="21"/>
          <w:szCs w:val="21"/>
          <w:color w:val="auto"/>
        </w:rPr>
        <w:t xml:space="preserve">, </w:t>
      </w:r>
      <w:r>
        <w:rPr>
          <w:rFonts w:ascii="Arial" w:cs="Arial" w:eastAsia="Arial" w:hAnsi="Arial"/>
          <w:sz w:val="21"/>
          <w:szCs w:val="21"/>
          <w:u w:val="single" w:color="auto"/>
          <w:color w:val="auto"/>
        </w:rPr>
        <w:t>(d)</w:t>
      </w:r>
      <w:r>
        <w:rPr>
          <w:rFonts w:ascii="Arial" w:cs="Arial" w:eastAsia="Arial" w:hAnsi="Arial"/>
          <w:sz w:val="21"/>
          <w:szCs w:val="21"/>
          <w:color w:val="auto"/>
        </w:rPr>
        <w:t xml:space="preserve"> (with respect to any Financial Covenant), </w:t>
      </w:r>
      <w:r>
        <w:rPr>
          <w:rFonts w:ascii="Arial" w:cs="Arial" w:eastAsia="Arial" w:hAnsi="Arial"/>
          <w:sz w:val="21"/>
          <w:szCs w:val="21"/>
          <w:u w:val="single" w:color="auto"/>
          <w:color w:val="auto"/>
        </w:rPr>
        <w:t>(h)</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(i)</w:t>
      </w:r>
      <w:r>
        <w:rPr>
          <w:rFonts w:ascii="Arial" w:cs="Arial" w:eastAsia="Arial" w:hAnsi="Arial"/>
          <w:sz w:val="21"/>
          <w:szCs w:val="21"/>
          <w:color w:val="auto"/>
        </w:rPr>
        <w:t xml:space="preserve"> has occurred and is continuing, for any other assignment and delegation;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xml:space="preserve">, that the Borrowers shall be deemed to have consented to any such assignment and delegation unless they shall object thereto by written notice to the Administrative Agent within ten (10) Business Days after having received notice thereof, (B) the Administrative Agent;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consent of the Administrative Agent shall be required for an assignment and delegation of all or any portion of a Commitment or Revolving Loan to a Revolving Lender, an affiliate of a Revolving Lender or an Approved Fund in respect of a Revolving Lender and (C) each Issuing Bank, in the case of any assignment and delegation of all or a portion of a Commitment or any Lender’s obligations in respect of its LC Exposure.</w:t>
      </w:r>
    </w:p>
    <w:p>
      <w:pPr>
        <w:spacing w:after="0" w:line="209" w:lineRule="exact"/>
        <w:rPr>
          <w:rFonts w:ascii="Arial" w:cs="Arial" w:eastAsia="Arial" w:hAnsi="Arial"/>
          <w:sz w:val="21"/>
          <w:szCs w:val="21"/>
          <w:color w:val="auto"/>
        </w:rPr>
      </w:pPr>
    </w:p>
    <w:p>
      <w:pPr>
        <w:jc w:val="both"/>
        <w:ind w:left="660" w:firstLine="644"/>
        <w:spacing w:after="0" w:line="270" w:lineRule="auto"/>
        <w:tabs>
          <w:tab w:leader="none" w:pos="2457" w:val="left"/>
        </w:tabs>
        <w:numPr>
          <w:ilvl w:val="2"/>
          <w:numId w:val="276"/>
        </w:numPr>
        <w:rPr>
          <w:rFonts w:ascii="Arial" w:cs="Arial" w:eastAsia="Arial" w:hAnsi="Arial"/>
          <w:sz w:val="19"/>
          <w:szCs w:val="19"/>
          <w:color w:val="auto"/>
        </w:rPr>
      </w:pPr>
      <w:r>
        <w:rPr>
          <w:rFonts w:ascii="Arial" w:cs="Arial" w:eastAsia="Arial" w:hAnsi="Arial"/>
          <w:sz w:val="19"/>
          <w:szCs w:val="19"/>
          <w:color w:val="auto"/>
        </w:rPr>
        <w:t xml:space="preserve">Assignments shall be subject to the following additional conditions: (A) except in the case of an assignment to a Lender, an Affiliate of a Lender or an Approved Fund or an assignment of the entire remaining amount of the assigning Lender’s Commitment or Loans, the amount of the Commitment or Loans of the assigning Lender subject to each such assignment (determined as of the date the Assignment and Assumption with respect to such assignment and delegation is delivered to the Administrative Agent) shall not be less than $5,000,000, unless each Borrower and the Administrative Agent otherwise consents;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consent of the Borrowers shall be required if an Event of Default has occurred and is continuing, (B) each partial assignment shall be made as an assignment of a proportionate part of all the assigning Lender’s rights and obligations under this Agreement, (C) the parties to each assignment shall execute and deliver to the Administrative Agent (x) an Assignment and Assumption or (y) to the extent applicable, an agreement incorporating an Assignment and Assumption by reference pursuant to a Platform as to which the Administrative Agent and the parties to the Assignment and Assumption are participants, together with a processing and recordation fee of $3,500;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with respect to any assignment pursuant to </w:t>
      </w:r>
      <w:r>
        <w:rPr>
          <w:rFonts w:ascii="Arial" w:cs="Arial" w:eastAsia="Arial" w:hAnsi="Arial"/>
          <w:sz w:val="19"/>
          <w:szCs w:val="19"/>
          <w:u w:val="single" w:color="auto"/>
          <w:color w:val="auto"/>
        </w:rPr>
        <w:t>Section 2.19(b)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9.02(c)</w:t>
      </w:r>
      <w:r>
        <w:rPr>
          <w:rFonts w:ascii="Arial" w:cs="Arial" w:eastAsia="Arial" w:hAnsi="Arial"/>
          <w:sz w:val="19"/>
          <w:szCs w:val="19"/>
          <w:color w:val="auto"/>
        </w:rPr>
        <w:t>, the parties hereto agree that such assignment may be effected pursuant to an Assignment and Assumption executed by the Borrowers, the Administrative Agent and the assignee and that the Lender required to make such assignment need not be a party thereto, and (D) the assignee, if it shall not be a Lender, shall deliver to the Administrative Agent an Administrative Questionnaire in which the assignee designates one or more credit contacts to whom all syndicate-level information (which may contain MNPI) will be made available and who may receive such information in accordance with the assignee’s compliance procedures and applicable law, including Federal, State and foreign securities laws.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7" w:name="page328"/>
    <w:bookmarkEnd w:id="327"/>
    <w:p>
      <w:pPr>
        <w:jc w:val="both"/>
        <w:ind w:left="-460" w:firstLine="644"/>
        <w:spacing w:after="0" w:line="272" w:lineRule="auto"/>
        <w:tabs>
          <w:tab w:leader="none" w:pos="1145" w:val="left"/>
        </w:tabs>
        <w:numPr>
          <w:ilvl w:val="0"/>
          <w:numId w:val="277"/>
        </w:numPr>
        <w:rPr>
          <w:rFonts w:ascii="Arial" w:cs="Arial" w:eastAsia="Arial" w:hAnsi="Arial"/>
          <w:sz w:val="19"/>
          <w:szCs w:val="19"/>
          <w:color w:val="auto"/>
        </w:rPr>
      </w:pPr>
      <w:r>
        <w:rPr>
          <w:rFonts w:ascii="Arial" w:cs="Arial" w:eastAsia="Arial" w:hAnsi="Arial"/>
          <w:sz w:val="19"/>
          <w:szCs w:val="19"/>
          <w:color w:val="auto"/>
        </w:rPr>
        <w:t xml:space="preserve">Subject to acceptance and recording thereof pursuant to </w:t>
      </w:r>
      <w:r>
        <w:rPr>
          <w:rFonts w:ascii="Arial" w:cs="Arial" w:eastAsia="Arial" w:hAnsi="Arial"/>
          <w:sz w:val="19"/>
          <w:szCs w:val="19"/>
          <w:u w:val="single" w:color="auto"/>
          <w:color w:val="auto"/>
        </w:rPr>
        <w:t>paragraph (c)(ii)</w:t>
      </w:r>
      <w:r>
        <w:rPr>
          <w:rFonts w:ascii="Arial" w:cs="Arial" w:eastAsia="Arial" w:hAnsi="Arial"/>
          <w:sz w:val="19"/>
          <w:szCs w:val="19"/>
          <w:color w:val="auto"/>
        </w:rPr>
        <w:t xml:space="preserve">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the assigning Lender’s rights and obligations under this Agreement, such Lender shall cease to be a party hereto but shall continue to be entitled to the benefits of (and subject to the obligations and limitations of) </w:t>
      </w:r>
      <w:r>
        <w:rPr>
          <w:rFonts w:ascii="Arial" w:cs="Arial" w:eastAsia="Arial" w:hAnsi="Arial"/>
          <w:sz w:val="19"/>
          <w:szCs w:val="19"/>
          <w:u w:val="single" w:color="auto"/>
          <w:color w:val="auto"/>
        </w:rPr>
        <w:t>Sections 2.15</w:t>
      </w:r>
      <w:r>
        <w:rPr>
          <w:rFonts w:ascii="Arial" w:cs="Arial" w:eastAsia="Arial" w:hAnsi="Arial"/>
          <w:sz w:val="19"/>
          <w:szCs w:val="19"/>
          <w:color w:val="auto"/>
        </w:rPr>
        <w:t xml:space="preserve">, </w:t>
      </w:r>
      <w:r>
        <w:rPr>
          <w:rFonts w:ascii="Arial" w:cs="Arial" w:eastAsia="Arial" w:hAnsi="Arial"/>
          <w:sz w:val="19"/>
          <w:szCs w:val="19"/>
          <w:u w:val="single" w:color="auto"/>
          <w:color w:val="auto"/>
        </w:rPr>
        <w:t>2.16</w:t>
      </w:r>
      <w:r>
        <w:rPr>
          <w:rFonts w:ascii="Arial" w:cs="Arial" w:eastAsia="Arial" w:hAnsi="Arial"/>
          <w:sz w:val="19"/>
          <w:szCs w:val="19"/>
          <w:color w:val="auto"/>
        </w:rPr>
        <w:t xml:space="preserve">, </w:t>
      </w:r>
      <w:r>
        <w:rPr>
          <w:rFonts w:ascii="Arial" w:cs="Arial" w:eastAsia="Arial" w:hAnsi="Arial"/>
          <w:sz w:val="19"/>
          <w:szCs w:val="19"/>
          <w:u w:val="single" w:color="auto"/>
          <w:color w:val="auto"/>
        </w:rPr>
        <w:t>2.17</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9.03</w:t>
      </w:r>
      <w:r>
        <w:rPr>
          <w:rFonts w:ascii="Arial" w:cs="Arial" w:eastAsia="Arial" w:hAnsi="Arial"/>
          <w:sz w:val="19"/>
          <w:szCs w:val="19"/>
          <w:color w:val="auto"/>
        </w:rPr>
        <w:t xml:space="preserve"> and to any fees payable hereunder that have accrued for such Lender’s account but have not yet been paid). Any assignment or transfer by a Lender of rights or obligations under this Agreement that does not comply with this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other than with respect to Disqualified Institutions, whether or not such assignment or transfer is reflected in the Register, shall be treated for purposes of this Agreement as a sale by such Lender of a participation in such rights and obligations in accordance with clause (c) of this </w:t>
      </w:r>
      <w:r>
        <w:rPr>
          <w:rFonts w:ascii="Arial" w:cs="Arial" w:eastAsia="Arial" w:hAnsi="Arial"/>
          <w:sz w:val="19"/>
          <w:szCs w:val="19"/>
          <w:u w:val="single" w:color="auto"/>
          <w:color w:val="auto"/>
        </w:rPr>
        <w:t>Section 9.04</w:t>
      </w:r>
      <w:r>
        <w:rPr>
          <w:rFonts w:ascii="Arial" w:cs="Arial" w:eastAsia="Arial" w:hAnsi="Arial"/>
          <w:sz w:val="19"/>
          <w:szCs w:val="19"/>
          <w:color w:val="auto"/>
        </w:rPr>
        <w:t>.</w:t>
      </w:r>
    </w:p>
    <w:p>
      <w:pPr>
        <w:spacing w:after="0" w:line="188" w:lineRule="exact"/>
        <w:rPr>
          <w:rFonts w:ascii="Arial" w:cs="Arial" w:eastAsia="Arial" w:hAnsi="Arial"/>
          <w:sz w:val="19"/>
          <w:szCs w:val="19"/>
          <w:color w:val="auto"/>
        </w:rPr>
      </w:pPr>
    </w:p>
    <w:p>
      <w:pPr>
        <w:ind w:left="1100" w:hanging="916"/>
        <w:spacing w:after="0"/>
        <w:tabs>
          <w:tab w:leader="none" w:pos="1100" w:val="left"/>
        </w:tabs>
        <w:numPr>
          <w:ilvl w:val="0"/>
          <w:numId w:val="277"/>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jc w:val="both"/>
        <w:ind w:left="-460" w:firstLine="644"/>
        <w:spacing w:after="0" w:line="245" w:lineRule="auto"/>
        <w:tabs>
          <w:tab w:leader="none" w:pos="1450" w:val="left"/>
        </w:tabs>
        <w:numPr>
          <w:ilvl w:val="0"/>
          <w:numId w:val="277"/>
        </w:numPr>
        <w:rPr>
          <w:rFonts w:ascii="Arial" w:cs="Arial" w:eastAsia="Arial" w:hAnsi="Arial"/>
          <w:sz w:val="21"/>
          <w:szCs w:val="21"/>
          <w:color w:val="auto"/>
        </w:rPr>
      </w:pPr>
      <w:r>
        <w:rPr>
          <w:rFonts w:ascii="Arial" w:cs="Arial" w:eastAsia="Arial" w:hAnsi="Arial"/>
          <w:sz w:val="21"/>
          <w:szCs w:val="21"/>
          <w:color w:val="auto"/>
        </w:rPr>
        <w:t xml:space="preserve">If any assignment under this </w:t>
      </w:r>
      <w:r>
        <w:rPr>
          <w:rFonts w:ascii="Arial" w:cs="Arial" w:eastAsia="Arial" w:hAnsi="Arial"/>
          <w:sz w:val="21"/>
          <w:szCs w:val="21"/>
          <w:u w:val="single" w:color="auto"/>
          <w:color w:val="auto"/>
        </w:rPr>
        <w:t>Section 9.04(b)</w:t>
      </w:r>
      <w:r>
        <w:rPr>
          <w:rFonts w:ascii="Arial" w:cs="Arial" w:eastAsia="Arial" w:hAnsi="Arial"/>
          <w:sz w:val="21"/>
          <w:szCs w:val="21"/>
          <w:color w:val="auto"/>
        </w:rPr>
        <w:t xml:space="preserve"> is made to any Disqualified Institution without the Borrowers’ prior written consent, then the Borrowers may, at their sole expense and effort, upon notice to the applicable Disqualified Institution and the Administrative Agent and to the extent such Disqualified Institution continues to hold any such Loans or Commitments, (A) terminate any Commitment of such Disqualified Institution and repay the outstanding amount of Loans, together with accrued and unpaid interest thereon, unpaid fees and all other amounts owing to such Disqualified Institution and/or (B) require such Disqualified Institution to assign, without recourse (in accordance with and subject to the restrictions contained in this </w:t>
      </w:r>
      <w:r>
        <w:rPr>
          <w:rFonts w:ascii="Arial" w:cs="Arial" w:eastAsia="Arial" w:hAnsi="Arial"/>
          <w:sz w:val="21"/>
          <w:szCs w:val="21"/>
          <w:u w:val="single" w:color="auto"/>
          <w:color w:val="auto"/>
        </w:rPr>
        <w:t>Section 9.04</w:t>
      </w:r>
      <w:r>
        <w:rPr>
          <w:rFonts w:ascii="Arial" w:cs="Arial" w:eastAsia="Arial" w:hAnsi="Arial"/>
          <w:sz w:val="21"/>
          <w:szCs w:val="21"/>
          <w:color w:val="auto"/>
        </w:rPr>
        <w:t xml:space="preserve">), all of its interests, rights and obligations under this Agreement to one or more Eligible Assignees. Nothing in this </w:t>
      </w:r>
      <w:r>
        <w:rPr>
          <w:rFonts w:ascii="Arial" w:cs="Arial" w:eastAsia="Arial" w:hAnsi="Arial"/>
          <w:sz w:val="21"/>
          <w:szCs w:val="21"/>
          <w:u w:val="single" w:color="auto"/>
          <w:color w:val="auto"/>
        </w:rPr>
        <w:t>Section 9.04</w:t>
      </w:r>
      <w:r>
        <w:rPr>
          <w:rFonts w:ascii="Arial" w:cs="Arial" w:eastAsia="Arial" w:hAnsi="Arial"/>
          <w:sz w:val="21"/>
          <w:szCs w:val="21"/>
          <w:color w:val="auto"/>
        </w:rPr>
        <w:t xml:space="preserve"> shall be deemed to prejudice any right or remedy that the Borrowers may otherwise have at law or equity.</w:t>
      </w:r>
    </w:p>
    <w:p>
      <w:pPr>
        <w:spacing w:after="0" w:line="211" w:lineRule="exact"/>
        <w:rPr>
          <w:rFonts w:ascii="Arial" w:cs="Arial" w:eastAsia="Arial" w:hAnsi="Arial"/>
          <w:sz w:val="21"/>
          <w:szCs w:val="21"/>
          <w:color w:val="auto"/>
        </w:rPr>
      </w:pPr>
    </w:p>
    <w:p>
      <w:pPr>
        <w:jc w:val="both"/>
        <w:ind w:left="-460" w:firstLine="644"/>
        <w:spacing w:after="0" w:line="270" w:lineRule="auto"/>
        <w:tabs>
          <w:tab w:leader="none" w:pos="1113" w:val="left"/>
        </w:tabs>
        <w:numPr>
          <w:ilvl w:val="0"/>
          <w:numId w:val="277"/>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contained in this Agreement, each Disqualified Institution (A) will not receive information provided solely to Lenders by the Borrowers, the Administrative Agent or any Lender (other than the Disqualified Institutions List to any potential assignee for the purpose of determining if such potential assignee is a Disqualified Institution) and will not be permitted to attend or participate in conference calls or meetings attended solely by the Lenders and the Administrative Agent, other than the right to receive notices of prepayments and other administrative notices in respect of its Loans or Commitments required to be delivered to Lenders pursuant to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and (B) (x) for purposes of determining whether the Required Lenders have (i) consented (or not consented) to any amendment, modification, waiver, consent or other action with respect to any of the terms of any Loan Document or any departure by any Loan Party therefrom, (ii) otherwise acted on any matter related to any Loan Document, or (iii) directed or required the Administrative Agent or any Lender to undertake any action (or refrain from taking any action) with respect to or under any Loan Document, shall not have any right to consent (or not consent), otherwise act or direct or require the Administrative Agent or any Lender to take (or refrain from taking) any such action, and all Loans held by any Disqualified Institution shall be deemed to be not outstanding for all purposes of calculating whether the Required Lenders or all Lenders have taken any actions, except that no amendment, modification or waiver of any Loan Document shall, without the consent of the applicable Disqualified Institution, deprive any Disqualified Institution of its pro rata share of any payment to which all Lenders are entitled and (y) hereby agrees that if a proceeding under any Debtor Relief Law shall be commenced by or against the Borrowers or any other Loan Party, such Disqualified Institution will be deemed to vote in the same proportion as Lenders that are not Disqualified Institutions.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400"/>
        <w:spacing w:after="0"/>
        <w:rPr>
          <w:sz w:val="20"/>
          <w:szCs w:val="20"/>
          <w:color w:val="auto"/>
        </w:rPr>
      </w:pPr>
      <w:r>
        <w:rPr>
          <w:rFonts w:ascii="Arial" w:cs="Arial" w:eastAsia="Arial" w:hAnsi="Arial"/>
          <w:sz w:val="14"/>
          <w:szCs w:val="14"/>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328" w:name="page329"/>
    <w:bookmarkEnd w:id="328"/>
    <w:p>
      <w:pPr>
        <w:jc w:val="both"/>
        <w:ind w:left="4" w:firstLine="644"/>
        <w:spacing w:after="0" w:line="282" w:lineRule="auto"/>
        <w:tabs>
          <w:tab w:leader="none" w:pos="1803" w:val="left"/>
        </w:tabs>
        <w:numPr>
          <w:ilvl w:val="1"/>
          <w:numId w:val="278"/>
        </w:numPr>
        <w:rPr>
          <w:rFonts w:ascii="Arial" w:cs="Arial" w:eastAsia="Arial" w:hAnsi="Arial"/>
          <w:sz w:val="19"/>
          <w:szCs w:val="19"/>
          <w:color w:val="auto"/>
        </w:rPr>
      </w:pPr>
      <w:r>
        <w:rPr>
          <w:rFonts w:ascii="Arial" w:cs="Arial" w:eastAsia="Arial" w:hAnsi="Arial"/>
          <w:sz w:val="19"/>
          <w:szCs w:val="19"/>
          <w:color w:val="auto"/>
        </w:rPr>
        <w:t>The Administrative Agent shall have the right, and the Borrowers hereby expressly authorize the Administrative Agent, to provide the Disqualified Institutions List to each Lender or potential Lender requesting the same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Lender or potential Lender agrees to maintain the confidentiality of the Disqualified Institutions List (which agreement may be by way of a “click through” or other affirmative action on the part of the recipient to access the Disqualified Institutions List and acknowledge its confidentiality obligations in respect thereof)).</w:t>
      </w:r>
    </w:p>
    <w:p>
      <w:pPr>
        <w:spacing w:after="0" w:line="174" w:lineRule="exact"/>
        <w:rPr>
          <w:rFonts w:ascii="Arial" w:cs="Arial" w:eastAsia="Arial" w:hAnsi="Arial"/>
          <w:sz w:val="19"/>
          <w:szCs w:val="19"/>
          <w:color w:val="auto"/>
        </w:rPr>
      </w:pPr>
    </w:p>
    <w:p>
      <w:pPr>
        <w:jc w:val="both"/>
        <w:ind w:left="4" w:firstLine="644"/>
        <w:spacing w:after="0" w:line="271" w:lineRule="auto"/>
        <w:tabs>
          <w:tab w:leader="none" w:pos="1799" w:val="left"/>
        </w:tabs>
        <w:numPr>
          <w:ilvl w:val="1"/>
          <w:numId w:val="278"/>
        </w:numPr>
        <w:rPr>
          <w:rFonts w:ascii="Arial" w:cs="Arial" w:eastAsia="Arial" w:hAnsi="Arial"/>
          <w:sz w:val="19"/>
          <w:szCs w:val="19"/>
          <w:color w:val="auto"/>
        </w:rPr>
      </w:pPr>
      <w:r>
        <w:rPr>
          <w:rFonts w:ascii="Arial" w:cs="Arial" w:eastAsia="Arial" w:hAnsi="Arial"/>
          <w:sz w:val="19"/>
          <w:szCs w:val="19"/>
          <w:color w:val="auto"/>
        </w:rPr>
        <w:t>The Administrative Agent shall not be responsible or have any liability for, or have any duty to ascertain, inquire into, monitor the list or identities of, or enforce, compliance with the provisions hereof relating to Disqualified Institutions. Without limiting the generality of the foregoing, the Administrative Agent shall not (x) be obligated to ascertain, monitor or inquire as to whether any Lender or prospective Lender is a Disqualified Institution or</w:t>
      </w:r>
    </w:p>
    <w:p>
      <w:pPr>
        <w:spacing w:after="0" w:line="3" w:lineRule="exact"/>
        <w:rPr>
          <w:rFonts w:ascii="Arial" w:cs="Arial" w:eastAsia="Arial" w:hAnsi="Arial"/>
          <w:sz w:val="19"/>
          <w:szCs w:val="19"/>
          <w:color w:val="auto"/>
        </w:rPr>
      </w:pPr>
    </w:p>
    <w:p>
      <w:pPr>
        <w:ind w:left="4" w:hanging="4"/>
        <w:spacing w:after="0" w:line="236" w:lineRule="auto"/>
        <w:tabs>
          <w:tab w:leader="none" w:pos="317" w:val="left"/>
        </w:tabs>
        <w:numPr>
          <w:ilvl w:val="0"/>
          <w:numId w:val="279"/>
        </w:numPr>
        <w:rPr>
          <w:rFonts w:ascii="Arial" w:cs="Arial" w:eastAsia="Arial" w:hAnsi="Arial"/>
          <w:sz w:val="22"/>
          <w:szCs w:val="22"/>
          <w:color w:val="auto"/>
        </w:rPr>
      </w:pPr>
      <w:r>
        <w:rPr>
          <w:rFonts w:ascii="Arial" w:cs="Arial" w:eastAsia="Arial" w:hAnsi="Arial"/>
          <w:sz w:val="22"/>
          <w:szCs w:val="22"/>
          <w:color w:val="auto"/>
        </w:rPr>
        <w:t>have any liability with respect to or arising out of any assignment of Loans, or disclosure of confidential information, to any Disqualified Institution</w:t>
      </w:r>
    </w:p>
    <w:p>
      <w:pPr>
        <w:spacing w:after="0" w:line="213" w:lineRule="exact"/>
        <w:rPr>
          <w:rFonts w:ascii="Arial" w:cs="Arial" w:eastAsia="Arial" w:hAnsi="Arial"/>
          <w:sz w:val="22"/>
          <w:szCs w:val="22"/>
          <w:color w:val="auto"/>
        </w:rPr>
      </w:pPr>
    </w:p>
    <w:p>
      <w:pPr>
        <w:jc w:val="both"/>
        <w:ind w:left="4" w:firstLine="644"/>
        <w:spacing w:after="0" w:line="274" w:lineRule="auto"/>
        <w:tabs>
          <w:tab w:leader="none" w:pos="1515" w:val="left"/>
        </w:tabs>
        <w:numPr>
          <w:ilvl w:val="1"/>
          <w:numId w:val="279"/>
        </w:numPr>
        <w:rPr>
          <w:rFonts w:ascii="Arial" w:cs="Arial" w:eastAsia="Arial" w:hAnsi="Arial"/>
          <w:sz w:val="19"/>
          <w:szCs w:val="19"/>
          <w:color w:val="auto"/>
        </w:rPr>
      </w:pPr>
      <w:r>
        <w:rPr>
          <w:rFonts w:ascii="Arial" w:cs="Arial" w:eastAsia="Arial" w:hAnsi="Arial"/>
          <w:sz w:val="19"/>
          <w:szCs w:val="19"/>
          <w:color w:val="auto"/>
        </w:rPr>
        <w:t>The Administrative Agent, acting solely for this purpose as a non-fiduciary agent of the Borrowers, shall maintain at one of its offices a copy of each Assignment and Assumption delivered to it and a register for the recordation of the names and addresses of the Lenders, and the Commitment of, and principal amount (and related interest amounts) of the Loans and LC Disbursements owing to, each Lender pursuant to the terms hereof from time to time (the “</w:t>
      </w:r>
      <w:r>
        <w:rPr>
          <w:rFonts w:ascii="Arial" w:cs="Arial" w:eastAsia="Arial" w:hAnsi="Arial"/>
          <w:sz w:val="19"/>
          <w:szCs w:val="19"/>
          <w:u w:val="single" w:color="auto"/>
          <w:color w:val="auto"/>
        </w:rPr>
        <w:t>Register</w:t>
      </w:r>
      <w:r>
        <w:rPr>
          <w:rFonts w:ascii="Arial" w:cs="Arial" w:eastAsia="Arial" w:hAnsi="Arial"/>
          <w:sz w:val="19"/>
          <w:szCs w:val="19"/>
          <w:color w:val="auto"/>
        </w:rPr>
        <w:t>”). The entries in the Register shall be conclusive absent manifest error, the Borrowers, the Administrative Agent, the Issuing Banks and the Lenders shall treat each Person whose name is recorded in the Register pursuant to the terms hereof as a Lender hereunder for all purposes of this Agreement, notwithstanding notice to the contrary. The Register shall be available for inspection by the Borrowers, any Issuing Bank or any Lender, at any reasonable time and from time to time upon reasonable prior notice.</w:t>
      </w:r>
    </w:p>
    <w:p>
      <w:pPr>
        <w:spacing w:after="0" w:line="185" w:lineRule="exact"/>
        <w:rPr>
          <w:rFonts w:ascii="Arial" w:cs="Arial" w:eastAsia="Arial" w:hAnsi="Arial"/>
          <w:sz w:val="19"/>
          <w:szCs w:val="19"/>
          <w:color w:val="auto"/>
        </w:rPr>
      </w:pPr>
    </w:p>
    <w:p>
      <w:pPr>
        <w:jc w:val="both"/>
        <w:ind w:left="4" w:firstLine="644"/>
        <w:spacing w:after="0" w:line="272" w:lineRule="auto"/>
        <w:tabs>
          <w:tab w:leader="none" w:pos="1578" w:val="left"/>
        </w:tabs>
        <w:numPr>
          <w:ilvl w:val="1"/>
          <w:numId w:val="279"/>
        </w:numPr>
        <w:rPr>
          <w:rFonts w:ascii="Arial" w:cs="Arial" w:eastAsia="Arial" w:hAnsi="Arial"/>
          <w:sz w:val="19"/>
          <w:szCs w:val="19"/>
          <w:color w:val="auto"/>
        </w:rPr>
      </w:pPr>
      <w:r>
        <w:rPr>
          <w:rFonts w:ascii="Arial" w:cs="Arial" w:eastAsia="Arial" w:hAnsi="Arial"/>
          <w:sz w:val="19"/>
          <w:szCs w:val="19"/>
          <w:color w:val="auto"/>
        </w:rPr>
        <w:t xml:space="preserve">Upon its receipt of (x) a duly completed Assignment and Assumption executed by an assigning Lender and an assignee or (y) to the extent applicable, an agreement incorporating an Assignment and Assumption by reference pursuant to a Platform as to which the Administrative Agent and the parties to the Assignment and Assumption are participants, the assignee’s completed Administrative Questionnaire (unless the assignee shall already be a Lender hereunder), the processing and recordation fee referred to in </w:t>
      </w:r>
      <w:r>
        <w:rPr>
          <w:rFonts w:ascii="Arial" w:cs="Arial" w:eastAsia="Arial" w:hAnsi="Arial"/>
          <w:sz w:val="19"/>
          <w:szCs w:val="19"/>
          <w:u w:val="single" w:color="auto"/>
          <w:color w:val="auto"/>
        </w:rPr>
        <w:t>paragraph (b)(ii)</w:t>
      </w:r>
      <w:r>
        <w:rPr>
          <w:rFonts w:ascii="Arial" w:cs="Arial" w:eastAsia="Arial" w:hAnsi="Arial"/>
          <w:sz w:val="19"/>
          <w:szCs w:val="19"/>
          <w:color w:val="auto"/>
        </w:rPr>
        <w:t xml:space="preserve"> of this Section and any written consent to such assignment required by </w:t>
      </w:r>
      <w:r>
        <w:rPr>
          <w:rFonts w:ascii="Arial" w:cs="Arial" w:eastAsia="Arial" w:hAnsi="Arial"/>
          <w:sz w:val="19"/>
          <w:szCs w:val="19"/>
          <w:u w:val="single" w:color="auto"/>
          <w:color w:val="auto"/>
        </w:rPr>
        <w:t>paragraph (b)(i)</w:t>
      </w:r>
      <w:r>
        <w:rPr>
          <w:rFonts w:ascii="Arial" w:cs="Arial" w:eastAsia="Arial" w:hAnsi="Arial"/>
          <w:sz w:val="19"/>
          <w:szCs w:val="19"/>
          <w:color w:val="auto"/>
        </w:rPr>
        <w:t xml:space="preserve"> of this Section, the Administrative Agent shall accept such Assignment and Assumption and record the information contained therein in the Register;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either the assigning Lender or the assignee shall have failed to make any payment required to be made by it pursuant to </w:t>
      </w:r>
      <w:r>
        <w:rPr>
          <w:rFonts w:ascii="Arial" w:cs="Arial" w:eastAsia="Arial" w:hAnsi="Arial"/>
          <w:sz w:val="19"/>
          <w:szCs w:val="19"/>
          <w:u w:val="single" w:color="auto"/>
          <w:color w:val="auto"/>
        </w:rPr>
        <w:t>Section 2.05(d)</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(e)</w:t>
      </w:r>
      <w:r>
        <w:rPr>
          <w:rFonts w:ascii="Arial" w:cs="Arial" w:eastAsia="Arial" w:hAnsi="Arial"/>
          <w:sz w:val="19"/>
          <w:szCs w:val="19"/>
          <w:color w:val="auto"/>
        </w:rPr>
        <w:t xml:space="preserve">, </w:t>
      </w:r>
      <w:r>
        <w:rPr>
          <w:rFonts w:ascii="Arial" w:cs="Arial" w:eastAsia="Arial" w:hAnsi="Arial"/>
          <w:sz w:val="19"/>
          <w:szCs w:val="19"/>
          <w:u w:val="single" w:color="auto"/>
          <w:color w:val="auto"/>
        </w:rPr>
        <w:t>2.06(b)</w:t>
      </w:r>
      <w:r>
        <w:rPr>
          <w:rFonts w:ascii="Arial" w:cs="Arial" w:eastAsia="Arial" w:hAnsi="Arial"/>
          <w:sz w:val="19"/>
          <w:szCs w:val="19"/>
          <w:color w:val="auto"/>
        </w:rPr>
        <w:t xml:space="preserve">, </w:t>
      </w:r>
      <w:r>
        <w:rPr>
          <w:rFonts w:ascii="Arial" w:cs="Arial" w:eastAsia="Arial" w:hAnsi="Arial"/>
          <w:sz w:val="19"/>
          <w:szCs w:val="19"/>
          <w:u w:val="single" w:color="auto"/>
          <w:color w:val="auto"/>
        </w:rPr>
        <w:t>2.18(d)</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9.03(d)</w:t>
      </w:r>
      <w:r>
        <w:rPr>
          <w:rFonts w:ascii="Arial" w:cs="Arial" w:eastAsia="Arial" w:hAnsi="Arial"/>
          <w:sz w:val="19"/>
          <w:szCs w:val="19"/>
          <w:color w:val="auto"/>
        </w:rPr>
        <w:t>,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366" w:lineRule="exact"/>
        <w:rPr>
          <w:sz w:val="20"/>
          <w:szCs w:val="20"/>
          <w:color w:val="auto"/>
        </w:rPr>
      </w:pPr>
    </w:p>
    <w:p>
      <w:pPr>
        <w:ind w:left="4864"/>
        <w:spacing w:after="0"/>
        <w:rPr>
          <w:sz w:val="20"/>
          <w:szCs w:val="20"/>
          <w:color w:val="auto"/>
        </w:rPr>
      </w:pPr>
      <w:r>
        <w:rPr>
          <w:rFonts w:ascii="Arial" w:cs="Arial" w:eastAsia="Arial" w:hAnsi="Arial"/>
          <w:sz w:val="14"/>
          <w:szCs w:val="14"/>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8" w:right="339" w:bottom="1440" w:gutter="0" w:footer="0" w:header="0"/>
        </w:sectPr>
      </w:pPr>
    </w:p>
    <w:bookmarkStart w:id="329" w:name="page330"/>
    <w:bookmarkEnd w:id="329"/>
    <w:p>
      <w:pPr>
        <w:jc w:val="both"/>
        <w:ind w:firstLine="656"/>
        <w:spacing w:after="0" w:line="268" w:lineRule="auto"/>
        <w:tabs>
          <w:tab w:leader="none" w:pos="1333" w:val="left"/>
        </w:tabs>
        <w:numPr>
          <w:ilvl w:val="0"/>
          <w:numId w:val="280"/>
        </w:numPr>
        <w:rPr>
          <w:rFonts w:ascii="Arial" w:cs="Arial" w:eastAsia="Arial" w:hAnsi="Arial"/>
          <w:sz w:val="19"/>
          <w:szCs w:val="19"/>
          <w:color w:val="auto"/>
        </w:rPr>
      </w:pPr>
      <w:r>
        <w:rPr>
          <w:rFonts w:ascii="Arial" w:cs="Arial" w:eastAsia="Arial" w:hAnsi="Arial"/>
          <w:sz w:val="19"/>
          <w:szCs w:val="19"/>
          <w:u w:val="single" w:color="auto"/>
          <w:color w:val="auto"/>
        </w:rPr>
        <w:t>Participations</w:t>
      </w:r>
      <w:r>
        <w:rPr>
          <w:rFonts w:ascii="Arial" w:cs="Arial" w:eastAsia="Arial" w:hAnsi="Arial"/>
          <w:sz w:val="19"/>
          <w:szCs w:val="19"/>
          <w:color w:val="auto"/>
        </w:rPr>
        <w:t>. Any Lender may, without the consent of, or notice to, the Borrowers, the Administrative Agent, or any Issuing Bank, sell participations to one or more Eligible Assignees (each, a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in all or a portion of such Lender’s rights and/or obligations under this Agreement (including all or a portion of its Commitment and/or the Loans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such Lender’s obligations under this Agreement shall remain unchanged, (B) such Lender shall remain solely responsible to the other parties hereto for the performance of such obligations and (C) the Borrowers, the Administrative Agent, the Issuing Banks and the other Lenders shall continue to deal solely and directly with such Lender in connection with such Lender’s rights and/or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or any other Loan Document;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agreement or instrument may provide that such Lender will not, without the consent of the Participant, agree to any amendment, modification or waiver described in the first proviso to </w:t>
      </w:r>
      <w:r>
        <w:rPr>
          <w:rFonts w:ascii="Arial" w:cs="Arial" w:eastAsia="Arial" w:hAnsi="Arial"/>
          <w:sz w:val="19"/>
          <w:szCs w:val="19"/>
          <w:u w:val="single" w:color="auto"/>
          <w:color w:val="auto"/>
        </w:rPr>
        <w:t>Section 9.02(b)</w:t>
      </w:r>
      <w:r>
        <w:rPr>
          <w:rFonts w:ascii="Arial" w:cs="Arial" w:eastAsia="Arial" w:hAnsi="Arial"/>
          <w:sz w:val="19"/>
          <w:szCs w:val="19"/>
          <w:color w:val="auto"/>
        </w:rPr>
        <w:t xml:space="preserve"> that affects such Participant. The Borrowers agree that each Participant shall be entitled to the benefits of </w:t>
      </w:r>
      <w:r>
        <w:rPr>
          <w:rFonts w:ascii="Arial" w:cs="Arial" w:eastAsia="Arial" w:hAnsi="Arial"/>
          <w:sz w:val="19"/>
          <w:szCs w:val="19"/>
          <w:u w:val="single" w:color="auto"/>
          <w:color w:val="auto"/>
        </w:rPr>
        <w:t>Sections 2.15</w:t>
      </w:r>
      <w:r>
        <w:rPr>
          <w:rFonts w:ascii="Arial" w:cs="Arial" w:eastAsia="Arial" w:hAnsi="Arial"/>
          <w:sz w:val="19"/>
          <w:szCs w:val="19"/>
          <w:color w:val="auto"/>
        </w:rPr>
        <w:t xml:space="preserve">, </w:t>
      </w:r>
      <w:r>
        <w:rPr>
          <w:rFonts w:ascii="Arial" w:cs="Arial" w:eastAsia="Arial" w:hAnsi="Arial"/>
          <w:sz w:val="19"/>
          <w:szCs w:val="19"/>
          <w:u w:val="single" w:color="auto"/>
          <w:color w:val="auto"/>
        </w:rPr>
        <w:t>2.16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2.17</w:t>
      </w:r>
      <w:r>
        <w:rPr>
          <w:rFonts w:ascii="Arial" w:cs="Arial" w:eastAsia="Arial" w:hAnsi="Arial"/>
          <w:sz w:val="19"/>
          <w:szCs w:val="19"/>
          <w:color w:val="auto"/>
        </w:rPr>
        <w:t xml:space="preserve"> (subject to the requirements and limitations therein, including the requirements under </w:t>
      </w:r>
      <w:r>
        <w:rPr>
          <w:rFonts w:ascii="Arial" w:cs="Arial" w:eastAsia="Arial" w:hAnsi="Arial"/>
          <w:sz w:val="19"/>
          <w:szCs w:val="19"/>
          <w:u w:val="single" w:color="auto"/>
          <w:color w:val="auto"/>
        </w:rPr>
        <w:t>Section 2.17(e)</w:t>
      </w:r>
      <w:r>
        <w:rPr>
          <w:rFonts w:ascii="Arial" w:cs="Arial" w:eastAsia="Arial" w:hAnsi="Arial"/>
          <w:sz w:val="19"/>
          <w:szCs w:val="19"/>
          <w:color w:val="auto"/>
        </w:rPr>
        <w:t xml:space="preserve"> (it being understood and agreed that the documentation required under </w:t>
      </w:r>
      <w:r>
        <w:rPr>
          <w:rFonts w:ascii="Arial" w:cs="Arial" w:eastAsia="Arial" w:hAnsi="Arial"/>
          <w:sz w:val="19"/>
          <w:szCs w:val="19"/>
          <w:u w:val="single" w:color="auto"/>
          <w:color w:val="auto"/>
        </w:rPr>
        <w:t>Section 2.17(e)</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(f)</w:t>
      </w:r>
      <w:r>
        <w:rPr>
          <w:rFonts w:ascii="Arial" w:cs="Arial" w:eastAsia="Arial" w:hAnsi="Arial"/>
          <w:sz w:val="19"/>
          <w:szCs w:val="19"/>
          <w:color w:val="auto"/>
        </w:rPr>
        <w:t xml:space="preserve"> shall be delivered to the participating Lender and the information and documentation required under </w:t>
      </w:r>
      <w:r>
        <w:rPr>
          <w:rFonts w:ascii="Arial" w:cs="Arial" w:eastAsia="Arial" w:hAnsi="Arial"/>
          <w:sz w:val="19"/>
          <w:szCs w:val="19"/>
          <w:u w:val="single" w:color="auto"/>
          <w:color w:val="auto"/>
        </w:rPr>
        <w:t>2.17(f)</w:t>
      </w:r>
      <w:r>
        <w:rPr>
          <w:rFonts w:ascii="Arial" w:cs="Arial" w:eastAsia="Arial" w:hAnsi="Arial"/>
          <w:sz w:val="19"/>
          <w:szCs w:val="19"/>
          <w:color w:val="auto"/>
        </w:rPr>
        <w:t xml:space="preserve"> will be delivered to the Borrowers and the Administrative Agent) to the same extent as if it were a Lender and had acquired its interest by assignment and delegation pursuant to </w:t>
      </w:r>
      <w:r>
        <w:rPr>
          <w:rFonts w:ascii="Arial" w:cs="Arial" w:eastAsia="Arial" w:hAnsi="Arial"/>
          <w:sz w:val="19"/>
          <w:szCs w:val="19"/>
          <w:u w:val="single" w:color="auto"/>
          <w:color w:val="auto"/>
        </w:rPr>
        <w:t>paragraph (b)</w:t>
      </w:r>
      <w:r>
        <w:rPr>
          <w:rFonts w:ascii="Arial" w:cs="Arial" w:eastAsia="Arial" w:hAnsi="Arial"/>
          <w:sz w:val="19"/>
          <w:szCs w:val="19"/>
          <w:color w:val="auto"/>
        </w:rPr>
        <w:t xml:space="preserve"> of this Section;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Participant (A) agrees to be subject to the provisions of </w:t>
      </w:r>
      <w:r>
        <w:rPr>
          <w:rFonts w:ascii="Arial" w:cs="Arial" w:eastAsia="Arial" w:hAnsi="Arial"/>
          <w:sz w:val="19"/>
          <w:szCs w:val="19"/>
          <w:u w:val="single" w:color="auto"/>
          <w:color w:val="auto"/>
        </w:rPr>
        <w:t>Sections 2.18</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2.19</w:t>
      </w:r>
      <w:r>
        <w:rPr>
          <w:rFonts w:ascii="Arial" w:cs="Arial" w:eastAsia="Arial" w:hAnsi="Arial"/>
          <w:sz w:val="19"/>
          <w:szCs w:val="19"/>
          <w:color w:val="auto"/>
        </w:rPr>
        <w:t xml:space="preserve"> as if it were an assignee under </w:t>
      </w:r>
      <w:r>
        <w:rPr>
          <w:rFonts w:ascii="Arial" w:cs="Arial" w:eastAsia="Arial" w:hAnsi="Arial"/>
          <w:sz w:val="19"/>
          <w:szCs w:val="19"/>
          <w:u w:val="single" w:color="auto"/>
          <w:color w:val="auto"/>
        </w:rPr>
        <w:t>paragraph (b)</w:t>
      </w:r>
      <w:r>
        <w:rPr>
          <w:rFonts w:ascii="Arial" w:cs="Arial" w:eastAsia="Arial" w:hAnsi="Arial"/>
          <w:sz w:val="19"/>
          <w:szCs w:val="19"/>
          <w:color w:val="auto"/>
        </w:rPr>
        <w:t xml:space="preserve"> of this Section and (B) shall not be entitled to receive any greater payment under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2.17</w:t>
      </w:r>
      <w:r>
        <w:rPr>
          <w:rFonts w:ascii="Arial" w:cs="Arial" w:eastAsia="Arial" w:hAnsi="Arial"/>
          <w:sz w:val="19"/>
          <w:szCs w:val="19"/>
          <w:color w:val="auto"/>
        </w:rPr>
        <w:t xml:space="preserve">,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Borrowers to effectuate the provisions of </w:t>
      </w:r>
      <w:r>
        <w:rPr>
          <w:rFonts w:ascii="Arial" w:cs="Arial" w:eastAsia="Arial" w:hAnsi="Arial"/>
          <w:sz w:val="19"/>
          <w:szCs w:val="19"/>
          <w:u w:val="single" w:color="auto"/>
          <w:color w:val="auto"/>
        </w:rPr>
        <w:t>Section 2.19(b)</w:t>
      </w:r>
      <w:r>
        <w:rPr>
          <w:rFonts w:ascii="Arial" w:cs="Arial" w:eastAsia="Arial" w:hAnsi="Arial"/>
          <w:sz w:val="19"/>
          <w:szCs w:val="19"/>
          <w:color w:val="auto"/>
        </w:rPr>
        <w:t xml:space="preserve"> with respect to any Participant. To the extent permitted by law, each Participant also shall be entitled to the benefits of </w:t>
      </w:r>
      <w:r>
        <w:rPr>
          <w:rFonts w:ascii="Arial" w:cs="Arial" w:eastAsia="Arial" w:hAnsi="Arial"/>
          <w:sz w:val="19"/>
          <w:szCs w:val="19"/>
          <w:u w:val="single" w:color="auto"/>
          <w:color w:val="auto"/>
        </w:rPr>
        <w:t>Section 9.08</w:t>
      </w:r>
      <w:r>
        <w:rPr>
          <w:rFonts w:ascii="Arial" w:cs="Arial" w:eastAsia="Arial" w:hAnsi="Arial"/>
          <w:sz w:val="19"/>
          <w:szCs w:val="19"/>
          <w:color w:val="auto"/>
        </w:rPr>
        <w:t xml:space="preserve"> as though it were a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Participant agrees to be subject to </w:t>
      </w:r>
      <w:r>
        <w:rPr>
          <w:rFonts w:ascii="Arial" w:cs="Arial" w:eastAsia="Arial" w:hAnsi="Arial"/>
          <w:sz w:val="19"/>
          <w:szCs w:val="19"/>
          <w:u w:val="single" w:color="auto"/>
          <w:color w:val="auto"/>
        </w:rPr>
        <w:t>Section 2.18(c)</w:t>
      </w:r>
      <w:r>
        <w:rPr>
          <w:rFonts w:ascii="Arial" w:cs="Arial" w:eastAsia="Arial" w:hAnsi="Arial"/>
          <w:sz w:val="19"/>
          <w:szCs w:val="19"/>
          <w:color w:val="auto"/>
        </w:rPr>
        <w:t xml:space="preserve"> as though it were a Lender.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this Agreement or any other Loan Document (the “</w:t>
      </w:r>
      <w:r>
        <w:rPr>
          <w:rFonts w:ascii="Arial" w:cs="Arial" w:eastAsia="Arial" w:hAnsi="Arial"/>
          <w:sz w:val="19"/>
          <w:szCs w:val="19"/>
          <w:u w:val="single" w:color="auto"/>
          <w:color w:val="auto"/>
        </w:rPr>
        <w:t>Participant Register</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this Agreement or any other Loan Document) to any Person except to the extent that such disclosure is necessary to establish that such Commitment, Loan, Letter of Credit or other obligation is in registered form under Section 5f.103-1(c) or Proposed Section 1.163-5(b) of the United States Treasury Regulations (or, in each case, any amended or successor version).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0" w:name="page331"/>
    <w:bookmarkEnd w:id="330"/>
    <w:p>
      <w:pPr>
        <w:jc w:val="both"/>
        <w:ind w:firstLine="656"/>
        <w:spacing w:after="0" w:line="235" w:lineRule="auto"/>
        <w:tabs>
          <w:tab w:leader="none" w:pos="1615" w:val="left"/>
        </w:tabs>
        <w:numPr>
          <w:ilvl w:val="0"/>
          <w:numId w:val="281"/>
        </w:numPr>
        <w:rPr>
          <w:rFonts w:ascii="Arial" w:cs="Arial" w:eastAsia="Arial" w:hAnsi="Arial"/>
          <w:sz w:val="22"/>
          <w:szCs w:val="22"/>
          <w:color w:val="auto"/>
        </w:rPr>
      </w:pPr>
      <w:r>
        <w:rPr>
          <w:rFonts w:ascii="Arial" w:cs="Arial" w:eastAsia="Arial" w:hAnsi="Arial"/>
          <w:sz w:val="22"/>
          <w:szCs w:val="22"/>
          <w:u w:val="single" w:color="auto"/>
          <w:color w:val="auto"/>
        </w:rPr>
        <w:t>Certain Pledges</w:t>
      </w:r>
      <w:r>
        <w:rPr>
          <w:rFonts w:ascii="Arial" w:cs="Arial" w:eastAsia="Arial" w:hAnsi="Arial"/>
          <w:sz w:val="22"/>
          <w:szCs w:val="22"/>
          <w:color w:val="auto"/>
        </w:rPr>
        <w:t xml:space="preserve">. Any Lender may, without the consent of the Borrowers, the Administrative Agent or any Issuing Bank,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such pledge or assignment of a security interest shall release a Lender from any of its obligations hereunder or substitute any such pledgee or assignee for such Lender as a party hereto.</w:t>
      </w:r>
    </w:p>
    <w:p>
      <w:pPr>
        <w:spacing w:after="0" w:line="21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SECTION 9.05. </w:t>
      </w:r>
      <w:r>
        <w:rPr>
          <w:rFonts w:ascii="Arial" w:cs="Arial" w:eastAsia="Arial" w:hAnsi="Arial"/>
          <w:sz w:val="19"/>
          <w:szCs w:val="19"/>
          <w:u w:val="single" w:color="auto"/>
          <w:color w:val="auto"/>
        </w:rPr>
        <w:t>Survival</w:t>
      </w:r>
      <w:r>
        <w:rPr>
          <w:rFonts w:ascii="Arial" w:cs="Arial" w:eastAsia="Arial" w:hAnsi="Arial"/>
          <w:sz w:val="19"/>
          <w:szCs w:val="19"/>
          <w:color w:val="auto"/>
        </w:rPr>
        <w:t>. All covenants, agreements, representations and warranties made by the Loan Parties in this Agreement and the other Loan Documents and in the certificates or other instruments delivered in connection with or pursuant to this Agreement or any other Loan Document shall be considered to have been relied upon by the other parties hereto and shall survive the execution and delivery of this Agreement and the other Loan Documents and the making of any Loans and issuance of any Letters of Credit, regardless of any investigation made by any such other party or on its behalf and notwithstanding that the Administrative Agent, the Arrangers, the Documentation Agent, any Issuing Bank, any Lender or any Affiliate of any of the foregoing may have had notice or knowledge of any Default or incorrect representation or warranty at the time this Agreement or any other Loan Document is executed and delivered or any credit is extended hereunder, and shall continue in full force and effect as long as the principal of or any accrued interest on any Loan or any fee or any other amount payable under this Agreement is outstanding and unpaid or any LC Exposure is outstanding and so long as the Commitments have not expired or terminated. Notwithstanding the foregoing or anything else to the contrary set forth in this Agreement or any other Loan Document, in the event that, in connection with the refinancing or repayment in full of the credit facilities provided for herein, an Issuing Bank shall have provided to the Administrative Agent a written consent to the release of the Revolving Lenders from their obligations hereunder with respect to any Letter of Credit issued by such Issuing Bank (whether as a result of the obligations of the Borrowers (and any other account party) in respect of such Letter of Credit having been collateralized in full by a deposit of cash with such Issuing Bank, or being supported by a letter of credit that names such Issuing Bank as the beneficiary thereunder, or otherwise), then from and after such time such Letter of Credit shall cease to be a “Letter of Credit” outstanding hereunder for all purposes of this Agreement and the other Loan Documents, and the Revolving Lenders shall be deemed to have no participations in such Letter of Credit, and no obligations with respect thereto, under Section 2.05(d) or 2.05(e). The provisions of Sections 2.15, 2.16, 2.17, 2.18(e) and 9.03 and Article VIII shall survive and remain in full force and effect regardless of the consummation of the transactions contemplated hereby, the repayment or prepayment of the Loans, the expiration or termination of the Letters of Credit and the Commitments or the termination of this Agreement or any provision hereof.</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1" w:name="page332"/>
    <w:bookmarkEnd w:id="331"/>
    <w:p>
      <w:pPr>
        <w:ind w:left="660"/>
        <w:spacing w:after="0"/>
        <w:tabs>
          <w:tab w:leader="none" w:pos="2360" w:val="left"/>
        </w:tabs>
        <w:rPr>
          <w:sz w:val="20"/>
          <w:szCs w:val="20"/>
          <w:color w:val="auto"/>
        </w:rPr>
      </w:pPr>
      <w:r>
        <w:rPr>
          <w:rFonts w:ascii="Arial" w:cs="Arial" w:eastAsia="Arial" w:hAnsi="Arial"/>
          <w:sz w:val="22"/>
          <w:szCs w:val="22"/>
          <w:color w:val="auto"/>
        </w:rPr>
        <w:t>SECTION 9.06.</w:t>
      </w:r>
      <w:r>
        <w:rPr>
          <w:sz w:val="20"/>
          <w:szCs w:val="20"/>
          <w:color w:val="auto"/>
        </w:rPr>
        <w:tab/>
      </w:r>
      <w:r>
        <w:rPr>
          <w:rFonts w:ascii="Arial" w:cs="Arial" w:eastAsia="Arial" w:hAnsi="Arial"/>
          <w:sz w:val="19"/>
          <w:szCs w:val="19"/>
          <w:u w:val="single" w:color="auto"/>
          <w:color w:val="auto"/>
        </w:rPr>
        <w:t>Counterparts; Integration; Effectiveness</w:t>
      </w:r>
    </w:p>
    <w:p>
      <w:pPr>
        <w:spacing w:after="0" w:line="234" w:lineRule="exact"/>
        <w:rPr>
          <w:sz w:val="20"/>
          <w:szCs w:val="20"/>
          <w:color w:val="auto"/>
        </w:rPr>
      </w:pPr>
    </w:p>
    <w:p>
      <w:pPr>
        <w:jc w:val="both"/>
        <w:ind w:firstLine="656"/>
        <w:spacing w:after="0" w:line="245" w:lineRule="auto"/>
        <w:tabs>
          <w:tab w:leader="none" w:pos="1381" w:val="left"/>
        </w:tabs>
        <w:numPr>
          <w:ilvl w:val="0"/>
          <w:numId w:val="282"/>
        </w:numPr>
        <w:rPr>
          <w:rFonts w:ascii="Arial" w:cs="Arial" w:eastAsia="Arial" w:hAnsi="Arial"/>
          <w:sz w:val="21"/>
          <w:szCs w:val="21"/>
          <w:color w:val="auto"/>
        </w:rPr>
      </w:pPr>
      <w:r>
        <w:rPr>
          <w:rFonts w:ascii="Arial" w:cs="Arial" w:eastAsia="Arial" w:hAnsi="Arial"/>
          <w:sz w:val="21"/>
          <w:szCs w:val="21"/>
          <w:color w:val="auto"/>
        </w:rPr>
        <w:t xml:space="preserve">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or the syndication of the Loans and Commitments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21"/>
          <w:szCs w:val="21"/>
          <w:u w:val="single" w:color="auto"/>
          <w:color w:val="auto"/>
        </w:rPr>
        <w:t>Section 4.01</w:t>
      </w:r>
      <w:r>
        <w:rPr>
          <w:rFonts w:ascii="Arial" w:cs="Arial" w:eastAsia="Arial" w:hAnsi="Arial"/>
          <w:sz w:val="21"/>
          <w:szCs w:val="21"/>
          <w:color w:val="auto"/>
        </w:rPr>
        <w:t>, this Agreement shall become effective when it shall have been executed by the Administrative Agent and the Administrative Agent shall have received counterparts hereof that, when taken together, bear the signatures of each of the other parties hereto, and thereafter shall be binding upon and inure to the benefit of the parties hereto and their respective successors and assigns.</w:t>
      </w:r>
    </w:p>
    <w:p>
      <w:pPr>
        <w:spacing w:after="0" w:line="211" w:lineRule="exact"/>
        <w:rPr>
          <w:rFonts w:ascii="Arial" w:cs="Arial" w:eastAsia="Arial" w:hAnsi="Arial"/>
          <w:sz w:val="21"/>
          <w:szCs w:val="21"/>
          <w:color w:val="auto"/>
        </w:rPr>
      </w:pPr>
    </w:p>
    <w:p>
      <w:pPr>
        <w:jc w:val="both"/>
        <w:ind w:firstLine="656"/>
        <w:spacing w:after="0" w:line="268" w:lineRule="auto"/>
        <w:tabs>
          <w:tab w:leader="none" w:pos="1439" w:val="left"/>
        </w:tabs>
        <w:numPr>
          <w:ilvl w:val="0"/>
          <w:numId w:val="282"/>
        </w:numPr>
        <w:rPr>
          <w:rFonts w:ascii="Arial" w:cs="Arial" w:eastAsia="Arial" w:hAnsi="Arial"/>
          <w:sz w:val="19"/>
          <w:szCs w:val="19"/>
          <w:color w:val="auto"/>
        </w:rPr>
      </w:pPr>
      <w:r>
        <w:rPr>
          <w:rFonts w:ascii="Arial" w:cs="Arial" w:eastAsia="Arial" w:hAnsi="Arial"/>
          <w:sz w:val="19"/>
          <w:szCs w:val="19"/>
          <w:color w:val="auto"/>
        </w:rPr>
        <w:t xml:space="preserve">Delivery of an executed counterpart of a signature page of (x) this Agreement, (y) any other Loan Document and/or (z) any document, amendment, approval, consent, information, notice (including, for the avoidance of doubt, any notice delivered pursuant to </w:t>
      </w:r>
      <w:r>
        <w:rPr>
          <w:rFonts w:ascii="Arial" w:cs="Arial" w:eastAsia="Arial" w:hAnsi="Arial"/>
          <w:sz w:val="19"/>
          <w:szCs w:val="19"/>
          <w:u w:val="single" w:color="auto"/>
          <w:color w:val="auto"/>
        </w:rPr>
        <w:t>Section 9.01</w:t>
      </w:r>
      <w:r>
        <w:rPr>
          <w:rFonts w:ascii="Arial" w:cs="Arial" w:eastAsia="Arial" w:hAnsi="Arial"/>
          <w:sz w:val="19"/>
          <w:szCs w:val="19"/>
          <w:color w:val="auto"/>
        </w:rPr>
        <w:t>), certificate, request, statement, disclosure or authorization related to this Agreement, any other Loan Document and/or the transactions contemplated hereby and/or thereby (each an “</w:t>
      </w:r>
      <w:r>
        <w:rPr>
          <w:rFonts w:ascii="Arial" w:cs="Arial" w:eastAsia="Arial" w:hAnsi="Arial"/>
          <w:sz w:val="19"/>
          <w:szCs w:val="19"/>
          <w:u w:val="single" w:color="auto"/>
          <w:color w:val="auto"/>
        </w:rPr>
        <w:t>Ancillary Document</w:t>
      </w:r>
      <w:r>
        <w:rPr>
          <w:rFonts w:ascii="Arial" w:cs="Arial" w:eastAsia="Arial" w:hAnsi="Arial"/>
          <w:sz w:val="19"/>
          <w:szCs w:val="19"/>
          <w:color w:val="auto"/>
        </w:rPr>
        <w:t>”)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and pursuant to procedures approved by it; provided, further, without limiting the foregoing, (i) to the extent the Administrative Agent has agreed to accept any Electronic Signature, the Administrative Agent and each of the Lenders shall be entitled to rely on such Electronic Signature purportedly given by or on behalf of the Borrowers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Borrowers and each Loan Party hereby (i) agree that, for all purposes, including without limitation, in connection with any workout, restructuring, enforcement of remedies, bankruptcy proceedings or litigation among the Administrative Agent, the Lenders, and the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(ii)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(iv) waive any claim against any Lender-Related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Borrowers and/or any Loan Party to use any available security measures in connection with the execution, delivery or transmission of any Electronic Signature.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2" w:name="page333"/>
    <w:bookmarkEnd w:id="332"/>
    <w:p>
      <w:pPr>
        <w:ind w:right="40" w:firstLine="648"/>
        <w:spacing w:after="0" w:line="252" w:lineRule="auto"/>
        <w:rPr>
          <w:sz w:val="20"/>
          <w:szCs w:val="20"/>
          <w:color w:val="auto"/>
        </w:rPr>
      </w:pPr>
      <w:r>
        <w:rPr>
          <w:rFonts w:ascii="Arial" w:cs="Arial" w:eastAsia="Arial" w:hAnsi="Arial"/>
          <w:sz w:val="21"/>
          <w:szCs w:val="21"/>
          <w:color w:val="auto"/>
        </w:rPr>
        <w:t xml:space="preserve">SECTION 9.07. </w:t>
      </w:r>
      <w:r>
        <w:rPr>
          <w:rFonts w:ascii="Arial" w:cs="Arial" w:eastAsia="Arial" w:hAnsi="Arial"/>
          <w:sz w:val="21"/>
          <w:szCs w:val="21"/>
          <w:u w:val="single" w:color="auto"/>
          <w:color w:val="auto"/>
        </w:rPr>
        <w:t>Severability</w:t>
      </w:r>
      <w:r>
        <w:rPr>
          <w:rFonts w:ascii="Arial" w:cs="Arial" w:eastAsia="Arial" w:hAnsi="Arial"/>
          <w:sz w:val="21"/>
          <w:szCs w:val="21"/>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201" w:lineRule="exact"/>
        <w:rPr>
          <w:sz w:val="20"/>
          <w:szCs w:val="20"/>
          <w:color w:val="auto"/>
        </w:rPr>
      </w:pPr>
    </w:p>
    <w:p>
      <w:pPr>
        <w:ind w:right="20" w:firstLine="648"/>
        <w:spacing w:after="0" w:line="272" w:lineRule="auto"/>
        <w:rPr>
          <w:sz w:val="20"/>
          <w:szCs w:val="20"/>
          <w:color w:val="auto"/>
        </w:rPr>
      </w:pPr>
      <w:r>
        <w:rPr>
          <w:rFonts w:ascii="Arial" w:cs="Arial" w:eastAsia="Arial" w:hAnsi="Arial"/>
          <w:sz w:val="19"/>
          <w:szCs w:val="19"/>
          <w:color w:val="auto"/>
        </w:rPr>
        <w:t xml:space="preserve">SECTION 9.08. </w:t>
      </w:r>
      <w:r>
        <w:rPr>
          <w:rFonts w:ascii="Arial" w:cs="Arial" w:eastAsia="Arial" w:hAnsi="Arial"/>
          <w:sz w:val="19"/>
          <w:szCs w:val="19"/>
          <w:u w:val="single" w:color="auto"/>
          <w:color w:val="auto"/>
        </w:rPr>
        <w:t>Right of Setoff</w:t>
      </w:r>
      <w:r>
        <w:rPr>
          <w:rFonts w:ascii="Arial" w:cs="Arial" w:eastAsia="Arial" w:hAnsi="Arial"/>
          <w:sz w:val="19"/>
          <w:szCs w:val="19"/>
          <w:color w:val="auto"/>
        </w:rPr>
        <w:t>. If an Event of Default shall have occurred and be continuing, each Lender and each Issuing Bank is hereby authorized at any time and from time to time, to the fullest extent permitted by applicable law, to set off and apply any and all deposits (general or special, time or demand, provisional or final, in whatever currency) or other amounts at any time held and other obligations (in whatever currency) at any time owing by such Lender or such Issuing Bank to or for the credit or the account of the Borrowers against any of and all the obligations then due of the Borrowers now or hereafter existing under this Agreement held by such Lender or such Issuing Bank, irrespective of whether or not such Lender or such Issuing Bank shall have made any demand under this Agreement and although such obligations of the Borrowers are owed to a branch or office of such Lender or such Issuing Bank different from the branch or office holding such deposit or obligated on such Indebtedness. Each Lender and each Issuing Bank agrees to notify the Borrowers and the Administrative Agent promptly after any such setoff and application; provided that the failure to give or any delay in giving such notice shall not affect the validity of any such setoff and application under this Section. The rights of each Lender and each Issuing Bank under this Section are in addition to other rights and remedies (including other rights of setoff) that such Lender or such Issuing Bank may have.</w:t>
      </w:r>
    </w:p>
    <w:p>
      <w:pPr>
        <w:spacing w:after="0" w:line="188" w:lineRule="exact"/>
        <w:rPr>
          <w:sz w:val="20"/>
          <w:szCs w:val="20"/>
          <w:color w:val="auto"/>
        </w:rPr>
      </w:pPr>
    </w:p>
    <w:p>
      <w:pPr>
        <w:ind w:left="660"/>
        <w:spacing w:after="0"/>
        <w:tabs>
          <w:tab w:leader="none" w:pos="2300" w:val="left"/>
        </w:tabs>
        <w:rPr>
          <w:sz w:val="20"/>
          <w:szCs w:val="20"/>
          <w:color w:val="auto"/>
        </w:rPr>
      </w:pPr>
      <w:r>
        <w:rPr>
          <w:rFonts w:ascii="Arial" w:cs="Arial" w:eastAsia="Arial" w:hAnsi="Arial"/>
          <w:sz w:val="22"/>
          <w:szCs w:val="22"/>
          <w:color w:val="auto"/>
        </w:rPr>
        <w:t>SECTION 9.09.</w:t>
      </w:r>
      <w:r>
        <w:rPr>
          <w:sz w:val="20"/>
          <w:szCs w:val="20"/>
          <w:color w:val="auto"/>
        </w:rPr>
        <w:tab/>
      </w:r>
      <w:r>
        <w:rPr>
          <w:rFonts w:ascii="Arial" w:cs="Arial" w:eastAsia="Arial" w:hAnsi="Arial"/>
          <w:sz w:val="19"/>
          <w:szCs w:val="19"/>
          <w:u w:val="single" w:color="auto"/>
          <w:color w:val="auto"/>
        </w:rPr>
        <w:t>Governing Law; Jurisdiction; Consent to Service of Process</w:t>
      </w:r>
    </w:p>
    <w:p>
      <w:pPr>
        <w:spacing w:after="0" w:line="233" w:lineRule="exact"/>
        <w:rPr>
          <w:sz w:val="20"/>
          <w:szCs w:val="20"/>
          <w:color w:val="auto"/>
        </w:rPr>
      </w:pPr>
    </w:p>
    <w:p>
      <w:pPr>
        <w:jc w:val="both"/>
        <w:ind w:firstLine="656"/>
        <w:spacing w:after="0"/>
        <w:tabs>
          <w:tab w:leader="none" w:pos="1434" w:val="left"/>
        </w:tabs>
        <w:numPr>
          <w:ilvl w:val="0"/>
          <w:numId w:val="283"/>
        </w:numPr>
        <w:rPr>
          <w:rFonts w:ascii="Arial" w:cs="Arial" w:eastAsia="Arial" w:hAnsi="Arial"/>
          <w:sz w:val="22"/>
          <w:szCs w:val="22"/>
          <w:color w:val="auto"/>
        </w:rPr>
      </w:pPr>
      <w:r>
        <w:rPr>
          <w:rFonts w:ascii="Arial" w:cs="Arial" w:eastAsia="Arial" w:hAnsi="Arial"/>
          <w:sz w:val="22"/>
          <w:szCs w:val="22"/>
          <w:color w:val="auto"/>
        </w:rPr>
        <w:t>This Agreement and any claim, controversy, dispute or cause of action (whether in contract or tort or otherwise) based upon, arising out of or relating to this Agreement and the transactions contemplated hereby shall be governed by, and construed in accordance with, the law of the State of New York.</w:t>
      </w:r>
    </w:p>
    <w:p>
      <w:pPr>
        <w:spacing w:after="0" w:line="213" w:lineRule="exact"/>
        <w:rPr>
          <w:rFonts w:ascii="Arial" w:cs="Arial" w:eastAsia="Arial" w:hAnsi="Arial"/>
          <w:sz w:val="22"/>
          <w:szCs w:val="22"/>
          <w:color w:val="auto"/>
        </w:rPr>
      </w:pPr>
    </w:p>
    <w:p>
      <w:pPr>
        <w:jc w:val="both"/>
        <w:ind w:firstLine="656"/>
        <w:spacing w:after="0" w:line="236" w:lineRule="auto"/>
        <w:tabs>
          <w:tab w:leader="none" w:pos="1665" w:val="left"/>
        </w:tabs>
        <w:numPr>
          <w:ilvl w:val="0"/>
          <w:numId w:val="283"/>
        </w:numPr>
        <w:rPr>
          <w:rFonts w:ascii="Arial" w:cs="Arial" w:eastAsia="Arial" w:hAnsi="Arial"/>
          <w:sz w:val="22"/>
          <w:szCs w:val="22"/>
          <w:color w:val="auto"/>
        </w:rPr>
      </w:pPr>
      <w:r>
        <w:rPr>
          <w:rFonts w:ascii="Arial" w:cs="Arial" w:eastAsia="Arial" w:hAnsi="Arial"/>
          <w:sz w:val="22"/>
          <w:szCs w:val="22"/>
          <w:color w:val="auto"/>
        </w:rPr>
        <w:t>Each of the Lenders and the Administrative Agent hereby irrevocably and unconditionally agrees that, notwithstanding the governing law provisions of any applicable Loan Document, any claims brought against the Administrative Agent by any Secured Party relating to this Agreement, any other Loan Document, the Collateral or the consummation or administration of the transactions contemplated hereby or thereby shall be construed in accordance with and governed by the law of the State of New York.</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3" w:name="page334"/>
    <w:bookmarkEnd w:id="333"/>
    <w:p>
      <w:pPr>
        <w:jc w:val="both"/>
        <w:ind w:firstLine="656"/>
        <w:spacing w:after="0" w:line="272" w:lineRule="auto"/>
        <w:tabs>
          <w:tab w:leader="none" w:pos="1342" w:val="left"/>
        </w:tabs>
        <w:numPr>
          <w:ilvl w:val="0"/>
          <w:numId w:val="284"/>
        </w:numPr>
        <w:rPr>
          <w:rFonts w:ascii="Arial" w:cs="Arial" w:eastAsia="Arial" w:hAnsi="Arial"/>
          <w:sz w:val="19"/>
          <w:szCs w:val="19"/>
          <w:color w:val="auto"/>
        </w:rPr>
      </w:pPr>
      <w:r>
        <w:rPr>
          <w:rFonts w:ascii="Arial" w:cs="Arial" w:eastAsia="Arial" w:hAnsi="Arial"/>
          <w:sz w:val="19"/>
          <w:szCs w:val="19"/>
          <w:color w:val="auto"/>
        </w:rPr>
        <w:t>Each of the Borrowers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this Agreement or any other Loan Document or the transactions relating hereto or thereto,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any Issuing Bank or any Lender may otherwise have to bring any action or proceeding relating to this Agreement against any Loan Party or any of its properties in the courts of any jurisdiction.</w:t>
      </w:r>
    </w:p>
    <w:p>
      <w:pPr>
        <w:spacing w:after="0" w:line="188" w:lineRule="exact"/>
        <w:rPr>
          <w:rFonts w:ascii="Arial" w:cs="Arial" w:eastAsia="Arial" w:hAnsi="Arial"/>
          <w:sz w:val="19"/>
          <w:szCs w:val="19"/>
          <w:color w:val="auto"/>
        </w:rPr>
      </w:pPr>
    </w:p>
    <w:p>
      <w:pPr>
        <w:jc w:val="both"/>
        <w:ind w:firstLine="656"/>
        <w:spacing w:after="0" w:line="236" w:lineRule="auto"/>
        <w:tabs>
          <w:tab w:leader="none" w:pos="1523" w:val="left"/>
        </w:tabs>
        <w:numPr>
          <w:ilvl w:val="0"/>
          <w:numId w:val="284"/>
        </w:numPr>
        <w:rPr>
          <w:rFonts w:ascii="Arial" w:cs="Arial" w:eastAsia="Arial" w:hAnsi="Arial"/>
          <w:sz w:val="22"/>
          <w:szCs w:val="22"/>
          <w:color w:val="auto"/>
        </w:rPr>
      </w:pPr>
      <w:r>
        <w:rPr>
          <w:rFonts w:ascii="Arial" w:cs="Arial" w:eastAsia="Arial" w:hAnsi="Arial"/>
          <w:sz w:val="22"/>
          <w:szCs w:val="22"/>
          <w:color w:val="auto"/>
        </w:rPr>
        <w:t xml:space="preserve">Each party hereto hereby irrevocably and unconditionally waives, to the fullest extent permitted by applicable law, any objection that it may now or hereafter have to the laying of venue of any action, litigation or proceeding arising out of or relating to this Agreement or any other Loan Document in any court referred to in </w:t>
      </w:r>
      <w:r>
        <w:rPr>
          <w:rFonts w:ascii="Arial" w:cs="Arial" w:eastAsia="Arial" w:hAnsi="Arial"/>
          <w:sz w:val="22"/>
          <w:szCs w:val="22"/>
          <w:u w:val="single" w:color="auto"/>
          <w:color w:val="auto"/>
        </w:rPr>
        <w:t>paragraph (c)</w:t>
      </w:r>
      <w:r>
        <w:rPr>
          <w:rFonts w:ascii="Arial" w:cs="Arial" w:eastAsia="Arial" w:hAnsi="Arial"/>
          <w:sz w:val="22"/>
          <w:szCs w:val="22"/>
          <w:color w:val="auto"/>
        </w:rPr>
        <w:t xml:space="preserve"> of this Section. Each of the parties hereto hereby irrevocably waives, to the fullest extent permitted by law, the defense of an inconvenient forum to the maintenance of such action or proceeding in any such court.</w:t>
      </w:r>
    </w:p>
    <w:p>
      <w:pPr>
        <w:spacing w:after="0" w:line="214" w:lineRule="exact"/>
        <w:rPr>
          <w:rFonts w:ascii="Arial" w:cs="Arial" w:eastAsia="Arial" w:hAnsi="Arial"/>
          <w:sz w:val="22"/>
          <w:szCs w:val="22"/>
          <w:color w:val="auto"/>
        </w:rPr>
      </w:pPr>
    </w:p>
    <w:p>
      <w:pPr>
        <w:jc w:val="both"/>
        <w:ind w:firstLine="656"/>
        <w:spacing w:after="0" w:line="279" w:lineRule="auto"/>
        <w:tabs>
          <w:tab w:leader="none" w:pos="1514" w:val="left"/>
        </w:tabs>
        <w:numPr>
          <w:ilvl w:val="0"/>
          <w:numId w:val="284"/>
        </w:numPr>
        <w:rPr>
          <w:rFonts w:ascii="Arial" w:cs="Arial" w:eastAsia="Arial" w:hAnsi="Arial"/>
          <w:sz w:val="19"/>
          <w:szCs w:val="19"/>
          <w:color w:val="auto"/>
        </w:rPr>
      </w:pPr>
      <w:r>
        <w:rPr>
          <w:rFonts w:ascii="Arial" w:cs="Arial" w:eastAsia="Arial" w:hAnsi="Arial"/>
          <w:sz w:val="19"/>
          <w:szCs w:val="19"/>
          <w:color w:val="auto"/>
        </w:rPr>
        <w:t xml:space="preserve">Each party to this Agreement irrevocably consents to service of process in the manner provided for notices in </w:t>
      </w:r>
      <w:r>
        <w:rPr>
          <w:rFonts w:ascii="Arial" w:cs="Arial" w:eastAsia="Arial" w:hAnsi="Arial"/>
          <w:sz w:val="19"/>
          <w:szCs w:val="19"/>
          <w:u w:val="single" w:color="auto"/>
          <w:color w:val="auto"/>
        </w:rPr>
        <w:t>Section 9.01</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hereby acknowledges that it has appointed C T CORPORATION SYSTEM, 28 Liberty Street, New York, New York 10005, as its agent for service of process, and agrees that service of any process, summons, notice or document by hand delivery or registered mail upon such agent shall be effective service of process for any suit, action or proceeding brought in any court referred to in </w:t>
      </w:r>
      <w:r>
        <w:rPr>
          <w:rFonts w:ascii="Arial" w:cs="Arial" w:eastAsia="Arial" w:hAnsi="Arial"/>
          <w:sz w:val="19"/>
          <w:szCs w:val="19"/>
          <w:u w:val="single" w:color="auto"/>
          <w:color w:val="auto"/>
        </w:rPr>
        <w:t>Section 9.09(c)</w:t>
      </w:r>
      <w:r>
        <w:rPr>
          <w:rFonts w:ascii="Arial" w:cs="Arial" w:eastAsia="Arial" w:hAnsi="Arial"/>
          <w:sz w:val="19"/>
          <w:szCs w:val="19"/>
          <w:color w:val="auto"/>
        </w:rPr>
        <w:t>. Nothing in this Agreement or any other Loan Document will affect the right of any party to this Agreement to serve process in any other manner permitted by law.</w:t>
      </w:r>
    </w:p>
    <w:p>
      <w:pPr>
        <w:spacing w:after="0" w:line="177" w:lineRule="exact"/>
        <w:rPr>
          <w:sz w:val="20"/>
          <w:szCs w:val="20"/>
          <w:color w:val="auto"/>
        </w:rPr>
      </w:pPr>
    </w:p>
    <w:p>
      <w:pPr>
        <w:ind w:right="20" w:firstLine="648"/>
        <w:spacing w:after="0" w:line="245" w:lineRule="auto"/>
        <w:rPr>
          <w:sz w:val="20"/>
          <w:szCs w:val="20"/>
          <w:color w:val="auto"/>
        </w:rPr>
      </w:pPr>
      <w:r>
        <w:rPr>
          <w:rFonts w:ascii="Arial" w:cs="Arial" w:eastAsia="Arial" w:hAnsi="Arial"/>
          <w:sz w:val="21"/>
          <w:szCs w:val="21"/>
          <w:color w:val="auto"/>
        </w:rPr>
        <w:t xml:space="preserve">SECTION 9.10. </w:t>
      </w:r>
      <w:r>
        <w:rPr>
          <w:rFonts w:ascii="Arial" w:cs="Arial" w:eastAsia="Arial" w:hAnsi="Arial"/>
          <w:sz w:val="21"/>
          <w:szCs w:val="21"/>
          <w:u w:val="single" w:color="auto"/>
          <w:color w:val="auto"/>
        </w:rPr>
        <w:t>WAIVER OF JURY TRIAL</w:t>
      </w:r>
      <w:r>
        <w:rPr>
          <w:rFonts w:ascii="Arial" w:cs="Arial" w:eastAsia="Arial" w:hAnsi="Arial"/>
          <w:sz w:val="21"/>
          <w:szCs w:val="21"/>
          <w:color w:val="auto"/>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4" w:name="page335"/>
    <w:bookmarkEnd w:id="334"/>
    <w:p>
      <w:pPr>
        <w:ind w:right="160" w:firstLine="648"/>
        <w:spacing w:after="0" w:line="241" w:lineRule="auto"/>
        <w:rPr>
          <w:sz w:val="20"/>
          <w:szCs w:val="20"/>
          <w:color w:val="auto"/>
        </w:rPr>
      </w:pPr>
      <w:r>
        <w:rPr>
          <w:rFonts w:ascii="Arial" w:cs="Arial" w:eastAsia="Arial" w:hAnsi="Arial"/>
          <w:sz w:val="22"/>
          <w:szCs w:val="22"/>
          <w:color w:val="auto"/>
        </w:rPr>
        <w:t xml:space="preserve">SECTION 9.11. </w:t>
      </w:r>
      <w:r>
        <w:rPr>
          <w:rFonts w:ascii="Arial" w:cs="Arial" w:eastAsia="Arial" w:hAnsi="Arial"/>
          <w:sz w:val="22"/>
          <w:szCs w:val="22"/>
          <w:u w:val="single" w:color="auto"/>
          <w:color w:val="auto"/>
        </w:rPr>
        <w:t>Headings</w:t>
      </w:r>
      <w:r>
        <w:rPr>
          <w:rFonts w:ascii="Arial" w:cs="Arial" w:eastAsia="Arial" w:hAnsi="Arial"/>
          <w:sz w:val="22"/>
          <w:szCs w:val="22"/>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210" w:lineRule="exact"/>
        <w:rPr>
          <w:sz w:val="20"/>
          <w:szCs w:val="20"/>
          <w:color w:val="auto"/>
        </w:rPr>
      </w:pPr>
    </w:p>
    <w:p>
      <w:pPr>
        <w:ind w:right="60" w:firstLine="648"/>
        <w:spacing w:after="0" w:line="268" w:lineRule="auto"/>
        <w:rPr>
          <w:sz w:val="20"/>
          <w:szCs w:val="20"/>
          <w:color w:val="auto"/>
        </w:rPr>
      </w:pPr>
      <w:r>
        <w:rPr>
          <w:rFonts w:ascii="Arial" w:cs="Arial" w:eastAsia="Arial" w:hAnsi="Arial"/>
          <w:sz w:val="19"/>
          <w:szCs w:val="19"/>
          <w:color w:val="auto"/>
        </w:rPr>
        <w:t xml:space="preserve">SECTION 9.12. </w:t>
      </w:r>
      <w:r>
        <w:rPr>
          <w:rFonts w:ascii="Arial" w:cs="Arial" w:eastAsia="Arial" w:hAnsi="Arial"/>
          <w:sz w:val="19"/>
          <w:szCs w:val="19"/>
          <w:u w:val="single" w:color="auto"/>
          <w:color w:val="auto"/>
        </w:rPr>
        <w:t>Confidentiality</w:t>
      </w:r>
      <w:r>
        <w:rPr>
          <w:rFonts w:ascii="Arial" w:cs="Arial" w:eastAsia="Arial" w:hAnsi="Arial"/>
          <w:sz w:val="19"/>
          <w:szCs w:val="19"/>
          <w:color w:val="auto"/>
        </w:rPr>
        <w:t>. Each of the Administrative Agent, the Lenders and the Issuing Banks agrees to maintain the confidentiality of the Information (as defined below), except that Information may be disclosed (a) to its and its Affiliates’ directors, officers, employees and agents, including accountants, legal counsel and other advisors, it being understood and agreed that the Persons to whom such disclosure is made will be informed of the confidential nature of such Information and instructed to keep such Information confidential, (b) to the extent required or requested by any Governmental Authority (including any self-regulatory authority, such as the National Association of Insurance Commissioners), (c) to the extent required by applicable laws or regulations or by any subpoena or similar legal process, (d) to any other party to this Agreement, (e) in connection with the exercise of any remedies under this Agreement or any other Loan Document or any Proceeding relating to this Agreement or any other Loan Document or the enforcement of rights hereunder or thereunder, (f) subject to an agreement containing confidentiality undertakings substantially similar to those of this Section, to (i) any assignee of or Participant in, or any prospective assignee of or Participant in, any of its rights or obligations under this Agreement (including, for the avoidance of doubt, the Disqualified Institutions List for the purpose of determining if a potential assignee is a Disqualified Institution) or</w:t>
      </w:r>
    </w:p>
    <w:p>
      <w:pPr>
        <w:spacing w:after="0" w:line="6" w:lineRule="exact"/>
        <w:rPr>
          <w:sz w:val="20"/>
          <w:szCs w:val="20"/>
          <w:color w:val="auto"/>
        </w:rPr>
      </w:pPr>
    </w:p>
    <w:p>
      <w:pPr>
        <w:ind w:right="120" w:firstLine="8"/>
        <w:spacing w:after="0" w:line="266" w:lineRule="auto"/>
        <w:tabs>
          <w:tab w:leader="none" w:pos="318" w:val="left"/>
        </w:tabs>
        <w:numPr>
          <w:ilvl w:val="0"/>
          <w:numId w:val="285"/>
        </w:numPr>
        <w:rPr>
          <w:rFonts w:ascii="Arial" w:cs="Arial" w:eastAsia="Arial" w:hAnsi="Arial"/>
          <w:sz w:val="19"/>
          <w:szCs w:val="19"/>
          <w:color w:val="auto"/>
        </w:rPr>
      </w:pPr>
      <w:r>
        <w:rPr>
          <w:rFonts w:ascii="Arial" w:cs="Arial" w:eastAsia="Arial" w:hAnsi="Arial"/>
          <w:sz w:val="19"/>
          <w:szCs w:val="19"/>
          <w:color w:val="auto"/>
        </w:rPr>
        <w:t>any actual or prospective counterparty (or its Related Parties) to any Hedging Agreement, Cash Management Services or Bilateral Facility (including any Supply Chain Bank Purchaser) relating to the Borrowers or any Subsidiary and their obligations hereunder or under any other Loan Document, (g) on a confidential basis to (i) any rating agency in connection with rating the Borrowers or their Subsidiaries or the credit facility provided for herein or (ii) the CUSIP Service Bureau or any similar agency in connection with the issuance and monitoring of identification numbers with respect to the credit facility provided for herein,</w:t>
      </w:r>
    </w:p>
    <w:p>
      <w:pPr>
        <w:spacing w:after="0" w:line="4" w:lineRule="exact"/>
        <w:rPr>
          <w:rFonts w:ascii="Arial" w:cs="Arial" w:eastAsia="Arial" w:hAnsi="Arial"/>
          <w:sz w:val="19"/>
          <w:szCs w:val="19"/>
          <w:color w:val="auto"/>
        </w:rPr>
      </w:pPr>
    </w:p>
    <w:p>
      <w:pPr>
        <w:ind w:firstLine="8"/>
        <w:spacing w:after="0" w:line="270" w:lineRule="auto"/>
        <w:tabs>
          <w:tab w:leader="none" w:pos="306" w:val="left"/>
        </w:tabs>
        <w:numPr>
          <w:ilvl w:val="0"/>
          <w:numId w:val="286"/>
        </w:numPr>
        <w:rPr>
          <w:rFonts w:ascii="Arial" w:cs="Arial" w:eastAsia="Arial" w:hAnsi="Arial"/>
          <w:sz w:val="19"/>
          <w:szCs w:val="19"/>
          <w:color w:val="auto"/>
        </w:rPr>
      </w:pPr>
      <w:r>
        <w:rPr>
          <w:rFonts w:ascii="Arial" w:cs="Arial" w:eastAsia="Arial" w:hAnsi="Arial"/>
          <w:sz w:val="19"/>
          <w:szCs w:val="19"/>
          <w:color w:val="auto"/>
        </w:rPr>
        <w:t>with the consent of the Borrowers, (i) to the extent such Information (i) becomes publicly available other than as a result of a breach of this Section or (ii) becomes available to the Administrative Agent, any Lender or any Issuing Bank or any Affiliate of any of the foregoing on a nonconfidential basis from a source other than the Borrowers or (j) to any credit insurance provider or potential credit insurance provider relating to the Borrowers or their Obligations. For purposes of this Section, “Information” means all information received from the Borrowers relating to the Borrowers or any Subsidiary or their businesses, other than any such information that is available to the Administrative Agent, any Lender or any Issuing Bank on a nonconfidential basis prior to disclosure by the Borrowers and other than information pertaining to this Agreement routinely provided by arrangers to data service providers, including league table providers, that serve the lending industry; provided that, in the case of information received from the Borrower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5" w:name="page336"/>
    <w:bookmarkEnd w:id="335"/>
    <w:p>
      <w:pPr>
        <w:ind w:right="40" w:firstLine="648"/>
        <w:spacing w:after="0" w:line="273" w:lineRule="auto"/>
        <w:rPr>
          <w:sz w:val="20"/>
          <w:szCs w:val="20"/>
          <w:color w:val="auto"/>
        </w:rPr>
      </w:pPr>
      <w:r>
        <w:rPr>
          <w:rFonts w:ascii="Arial" w:cs="Arial" w:eastAsia="Arial" w:hAnsi="Arial"/>
          <w:sz w:val="19"/>
          <w:szCs w:val="19"/>
          <w:color w:val="auto"/>
        </w:rPr>
        <w:t xml:space="preserve">SECTION 9.13. </w:t>
      </w:r>
      <w:r>
        <w:rPr>
          <w:rFonts w:ascii="Arial" w:cs="Arial" w:eastAsia="Arial" w:hAnsi="Arial"/>
          <w:sz w:val="19"/>
          <w:szCs w:val="19"/>
          <w:u w:val="single" w:color="auto"/>
          <w:color w:val="auto"/>
        </w:rPr>
        <w:t>Interest Rate</w:t>
      </w:r>
      <w:r>
        <w:rPr>
          <w:rFonts w:ascii="Arial" w:cs="Arial" w:eastAsia="Arial" w:hAnsi="Arial"/>
          <w:sz w:val="19"/>
          <w:szCs w:val="19"/>
          <w:color w:val="auto"/>
        </w:rPr>
        <w:t xml:space="preserve"> Limitation Notwithstanding anything herein to the contrary, if at any time the interest rate applicable to any Loan or participation in any LC Disbursement, together with all fees, charges and other amounts that are treated as interest on such Loan or LC Disbursement or participation therein under applicable law (collectively the “Charges”), shall exceed the maximum lawful rate (the “Maximum Rate”) that may be contracted for, charged, taken, received or reserved by the Lender holding such Loan or LC Disbursement or participation therein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or LC Disbursement or participation therein but were not payable as a result of the operation of this Section shall be cumulated and the interest and Charges payable to such Lender in respect of other Loans or LC Disbursements or participation therein or periods shall be increased (but not above the Maximum Rate therefor) until such cumulated amount, together with interest thereon at the NYFRB Rate to the date of repayment, shall have been received by such Lender.</w:t>
      </w:r>
    </w:p>
    <w:p>
      <w:pPr>
        <w:spacing w:after="0" w:line="183" w:lineRule="exact"/>
        <w:rPr>
          <w:sz w:val="20"/>
          <w:szCs w:val="20"/>
          <w:color w:val="auto"/>
        </w:rPr>
      </w:pPr>
    </w:p>
    <w:p>
      <w:pPr>
        <w:ind w:firstLine="648"/>
        <w:spacing w:after="0" w:line="270" w:lineRule="auto"/>
        <w:rPr>
          <w:sz w:val="20"/>
          <w:szCs w:val="20"/>
          <w:color w:val="auto"/>
        </w:rPr>
      </w:pPr>
      <w:r>
        <w:rPr>
          <w:rFonts w:ascii="Arial" w:cs="Arial" w:eastAsia="Arial" w:hAnsi="Arial"/>
          <w:sz w:val="19"/>
          <w:szCs w:val="19"/>
          <w:color w:val="auto"/>
        </w:rPr>
        <w:t xml:space="preserve">SECTION 9.14. </w:t>
      </w:r>
      <w:r>
        <w:rPr>
          <w:rFonts w:ascii="Arial" w:cs="Arial" w:eastAsia="Arial" w:hAnsi="Arial"/>
          <w:sz w:val="19"/>
          <w:szCs w:val="19"/>
          <w:u w:val="single" w:color="auto"/>
          <w:color w:val="auto"/>
        </w:rPr>
        <w:t>Release of Liens and Guarantees</w:t>
      </w:r>
      <w:r>
        <w:rPr>
          <w:rFonts w:ascii="Arial" w:cs="Arial" w:eastAsia="Arial" w:hAnsi="Arial"/>
          <w:sz w:val="19"/>
          <w:szCs w:val="19"/>
          <w:color w:val="auto"/>
        </w:rPr>
        <w:t>. Subject to the reinstatement provisions set forth in the New York-Law Guarantee or any Security Document, a Guarantor shall automatically be released from its obligations under the Loan Documents, and all security interests created by the Security Documents in Collateral owned by such Guarantor shall be automatically released, upon the consummation of any transaction permitted by this Agreement as a result of which such Guarantor ceases to be a Subsidiary; provided that, if so required by this Agreement, the Required Lenders shall have consented to such transaction and the terms of such consent shall not have provided otherwise. Upon any sale or other transfer by any Loan Party (other than to the Borrowers or any other Loan Party) of any Collateral in a transaction permitted under this Agreement, or upon the effectiveness of any written consent to the release of the security interest created under any Security Document in any Collateral pursuant to Section 9.02, the security interests in such Collateral created by the Security Documents shall be automatically released. Upon payment in full of the Loan Document Obligations (other than contingent amounts not yet due), expiration or termination of all Commitments and the expiration or termination of all Letters of Credit (other than those collateralized or back-stopped on terms reasonably satisfactory to the applicable Issuing Bank) and reimbursement of all LC Disbursements, the security interests granted to the Administrative Agent pursuant to the Security Documents shall terminate. In connection with any termination or release pursuant to this Section, the Administrative Agent shall execute and deliver to any Loan Party, at such Loan Party’s expense, all documents that such Loan Party shall reasonably request to evidence such termination or release. Any execution and delivery of documents pursuant to this Section shall be without recourse to or warranty by the Administrative Agent. Each of the Secured Parties irrevocably authorizes the Administrative Agent, at its option and in its discretion, to effect the releases set forth in this Section, the Borrowers shall deliver to the Administrative Agent such officer’s certificates as the Administrative Agent may reasonably request to evidence compliance with the applicable provisions of the Loan Documents (including the Administrative Agent’s authority hereunder) and the Secured Parties acknowledge and agree that the Administrative Agent may rely, without independent investigation on such certificates.</w:t>
      </w:r>
    </w:p>
    <w:p>
      <w:pPr>
        <w:spacing w:after="0" w:line="200" w:lineRule="exact"/>
        <w:rPr>
          <w:sz w:val="20"/>
          <w:szCs w:val="20"/>
          <w:color w:val="auto"/>
        </w:rPr>
      </w:pPr>
    </w:p>
    <w:p>
      <w:pPr>
        <w:spacing w:after="0" w:line="230" w:lineRule="exact"/>
        <w:rPr>
          <w:sz w:val="20"/>
          <w:szCs w:val="20"/>
          <w:color w:val="auto"/>
        </w:rPr>
      </w:pPr>
    </w:p>
    <w:p>
      <w:pPr>
        <w:ind w:right="40" w:firstLine="648"/>
        <w:spacing w:after="0" w:line="279" w:lineRule="auto"/>
        <w:rPr>
          <w:sz w:val="20"/>
          <w:szCs w:val="20"/>
          <w:color w:val="auto"/>
        </w:rPr>
      </w:pPr>
      <w:r>
        <w:rPr>
          <w:rFonts w:ascii="Arial" w:cs="Arial" w:eastAsia="Arial" w:hAnsi="Arial"/>
          <w:sz w:val="19"/>
          <w:szCs w:val="19"/>
          <w:color w:val="auto"/>
        </w:rPr>
        <w:t xml:space="preserve">SECTION 9.15. </w:t>
      </w:r>
      <w:r>
        <w:rPr>
          <w:rFonts w:ascii="Arial" w:cs="Arial" w:eastAsia="Arial" w:hAnsi="Arial"/>
          <w:sz w:val="19"/>
          <w:szCs w:val="19"/>
          <w:u w:val="single" w:color="auto"/>
          <w:color w:val="auto"/>
        </w:rPr>
        <w:t>USA PATRIOT Act Notice</w:t>
      </w:r>
      <w:r>
        <w:rPr>
          <w:rFonts w:ascii="Arial" w:cs="Arial" w:eastAsia="Arial" w:hAnsi="Arial"/>
          <w:sz w:val="19"/>
          <w:szCs w:val="19"/>
          <w:color w:val="auto"/>
        </w:rPr>
        <w:t>. Each Lender, each Issuing Bank and the Administrative Agent (for itself and not on behalf of any Lender) hereby notifies each Loan Party that, pursuant to the requirements of the USA PATRIOT Act, it is required to obtain, verify and record information that identifies such Loan Party, which information includes the name and address of such Loan Party and other information that will allow such Lender, such Issuing Bank or the Administrative Agent, as applicable, to identify such Loan Party in accordance with the USA PATRIOT Act, and each Loan Party agrees to provide such information from time to time to such Lender, such Issuing Bank and the Administrative Agent, as applicable.</w:t>
      </w: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36" w:name="page337"/>
    <w:bookmarkEnd w:id="336"/>
    <w:p>
      <w:pPr>
        <w:ind w:right="40" w:firstLine="648"/>
        <w:spacing w:after="0" w:line="244" w:lineRule="auto"/>
        <w:rPr>
          <w:sz w:val="20"/>
          <w:szCs w:val="20"/>
          <w:color w:val="auto"/>
        </w:rPr>
      </w:pPr>
      <w:r>
        <w:rPr>
          <w:rFonts w:ascii="Arial" w:cs="Arial" w:eastAsia="Arial" w:hAnsi="Arial"/>
          <w:sz w:val="21"/>
          <w:szCs w:val="21"/>
          <w:color w:val="auto"/>
        </w:rPr>
        <w:t xml:space="preserve">SECTION 9.16. </w:t>
      </w:r>
      <w:r>
        <w:rPr>
          <w:rFonts w:ascii="Arial" w:cs="Arial" w:eastAsia="Arial" w:hAnsi="Arial"/>
          <w:sz w:val="21"/>
          <w:szCs w:val="21"/>
          <w:u w:val="single" w:color="auto"/>
          <w:color w:val="auto"/>
        </w:rPr>
        <w:t>No Fiduciary Relationship</w:t>
      </w:r>
      <w:r>
        <w:rPr>
          <w:rFonts w:ascii="Arial" w:cs="Arial" w:eastAsia="Arial" w:hAnsi="Arial"/>
          <w:sz w:val="21"/>
          <w:szCs w:val="21"/>
          <w:color w:val="auto"/>
        </w:rPr>
        <w:t>. The Borrowers acknowledge and agree, and acknowledge their Subsidiaries’ understanding, that no Credit Party will have any obligations except those obligations expressly set forth herein and in the other Loan Documents and each Credit Party is acting solely in the capacity of an arm’s length contractual counterparty to the Borrowers with respect to the Loan Documents and the transaction contemplated therein and not as a financial advisor or a fiduciary to, or an agent of, the Borrowers or any other person. The Borrowers agree that they will not assert any claim against any Credit Party based on an alleged breach of fiduciary duty by such Credit Party in connection with this Agreement and the transactions contemplated hereby. Additionally, the Borrowers acknowledge and agree that no Credit Party is advising the Borrowers as to any legal, tax, investment, accounting, regulatory or any other matters in any jurisdiction. The Borrowers shall consult with their own advisors concerning such matters and shall be responsible for making their own independent investigation and appraisal of the transactions contemplated hereby, and the Credit Parties shall have no responsibility or liability to the Borrowers with respect thereto.</w:t>
      </w:r>
    </w:p>
    <w:p>
      <w:pPr>
        <w:spacing w:after="0" w:line="21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The Borrowers further acknowledge and agree, and acknowledge their Subsidiaries’ understanding, that each Credit Party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you and other companies with which you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spacing w:after="0" w:line="18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In addition, the Borrowers acknowledge and agree, and acknowledge their Subsidiaries’ understanding, that each Credit Party and its affiliates may be providing debt financing, equity capital or other services (including financial advisory services) to other companies in respect of which you may have conflicting interests regarding the transactions described herein and otherwise. No Credit Party will use confidential information obtained from you by virtue of the transactions contemplated by the Loan Documents or its other relationships with you in connection with the performance by such Credit Party of services for other companies, and no Credit Party will furnish any such information to other companies. You also acknowledge that no Credit Party has any obligation to use in connection with the transactions contemplated by the Loan Documents, or to furnish to you, confidential information obtained from other companies.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7" w:name="page338"/>
    <w:bookmarkEnd w:id="337"/>
    <w:p>
      <w:pPr>
        <w:ind w:left="660"/>
        <w:spacing w:after="0"/>
        <w:tabs>
          <w:tab w:leader="none" w:pos="2300" w:val="left"/>
        </w:tabs>
        <w:rPr>
          <w:sz w:val="20"/>
          <w:szCs w:val="20"/>
          <w:color w:val="auto"/>
        </w:rPr>
      </w:pPr>
      <w:r>
        <w:rPr>
          <w:rFonts w:ascii="Arial" w:cs="Arial" w:eastAsia="Arial" w:hAnsi="Arial"/>
          <w:sz w:val="22"/>
          <w:szCs w:val="22"/>
          <w:color w:val="auto"/>
        </w:rPr>
        <w:t>SECTION 9.17.</w:t>
      </w:r>
      <w:r>
        <w:rPr>
          <w:sz w:val="20"/>
          <w:szCs w:val="20"/>
          <w:color w:val="auto"/>
        </w:rPr>
        <w:tab/>
      </w:r>
      <w:r>
        <w:rPr>
          <w:rFonts w:ascii="Arial" w:cs="Arial" w:eastAsia="Arial" w:hAnsi="Arial"/>
          <w:sz w:val="19"/>
          <w:szCs w:val="19"/>
          <w:u w:val="single" w:color="auto"/>
          <w:color w:val="auto"/>
        </w:rPr>
        <w:t>Non-Public Information</w:t>
      </w:r>
    </w:p>
    <w:p>
      <w:pPr>
        <w:spacing w:after="0" w:line="234" w:lineRule="exact"/>
        <w:rPr>
          <w:sz w:val="20"/>
          <w:szCs w:val="20"/>
          <w:color w:val="auto"/>
        </w:rPr>
      </w:pPr>
    </w:p>
    <w:p>
      <w:pPr>
        <w:ind w:right="120" w:firstLine="656"/>
        <w:spacing w:after="0" w:line="277" w:lineRule="auto"/>
        <w:tabs>
          <w:tab w:leader="none" w:pos="1428" w:val="left"/>
        </w:tabs>
        <w:numPr>
          <w:ilvl w:val="0"/>
          <w:numId w:val="287"/>
        </w:numPr>
        <w:rPr>
          <w:rFonts w:ascii="Arial" w:cs="Arial" w:eastAsia="Arial" w:hAnsi="Arial"/>
          <w:sz w:val="19"/>
          <w:szCs w:val="19"/>
          <w:color w:val="auto"/>
        </w:rPr>
      </w:pPr>
      <w:r>
        <w:rPr>
          <w:rFonts w:ascii="Arial" w:cs="Arial" w:eastAsia="Arial" w:hAnsi="Arial"/>
          <w:sz w:val="19"/>
          <w:szCs w:val="19"/>
          <w:color w:val="auto"/>
        </w:rPr>
        <w:t>Each Lender acknowledges that all information, including requests for waivers and amendments, furnished by the Borrowers or the Administrative Agent pursuant to or in connection with, or in the course of administering, this Agreement will be syndicate-level information, which may contain MNPI. Each Lender represents to the Borrowers and the Administrative Agent that (i) it has developed compliance procedures regarding the use of MNPI and that it will handle MNPI in accordance with such procedures and applicable law, including Federal, State and foreign securities laws, and (ii) it has identified in its Administrative Questionnaire a credit contact who may receive information that may contain MNPI in accordance with its compliance procedures and applicable law, including Federal, State and foreign securities laws.</w:t>
      </w:r>
    </w:p>
    <w:p>
      <w:pPr>
        <w:spacing w:after="0" w:line="178" w:lineRule="exact"/>
        <w:rPr>
          <w:rFonts w:ascii="Arial" w:cs="Arial" w:eastAsia="Arial" w:hAnsi="Arial"/>
          <w:sz w:val="19"/>
          <w:szCs w:val="19"/>
          <w:color w:val="auto"/>
        </w:rPr>
      </w:pPr>
    </w:p>
    <w:p>
      <w:pPr>
        <w:jc w:val="both"/>
        <w:ind w:firstLine="656"/>
        <w:spacing w:after="0" w:line="274" w:lineRule="auto"/>
        <w:tabs>
          <w:tab w:leader="none" w:pos="1483" w:val="left"/>
        </w:tabs>
        <w:numPr>
          <w:ilvl w:val="0"/>
          <w:numId w:val="287"/>
        </w:numPr>
        <w:rPr>
          <w:rFonts w:ascii="Arial" w:cs="Arial" w:eastAsia="Arial" w:hAnsi="Arial"/>
          <w:sz w:val="19"/>
          <w:szCs w:val="19"/>
          <w:color w:val="auto"/>
        </w:rPr>
      </w:pPr>
      <w:r>
        <w:rPr>
          <w:rFonts w:ascii="Arial" w:cs="Arial" w:eastAsia="Arial" w:hAnsi="Arial"/>
          <w:sz w:val="19"/>
          <w:szCs w:val="19"/>
          <w:color w:val="auto"/>
        </w:rPr>
        <w:t>The Borrowers and each Lender acknowledge that, if information furnished by the Borrowers pursuant to or in connection with this Agreement is being distributed by the Administrative Agent through the Platform, (i) the Administrative Agent may post any information that the Borrowers have indicated as containing MNPI solely on that portion of the Platform as is designated for private side Lender representatives and (ii) if the Borrowers have not indicated whether any information furnished by it pursuant to or in connection with this Agreement contains MNPI, the Administrative Agent reserves the right to post such information solely on that portion of the Platform as is designated for private side Lender representatives. The Borrowers agree to clearly designate all information provided to the Administrative Agent by or on behalf of the Borrowers that is suitable to be made available to public side Lender representatives, and the Administrative Agent shall be entitled to rely on any such designation by the Borrowers without liability or responsibility for the independent verification thereof.</w:t>
      </w:r>
    </w:p>
    <w:p>
      <w:pPr>
        <w:spacing w:after="0" w:line="185"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 xml:space="preserve">SECTION 9.18. </w:t>
      </w:r>
      <w:r>
        <w:rPr>
          <w:rFonts w:ascii="Arial" w:cs="Arial" w:eastAsia="Arial" w:hAnsi="Arial"/>
          <w:sz w:val="22"/>
          <w:szCs w:val="22"/>
          <w:u w:val="single" w:color="auto"/>
          <w:color w:val="auto"/>
        </w:rPr>
        <w:t>Acknowledgement and Consent to Bail-In of Affected Financial Institutions</w:t>
      </w:r>
      <w:r>
        <w:rPr>
          <w:rFonts w:ascii="Arial" w:cs="Arial" w:eastAsia="Arial" w:hAnsi="Arial"/>
          <w:sz w:val="22"/>
          <w:szCs w:val="22"/>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214" w:lineRule="exact"/>
        <w:rPr>
          <w:sz w:val="20"/>
          <w:szCs w:val="20"/>
          <w:color w:val="auto"/>
        </w:rPr>
      </w:pPr>
    </w:p>
    <w:p>
      <w:pPr>
        <w:ind w:firstLine="656"/>
        <w:spacing w:after="0" w:line="328" w:lineRule="auto"/>
        <w:tabs>
          <w:tab w:leader="none" w:pos="1480" w:val="left"/>
        </w:tabs>
        <w:numPr>
          <w:ilvl w:val="0"/>
          <w:numId w:val="288"/>
        </w:numPr>
        <w:rPr>
          <w:rFonts w:ascii="Arial" w:cs="Arial" w:eastAsia="Arial" w:hAnsi="Arial"/>
          <w:sz w:val="19"/>
          <w:szCs w:val="19"/>
          <w:color w:val="auto"/>
        </w:rPr>
      </w:pPr>
      <w:r>
        <w:rPr>
          <w:rFonts w:ascii="Arial" w:cs="Arial" w:eastAsia="Arial" w:hAnsi="Arial"/>
          <w:sz w:val="19"/>
          <w:szCs w:val="19"/>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31" w:lineRule="exact"/>
        <w:rPr>
          <w:rFonts w:ascii="Arial" w:cs="Arial" w:eastAsia="Arial" w:hAnsi="Arial"/>
          <w:sz w:val="19"/>
          <w:szCs w:val="19"/>
          <w:color w:val="auto"/>
        </w:rPr>
      </w:pPr>
    </w:p>
    <w:p>
      <w:pPr>
        <w:ind w:left="1440" w:hanging="784"/>
        <w:spacing w:after="0"/>
        <w:tabs>
          <w:tab w:leader="none" w:pos="1440" w:val="left"/>
        </w:tabs>
        <w:numPr>
          <w:ilvl w:val="0"/>
          <w:numId w:val="288"/>
        </w:numPr>
        <w:rPr>
          <w:rFonts w:ascii="Arial" w:cs="Arial" w:eastAsia="Arial" w:hAnsi="Arial"/>
          <w:sz w:val="22"/>
          <w:szCs w:val="22"/>
          <w:color w:val="auto"/>
        </w:rPr>
      </w:pPr>
      <w:r>
        <w:rPr>
          <w:rFonts w:ascii="Arial" w:cs="Arial" w:eastAsia="Arial" w:hAnsi="Arial"/>
          <w:sz w:val="22"/>
          <w:szCs w:val="22"/>
          <w:color w:val="auto"/>
        </w:rPr>
        <w:t>the effects of any Bail-In Action on any such liability, including, if applicable:</w:t>
      </w:r>
    </w:p>
    <w:p>
      <w:pPr>
        <w:spacing w:after="0" w:line="233" w:lineRule="exact"/>
        <w:rPr>
          <w:rFonts w:ascii="Arial" w:cs="Arial" w:eastAsia="Arial" w:hAnsi="Arial"/>
          <w:sz w:val="22"/>
          <w:szCs w:val="22"/>
          <w:color w:val="auto"/>
        </w:rPr>
      </w:pPr>
    </w:p>
    <w:p>
      <w:pPr>
        <w:ind w:left="2220" w:hanging="916"/>
        <w:spacing w:after="0"/>
        <w:tabs>
          <w:tab w:leader="none" w:pos="2220" w:val="left"/>
        </w:tabs>
        <w:numPr>
          <w:ilvl w:val="1"/>
          <w:numId w:val="288"/>
        </w:numPr>
        <w:rPr>
          <w:rFonts w:ascii="Arial" w:cs="Arial" w:eastAsia="Arial" w:hAnsi="Arial"/>
          <w:sz w:val="22"/>
          <w:szCs w:val="22"/>
          <w:color w:val="auto"/>
        </w:rPr>
      </w:pPr>
      <w:r>
        <w:rPr>
          <w:rFonts w:ascii="Arial" w:cs="Arial" w:eastAsia="Arial" w:hAnsi="Arial"/>
          <w:sz w:val="22"/>
          <w:szCs w:val="22"/>
          <w:color w:val="auto"/>
        </w:rPr>
        <w:t>a reduction in full or in part or cancellation of any such liability;</w:t>
      </w:r>
    </w:p>
    <w:p>
      <w:pPr>
        <w:spacing w:after="0" w:line="233" w:lineRule="exact"/>
        <w:rPr>
          <w:rFonts w:ascii="Arial" w:cs="Arial" w:eastAsia="Arial" w:hAnsi="Arial"/>
          <w:sz w:val="22"/>
          <w:szCs w:val="22"/>
          <w:color w:val="auto"/>
        </w:rPr>
      </w:pPr>
    </w:p>
    <w:p>
      <w:pPr>
        <w:jc w:val="both"/>
        <w:ind w:left="660" w:firstLine="644"/>
        <w:spacing w:after="0" w:line="238" w:lineRule="auto"/>
        <w:tabs>
          <w:tab w:leader="none" w:pos="2263" w:val="left"/>
        </w:tabs>
        <w:numPr>
          <w:ilvl w:val="1"/>
          <w:numId w:val="288"/>
        </w:numPr>
        <w:rPr>
          <w:rFonts w:ascii="Arial" w:cs="Arial" w:eastAsia="Arial" w:hAnsi="Arial"/>
          <w:sz w:val="22"/>
          <w:szCs w:val="22"/>
          <w:color w:val="auto"/>
        </w:rPr>
      </w:pPr>
      <w:r>
        <w:rPr>
          <w:rFonts w:ascii="Arial" w:cs="Arial" w:eastAsia="Arial" w:hAnsi="Arial"/>
          <w:sz w:val="22"/>
          <w:szCs w:val="22"/>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211" w:lineRule="exact"/>
        <w:rPr>
          <w:rFonts w:ascii="Arial" w:cs="Arial" w:eastAsia="Arial" w:hAnsi="Arial"/>
          <w:sz w:val="22"/>
          <w:szCs w:val="22"/>
          <w:color w:val="auto"/>
        </w:rPr>
      </w:pPr>
    </w:p>
    <w:p>
      <w:pPr>
        <w:ind w:left="660" w:firstLine="644"/>
        <w:spacing w:after="0" w:line="250" w:lineRule="auto"/>
        <w:tabs>
          <w:tab w:leader="none" w:pos="2437" w:val="left"/>
        </w:tabs>
        <w:numPr>
          <w:ilvl w:val="1"/>
          <w:numId w:val="288"/>
        </w:numPr>
        <w:rPr>
          <w:rFonts w:ascii="Arial" w:cs="Arial" w:eastAsia="Arial" w:hAnsi="Arial"/>
          <w:sz w:val="22"/>
          <w:szCs w:val="22"/>
          <w:color w:val="auto"/>
        </w:rPr>
      </w:pPr>
      <w:r>
        <w:rPr>
          <w:rFonts w:ascii="Arial" w:cs="Arial" w:eastAsia="Arial" w:hAnsi="Arial"/>
          <w:sz w:val="22"/>
          <w:szCs w:val="22"/>
          <w:color w:val="auto"/>
        </w:rPr>
        <w:t>the variation of the terms of such liability in connection with the exercise of the Write-Down and Conversion Powers of the applicable Resolution Authority.</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8" w:name="page339"/>
    <w:bookmarkEnd w:id="338"/>
    <w:p>
      <w:pPr>
        <w:ind w:right="20" w:firstLine="648"/>
        <w:spacing w:after="0" w:line="246" w:lineRule="auto"/>
        <w:rPr>
          <w:sz w:val="20"/>
          <w:szCs w:val="20"/>
          <w:color w:val="auto"/>
        </w:rPr>
      </w:pPr>
      <w:r>
        <w:rPr>
          <w:rFonts w:ascii="Arial" w:cs="Arial" w:eastAsia="Arial" w:hAnsi="Arial"/>
          <w:sz w:val="21"/>
          <w:szCs w:val="21"/>
          <w:color w:val="auto"/>
        </w:rPr>
        <w:t xml:space="preserve">SECTION 9.19. </w:t>
      </w:r>
      <w:r>
        <w:rPr>
          <w:rFonts w:ascii="Arial" w:cs="Arial" w:eastAsia="Arial" w:hAnsi="Arial"/>
          <w:sz w:val="21"/>
          <w:szCs w:val="21"/>
          <w:u w:val="single" w:color="auto"/>
          <w:color w:val="auto"/>
        </w:rPr>
        <w:t>Acknowledgement Regarding Any Supported QFCs</w:t>
      </w:r>
      <w:r>
        <w:rPr>
          <w:rFonts w:ascii="Arial" w:cs="Arial" w:eastAsia="Arial" w:hAnsi="Arial"/>
          <w:sz w:val="21"/>
          <w:szCs w:val="21"/>
          <w:color w:val="auto"/>
        </w:rPr>
        <w:t>. To the extent that the Loan Documents provide support, through a guarantee or otherwise, for any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207" w:lineRule="exact"/>
        <w:rPr>
          <w:sz w:val="20"/>
          <w:szCs w:val="20"/>
          <w:color w:val="auto"/>
        </w:rPr>
      </w:pPr>
    </w:p>
    <w:p>
      <w:pPr>
        <w:jc w:val="both"/>
        <w:ind w:firstLine="656"/>
        <w:spacing w:after="0" w:line="272" w:lineRule="auto"/>
        <w:tabs>
          <w:tab w:leader="none" w:pos="1475" w:val="left"/>
        </w:tabs>
        <w:numPr>
          <w:ilvl w:val="0"/>
          <w:numId w:val="289"/>
        </w:numPr>
        <w:rPr>
          <w:rFonts w:ascii="Arial" w:cs="Arial" w:eastAsia="Arial" w:hAnsi="Arial"/>
          <w:sz w:val="19"/>
          <w:szCs w:val="19"/>
          <w:color w:val="auto"/>
        </w:rPr>
      </w:pPr>
      <w:r>
        <w:rPr>
          <w:rFonts w:ascii="Arial" w:cs="Arial" w:eastAsia="Arial" w:hAnsi="Arial"/>
          <w:sz w:val="19"/>
          <w:szCs w:val="19"/>
          <w:color w:val="auto"/>
        </w:rPr>
        <w:t>In the event a Covered Entity that is party to a Supported QFC (each, a “</w:t>
      </w:r>
      <w:r>
        <w:rPr>
          <w:rFonts w:ascii="Arial" w:cs="Arial" w:eastAsia="Arial" w:hAnsi="Arial"/>
          <w:sz w:val="19"/>
          <w:szCs w:val="19"/>
          <w:u w:val="single" w:color="auto"/>
          <w:color w:val="auto"/>
        </w:rPr>
        <w:t>Covered Party</w:t>
      </w:r>
      <w:r>
        <w:rPr>
          <w:rFonts w:ascii="Arial" w:cs="Arial" w:eastAsia="Arial" w:hAnsi="Arial"/>
          <w:sz w:val="19"/>
          <w:szCs w:val="19"/>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82" w:lineRule="exact"/>
        <w:rPr>
          <w:rFonts w:ascii="Arial" w:cs="Arial" w:eastAsia="Arial" w:hAnsi="Arial"/>
          <w:sz w:val="19"/>
          <w:szCs w:val="19"/>
          <w:color w:val="auto"/>
        </w:rPr>
      </w:pPr>
    </w:p>
    <w:p>
      <w:pPr>
        <w:ind w:left="1400" w:hanging="744"/>
        <w:spacing w:after="0"/>
        <w:tabs>
          <w:tab w:leader="none" w:pos="1400" w:val="left"/>
        </w:tabs>
        <w:numPr>
          <w:ilvl w:val="0"/>
          <w:numId w:val="289"/>
        </w:numPr>
        <w:rPr>
          <w:rFonts w:ascii="Arial" w:cs="Arial" w:eastAsia="Arial" w:hAnsi="Arial"/>
          <w:sz w:val="22"/>
          <w:szCs w:val="22"/>
          <w:color w:val="auto"/>
        </w:rPr>
      </w:pPr>
      <w:r>
        <w:rPr>
          <w:rFonts w:ascii="Arial" w:cs="Arial" w:eastAsia="Arial" w:hAnsi="Arial"/>
          <w:sz w:val="22"/>
          <w:szCs w:val="22"/>
          <w:color w:val="auto"/>
        </w:rPr>
        <w:t xml:space="preserve">As used in this </w:t>
      </w:r>
      <w:r>
        <w:rPr>
          <w:rFonts w:ascii="Arial" w:cs="Arial" w:eastAsia="Arial" w:hAnsi="Arial"/>
          <w:sz w:val="22"/>
          <w:szCs w:val="22"/>
          <w:u w:val="single" w:color="auto"/>
          <w:color w:val="auto"/>
        </w:rPr>
        <w:t>Section 9.19</w:t>
      </w:r>
      <w:r>
        <w:rPr>
          <w:rFonts w:ascii="Arial" w:cs="Arial" w:eastAsia="Arial" w:hAnsi="Arial"/>
          <w:sz w:val="22"/>
          <w:szCs w:val="22"/>
          <w:color w:val="auto"/>
        </w:rPr>
        <w:t>, the following terms have the following meanings:</w:t>
      </w:r>
    </w:p>
    <w:p>
      <w:pPr>
        <w:spacing w:after="0" w:line="233" w:lineRule="exact"/>
        <w:rPr>
          <w:sz w:val="20"/>
          <w:szCs w:val="20"/>
          <w:color w:val="auto"/>
        </w:rPr>
      </w:pPr>
    </w:p>
    <w:p>
      <w:pPr>
        <w:jc w:val="both"/>
        <w:ind w:left="1300" w:firstLine="81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BHC Act Affiliate</w:t>
      </w:r>
      <w:r>
        <w:rPr>
          <w:rFonts w:ascii="Arial" w:cs="Arial" w:eastAsia="Arial" w:hAnsi="Arial"/>
          <w:sz w:val="22"/>
          <w:szCs w:val="22"/>
          <w:color w:val="auto"/>
        </w:rPr>
        <w:t>” of a party means an “affiliate” (as such term is defined under, and interpreted in accordance with, 12 U.S.C. 1841(k)) of such party.</w:t>
      </w:r>
    </w:p>
    <w:p>
      <w:pPr>
        <w:spacing w:after="0" w:line="202" w:lineRule="exact"/>
        <w:rPr>
          <w:sz w:val="20"/>
          <w:szCs w:val="20"/>
          <w:color w:val="auto"/>
        </w:rPr>
      </w:pPr>
    </w:p>
    <w:p>
      <w:pPr>
        <w:jc w:val="both"/>
        <w:ind w:left="1300" w:firstLine="810"/>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Covered Entity</w:t>
      </w:r>
      <w:r>
        <w:rPr>
          <w:rFonts w:ascii="Arial" w:cs="Arial" w:eastAsia="Arial" w:hAnsi="Arial"/>
          <w:sz w:val="22"/>
          <w:szCs w:val="22"/>
          <w:color w:val="auto"/>
        </w:rPr>
        <w:t>” means any of the following: (i) a “covered entity” as that term is defined in, and interpreted in accordance with, 12 C.F.R. § 252.82 (b); (ii) a “covered bank” as that term is defined in, and interpreted in accordance with, 12 C.F.R. § 47.3(b); or (iii) a “covered FSI” as that term is defined in, and interpreted in accordance with, 12 C.F.R. § 382.2(b).</w:t>
      </w:r>
    </w:p>
    <w:p>
      <w:pPr>
        <w:spacing w:after="0" w:line="212" w:lineRule="exact"/>
        <w:rPr>
          <w:sz w:val="20"/>
          <w:szCs w:val="20"/>
          <w:color w:val="auto"/>
        </w:rPr>
      </w:pPr>
    </w:p>
    <w:p>
      <w:pPr>
        <w:jc w:val="both"/>
        <w:ind w:left="1300" w:firstLine="81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 Right</w:t>
      </w:r>
      <w:r>
        <w:rPr>
          <w:rFonts w:ascii="Arial" w:cs="Arial" w:eastAsia="Arial" w:hAnsi="Arial"/>
          <w:sz w:val="22"/>
          <w:szCs w:val="22"/>
          <w:color w:val="auto"/>
        </w:rPr>
        <w:t>” has the meaning assigned to that term in, and shall be interpreted in accordance with, 12 C.F.R. §§ 252.81, 47.2 or 382.1, as applicable.</w:t>
      </w:r>
    </w:p>
    <w:p>
      <w:pPr>
        <w:spacing w:after="0" w:line="202" w:lineRule="exact"/>
        <w:rPr>
          <w:sz w:val="20"/>
          <w:szCs w:val="20"/>
          <w:color w:val="auto"/>
        </w:rPr>
      </w:pPr>
    </w:p>
    <w:p>
      <w:pPr>
        <w:jc w:val="both"/>
        <w:ind w:left="1300" w:firstLine="81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QFC</w:t>
      </w:r>
      <w:r>
        <w:rPr>
          <w:rFonts w:ascii="Arial" w:cs="Arial" w:eastAsia="Arial" w:hAnsi="Arial"/>
          <w:sz w:val="22"/>
          <w:szCs w:val="22"/>
          <w:color w:val="auto"/>
        </w:rPr>
        <w:t>” has the meaning assigned to the term “qualified financial contract” in, and shall be interpreted in accordance with, 12 U.S.C. 5390(c)(8)(D).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9" w:name="page340"/>
    <w:bookmarkEnd w:id="339"/>
    <w:p>
      <w:pPr>
        <w:ind w:firstLine="648"/>
        <w:spacing w:after="0" w:line="270" w:lineRule="auto"/>
        <w:rPr>
          <w:sz w:val="20"/>
          <w:szCs w:val="20"/>
          <w:color w:val="auto"/>
        </w:rPr>
      </w:pPr>
      <w:r>
        <w:rPr>
          <w:rFonts w:ascii="Arial" w:cs="Arial" w:eastAsia="Arial" w:hAnsi="Arial"/>
          <w:sz w:val="19"/>
          <w:szCs w:val="19"/>
          <w:color w:val="auto"/>
        </w:rPr>
        <w:t xml:space="preserve">SECTION 9.20. </w:t>
      </w:r>
      <w:r>
        <w:rPr>
          <w:rFonts w:ascii="Arial" w:cs="Arial" w:eastAsia="Arial" w:hAnsi="Arial"/>
          <w:sz w:val="19"/>
          <w:szCs w:val="19"/>
          <w:u w:val="single" w:color="auto"/>
          <w:color w:val="auto"/>
        </w:rPr>
        <w:t>Judgment Currency</w:t>
      </w:r>
      <w:r>
        <w:rPr>
          <w:rFonts w:ascii="Arial" w:cs="Arial" w:eastAsia="Arial" w:hAnsi="Arial"/>
          <w:sz w:val="19"/>
          <w:szCs w:val="19"/>
          <w:color w:val="auto"/>
        </w:rPr>
        <w:t>. If for the purposes of obtaining judgment in any court it is necessary to convert a sum due from any Borrower hereunder in the currency expressed to be payable herein (the “specified currency”) into another currency, the parties hereto agree, to the fullest extent that they may effectively do so, that the rate of exchange used shall be that at which in accordance with usual and customary banking procedures the Administrative Agent could purchase the specified currency with such other currency at any of the Administrative Agent’s offices in the United States of America on the Business Day preceding that on which final judgment is given. The obligations of such Borrower in respect of any sum due to any Credit Party hereunder shall, notwithstanding any judgment in a currency other than the specified currency, be discharged only to the extent that on the Business Day following receipt by such Lender, the applicable Issuing Bank or the Administrative Agent (as the case may be) of any sum adjudged to be so due in such other currency such Lender, the applicable Issuing Bank or the Administrative Agent (as the case may be) may in accordance with normal, reasonable banking procedures purchase the specified currency with such other currency. If the amount of the specified currency so purchased is less than the sum originally due to such Lender, the applicable Issuing Bank or the Administrative Agent, as the case may be, in the specified currency, such Borrower agrees, to the fullest extent that it may effectively do so, as a separate obligation and notwithstanding any such judgment, to indemnify such Lender, the applicable Issuing Bank or the Administrative Agent, as the case may be, against such loss, and if the amount of the specified currency so purchased exceeds (a) the sum originally due to any Lender, the applicable Issuing Bank or the Administrative Agent, as the case may be, in the specified currency and (b) any amounts shared with other Lenders as a result of allocations of such excess as a disproportionate payment to such Lender under Section 2.18, each Lender, Issuing Bank or the Administrative Agent, as the case may be, agrees to promptly remit such excess to such Borrower.</w:t>
      </w:r>
    </w:p>
    <w:p>
      <w:pPr>
        <w:spacing w:after="0" w:line="193" w:lineRule="exact"/>
        <w:rPr>
          <w:sz w:val="20"/>
          <w:szCs w:val="20"/>
          <w:color w:val="auto"/>
        </w:rPr>
      </w:pPr>
    </w:p>
    <w:p>
      <w:pPr>
        <w:ind w:right="200" w:firstLine="648"/>
        <w:spacing w:after="0" w:line="246" w:lineRule="auto"/>
        <w:rPr>
          <w:sz w:val="20"/>
          <w:szCs w:val="20"/>
          <w:color w:val="auto"/>
        </w:rPr>
      </w:pPr>
      <w:r>
        <w:rPr>
          <w:rFonts w:ascii="Arial" w:cs="Arial" w:eastAsia="Arial" w:hAnsi="Arial"/>
          <w:sz w:val="21"/>
          <w:szCs w:val="21"/>
          <w:color w:val="auto"/>
        </w:rPr>
        <w:t xml:space="preserve">SECTION 9.21. </w:t>
      </w:r>
      <w:r>
        <w:rPr>
          <w:rFonts w:ascii="Arial" w:cs="Arial" w:eastAsia="Arial" w:hAnsi="Arial"/>
          <w:sz w:val="21"/>
          <w:szCs w:val="21"/>
          <w:u w:val="single" w:color="auto"/>
          <w:color w:val="auto"/>
        </w:rPr>
        <w:t>Borrower Representative</w:t>
      </w:r>
      <w:r>
        <w:rPr>
          <w:rFonts w:ascii="Arial" w:cs="Arial" w:eastAsia="Arial" w:hAnsi="Arial"/>
          <w:sz w:val="21"/>
          <w:szCs w:val="21"/>
          <w:color w:val="auto"/>
        </w:rPr>
        <w:t>. The U.S. Borrower hereby irrevocably appoints the Company as its agent for all purposes of this Agreement and the other Loan Documents, including with respect to (i) the giving and receipt of notices (including any Borrowing Request) and (ii) the execution and delivery of all documents, instruments and certificates contemplated herein. Notwithstanding anything to the contrary contained herein or in any other Loan Document, the U.S. Borrower hereby acknowledges that any amendment or other modification to this Agreement or any other Loan Document may be effected as set forth in Section 9.02, that no consent of the U.S. Borrower shall be required to effect any such amendment or other modification and that the U.S. Borrower shall be bound by this Agreement or any other Loan Document (to which it is already a party) as so amended or modified.</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Pages Follow]</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40" w:name="page341"/>
    <w:bookmarkEnd w:id="340"/>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by their respective authorized officers as of the day and year first above written.</w:t>
      </w:r>
    </w:p>
    <w:p>
      <w:pPr>
        <w:spacing w:after="0" w:line="19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TECHNIPFMC PLC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Alf Melin</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Alf Melin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Officer</w:t>
      </w:r>
    </w:p>
    <w:p>
      <w:pPr>
        <w:spacing w:after="0" w:line="23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FMC TECHNOLOGIES,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Alf Melin</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Alf Melin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Officer</w:t>
      </w:r>
    </w:p>
    <w:p>
      <w:pPr>
        <w:spacing w:after="0" w:line="2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 Page to the Credit Agreement of TechnipFMC and FMC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341" w:name="page342"/>
    <w:bookmarkEnd w:id="341"/>
    <w:p>
      <w:pPr>
        <w:ind w:left="404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as Administrative Agent, individually as a Lender</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and as an Issuing Bank</w:t>
      </w:r>
    </w:p>
    <w:p>
      <w:pPr>
        <w:spacing w:after="0" w:line="211" w:lineRule="exact"/>
        <w:rPr>
          <w:sz w:val="20"/>
          <w:szCs w:val="20"/>
          <w:color w:val="auto"/>
        </w:rPr>
      </w:pPr>
    </w:p>
    <w:tbl>
      <w:tblPr>
        <w:tblLayout w:type="fixed"/>
        <w:tblInd w:w="4040" w:type="dxa"/>
        <w:tblCellMar>
          <w:top w:w="0" w:type="dxa"/>
          <w:left w:w="0" w:type="dxa"/>
          <w:bottom w:w="0" w:type="dxa"/>
          <w:right w:w="0" w:type="dxa"/>
        </w:tblCellMar>
      </w:tblPr>
      <w:tr>
        <w:trPr>
          <w:trHeight w:val="251"/>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Anson Williams</w:t>
            </w:r>
          </w:p>
        </w:tc>
      </w:tr>
      <w:tr>
        <w:trPr>
          <w:trHeight w:val="202"/>
        </w:trPr>
        <w:tc>
          <w:tcPr>
            <w:tcW w:w="820" w:type="dxa"/>
            <w:vAlign w:val="bottom"/>
          </w:tcPr>
          <w:p>
            <w:pPr>
              <w:spacing w:after="0"/>
              <w:rPr>
                <w:sz w:val="17"/>
                <w:szCs w:val="17"/>
                <w:color w:val="auto"/>
              </w:rPr>
            </w:pPr>
          </w:p>
        </w:tc>
        <w:tc>
          <w:tcPr>
            <w:tcW w:w="7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500" w:type="dxa"/>
            <w:vAlign w:val="bottom"/>
          </w:tcPr>
          <w:p>
            <w:pPr>
              <w:ind w:left="280"/>
              <w:spacing w:after="0" w:line="201" w:lineRule="exact"/>
              <w:rPr>
                <w:sz w:val="20"/>
                <w:szCs w:val="20"/>
                <w:color w:val="auto"/>
              </w:rPr>
            </w:pPr>
            <w:r>
              <w:rPr>
                <w:rFonts w:ascii="Arial" w:cs="Arial" w:eastAsia="Arial" w:hAnsi="Arial"/>
                <w:sz w:val="18"/>
                <w:szCs w:val="18"/>
                <w:color w:val="auto"/>
              </w:rPr>
              <w:t>Anson Williams</w:t>
            </w:r>
          </w:p>
        </w:tc>
      </w:tr>
      <w:tr>
        <w:trPr>
          <w:trHeight w:val="230"/>
        </w:trPr>
        <w:tc>
          <w:tcPr>
            <w:tcW w:w="82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280"/>
              <w:spacing w:after="0"/>
              <w:rPr>
                <w:sz w:val="20"/>
                <w:szCs w:val="20"/>
                <w:color w:val="auto"/>
              </w:rPr>
            </w:pPr>
            <w:r>
              <w:rPr>
                <w:rFonts w:ascii="Arial" w:cs="Arial" w:eastAsia="Arial" w:hAnsi="Arial"/>
                <w:sz w:val="18"/>
                <w:szCs w:val="18"/>
                <w:color w:val="auto"/>
              </w:rPr>
              <w:t>Authorized Signatory</w:t>
            </w:r>
          </w:p>
        </w:tc>
      </w:tr>
    </w:tbl>
    <w:p>
      <w:pPr>
        <w:spacing w:after="0" w:line="22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[Signature Page to the Credit Agreement of TechnipFMC and FMC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126365</wp:posOffset>
            </wp:positionV>
            <wp:extent cx="713232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342" w:name="page343"/>
    <w:bookmarkEnd w:id="342"/>
    <w:p>
      <w:pPr>
        <w:ind w:left="4120"/>
        <w:spacing w:after="0"/>
        <w:rPr>
          <w:sz w:val="20"/>
          <w:szCs w:val="20"/>
          <w:color w:val="auto"/>
        </w:rPr>
      </w:pPr>
      <w:r>
        <w:rPr>
          <w:rFonts w:ascii="Arial" w:cs="Arial" w:eastAsia="Arial" w:hAnsi="Arial"/>
          <w:sz w:val="18"/>
          <w:szCs w:val="18"/>
          <w:b w:val="1"/>
          <w:bCs w:val="1"/>
          <w:color w:val="auto"/>
        </w:rPr>
        <w:t>CITIBANK, N.A.</w:t>
      </w:r>
      <w:r>
        <w:rPr>
          <w:rFonts w:ascii="Arial" w:cs="Arial" w:eastAsia="Arial" w:hAnsi="Arial"/>
          <w:sz w:val="18"/>
          <w:szCs w:val="18"/>
          <w:color w:val="auto"/>
        </w:rPr>
        <w:t>,</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as a Lender and as an Issuing Bank</w:t>
      </w:r>
    </w:p>
    <w:p>
      <w:pPr>
        <w:spacing w:after="0" w:line="211" w:lineRule="exact"/>
        <w:rPr>
          <w:sz w:val="20"/>
          <w:szCs w:val="20"/>
          <w:color w:val="auto"/>
        </w:rPr>
      </w:pPr>
    </w:p>
    <w:tbl>
      <w:tblPr>
        <w:tblLayout w:type="fixed"/>
        <w:tblInd w:w="4120" w:type="dxa"/>
        <w:tblCellMar>
          <w:top w:w="0" w:type="dxa"/>
          <w:left w:w="0" w:type="dxa"/>
          <w:bottom w:w="0" w:type="dxa"/>
          <w:right w:w="0" w:type="dxa"/>
        </w:tblCellMar>
      </w:tblPr>
      <w:tr>
        <w:trPr>
          <w:trHeight w:val="251"/>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Cathy Shepherd</w:t>
            </w:r>
          </w:p>
        </w:tc>
      </w:tr>
      <w:tr>
        <w:trPr>
          <w:trHeight w:val="202"/>
        </w:trPr>
        <w:tc>
          <w:tcPr>
            <w:tcW w:w="740" w:type="dxa"/>
            <w:vAlign w:val="bottom"/>
          </w:tcPr>
          <w:p>
            <w:pPr>
              <w:spacing w:after="0"/>
              <w:rPr>
                <w:sz w:val="17"/>
                <w:szCs w:val="17"/>
                <w:color w:val="auto"/>
              </w:rPr>
            </w:pPr>
          </w:p>
        </w:tc>
        <w:tc>
          <w:tcPr>
            <w:tcW w:w="74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520" w:type="dxa"/>
            <w:vAlign w:val="bottom"/>
          </w:tcPr>
          <w:p>
            <w:pPr>
              <w:ind w:left="260"/>
              <w:spacing w:after="0" w:line="201" w:lineRule="exact"/>
              <w:rPr>
                <w:sz w:val="20"/>
                <w:szCs w:val="20"/>
                <w:color w:val="auto"/>
              </w:rPr>
            </w:pPr>
            <w:r>
              <w:rPr>
                <w:rFonts w:ascii="Arial" w:cs="Arial" w:eastAsia="Arial" w:hAnsi="Arial"/>
                <w:sz w:val="18"/>
                <w:szCs w:val="18"/>
                <w:color w:val="auto"/>
              </w:rPr>
              <w:t>Cathy Shepherd</w:t>
            </w:r>
          </w:p>
        </w:tc>
      </w:tr>
      <w:tr>
        <w:trPr>
          <w:trHeight w:val="230"/>
        </w:trPr>
        <w:tc>
          <w:tcPr>
            <w:tcW w:w="74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ind w:left="260"/>
              <w:spacing w:after="0"/>
              <w:rPr>
                <w:sz w:val="20"/>
                <w:szCs w:val="20"/>
                <w:color w:val="auto"/>
              </w:rPr>
            </w:pPr>
            <w:r>
              <w:rPr>
                <w:rFonts w:ascii="Arial" w:cs="Arial" w:eastAsia="Arial" w:hAnsi="Arial"/>
                <w:sz w:val="18"/>
                <w:szCs w:val="18"/>
                <w:color w:val="auto"/>
              </w:rPr>
              <w:t>Vice President</w:t>
            </w:r>
          </w:p>
        </w:tc>
      </w:tr>
    </w:tbl>
    <w:p>
      <w:pPr>
        <w:spacing w:after="0" w:line="22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[Signature Page to the Credit Agreement of TechnipFMC and FMC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126365</wp:posOffset>
            </wp:positionV>
            <wp:extent cx="713232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343" w:name="page344"/>
    <w:bookmarkEnd w:id="343"/>
    <w:p>
      <w:pPr>
        <w:ind w:left="4520"/>
        <w:spacing w:after="0"/>
        <w:rPr>
          <w:sz w:val="20"/>
          <w:szCs w:val="20"/>
          <w:color w:val="auto"/>
        </w:rPr>
      </w:pPr>
      <w:r>
        <w:rPr>
          <w:rFonts w:ascii="Arial" w:cs="Arial" w:eastAsia="Arial" w:hAnsi="Arial"/>
          <w:sz w:val="18"/>
          <w:szCs w:val="18"/>
          <w:color w:val="auto"/>
        </w:rPr>
        <w:t>DNB Capital LLC, as a</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Ahelia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23495</wp:posOffset>
            </wp:positionV>
            <wp:extent cx="3197225"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Ahelia Singh</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Assistant Vice President</w:t>
      </w:r>
    </w:p>
    <w:p>
      <w:pPr>
        <w:spacing w:after="0" w:line="21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Samantha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23495</wp:posOffset>
            </wp:positionV>
            <wp:extent cx="3197225"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Samantha Stone</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the Credit Agreement of TechnipFMC and FMC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140970</wp:posOffset>
            </wp:positionV>
            <wp:extent cx="713232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44" w:name="page345"/>
    <w:bookmarkEnd w:id="344"/>
    <w:p>
      <w:pPr>
        <w:ind w:left="4520"/>
        <w:spacing w:after="0"/>
        <w:rPr>
          <w:sz w:val="20"/>
          <w:szCs w:val="20"/>
          <w:color w:val="auto"/>
        </w:rPr>
      </w:pPr>
      <w:r>
        <w:rPr>
          <w:rFonts w:ascii="Arial" w:cs="Arial" w:eastAsia="Arial" w:hAnsi="Arial"/>
          <w:sz w:val="18"/>
          <w:szCs w:val="18"/>
          <w:color w:val="auto"/>
        </w:rPr>
        <w:t>DNB Bank ASA, New York Branch,</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an Issuing Bank</w:t>
      </w:r>
    </w:p>
    <w:p>
      <w:pPr>
        <w:spacing w:after="0" w:line="21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Ahelia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23495</wp:posOffset>
            </wp:positionV>
            <wp:extent cx="3197225"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Ahelia Singh</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Assistant Vice President</w:t>
      </w:r>
    </w:p>
    <w:p>
      <w:pPr>
        <w:spacing w:after="0" w:line="21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Samantha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23495</wp:posOffset>
            </wp:positionV>
            <wp:extent cx="3197225"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Samantha Stone</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the Credit Agreement of TechnipFMC and FMC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140970</wp:posOffset>
            </wp:positionV>
            <wp:extent cx="713232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45" w:name="page346"/>
    <w:bookmarkEnd w:id="345"/>
    <w:p>
      <w:pPr>
        <w:ind w:left="4520"/>
        <w:spacing w:after="0"/>
        <w:rPr>
          <w:sz w:val="20"/>
          <w:szCs w:val="20"/>
          <w:color w:val="auto"/>
        </w:rPr>
      </w:pPr>
      <w:r>
        <w:rPr>
          <w:rFonts w:ascii="Arial" w:cs="Arial" w:eastAsia="Arial" w:hAnsi="Arial"/>
          <w:sz w:val="18"/>
          <w:szCs w:val="18"/>
          <w:color w:val="auto"/>
        </w:rPr>
        <w:t>Societe Generale,</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 and as an Issuing Bank</w:t>
      </w:r>
    </w:p>
    <w:p>
      <w:pPr>
        <w:spacing w:after="0" w:line="21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Bernal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23495</wp:posOffset>
            </wp:positionV>
            <wp:extent cx="3197225"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Richard Bernal</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the Credit Agreement of TechnipFMC and FMC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140970</wp:posOffset>
            </wp:positionV>
            <wp:extent cx="713232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46" w:name="page347"/>
    <w:bookmarkEnd w:id="346"/>
    <w:p>
      <w:pPr>
        <w:ind w:left="4520"/>
        <w:spacing w:after="0"/>
        <w:rPr>
          <w:sz w:val="20"/>
          <w:szCs w:val="20"/>
          <w:color w:val="auto"/>
        </w:rPr>
      </w:pPr>
      <w:r>
        <w:rPr>
          <w:rFonts w:ascii="Arial" w:cs="Arial" w:eastAsia="Arial" w:hAnsi="Arial"/>
          <w:sz w:val="17"/>
          <w:szCs w:val="17"/>
          <w:color w:val="auto"/>
        </w:rPr>
        <w:t>Sumitomo Mitsui Banking Corporation,</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 and as an Issuing Bank</w:t>
      </w:r>
    </w:p>
    <w:p>
      <w:pPr>
        <w:spacing w:after="0" w:line="21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23495</wp:posOffset>
            </wp:positionV>
            <wp:extent cx="3197225"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Michael Maguire</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the Credit Agreement of TechnipFMC and FMC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140970</wp:posOffset>
            </wp:positionV>
            <wp:extent cx="713232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47" w:name="page348"/>
    <w:bookmarkEnd w:id="347"/>
    <w:p>
      <w:pPr>
        <w:ind w:left="4520"/>
        <w:spacing w:after="0"/>
        <w:rPr>
          <w:sz w:val="20"/>
          <w:szCs w:val="20"/>
          <w:color w:val="auto"/>
        </w:rPr>
      </w:pPr>
      <w:r>
        <w:rPr>
          <w:rFonts w:ascii="Arial" w:cs="Arial" w:eastAsia="Arial" w:hAnsi="Arial"/>
          <w:sz w:val="16"/>
          <w:szCs w:val="16"/>
          <w:color w:val="auto"/>
        </w:rPr>
        <w:t>Wells Fargo Bank, National Association,</w:t>
      </w:r>
    </w:p>
    <w:p>
      <w:pPr>
        <w:spacing w:after="0" w:line="4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 and as an Issuing Bank</w:t>
      </w:r>
    </w:p>
    <w:p>
      <w:pPr>
        <w:spacing w:after="0" w:line="21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Janak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23495</wp:posOffset>
            </wp:positionV>
            <wp:extent cx="3197225"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Michael Janak</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the Credit Agreement of TechnipFMC and FMC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140970</wp:posOffset>
            </wp:positionV>
            <wp:extent cx="713232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48" w:name="page349"/>
    <w:bookmarkEnd w:id="348"/>
    <w:p>
      <w:pPr>
        <w:ind w:left="4520"/>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 and as an Issuing Bank</w:t>
      </w:r>
    </w:p>
    <w:p>
      <w:pPr>
        <w:spacing w:after="0" w:line="21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Raza Jafferi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23495</wp:posOffset>
            </wp:positionV>
            <wp:extent cx="3197225"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Raza Jafferi</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the Credit Agreement of TechnipFMC and FMC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140970</wp:posOffset>
            </wp:positionV>
            <wp:extent cx="713232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49" w:name="page350"/>
    <w:bookmarkEnd w:id="349"/>
    <w:p>
      <w:pPr>
        <w:ind w:left="4520"/>
        <w:spacing w:after="0"/>
        <w:rPr>
          <w:sz w:val="20"/>
          <w:szCs w:val="20"/>
          <w:color w:val="auto"/>
        </w:rPr>
      </w:pPr>
      <w:r>
        <w:rPr>
          <w:rFonts w:ascii="Arial" w:cs="Arial" w:eastAsia="Arial" w:hAnsi="Arial"/>
          <w:sz w:val="18"/>
          <w:szCs w:val="18"/>
          <w:color w:val="auto"/>
        </w:rPr>
        <w:t>STANDARD CHARTERED BANK,</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23495</wp:posOffset>
            </wp:positionV>
            <wp:extent cx="3197225"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James Beck</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Associate Director</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the Credit Agreement of TechnipFMC and FMC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140970</wp:posOffset>
            </wp:positionV>
            <wp:extent cx="713232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50" w:name="page351"/>
    <w:bookmarkEnd w:id="350"/>
    <w:p>
      <w:pPr>
        <w:ind w:left="4520"/>
        <w:spacing w:after="0"/>
        <w:rPr>
          <w:sz w:val="20"/>
          <w:szCs w:val="20"/>
          <w:color w:val="auto"/>
        </w:rPr>
      </w:pPr>
      <w:r>
        <w:rPr>
          <w:rFonts w:ascii="Arial" w:cs="Arial" w:eastAsia="Arial" w:hAnsi="Arial"/>
          <w:sz w:val="17"/>
          <w:szCs w:val="17"/>
          <w:color w:val="auto"/>
        </w:rPr>
        <w:t>THE NORTHERN TRUST COMPANY,</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Keith L. Burson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23495</wp:posOffset>
            </wp:positionV>
            <wp:extent cx="3197225"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Keith L. Burson</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the Credit Agreement of TechnipFMC and FMC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140970</wp:posOffset>
            </wp:positionV>
            <wp:extent cx="713232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351" w:name="page352"/>
    <w:bookmarkEnd w:id="351"/>
    <w:p>
      <w:pPr>
        <w:ind w:left="4520"/>
        <w:spacing w:after="0"/>
        <w:rPr>
          <w:sz w:val="20"/>
          <w:szCs w:val="20"/>
          <w:color w:val="auto"/>
        </w:rPr>
      </w:pPr>
      <w:r>
        <w:rPr>
          <w:rFonts w:ascii="Arial" w:cs="Arial" w:eastAsia="Arial" w:hAnsi="Arial"/>
          <w:sz w:val="18"/>
          <w:szCs w:val="18"/>
          <w:color w:val="auto"/>
        </w:rPr>
        <w:t>Barclays Bank PLC,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Timothy Uwemedimo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23495</wp:posOffset>
            </wp:positionV>
            <wp:extent cx="3197225"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Timothy Uwemedimo</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AVP</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the Credit Agreement of TechnipFMC and FMC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234950</wp:posOffset>
            </wp:positionV>
            <wp:extent cx="713232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352" w:name="page353"/>
    <w:bookmarkEnd w:id="35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5246370" cy="96901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246370" cy="96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Press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TechnipFMC Completes Separation of Two Industry-leading, Independent, Publicly Traded Companies</w:t>
      </w:r>
    </w:p>
    <w:p>
      <w:pPr>
        <w:spacing w:after="0" w:line="221" w:lineRule="exact"/>
        <w:rPr>
          <w:sz w:val="20"/>
          <w:szCs w:val="20"/>
          <w:color w:val="auto"/>
        </w:rPr>
      </w:pPr>
    </w:p>
    <w:p>
      <w:pPr>
        <w:ind w:right="400"/>
        <w:spacing w:after="0" w:line="312" w:lineRule="auto"/>
        <w:rPr>
          <w:sz w:val="20"/>
          <w:szCs w:val="20"/>
          <w:color w:val="auto"/>
        </w:rPr>
      </w:pPr>
      <w:r>
        <w:rPr>
          <w:rFonts w:ascii="Arial" w:cs="Arial" w:eastAsia="Arial" w:hAnsi="Arial"/>
          <w:sz w:val="17"/>
          <w:szCs w:val="17"/>
          <w:b w:val="1"/>
          <w:bCs w:val="1"/>
          <w:color w:val="auto"/>
        </w:rPr>
        <w:t xml:space="preserve">LONDON &amp; PARIS &amp; HOUSTON, Feb. 15, 2021 </w:t>
      </w:r>
      <w:r>
        <w:rPr>
          <w:rFonts w:ascii="Arial" w:cs="Arial" w:eastAsia="Arial" w:hAnsi="Arial"/>
          <w:sz w:val="17"/>
          <w:szCs w:val="17"/>
          <w:color w:val="auto"/>
        </w:rPr>
        <w:t>— TechnipFMC (NYSE: FTI) (PARIS: FTI) TechnipFMC today announced the completion of its</w:t>
      </w:r>
      <w:r>
        <w:rPr>
          <w:rFonts w:ascii="Arial" w:cs="Arial" w:eastAsia="Arial" w:hAnsi="Arial"/>
          <w:sz w:val="17"/>
          <w:szCs w:val="17"/>
          <w:b w:val="1"/>
          <w:bCs w:val="1"/>
          <w:color w:val="auto"/>
        </w:rPr>
        <w:t xml:space="preserve"> </w:t>
      </w:r>
      <w:r>
        <w:rPr>
          <w:rFonts w:ascii="Arial" w:cs="Arial" w:eastAsia="Arial" w:hAnsi="Arial"/>
          <w:sz w:val="17"/>
          <w:szCs w:val="17"/>
          <w:color w:val="auto"/>
        </w:rPr>
        <w:t>spin-off transaction to create two industry leading, independent, publicly traded companies, TechnipFMC and Technip Energies.</w:t>
      </w:r>
    </w:p>
    <w:p>
      <w:pPr>
        <w:spacing w:after="0" w:line="14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connection with the separation, the Technip Energies technical reference price was set at €9.00 ahead of its direct listing on the Euronext Paris Exchange where it will trade under the symbol “TE”.</w:t>
      </w:r>
      <w:r>
        <w:rPr>
          <w:rFonts w:ascii="Arial" w:cs="Arial" w:eastAsia="Arial" w:hAnsi="Arial"/>
          <w:sz w:val="29"/>
          <w:szCs w:val="29"/>
          <w:color w:val="auto"/>
          <w:vertAlign w:val="superscript"/>
        </w:rPr>
        <w:t>1</w:t>
      </w:r>
    </w:p>
    <w:p>
      <w:pPr>
        <w:spacing w:after="0" w:line="2" w:lineRule="exact"/>
        <w:rPr>
          <w:sz w:val="20"/>
          <w:szCs w:val="20"/>
          <w:color w:val="auto"/>
        </w:rPr>
      </w:pPr>
    </w:p>
    <w:p>
      <w:pPr>
        <w:ind w:right="20"/>
        <w:spacing w:after="0" w:line="285" w:lineRule="auto"/>
        <w:rPr>
          <w:sz w:val="20"/>
          <w:szCs w:val="20"/>
          <w:color w:val="auto"/>
        </w:rPr>
      </w:pPr>
      <w:r>
        <w:rPr>
          <w:rFonts w:ascii="Arial" w:cs="Arial" w:eastAsia="Arial" w:hAnsi="Arial"/>
          <w:sz w:val="17"/>
          <w:szCs w:val="17"/>
          <w:color w:val="auto"/>
        </w:rPr>
        <w:t>Doug Pferdehirt, Chairman and CEO of TechnipFMC, stated: “I am delighted to announce the successful completion of the separation transaction. As the market leader and industry’s only fully integrated pure-play, we are uniquely positioned to transform our clients’ project economics, helping them to unlock traditional and new energy resources while reducing carbon intensity and supporting their energy transition ambitions.”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Board of Directors Appointment for Technip Energies</w:t>
      </w:r>
    </w:p>
    <w:p>
      <w:pPr>
        <w:spacing w:after="0" w:line="229"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Technip Energies today announced the appointment of a new member of its Board of Directors, Simon Eyers, effective February 16, 2021. Mr. Eyers previously served as Managing Director of Warburg Pincus International from 2012 to 2018 focusing on energy investments, and as a Senior Advisor until the end of 2020 after retiring from his full-time role. In addition to being a founding partner of 4D Global Energy Advisors, a private equity firm based in Paris specializing in the energy sector, Mr. Eyers also held executive leadership roles in various technology ventures and worked 13 years in energy investment banking at SG Warburg &amp; Co, Goldman Sachs and Credit Suisse First Boston Europe.</w:t>
      </w:r>
    </w:p>
    <w:p>
      <w:pPr>
        <w:spacing w:after="0" w:line="176"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“We are pleased to welcome Simon Eyers to the Technip Energies Board,” said Arnaud Pieton, CEO of Technip Energies. “Simon’s deep understanding of global energy markets and strong experience with the development of new technologies will be invaluable as we grow our business in the future.”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64592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98" w:lineRule="exact"/>
        <w:rPr>
          <w:sz w:val="20"/>
          <w:szCs w:val="20"/>
          <w:color w:val="auto"/>
        </w:rPr>
      </w:pPr>
    </w:p>
    <w:p>
      <w:pPr>
        <w:ind w:right="240" w:firstLine="8"/>
        <w:spacing w:after="0" w:line="209" w:lineRule="auto"/>
        <w:tabs>
          <w:tab w:leader="none" w:pos="125" w:val="left"/>
        </w:tabs>
        <w:numPr>
          <w:ilvl w:val="0"/>
          <w:numId w:val="290"/>
        </w:numPr>
        <w:rPr>
          <w:rFonts w:ascii="Arial" w:cs="Arial" w:eastAsia="Arial" w:hAnsi="Arial"/>
          <w:sz w:val="30"/>
          <w:szCs w:val="30"/>
          <w:color w:val="auto"/>
          <w:vertAlign w:val="superscript"/>
        </w:rPr>
      </w:pPr>
      <w:r>
        <w:rPr>
          <w:rFonts w:ascii="Arial" w:cs="Arial" w:eastAsia="Arial" w:hAnsi="Arial"/>
          <w:sz w:val="18"/>
          <w:szCs w:val="18"/>
          <w:color w:val="auto"/>
        </w:rPr>
        <w:t>The technical reference price will be used solely for the purpose of setting reservation thresholds for the trading session on Euronext Paris on February 16, 2021 and the determination of the Technip Energies stock price performance for the day. The technical reference price shall have no bearing on the price at which the Technip Energies stock may trade.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53" w:name="page354"/>
    <w:bookmarkEnd w:id="3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246370" cy="96837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246370" cy="96837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TechnipFMC</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TechnipFMC is a leading technology provider to the traditional and new energies industry; delivering fully integrated projects, products, and services.</w:t>
      </w:r>
    </w:p>
    <w:p>
      <w:pPr>
        <w:spacing w:after="0" w:line="23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With our proprietary technologies and comprehensive solutions, we are transforming our clients’ project economics, helping them unlock new possibilities to develop energy resources while reducing carbon intensity and supporting their energy transition ambitions.</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Organized in two business segments — Subsea and Surface Technologies — we will continue to advance the industry with our pioneering integrated ecosystems (such as iEPCI™, iFEED™ and iComplete™), technology leadership and digital innovation.</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Each of our approximately 20,000 employees is driven by a commitment to our clients’ success, and a culture of strong execution, purposeful innovation, and challenging industry conventions.</w:t>
      </w:r>
    </w:p>
    <w:p>
      <w:pPr>
        <w:spacing w:after="0" w:line="16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TechnipFMC uses its website as a channel of distribution of material company information. To learn more about how we are driving change in the industry, go to www.TechnipFMC.com and follow us on Twitter @TechnipFMC.</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Technip Energies</w:t>
      </w:r>
    </w:p>
    <w:p>
      <w:pPr>
        <w:spacing w:after="0" w:line="229" w:lineRule="exact"/>
        <w:rPr>
          <w:sz w:val="20"/>
          <w:szCs w:val="20"/>
          <w:color w:val="auto"/>
        </w:rPr>
      </w:pPr>
    </w:p>
    <w:p>
      <w:pPr>
        <w:jc w:val="both"/>
        <w:ind w:right="160"/>
        <w:spacing w:after="0" w:line="212" w:lineRule="auto"/>
        <w:rPr>
          <w:sz w:val="20"/>
          <w:szCs w:val="20"/>
          <w:color w:val="auto"/>
        </w:rPr>
      </w:pPr>
      <w:r>
        <w:rPr>
          <w:rFonts w:ascii="Arial" w:cs="Arial" w:eastAsia="Arial" w:hAnsi="Arial"/>
          <w:sz w:val="18"/>
          <w:szCs w:val="18"/>
          <w:color w:val="auto"/>
        </w:rPr>
        <w:t>Technip Energies is a leading Engineering &amp; Technology company for the energy transition, with leadership positions in LNG, hydrogen and ethylene as well as growing market positions in blue and green hydrogen, sustainable chemistry and CO</w:t>
      </w:r>
      <w:r>
        <w:rPr>
          <w:rFonts w:ascii="Arial" w:cs="Arial" w:eastAsia="Arial" w:hAnsi="Arial"/>
          <w:sz w:val="29"/>
          <w:szCs w:val="29"/>
          <w:color w:val="auto"/>
          <w:vertAlign w:val="subscript"/>
        </w:rPr>
        <w:t>2</w:t>
      </w:r>
      <w:r>
        <w:rPr>
          <w:rFonts w:ascii="Arial" w:cs="Arial" w:eastAsia="Arial" w:hAnsi="Arial"/>
          <w:sz w:val="18"/>
          <w:szCs w:val="18"/>
          <w:color w:val="auto"/>
        </w:rPr>
        <w:t xml:space="preserve"> management. The company benefits from its robust project delivery model supported by extensive technology, products and services offering.</w:t>
      </w:r>
    </w:p>
    <w:p>
      <w:pPr>
        <w:spacing w:after="0" w:line="204" w:lineRule="exact"/>
        <w:rPr>
          <w:sz w:val="20"/>
          <w:szCs w:val="20"/>
          <w:color w:val="auto"/>
        </w:rPr>
      </w:pPr>
    </w:p>
    <w:p>
      <w:pPr>
        <w:jc w:val="both"/>
        <w:ind w:right="160"/>
        <w:spacing w:after="0" w:line="277" w:lineRule="auto"/>
        <w:rPr>
          <w:sz w:val="20"/>
          <w:szCs w:val="20"/>
          <w:color w:val="auto"/>
        </w:rPr>
      </w:pPr>
      <w:r>
        <w:rPr>
          <w:rFonts w:ascii="Arial" w:cs="Arial" w:eastAsia="Arial" w:hAnsi="Arial"/>
          <w:sz w:val="18"/>
          <w:szCs w:val="18"/>
          <w:color w:val="auto"/>
        </w:rPr>
        <w:t>Operating in 34 countries, our 15,000 people are fully committed to bringing our client’s innovative projects to life, breaking boundaries to accelerate the energy transition for a better tomorrow.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Technip Energies is listed on Euronext Paris. For further information: </w:t>
      </w:r>
      <w:r>
        <w:rPr>
          <w:rFonts w:ascii="Arial" w:cs="Arial" w:eastAsia="Arial" w:hAnsi="Arial"/>
          <w:sz w:val="18"/>
          <w:szCs w:val="18"/>
          <w:u w:val="single" w:color="auto"/>
          <w:color w:val="auto"/>
        </w:rPr>
        <w:t>www.technipenergies.com</w:t>
      </w:r>
      <w:r>
        <w:rPr>
          <w:rFonts w:ascii="Arial" w:cs="Arial" w:eastAsia="Arial" w:hAnsi="Arial"/>
          <w:sz w:val="18"/>
          <w:szCs w:val="18"/>
          <w:color w:val="auto"/>
        </w:rPr>
        <w:t>.</w:t>
      </w:r>
    </w:p>
    <w:p>
      <w:pPr>
        <w:spacing w:after="0" w:line="18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54" w:name="page355"/>
    <w:bookmarkEnd w:id="3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246370" cy="96837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246370" cy="96837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gridSpan w:val="5"/>
          </w:tcPr>
          <w:p>
            <w:pPr>
              <w:spacing w:after="0"/>
              <w:rPr>
                <w:sz w:val="20"/>
                <w:szCs w:val="20"/>
                <w:color w:val="auto"/>
              </w:rPr>
            </w:pPr>
            <w:r>
              <w:rPr>
                <w:rFonts w:ascii="Arial" w:cs="Arial" w:eastAsia="Arial" w:hAnsi="Arial"/>
                <w:sz w:val="18"/>
                <w:szCs w:val="18"/>
                <w:b w:val="1"/>
                <w:bCs w:val="1"/>
                <w:color w:val="auto"/>
              </w:rPr>
              <w:t>Contacts</w:t>
            </w:r>
          </w:p>
        </w:tc>
        <w:tc>
          <w:tcPr>
            <w:tcW w:w="20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tcPr>
          <w:p>
            <w:pPr>
              <w:spacing w:after="0"/>
              <w:rPr>
                <w:sz w:val="20"/>
                <w:szCs w:val="20"/>
                <w:color w:val="auto"/>
              </w:rPr>
            </w:pPr>
          </w:p>
        </w:tc>
      </w:tr>
      <w:tr>
        <w:trPr>
          <w:trHeight w:val="432"/>
        </w:trPr>
        <w:tc>
          <w:tcPr>
            <w:tcW w:w="4060" w:type="dxa"/>
            <w:vAlign w:val="bottom"/>
            <w:gridSpan w:val="5"/>
          </w:tcPr>
          <w:p>
            <w:pPr>
              <w:spacing w:after="0"/>
              <w:rPr>
                <w:sz w:val="20"/>
                <w:szCs w:val="20"/>
                <w:color w:val="auto"/>
              </w:rPr>
            </w:pPr>
            <w:r>
              <w:rPr>
                <w:rFonts w:ascii="Arial" w:cs="Arial" w:eastAsia="Arial" w:hAnsi="Arial"/>
                <w:sz w:val="18"/>
                <w:szCs w:val="18"/>
                <w:b w:val="1"/>
                <w:bCs w:val="1"/>
                <w:color w:val="auto"/>
              </w:rPr>
              <w:t>TechnipFMC</w:t>
            </w:r>
          </w:p>
        </w:tc>
        <w:tc>
          <w:tcPr>
            <w:tcW w:w="2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432"/>
        </w:trPr>
        <w:tc>
          <w:tcPr>
            <w:tcW w:w="4060" w:type="dxa"/>
            <w:vAlign w:val="bottom"/>
            <w:gridSpan w:val="5"/>
          </w:tcPr>
          <w:p>
            <w:pPr>
              <w:spacing w:after="0"/>
              <w:rPr>
                <w:sz w:val="20"/>
                <w:szCs w:val="20"/>
                <w:color w:val="auto"/>
              </w:rPr>
            </w:pPr>
            <w:r>
              <w:rPr>
                <w:rFonts w:ascii="Arial" w:cs="Arial" w:eastAsia="Arial" w:hAnsi="Arial"/>
                <w:sz w:val="18"/>
                <w:szCs w:val="18"/>
                <w:b w:val="1"/>
                <w:bCs w:val="1"/>
                <w:color w:val="auto"/>
              </w:rPr>
              <w:t>Investor relations</w:t>
            </w:r>
          </w:p>
        </w:tc>
        <w:tc>
          <w:tcPr>
            <w:tcW w:w="7180" w:type="dxa"/>
            <w:vAlign w:val="bottom"/>
            <w:gridSpan w:val="5"/>
          </w:tcPr>
          <w:p>
            <w:pPr>
              <w:ind w:left="1560"/>
              <w:spacing w:after="0"/>
              <w:rPr>
                <w:sz w:val="20"/>
                <w:szCs w:val="20"/>
                <w:color w:val="auto"/>
              </w:rPr>
            </w:pPr>
            <w:r>
              <w:rPr>
                <w:rFonts w:ascii="Arial" w:cs="Arial" w:eastAsia="Arial" w:hAnsi="Arial"/>
                <w:sz w:val="18"/>
                <w:szCs w:val="18"/>
                <w:b w:val="1"/>
                <w:bCs w:val="1"/>
                <w:color w:val="auto"/>
              </w:rPr>
              <w:t>Media relations</w:t>
            </w:r>
          </w:p>
        </w:tc>
      </w:tr>
      <w:tr>
        <w:trPr>
          <w:trHeight w:val="418"/>
        </w:trPr>
        <w:tc>
          <w:tcPr>
            <w:tcW w:w="4060" w:type="dxa"/>
            <w:vAlign w:val="bottom"/>
            <w:gridSpan w:val="5"/>
          </w:tcPr>
          <w:p>
            <w:pPr>
              <w:spacing w:after="0"/>
              <w:rPr>
                <w:sz w:val="20"/>
                <w:szCs w:val="20"/>
                <w:color w:val="auto"/>
              </w:rPr>
            </w:pPr>
            <w:r>
              <w:rPr>
                <w:rFonts w:ascii="Arial" w:cs="Arial" w:eastAsia="Arial" w:hAnsi="Arial"/>
                <w:sz w:val="18"/>
                <w:szCs w:val="18"/>
                <w:color w:val="auto"/>
              </w:rPr>
              <w:t>Matt Seinsheimer</w:t>
            </w:r>
          </w:p>
        </w:tc>
        <w:tc>
          <w:tcPr>
            <w:tcW w:w="7180" w:type="dxa"/>
            <w:vAlign w:val="bottom"/>
            <w:gridSpan w:val="5"/>
          </w:tcPr>
          <w:p>
            <w:pPr>
              <w:ind w:left="1560"/>
              <w:spacing w:after="0"/>
              <w:rPr>
                <w:sz w:val="20"/>
                <w:szCs w:val="20"/>
                <w:color w:val="auto"/>
              </w:rPr>
            </w:pPr>
            <w:r>
              <w:rPr>
                <w:rFonts w:ascii="Arial" w:cs="Arial" w:eastAsia="Arial" w:hAnsi="Arial"/>
                <w:sz w:val="18"/>
                <w:szCs w:val="18"/>
                <w:color w:val="auto"/>
              </w:rPr>
              <w:t>Nicola Cameron</w:t>
            </w:r>
          </w:p>
        </w:tc>
      </w:tr>
      <w:tr>
        <w:trPr>
          <w:trHeight w:val="216"/>
        </w:trPr>
        <w:tc>
          <w:tcPr>
            <w:tcW w:w="4060" w:type="dxa"/>
            <w:vAlign w:val="bottom"/>
            <w:gridSpan w:val="5"/>
          </w:tcPr>
          <w:p>
            <w:pPr>
              <w:spacing w:after="0"/>
              <w:rPr>
                <w:sz w:val="20"/>
                <w:szCs w:val="20"/>
                <w:color w:val="auto"/>
              </w:rPr>
            </w:pPr>
            <w:r>
              <w:rPr>
                <w:rFonts w:ascii="Arial" w:cs="Arial" w:eastAsia="Arial" w:hAnsi="Arial"/>
                <w:sz w:val="18"/>
                <w:szCs w:val="18"/>
                <w:color w:val="auto"/>
              </w:rPr>
              <w:t>Vice President Investor Relations</w:t>
            </w:r>
          </w:p>
        </w:tc>
        <w:tc>
          <w:tcPr>
            <w:tcW w:w="7180" w:type="dxa"/>
            <w:vAlign w:val="bottom"/>
            <w:gridSpan w:val="5"/>
          </w:tcPr>
          <w:p>
            <w:pPr>
              <w:ind w:left="1560"/>
              <w:spacing w:after="0"/>
              <w:rPr>
                <w:sz w:val="20"/>
                <w:szCs w:val="20"/>
                <w:color w:val="auto"/>
              </w:rPr>
            </w:pPr>
            <w:r>
              <w:rPr>
                <w:rFonts w:ascii="Arial" w:cs="Arial" w:eastAsia="Arial" w:hAnsi="Arial"/>
                <w:sz w:val="18"/>
                <w:szCs w:val="18"/>
                <w:color w:val="auto"/>
              </w:rPr>
              <w:t>Vice President Corporate Communications</w:t>
            </w:r>
          </w:p>
        </w:tc>
      </w:tr>
      <w:tr>
        <w:trPr>
          <w:trHeight w:val="216"/>
        </w:trPr>
        <w:tc>
          <w:tcPr>
            <w:tcW w:w="4060" w:type="dxa"/>
            <w:vAlign w:val="bottom"/>
            <w:gridSpan w:val="5"/>
          </w:tcPr>
          <w:p>
            <w:pPr>
              <w:spacing w:after="0"/>
              <w:rPr>
                <w:sz w:val="20"/>
                <w:szCs w:val="20"/>
                <w:color w:val="auto"/>
              </w:rPr>
            </w:pPr>
            <w:r>
              <w:rPr>
                <w:rFonts w:ascii="Arial" w:cs="Arial" w:eastAsia="Arial" w:hAnsi="Arial"/>
                <w:sz w:val="18"/>
                <w:szCs w:val="18"/>
                <w:color w:val="auto"/>
              </w:rPr>
              <w:t>Tel: +1 281 260 3665</w:t>
            </w:r>
          </w:p>
        </w:tc>
        <w:tc>
          <w:tcPr>
            <w:tcW w:w="7180" w:type="dxa"/>
            <w:vAlign w:val="bottom"/>
            <w:gridSpan w:val="5"/>
          </w:tcPr>
          <w:p>
            <w:pPr>
              <w:ind w:left="1560"/>
              <w:spacing w:after="0"/>
              <w:rPr>
                <w:sz w:val="20"/>
                <w:szCs w:val="20"/>
                <w:color w:val="auto"/>
              </w:rPr>
            </w:pPr>
            <w:r>
              <w:rPr>
                <w:rFonts w:ascii="Arial" w:cs="Arial" w:eastAsia="Arial" w:hAnsi="Arial"/>
                <w:sz w:val="18"/>
                <w:szCs w:val="18"/>
                <w:color w:val="auto"/>
              </w:rPr>
              <w:t>Tel: +44 1383 742297</w:t>
            </w:r>
          </w:p>
        </w:tc>
      </w:tr>
      <w:tr>
        <w:trPr>
          <w:trHeight w:val="190"/>
        </w:trPr>
        <w:tc>
          <w:tcPr>
            <w:tcW w:w="4060" w:type="dxa"/>
            <w:vAlign w:val="bottom"/>
            <w:gridSpan w:val="5"/>
          </w:tcPr>
          <w:p>
            <w:pPr>
              <w:spacing w:after="0" w:line="190" w:lineRule="exact"/>
              <w:rPr>
                <w:sz w:val="20"/>
                <w:szCs w:val="20"/>
                <w:color w:val="auto"/>
              </w:rPr>
            </w:pPr>
            <w:r>
              <w:rPr>
                <w:rFonts w:ascii="Arial" w:cs="Arial" w:eastAsia="Arial" w:hAnsi="Arial"/>
                <w:sz w:val="18"/>
                <w:szCs w:val="18"/>
                <w:color w:val="auto"/>
              </w:rPr>
              <w:t>Email: Matt Seinsheimer</w:t>
            </w:r>
          </w:p>
        </w:tc>
        <w:tc>
          <w:tcPr>
            <w:tcW w:w="7180" w:type="dxa"/>
            <w:vAlign w:val="bottom"/>
            <w:gridSpan w:val="5"/>
          </w:tcPr>
          <w:p>
            <w:pPr>
              <w:ind w:left="1560"/>
              <w:spacing w:after="0" w:line="190" w:lineRule="exact"/>
              <w:rPr>
                <w:sz w:val="20"/>
                <w:szCs w:val="20"/>
                <w:color w:val="auto"/>
              </w:rPr>
            </w:pPr>
            <w:r>
              <w:rPr>
                <w:rFonts w:ascii="Arial" w:cs="Arial" w:eastAsia="Arial" w:hAnsi="Arial"/>
                <w:sz w:val="18"/>
                <w:szCs w:val="18"/>
                <w:color w:val="auto"/>
              </w:rPr>
              <w:t>Email: Nicola Cameron</w:t>
            </w:r>
          </w:p>
        </w:tc>
      </w:tr>
      <w:tr>
        <w:trPr>
          <w:trHeight w:val="20"/>
        </w:trPr>
        <w:tc>
          <w:tcPr>
            <w:tcW w:w="5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r>
      <w:tr>
        <w:trPr>
          <w:trHeight w:val="438"/>
        </w:trPr>
        <w:tc>
          <w:tcPr>
            <w:tcW w:w="4060" w:type="dxa"/>
            <w:vAlign w:val="bottom"/>
            <w:gridSpan w:val="5"/>
          </w:tcPr>
          <w:p>
            <w:pPr>
              <w:spacing w:after="0"/>
              <w:rPr>
                <w:sz w:val="20"/>
                <w:szCs w:val="20"/>
                <w:color w:val="auto"/>
              </w:rPr>
            </w:pPr>
            <w:r>
              <w:rPr>
                <w:rFonts w:ascii="Arial" w:cs="Arial" w:eastAsia="Arial" w:hAnsi="Arial"/>
                <w:sz w:val="18"/>
                <w:szCs w:val="18"/>
                <w:color w:val="auto"/>
              </w:rPr>
              <w:t>James Davis</w:t>
            </w:r>
          </w:p>
        </w:tc>
        <w:tc>
          <w:tcPr>
            <w:tcW w:w="7180" w:type="dxa"/>
            <w:vAlign w:val="bottom"/>
            <w:gridSpan w:val="5"/>
          </w:tcPr>
          <w:p>
            <w:pPr>
              <w:ind w:left="1560"/>
              <w:spacing w:after="0"/>
              <w:rPr>
                <w:sz w:val="20"/>
                <w:szCs w:val="20"/>
                <w:color w:val="auto"/>
              </w:rPr>
            </w:pPr>
            <w:r>
              <w:rPr>
                <w:rFonts w:ascii="Arial" w:cs="Arial" w:eastAsia="Arial" w:hAnsi="Arial"/>
                <w:sz w:val="18"/>
                <w:szCs w:val="18"/>
                <w:color w:val="auto"/>
              </w:rPr>
              <w:t>Brooke Robertson</w:t>
            </w:r>
          </w:p>
        </w:tc>
      </w:tr>
      <w:tr>
        <w:trPr>
          <w:trHeight w:val="216"/>
        </w:trPr>
        <w:tc>
          <w:tcPr>
            <w:tcW w:w="4060" w:type="dxa"/>
            <w:vAlign w:val="bottom"/>
            <w:gridSpan w:val="5"/>
          </w:tcPr>
          <w:p>
            <w:pPr>
              <w:spacing w:after="0"/>
              <w:rPr>
                <w:sz w:val="20"/>
                <w:szCs w:val="20"/>
                <w:color w:val="auto"/>
              </w:rPr>
            </w:pPr>
            <w:r>
              <w:rPr>
                <w:rFonts w:ascii="Arial" w:cs="Arial" w:eastAsia="Arial" w:hAnsi="Arial"/>
                <w:sz w:val="18"/>
                <w:szCs w:val="18"/>
                <w:color w:val="auto"/>
              </w:rPr>
              <w:t>Senior Manager Investor Relations</w:t>
            </w:r>
          </w:p>
        </w:tc>
        <w:tc>
          <w:tcPr>
            <w:tcW w:w="7180" w:type="dxa"/>
            <w:vAlign w:val="bottom"/>
            <w:gridSpan w:val="5"/>
          </w:tcPr>
          <w:p>
            <w:pPr>
              <w:ind w:left="1560"/>
              <w:spacing w:after="0"/>
              <w:rPr>
                <w:sz w:val="20"/>
                <w:szCs w:val="20"/>
                <w:color w:val="auto"/>
              </w:rPr>
            </w:pPr>
            <w:r>
              <w:rPr>
                <w:rFonts w:ascii="Arial" w:cs="Arial" w:eastAsia="Arial" w:hAnsi="Arial"/>
                <w:sz w:val="18"/>
                <w:szCs w:val="18"/>
                <w:color w:val="auto"/>
              </w:rPr>
              <w:t>Public Relations Director</w:t>
            </w:r>
          </w:p>
        </w:tc>
      </w:tr>
      <w:tr>
        <w:trPr>
          <w:trHeight w:val="216"/>
        </w:trPr>
        <w:tc>
          <w:tcPr>
            <w:tcW w:w="4060" w:type="dxa"/>
            <w:vAlign w:val="bottom"/>
            <w:gridSpan w:val="5"/>
          </w:tcPr>
          <w:p>
            <w:pPr>
              <w:spacing w:after="0"/>
              <w:rPr>
                <w:sz w:val="20"/>
                <w:szCs w:val="20"/>
                <w:color w:val="auto"/>
              </w:rPr>
            </w:pPr>
            <w:r>
              <w:rPr>
                <w:rFonts w:ascii="Arial" w:cs="Arial" w:eastAsia="Arial" w:hAnsi="Arial"/>
                <w:sz w:val="18"/>
                <w:szCs w:val="18"/>
                <w:color w:val="auto"/>
              </w:rPr>
              <w:t>Tel: +1 281 260 3665</w:t>
            </w:r>
          </w:p>
        </w:tc>
        <w:tc>
          <w:tcPr>
            <w:tcW w:w="7180" w:type="dxa"/>
            <w:vAlign w:val="bottom"/>
            <w:gridSpan w:val="5"/>
          </w:tcPr>
          <w:p>
            <w:pPr>
              <w:ind w:left="1560"/>
              <w:spacing w:after="0"/>
              <w:rPr>
                <w:sz w:val="20"/>
                <w:szCs w:val="20"/>
                <w:color w:val="auto"/>
              </w:rPr>
            </w:pPr>
            <w:r>
              <w:rPr>
                <w:rFonts w:ascii="Arial" w:cs="Arial" w:eastAsia="Arial" w:hAnsi="Arial"/>
                <w:sz w:val="18"/>
                <w:szCs w:val="18"/>
                <w:color w:val="auto"/>
              </w:rPr>
              <w:t>Tel: +1 281 591 4108</w:t>
            </w:r>
          </w:p>
        </w:tc>
      </w:tr>
      <w:tr>
        <w:trPr>
          <w:trHeight w:val="190"/>
        </w:trPr>
        <w:tc>
          <w:tcPr>
            <w:tcW w:w="4060" w:type="dxa"/>
            <w:vAlign w:val="bottom"/>
            <w:gridSpan w:val="5"/>
          </w:tcPr>
          <w:p>
            <w:pPr>
              <w:spacing w:after="0" w:line="190" w:lineRule="exact"/>
              <w:rPr>
                <w:sz w:val="20"/>
                <w:szCs w:val="20"/>
                <w:color w:val="auto"/>
              </w:rPr>
            </w:pPr>
            <w:r>
              <w:rPr>
                <w:rFonts w:ascii="Arial" w:cs="Arial" w:eastAsia="Arial" w:hAnsi="Arial"/>
                <w:sz w:val="18"/>
                <w:szCs w:val="18"/>
                <w:color w:val="auto"/>
              </w:rPr>
              <w:t>Email: James Davis</w:t>
            </w:r>
          </w:p>
        </w:tc>
        <w:tc>
          <w:tcPr>
            <w:tcW w:w="7180" w:type="dxa"/>
            <w:vAlign w:val="bottom"/>
            <w:gridSpan w:val="5"/>
          </w:tcPr>
          <w:p>
            <w:pPr>
              <w:ind w:left="1560"/>
              <w:spacing w:after="0" w:line="190" w:lineRule="exact"/>
              <w:rPr>
                <w:sz w:val="20"/>
                <w:szCs w:val="20"/>
                <w:color w:val="auto"/>
              </w:rPr>
            </w:pPr>
            <w:r>
              <w:rPr>
                <w:rFonts w:ascii="Arial" w:cs="Arial" w:eastAsia="Arial" w:hAnsi="Arial"/>
                <w:sz w:val="18"/>
                <w:szCs w:val="18"/>
                <w:color w:val="auto"/>
              </w:rPr>
              <w:t>Email: Brooke Robertson</w:t>
            </w:r>
          </w:p>
        </w:tc>
      </w:tr>
      <w:tr>
        <w:trPr>
          <w:trHeight w:val="20"/>
        </w:trPr>
        <w:tc>
          <w:tcPr>
            <w:tcW w:w="5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r>
      <w:tr>
        <w:trPr>
          <w:trHeight w:val="453"/>
        </w:trPr>
        <w:tc>
          <w:tcPr>
            <w:tcW w:w="4060" w:type="dxa"/>
            <w:vAlign w:val="bottom"/>
            <w:gridSpan w:val="5"/>
          </w:tcPr>
          <w:p>
            <w:pPr>
              <w:spacing w:after="0"/>
              <w:rPr>
                <w:sz w:val="20"/>
                <w:szCs w:val="20"/>
                <w:color w:val="auto"/>
              </w:rPr>
            </w:pPr>
            <w:r>
              <w:rPr>
                <w:rFonts w:ascii="Arial" w:cs="Arial" w:eastAsia="Arial" w:hAnsi="Arial"/>
                <w:sz w:val="18"/>
                <w:szCs w:val="18"/>
                <w:b w:val="1"/>
                <w:bCs w:val="1"/>
                <w:color w:val="auto"/>
              </w:rPr>
              <w:t>Technip Energies</w:t>
            </w:r>
          </w:p>
        </w:tc>
        <w:tc>
          <w:tcPr>
            <w:tcW w:w="2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432"/>
        </w:trPr>
        <w:tc>
          <w:tcPr>
            <w:tcW w:w="4060" w:type="dxa"/>
            <w:vAlign w:val="bottom"/>
            <w:gridSpan w:val="5"/>
          </w:tcPr>
          <w:p>
            <w:pPr>
              <w:spacing w:after="0"/>
              <w:rPr>
                <w:sz w:val="20"/>
                <w:szCs w:val="20"/>
                <w:color w:val="auto"/>
              </w:rPr>
            </w:pPr>
            <w:r>
              <w:rPr>
                <w:rFonts w:ascii="Arial" w:cs="Arial" w:eastAsia="Arial" w:hAnsi="Arial"/>
                <w:sz w:val="18"/>
                <w:szCs w:val="18"/>
                <w:b w:val="1"/>
                <w:bCs w:val="1"/>
                <w:color w:val="auto"/>
              </w:rPr>
              <w:t>Investor relations</w:t>
            </w:r>
          </w:p>
        </w:tc>
        <w:tc>
          <w:tcPr>
            <w:tcW w:w="7180" w:type="dxa"/>
            <w:vAlign w:val="bottom"/>
            <w:gridSpan w:val="5"/>
          </w:tcPr>
          <w:p>
            <w:pPr>
              <w:ind w:left="1560"/>
              <w:spacing w:after="0"/>
              <w:rPr>
                <w:sz w:val="20"/>
                <w:szCs w:val="20"/>
                <w:color w:val="auto"/>
              </w:rPr>
            </w:pPr>
            <w:r>
              <w:rPr>
                <w:rFonts w:ascii="Arial" w:cs="Arial" w:eastAsia="Arial" w:hAnsi="Arial"/>
                <w:sz w:val="18"/>
                <w:szCs w:val="18"/>
                <w:b w:val="1"/>
                <w:bCs w:val="1"/>
                <w:color w:val="auto"/>
              </w:rPr>
              <w:t>Media relations</w:t>
            </w:r>
          </w:p>
        </w:tc>
      </w:tr>
      <w:tr>
        <w:trPr>
          <w:trHeight w:val="418"/>
        </w:trPr>
        <w:tc>
          <w:tcPr>
            <w:tcW w:w="4060" w:type="dxa"/>
            <w:vAlign w:val="bottom"/>
            <w:gridSpan w:val="5"/>
          </w:tcPr>
          <w:p>
            <w:pPr>
              <w:spacing w:after="0"/>
              <w:rPr>
                <w:sz w:val="20"/>
                <w:szCs w:val="20"/>
                <w:color w:val="auto"/>
              </w:rPr>
            </w:pPr>
            <w:r>
              <w:rPr>
                <w:rFonts w:ascii="Arial" w:cs="Arial" w:eastAsia="Arial" w:hAnsi="Arial"/>
                <w:sz w:val="18"/>
                <w:szCs w:val="18"/>
                <w:color w:val="auto"/>
              </w:rPr>
              <w:t>Phillip Lindsay</w:t>
            </w:r>
          </w:p>
        </w:tc>
        <w:tc>
          <w:tcPr>
            <w:tcW w:w="7180" w:type="dxa"/>
            <w:vAlign w:val="bottom"/>
            <w:gridSpan w:val="5"/>
          </w:tcPr>
          <w:p>
            <w:pPr>
              <w:ind w:left="1560"/>
              <w:spacing w:after="0"/>
              <w:rPr>
                <w:sz w:val="20"/>
                <w:szCs w:val="20"/>
                <w:color w:val="auto"/>
              </w:rPr>
            </w:pPr>
            <w:r>
              <w:rPr>
                <w:rFonts w:ascii="Arial" w:cs="Arial" w:eastAsia="Arial" w:hAnsi="Arial"/>
                <w:sz w:val="18"/>
                <w:szCs w:val="18"/>
                <w:color w:val="auto"/>
              </w:rPr>
              <w:t>Stella Fumey</w:t>
            </w:r>
          </w:p>
        </w:tc>
      </w:tr>
      <w:tr>
        <w:trPr>
          <w:trHeight w:val="216"/>
        </w:trPr>
        <w:tc>
          <w:tcPr>
            <w:tcW w:w="4060" w:type="dxa"/>
            <w:vAlign w:val="bottom"/>
            <w:gridSpan w:val="5"/>
          </w:tcPr>
          <w:p>
            <w:pPr>
              <w:spacing w:after="0"/>
              <w:rPr>
                <w:sz w:val="20"/>
                <w:szCs w:val="20"/>
                <w:color w:val="auto"/>
              </w:rPr>
            </w:pPr>
            <w:r>
              <w:rPr>
                <w:rFonts w:ascii="Arial" w:cs="Arial" w:eastAsia="Arial" w:hAnsi="Arial"/>
                <w:sz w:val="18"/>
                <w:szCs w:val="18"/>
                <w:color w:val="auto"/>
              </w:rPr>
              <w:t>Vice President Investor Relations</w:t>
            </w:r>
          </w:p>
        </w:tc>
        <w:tc>
          <w:tcPr>
            <w:tcW w:w="7180" w:type="dxa"/>
            <w:vAlign w:val="bottom"/>
            <w:gridSpan w:val="5"/>
          </w:tcPr>
          <w:p>
            <w:pPr>
              <w:ind w:left="1560"/>
              <w:spacing w:after="0"/>
              <w:rPr>
                <w:sz w:val="20"/>
                <w:szCs w:val="20"/>
                <w:color w:val="auto"/>
              </w:rPr>
            </w:pPr>
            <w:r>
              <w:rPr>
                <w:rFonts w:ascii="Arial" w:cs="Arial" w:eastAsia="Arial" w:hAnsi="Arial"/>
                <w:sz w:val="18"/>
                <w:szCs w:val="18"/>
                <w:color w:val="auto"/>
              </w:rPr>
              <w:t>PR and Digital Communications Director Communications</w:t>
            </w:r>
          </w:p>
        </w:tc>
      </w:tr>
      <w:tr>
        <w:trPr>
          <w:trHeight w:val="216"/>
        </w:trPr>
        <w:tc>
          <w:tcPr>
            <w:tcW w:w="4060" w:type="dxa"/>
            <w:vAlign w:val="bottom"/>
            <w:gridSpan w:val="5"/>
          </w:tcPr>
          <w:p>
            <w:pPr>
              <w:spacing w:after="0"/>
              <w:rPr>
                <w:sz w:val="20"/>
                <w:szCs w:val="20"/>
                <w:color w:val="auto"/>
              </w:rPr>
            </w:pPr>
            <w:r>
              <w:rPr>
                <w:rFonts w:ascii="Arial" w:cs="Arial" w:eastAsia="Arial" w:hAnsi="Arial"/>
                <w:sz w:val="18"/>
                <w:szCs w:val="18"/>
                <w:color w:val="auto"/>
              </w:rPr>
              <w:t>Tel: +44 20 3429 3929</w:t>
            </w:r>
          </w:p>
        </w:tc>
        <w:tc>
          <w:tcPr>
            <w:tcW w:w="7180" w:type="dxa"/>
            <w:vAlign w:val="bottom"/>
            <w:gridSpan w:val="5"/>
          </w:tcPr>
          <w:p>
            <w:pPr>
              <w:ind w:left="1560"/>
              <w:spacing w:after="0"/>
              <w:rPr>
                <w:sz w:val="20"/>
                <w:szCs w:val="20"/>
                <w:color w:val="auto"/>
              </w:rPr>
            </w:pPr>
            <w:r>
              <w:rPr>
                <w:rFonts w:ascii="Arial" w:cs="Arial" w:eastAsia="Arial" w:hAnsi="Arial"/>
                <w:sz w:val="18"/>
                <w:szCs w:val="18"/>
                <w:color w:val="auto"/>
              </w:rPr>
              <w:t>Tel: +33 4778 6675</w:t>
            </w:r>
          </w:p>
        </w:tc>
      </w:tr>
      <w:tr>
        <w:trPr>
          <w:trHeight w:val="190"/>
        </w:trPr>
        <w:tc>
          <w:tcPr>
            <w:tcW w:w="4060" w:type="dxa"/>
            <w:vAlign w:val="bottom"/>
            <w:gridSpan w:val="5"/>
          </w:tcPr>
          <w:p>
            <w:pPr>
              <w:spacing w:after="0" w:line="190" w:lineRule="exact"/>
              <w:rPr>
                <w:sz w:val="20"/>
                <w:szCs w:val="20"/>
                <w:color w:val="auto"/>
              </w:rPr>
            </w:pPr>
            <w:r>
              <w:rPr>
                <w:rFonts w:ascii="Arial" w:cs="Arial" w:eastAsia="Arial" w:hAnsi="Arial"/>
                <w:sz w:val="18"/>
                <w:szCs w:val="18"/>
                <w:color w:val="auto"/>
              </w:rPr>
              <w:t>Email: Phillip Lindsay</w:t>
            </w:r>
          </w:p>
        </w:tc>
        <w:tc>
          <w:tcPr>
            <w:tcW w:w="7180" w:type="dxa"/>
            <w:vAlign w:val="bottom"/>
            <w:gridSpan w:val="5"/>
          </w:tcPr>
          <w:p>
            <w:pPr>
              <w:ind w:left="1560"/>
              <w:spacing w:after="0" w:line="190" w:lineRule="exact"/>
              <w:rPr>
                <w:sz w:val="20"/>
                <w:szCs w:val="20"/>
                <w:color w:val="auto"/>
              </w:rPr>
            </w:pPr>
            <w:r>
              <w:rPr>
                <w:rFonts w:ascii="Arial" w:cs="Arial" w:eastAsia="Arial" w:hAnsi="Arial"/>
                <w:sz w:val="18"/>
                <w:szCs w:val="18"/>
                <w:color w:val="auto"/>
              </w:rPr>
              <w:t>Email: Stella Fumey</w:t>
            </w:r>
          </w:p>
        </w:tc>
      </w:tr>
      <w:tr>
        <w:trPr>
          <w:trHeight w:val="669"/>
        </w:trPr>
        <w:tc>
          <w:tcPr>
            <w:tcW w:w="5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80" w:type="dxa"/>
            <w:vAlign w:val="bottom"/>
          </w:tcPr>
          <w:p>
            <w:pPr>
              <w:ind w:left="1520"/>
              <w:spacing w:after="0"/>
              <w:rPr>
                <w:sz w:val="20"/>
                <w:szCs w:val="20"/>
                <w:color w:val="auto"/>
              </w:rPr>
            </w:pPr>
            <w:r>
              <w:rPr>
                <w:rFonts w:ascii="Arial" w:cs="Arial" w:eastAsia="Arial" w:hAnsi="Arial"/>
                <w:sz w:val="18"/>
                <w:szCs w:val="18"/>
                <w:color w:val="auto"/>
              </w:rPr>
              <w:t>3</w:t>
            </w:r>
          </w:p>
        </w:tc>
        <w:tc>
          <w:tcPr>
            <w:tcW w:w="9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115"/>
        </w:trPr>
        <w:tc>
          <w:tcPr>
            <w:tcW w:w="5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7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440" w:right="339" w:bottom="1440" w:gutter="0" w:footer="0" w:header="0"/>
        </w:sectPr>
      </w:pPr>
    </w:p>
    <w:bookmarkStart w:id="355" w:name="page356"/>
    <w:bookmarkEnd w:id="35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TECHNIPFMC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CONSOLIDATED FINANCIAL STATEMENTS</w:t>
      </w:r>
    </w:p>
    <w:p>
      <w:pPr>
        <w:spacing w:after="0" w:line="21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On February 16, 2021, TechnipFMC plc (“TechnipFMC” or “we”) completed the previously announced separation into two industry-leading, independent, publicly traded companies: Technip FMC, a fully integrated technology and service provider, and Technip Energies N.V., a leading engineering and technology player (“Technip Energies”). The transaction was structured as a spin-off (the “Spin-off”), which occurred by way of a pro rata dividend (the “Distribution”) to TechnipFMC’s shareholders of 50.1 percent of the outstanding shares of Technip Energies. Each of the TechnipFMC shareholders received one ordinary share of Technip Energies for every five ordinary shares of TechnipFMC held at 5:00 p.m., New York City time on the record date, February 17, 2021. Technip Energies is now an independent public company and its shares trade under the ticker symbol “TE” on the Euronext Paris stock exchange. Technip Energies intends to establish a sponsored American Depositary Receipt program in the United States as of February 23, 2021.</w:t>
      </w:r>
    </w:p>
    <w:p>
      <w:pPr>
        <w:spacing w:after="0" w:line="16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connection with the Spin-off, on January 7, 2021, Bpifrance Participations SA (“BPI”), which has been a substantial shareholder of TechnipFMC since 2009, entered into the share purchase agreement with TechnipFMC pursuant to which BPI will purchase from TechnipFMC a portion of TechnipFMC’s retained stake in Technip Energies (the “BPI Investment”) for $200.0 million (the “Purchase Price”). The Purchase Price is subject to adjustment, and BPI’s ownership stake will be determined based upon a thirty day volume-weighted average price of Technip Energies shares (with BPI’s ownership collared between an 11.82 percentage floor and a 17.25 percentage cap), less a six percent discount. The BPI Investment is subject to customary conditions and regulatory approval. Following completion of the Distribution, TechnipFMC intends to significantly reduce its shareholding in Technip Energies over the 18 months following the Spin-off, including in connection with the sale of shares to BPI pursuant to the BPI Investment.</w:t>
      </w:r>
    </w:p>
    <w:p>
      <w:pPr>
        <w:spacing w:after="0" w:line="16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following unaudited pro forma condensed consolidated financial statements consist of unaudited pro forma condensed consolidated statements of income (loss) for the years ended December 31, 2019, 2018 and 2017 and for the nine months ended September 30, 2020, and an unaudited pro forma condensed consolidated balance sheet as of September 30, 2020. The unaudited pro forma condensed consolidated balance sheet assumes that the Spin-off and the Distribution had occurred on September 30, 2020, and the unaudited pro forma condensed consolidated statements of income (loss) assume that the Spin-off and the Distribution had occurred on January 1, 2017.</w:t>
      </w:r>
    </w:p>
    <w:p>
      <w:pPr>
        <w:spacing w:after="0" w:line="18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transaction accounting adjustments for the Spin-off consist of those necessary to account for the separation of the Technip Energies business segment. Separately, in connection with the Spin-off, TechnipFMC issued $1.0 billion of its 6.50% Senior Notes due 2026. The adjustments related to the issuance of this debt and repayment of certain existing debts are shown in a separate column as “Financing Adjustments”. The unaudited pro forma condensed consolidated financial statements do not include any management’s adjustments that include forward-looking information.</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unaudited pro forma condensed consolidated financial statements have been prepared based upon available information and management estimates and are subject to assumptions and adjustments described below and in the accompanying notes to those financial statements. The unaudited pro forma condensed consolidated financial statements are not intended to represent or be indicative of the financial condition or results of operations that might have occurred had the Spin-off and Distribution occurred as of the dates stated below, and further should not be taken as representative of future financial condition or results of operations of the reorganized entity. The actual financial position and results of operations may differ significantly from the pro forma amounts reflected herein due to a variety of factors. Management believes these assumptions and adjustments are reasonable under the circumstances, given the information available at the filing date.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56" w:name="page357"/>
    <w:bookmarkEnd w:id="356"/>
    <w:p>
      <w:pPr>
        <w:spacing w:after="0"/>
        <w:rPr>
          <w:sz w:val="20"/>
          <w:szCs w:val="20"/>
          <w:color w:val="auto"/>
        </w:rPr>
      </w:pPr>
      <w:r>
        <w:rPr>
          <w:rFonts w:ascii="Arial" w:cs="Arial" w:eastAsia="Arial" w:hAnsi="Arial"/>
          <w:sz w:val="18"/>
          <w:szCs w:val="18"/>
          <w:color w:val="auto"/>
        </w:rPr>
        <w:t>The unaudited pro forma condensed consolidated financial statements and the accompanying notes should be read in conjunction with:</w:t>
      </w:r>
    </w:p>
    <w:p>
      <w:pPr>
        <w:spacing w:after="0" w:line="221" w:lineRule="exact"/>
        <w:rPr>
          <w:sz w:val="20"/>
          <w:szCs w:val="20"/>
          <w:color w:val="auto"/>
        </w:rPr>
      </w:pPr>
    </w:p>
    <w:p>
      <w:pPr>
        <w:ind w:left="660" w:right="260" w:hanging="324"/>
        <w:spacing w:after="0" w:line="261" w:lineRule="auto"/>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the audited consolidated financial statements and accompanying notes and “Management’s Discussion and Analysis of Financial Condition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Results of Operations” included in TechnipFMC’s Form 10-K for the fiscal year ended December 31, 2019 and</w:t>
      </w:r>
    </w:p>
    <w:p>
      <w:pPr>
        <w:ind w:left="660" w:right="340" w:hanging="324"/>
        <w:spacing w:after="0" w:line="290" w:lineRule="auto"/>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the unaudited condensed consolidated financial statements and accompanying notes and “Management’s Discussion and Analysis of Financial</w:t>
      </w:r>
      <w:r>
        <w:rPr>
          <w:rFonts w:ascii="Arial" w:cs="Arial" w:eastAsia="Arial" w:hAnsi="Arial"/>
          <w:sz w:val="17"/>
          <w:szCs w:val="17"/>
          <w:b w:val="1"/>
          <w:bCs w:val="1"/>
          <w:color w:val="auto"/>
        </w:rPr>
        <w:t xml:space="preserve"> </w:t>
      </w:r>
      <w:r>
        <w:rPr>
          <w:rFonts w:ascii="Arial" w:cs="Arial" w:eastAsia="Arial" w:hAnsi="Arial"/>
          <w:sz w:val="17"/>
          <w:szCs w:val="17"/>
          <w:color w:val="auto"/>
        </w:rPr>
        <w:t>Condition and Results of Operations” included in TechnipFMC’s Form 10-Q for the nine months ended September 30, 2020.</w:t>
      </w:r>
    </w:p>
    <w:p>
      <w:pPr>
        <w:spacing w:after="0" w:line="1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Historical column in the unaudited pro forma condensed consolidated financial statements reflects TechnipFMC’s historical financial statements for the periods presented and does not reflect any adjustments related to the Distribution and related events.</w:t>
      </w:r>
    </w:p>
    <w:p>
      <w:pPr>
        <w:spacing w:after="0" w:line="17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Technip Energies Separation column in the unaudited pro forma condensed consolidated financial statements was derived from the audited combined financial statements for the years ended December 31, 2019, 2018 and 2017 included in Technip Energies’ registration statement on Form F-1 filed with the Securities and Exchange Commission on January 19, 2021, and from the unaudited combined financial statements as of and for the nine months ended September 30, 2020. The combined financial statements were adjusted to exclude certain items which are relevant to the continuing operations of TechnipFMC and to reflect certain insignificant IFRS to US GAAP conversion differences.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7" w:name="page358"/>
    <w:bookmarkEnd w:id="357"/>
    <w:p>
      <w:pPr>
        <w:jc w:val="center"/>
        <w:spacing w:after="0"/>
        <w:rPr>
          <w:sz w:val="20"/>
          <w:szCs w:val="20"/>
          <w:color w:val="auto"/>
        </w:rPr>
      </w:pPr>
      <w:r>
        <w:rPr>
          <w:rFonts w:ascii="Arial" w:cs="Arial" w:eastAsia="Arial" w:hAnsi="Arial"/>
          <w:sz w:val="18"/>
          <w:szCs w:val="18"/>
          <w:b w:val="1"/>
          <w:bCs w:val="1"/>
          <w:color w:val="auto"/>
        </w:rPr>
        <w:t>TECHNIPFMC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Pro Forma</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Technip</w:t>
            </w:r>
          </w:p>
        </w:tc>
        <w:tc>
          <w:tcPr>
            <w:tcW w:w="1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Transaction</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TechnipFMC</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Pro Forma</w:t>
            </w: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Energies</w:t>
            </w:r>
          </w:p>
        </w:tc>
        <w:tc>
          <w:tcPr>
            <w:tcW w:w="1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Accounting</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plc after</w:t>
            </w:r>
          </w:p>
        </w:tc>
        <w:tc>
          <w:tcPr>
            <w:tcW w:w="120" w:type="dxa"/>
            <w:vAlign w:val="bottom"/>
          </w:tcPr>
          <w:p>
            <w:pPr>
              <w:spacing w:after="0"/>
              <w:rPr>
                <w:sz w:val="18"/>
                <w:szCs w:val="18"/>
                <w:color w:val="auto"/>
              </w:rPr>
            </w:pPr>
          </w:p>
        </w:tc>
        <w:tc>
          <w:tcPr>
            <w:tcW w:w="940" w:type="dxa"/>
            <w:vAlign w:val="bottom"/>
          </w:tcPr>
          <w:p>
            <w:pPr>
              <w:ind w:left="20"/>
              <w:spacing w:after="0"/>
              <w:rPr>
                <w:sz w:val="20"/>
                <w:szCs w:val="20"/>
                <w:color w:val="auto"/>
              </w:rPr>
            </w:pPr>
            <w:r>
              <w:rPr>
                <w:rFonts w:ascii="Arial" w:cs="Arial" w:eastAsia="Arial" w:hAnsi="Arial"/>
                <w:sz w:val="18"/>
                <w:szCs w:val="18"/>
                <w:b w:val="1"/>
                <w:bCs w:val="1"/>
                <w:color w:val="auto"/>
              </w:rPr>
              <w:t>Financing</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TechnipFMC</w:t>
            </w:r>
          </w:p>
        </w:tc>
      </w:tr>
      <w:tr>
        <w:trPr>
          <w:trHeight w:val="241"/>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w w:val="95"/>
              </w:rPr>
              <w:t>Historical</w:t>
            </w:r>
          </w:p>
        </w:tc>
        <w:tc>
          <w:tcPr>
            <w:tcW w:w="100" w:type="dxa"/>
            <w:vAlign w:val="bottom"/>
          </w:tcPr>
          <w:p>
            <w:pPr>
              <w:spacing w:after="0"/>
              <w:rPr>
                <w:sz w:val="20"/>
                <w:szCs w:val="20"/>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Separation</w:t>
            </w:r>
          </w:p>
        </w:tc>
        <w:tc>
          <w:tcPr>
            <w:tcW w:w="1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Adjustments</w:t>
            </w:r>
          </w:p>
        </w:tc>
        <w:tc>
          <w:tcPr>
            <w:tcW w:w="80" w:type="dxa"/>
            <w:vAlign w:val="bottom"/>
          </w:tcPr>
          <w:p>
            <w:pPr>
              <w:spacing w:after="0"/>
              <w:rPr>
                <w:sz w:val="20"/>
                <w:szCs w:val="20"/>
                <w:color w:val="auto"/>
              </w:rPr>
            </w:pPr>
          </w:p>
        </w:tc>
        <w:tc>
          <w:tcPr>
            <w:tcW w:w="72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w w:val="91"/>
              </w:rPr>
              <w:t>Notes</w:t>
            </w: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Spin-off</w:t>
            </w:r>
          </w:p>
        </w:tc>
        <w:tc>
          <w:tcPr>
            <w:tcW w:w="1060" w:type="dxa"/>
            <w:vAlign w:val="bottom"/>
            <w:gridSpan w:val="2"/>
          </w:tcPr>
          <w:p>
            <w:pPr>
              <w:ind w:left="40"/>
              <w:spacing w:after="0"/>
              <w:rPr>
                <w:sz w:val="20"/>
                <w:szCs w:val="20"/>
                <w:color w:val="auto"/>
              </w:rPr>
            </w:pPr>
            <w:r>
              <w:rPr>
                <w:rFonts w:ascii="Arial" w:cs="Arial" w:eastAsia="Arial" w:hAnsi="Arial"/>
                <w:sz w:val="18"/>
                <w:szCs w:val="18"/>
                <w:b w:val="1"/>
                <w:bCs w:val="1"/>
                <w:color w:val="auto"/>
                <w:w w:val="91"/>
              </w:rPr>
              <w:t>Adjustments</w:t>
            </w:r>
          </w:p>
        </w:tc>
        <w:tc>
          <w:tcPr>
            <w:tcW w:w="100" w:type="dxa"/>
            <w:vAlign w:val="bottom"/>
          </w:tcPr>
          <w:p>
            <w:pPr>
              <w:spacing w:after="0"/>
              <w:rPr>
                <w:sz w:val="20"/>
                <w:szCs w:val="20"/>
                <w:color w:val="auto"/>
              </w:rPr>
            </w:pPr>
          </w:p>
        </w:tc>
        <w:tc>
          <w:tcPr>
            <w:tcW w:w="540" w:type="dxa"/>
            <w:vAlign w:val="bottom"/>
          </w:tcPr>
          <w:p>
            <w:pPr>
              <w:ind w:left="40"/>
              <w:spacing w:after="0"/>
              <w:rPr>
                <w:sz w:val="20"/>
                <w:szCs w:val="20"/>
                <w:color w:val="auto"/>
              </w:rPr>
            </w:pPr>
            <w:r>
              <w:rPr>
                <w:rFonts w:ascii="Arial" w:cs="Arial" w:eastAsia="Arial" w:hAnsi="Arial"/>
                <w:sz w:val="18"/>
                <w:szCs w:val="18"/>
                <w:b w:val="1"/>
                <w:bCs w:val="1"/>
                <w:color w:val="auto"/>
                <w:w w:val="95"/>
              </w:rPr>
              <w:t>Notes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b w:val="1"/>
                <w:bCs w:val="1"/>
                <w:color w:val="auto"/>
                <w:w w:val="84"/>
              </w:rPr>
              <w:t>plc</w:t>
            </w:r>
          </w:p>
        </w:tc>
      </w:tr>
      <w:tr>
        <w:trPr>
          <w:trHeight w:val="216"/>
        </w:trPr>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Revenue</w:t>
            </w: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r>
      <w:tr>
        <w:trPr>
          <w:trHeight w:val="216"/>
        </w:trPr>
        <w:tc>
          <w:tcPr>
            <w:tcW w:w="3160" w:type="dxa"/>
            <w:vAlign w:val="bottom"/>
          </w:tcPr>
          <w:p>
            <w:pPr>
              <w:ind w:left="220"/>
              <w:spacing w:after="0"/>
              <w:rPr>
                <w:sz w:val="20"/>
                <w:szCs w:val="20"/>
                <w:color w:val="auto"/>
              </w:rPr>
            </w:pPr>
            <w:r>
              <w:rPr>
                <w:rFonts w:ascii="Arial" w:cs="Arial" w:eastAsia="Arial" w:hAnsi="Arial"/>
                <w:sz w:val="18"/>
                <w:szCs w:val="18"/>
                <w:color w:val="auto"/>
              </w:rPr>
              <w:t>Service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7,101.9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(4,694.8)</w:t>
            </w:r>
          </w:p>
        </w:tc>
        <w:tc>
          <w:tcPr>
            <w:tcW w:w="10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640" w:type="dxa"/>
            <w:vAlign w:val="bottom"/>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2,407.1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2,407.1</w:t>
            </w:r>
          </w:p>
        </w:tc>
      </w:tr>
      <w:tr>
        <w:trPr>
          <w:trHeight w:val="216"/>
        </w:trPr>
        <w:tc>
          <w:tcPr>
            <w:tcW w:w="3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 revenue</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2,416.9</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2,416.9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2,416.9</w:t>
            </w:r>
          </w:p>
        </w:tc>
      </w:tr>
      <w:tr>
        <w:trPr>
          <w:trHeight w:val="223"/>
        </w:trPr>
        <w:tc>
          <w:tcPr>
            <w:tcW w:w="3160" w:type="dxa"/>
            <w:vAlign w:val="bottom"/>
          </w:tcPr>
          <w:p>
            <w:pPr>
              <w:ind w:left="220"/>
              <w:spacing w:after="0"/>
              <w:rPr>
                <w:sz w:val="20"/>
                <w:szCs w:val="20"/>
                <w:color w:val="auto"/>
              </w:rPr>
            </w:pPr>
            <w:r>
              <w:rPr>
                <w:rFonts w:ascii="Arial" w:cs="Arial" w:eastAsia="Arial" w:hAnsi="Arial"/>
                <w:sz w:val="18"/>
                <w:szCs w:val="18"/>
                <w:color w:val="auto"/>
              </w:rPr>
              <w:t>Lease revenue</w:t>
            </w:r>
          </w:p>
        </w:tc>
        <w:tc>
          <w:tcPr>
            <w:tcW w:w="12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40" w:type="dxa"/>
            <w:vAlign w:val="bottom"/>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105.7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105.7</w:t>
            </w:r>
          </w:p>
        </w:tc>
      </w:tr>
      <w:tr>
        <w:trPr>
          <w:trHeight w:val="216"/>
        </w:trPr>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9,624.5</w:t>
            </w: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(4,694.8)</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4,929.7</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4,929.7</w:t>
            </w: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Costs and expenses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3160" w:type="dxa"/>
            <w:vAlign w:val="bottom"/>
          </w:tcPr>
          <w:p>
            <w:pPr>
              <w:ind w:left="220"/>
              <w:spacing w:after="0"/>
              <w:rPr>
                <w:sz w:val="20"/>
                <w:szCs w:val="20"/>
                <w:color w:val="auto"/>
              </w:rPr>
            </w:pPr>
            <w:r>
              <w:rPr>
                <w:rFonts w:ascii="Arial" w:cs="Arial" w:eastAsia="Arial" w:hAnsi="Arial"/>
                <w:sz w:val="18"/>
                <w:szCs w:val="18"/>
                <w:color w:val="auto"/>
              </w:rPr>
              <w:t>Cost of service revenue</w:t>
            </w:r>
          </w:p>
        </w:tc>
        <w:tc>
          <w:tcPr>
            <w:tcW w:w="12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6,158.0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(3,855.4)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2,302.6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2,302.6</w:t>
            </w:r>
          </w:p>
        </w:tc>
      </w:tr>
      <w:tr>
        <w:trPr>
          <w:trHeight w:val="216"/>
        </w:trPr>
        <w:tc>
          <w:tcPr>
            <w:tcW w:w="3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product revenue</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1,970.0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1,970.0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1,970.0</w:t>
            </w:r>
          </w:p>
        </w:tc>
      </w:tr>
      <w:tr>
        <w:trPr>
          <w:trHeight w:val="216"/>
        </w:trPr>
        <w:tc>
          <w:tcPr>
            <w:tcW w:w="3160" w:type="dxa"/>
            <w:vAlign w:val="bottom"/>
          </w:tcPr>
          <w:p>
            <w:pPr>
              <w:ind w:left="220"/>
              <w:spacing w:after="0"/>
              <w:rPr>
                <w:sz w:val="20"/>
                <w:szCs w:val="20"/>
                <w:color w:val="auto"/>
              </w:rPr>
            </w:pPr>
            <w:r>
              <w:rPr>
                <w:rFonts w:ascii="Arial" w:cs="Arial" w:eastAsia="Arial" w:hAnsi="Arial"/>
                <w:sz w:val="18"/>
                <w:szCs w:val="18"/>
                <w:color w:val="auto"/>
              </w:rPr>
              <w:t>Cost of lease revenue</w:t>
            </w:r>
          </w:p>
        </w:tc>
        <w:tc>
          <w:tcPr>
            <w:tcW w:w="12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40" w:type="dxa"/>
            <w:vAlign w:val="bottom"/>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90.3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90.3</w:t>
            </w:r>
          </w:p>
        </w:tc>
      </w:tr>
      <w:tr>
        <w:trPr>
          <w:trHeight w:val="202"/>
        </w:trPr>
        <w:tc>
          <w:tcPr>
            <w:tcW w:w="31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0"/>
        </w:trPr>
        <w:tc>
          <w:tcPr>
            <w:tcW w:w="3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expense</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780.8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528.2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528.2</w:t>
            </w:r>
          </w:p>
        </w:tc>
      </w:tr>
      <w:tr>
        <w:trPr>
          <w:trHeight w:val="216"/>
        </w:trPr>
        <w:tc>
          <w:tcPr>
            <w:tcW w:w="3160" w:type="dxa"/>
            <w:vAlign w:val="bottom"/>
          </w:tcPr>
          <w:p>
            <w:pPr>
              <w:ind w:left="220"/>
              <w:spacing w:after="0"/>
              <w:rPr>
                <w:sz w:val="20"/>
                <w:szCs w:val="20"/>
                <w:color w:val="auto"/>
              </w:rPr>
            </w:pPr>
            <w:r>
              <w:rPr>
                <w:rFonts w:ascii="Arial" w:cs="Arial" w:eastAsia="Arial" w:hAnsi="Arial"/>
                <w:sz w:val="18"/>
                <w:szCs w:val="18"/>
                <w:color w:val="auto"/>
                <w:w w:val="99"/>
              </w:rPr>
              <w:t>Research and development expense</w:t>
            </w:r>
          </w:p>
        </w:tc>
        <w:tc>
          <w:tcPr>
            <w:tcW w:w="12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108.8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72.0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72.0</w:t>
            </w:r>
          </w:p>
        </w:tc>
      </w:tr>
      <w:tr>
        <w:trPr>
          <w:trHeight w:val="202"/>
        </w:trPr>
        <w:tc>
          <w:tcPr>
            <w:tcW w:w="31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Impairment, restructuring and other</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0"/>
        </w:trPr>
        <w:tc>
          <w:tcPr>
            <w:tcW w:w="3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expense</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3,440.7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3,356.2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3,356.2</w:t>
            </w:r>
          </w:p>
        </w:tc>
      </w:tr>
      <w:tr>
        <w:trPr>
          <w:trHeight w:val="216"/>
        </w:trPr>
        <w:tc>
          <w:tcPr>
            <w:tcW w:w="3160" w:type="dxa"/>
            <w:vAlign w:val="bottom"/>
          </w:tcPr>
          <w:p>
            <w:pPr>
              <w:ind w:left="220"/>
              <w:spacing w:after="0"/>
              <w:rPr>
                <w:sz w:val="20"/>
                <w:szCs w:val="20"/>
                <w:color w:val="auto"/>
              </w:rPr>
            </w:pPr>
            <w:r>
              <w:rPr>
                <w:rFonts w:ascii="Arial" w:cs="Arial" w:eastAsia="Arial" w:hAnsi="Arial"/>
                <w:sz w:val="18"/>
                <w:szCs w:val="18"/>
                <w:color w:val="auto"/>
              </w:rPr>
              <w:t>Separation costs</w:t>
            </w:r>
          </w:p>
        </w:tc>
        <w:tc>
          <w:tcPr>
            <w:tcW w:w="12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27.1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36"/>
        </w:trPr>
        <w:tc>
          <w:tcPr>
            <w:tcW w:w="31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0"/>
              </w:rPr>
              <w:t>Merger transaction and integration costs</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03"/>
        </w:trPr>
        <w:tc>
          <w:tcPr>
            <w:tcW w:w="31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costs and expenses</w:t>
            </w: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12,575.7</w:t>
            </w:r>
          </w:p>
        </w:tc>
        <w:tc>
          <w:tcPr>
            <w:tcW w:w="10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(4,256.4)</w:t>
            </w:r>
          </w:p>
        </w:tc>
        <w:tc>
          <w:tcPr>
            <w:tcW w:w="10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ind w:left="320"/>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8,319.3</w:t>
            </w: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ind w:left="62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8,319.3</w:t>
            </w:r>
          </w:p>
        </w:tc>
      </w:tr>
      <w:tr>
        <w:trPr>
          <w:trHeight w:val="216"/>
        </w:trPr>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3160" w:type="dxa"/>
            <w:vAlign w:val="bottom"/>
          </w:tcPr>
          <w:p>
            <w:pPr>
              <w:ind w:left="220"/>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(9.3)</w:t>
            </w: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2.1</w:t>
            </w:r>
          </w:p>
        </w:tc>
      </w:tr>
      <w:tr>
        <w:trPr>
          <w:trHeight w:val="236"/>
        </w:trPr>
        <w:tc>
          <w:tcPr>
            <w:tcW w:w="3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equity affiliates</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52.9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50.1</w:t>
            </w:r>
          </w:p>
        </w:tc>
      </w:tr>
      <w:tr>
        <w:trPr>
          <w:trHeight w:val="175"/>
        </w:trPr>
        <w:tc>
          <w:tcPr>
            <w:tcW w:w="316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w w:val="94"/>
              </w:rPr>
              <w:t>Income (loss) before net interest expense</w:t>
            </w:r>
          </w:p>
        </w:tc>
        <w:tc>
          <w:tcPr>
            <w:tcW w:w="1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and income taxes</w:t>
            </w:r>
          </w:p>
        </w:tc>
        <w:tc>
          <w:tcPr>
            <w:tcW w:w="12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(2,907.6)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(429.8)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(3,337.4)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(3,337.4)</w:t>
            </w:r>
          </w:p>
        </w:tc>
      </w:tr>
      <w:tr>
        <w:trPr>
          <w:trHeight w:val="236"/>
        </w:trPr>
        <w:tc>
          <w:tcPr>
            <w:tcW w:w="3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interest expense</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(238.5)</w:t>
            </w: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136.6</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(h)</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(124.8)</w:t>
            </w:r>
          </w:p>
        </w:tc>
      </w:tr>
      <w:tr>
        <w:trPr>
          <w:trHeight w:val="203"/>
        </w:trPr>
        <w:tc>
          <w:tcPr>
            <w:tcW w:w="31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Income (loss) before income taxes</w:t>
            </w: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(3,146.1)</w:t>
            </w:r>
          </w:p>
        </w:tc>
        <w:tc>
          <w:tcPr>
            <w:tcW w:w="10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(293.2)</w:t>
            </w:r>
          </w:p>
        </w:tc>
        <w:tc>
          <w:tcPr>
            <w:tcW w:w="10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ind w:left="320"/>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(3,439.3)</w:t>
            </w: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ind w:left="400"/>
              <w:spacing w:after="0" w:line="203" w:lineRule="exact"/>
              <w:rPr>
                <w:sz w:val="20"/>
                <w:szCs w:val="20"/>
                <w:color w:val="auto"/>
              </w:rPr>
            </w:pPr>
            <w:r>
              <w:rPr>
                <w:rFonts w:ascii="Arial" w:cs="Arial" w:eastAsia="Arial" w:hAnsi="Arial"/>
                <w:sz w:val="18"/>
                <w:szCs w:val="18"/>
                <w:color w:val="auto"/>
              </w:rPr>
              <w:t>(22.9)</w:t>
            </w:r>
          </w:p>
        </w:tc>
        <w:tc>
          <w:tcPr>
            <w:tcW w:w="10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(3,462.2)</w:t>
            </w:r>
          </w:p>
        </w:tc>
      </w:tr>
      <w:tr>
        <w:trPr>
          <w:trHeight w:val="223"/>
        </w:trPr>
        <w:tc>
          <w:tcPr>
            <w:tcW w:w="3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Provision for income taxes</w:t>
            </w: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77.9</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(i)</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rPr>
          <w:sz w:val="20"/>
          <w:szCs w:val="20"/>
          <w:color w:val="auto"/>
        </w:rPr>
      </w:pPr>
      <w:r>
        <w:rPr>
          <w:rFonts w:ascii="Arial" w:cs="Arial" w:eastAsia="Arial" w:hAnsi="Arial"/>
          <w:sz w:val="18"/>
          <w:szCs w:val="18"/>
          <w:b w:val="1"/>
          <w:bCs w:val="1"/>
          <w:color w:val="auto"/>
        </w:rPr>
        <w:t>Net income (loss)</w:t>
      </w:r>
    </w:p>
    <w:p>
      <w:pPr>
        <w:spacing w:after="0" w:line="9" w:lineRule="exact"/>
        <w:rPr>
          <w:sz w:val="20"/>
          <w:szCs w:val="20"/>
          <w:color w:val="auto"/>
        </w:rPr>
      </w:pPr>
    </w:p>
    <w:p>
      <w:pPr>
        <w:ind w:left="220"/>
        <w:spacing w:after="0" w:line="250" w:lineRule="auto"/>
        <w:rPr>
          <w:sz w:val="20"/>
          <w:szCs w:val="20"/>
          <w:color w:val="auto"/>
        </w:rPr>
      </w:pPr>
      <w:r>
        <w:rPr>
          <w:rFonts w:ascii="Arial" w:cs="Arial" w:eastAsia="Arial" w:hAnsi="Arial"/>
          <w:sz w:val="18"/>
          <w:szCs w:val="18"/>
          <w:color w:val="auto"/>
        </w:rPr>
        <w:t>Net profit attributable to noncontrolling interests</w:t>
      </w:r>
    </w:p>
    <w:p>
      <w:pPr>
        <w:spacing w:after="0" w:line="1" w:lineRule="exact"/>
        <w:rPr>
          <w:sz w:val="20"/>
          <w:szCs w:val="20"/>
          <w:color w:val="auto"/>
        </w:rPr>
      </w:pPr>
    </w:p>
    <w:p>
      <w:pPr>
        <w:ind w:right="580"/>
        <w:spacing w:after="0" w:line="290" w:lineRule="auto"/>
        <w:rPr>
          <w:sz w:val="20"/>
          <w:szCs w:val="20"/>
          <w:color w:val="auto"/>
        </w:rPr>
      </w:pPr>
      <w:r>
        <w:rPr>
          <w:rFonts w:ascii="Arial" w:cs="Arial" w:eastAsia="Arial" w:hAnsi="Arial"/>
          <w:sz w:val="17"/>
          <w:szCs w:val="17"/>
          <w:b w:val="1"/>
          <w:bCs w:val="1"/>
          <w:color w:val="auto"/>
        </w:rPr>
        <w:t>Net income (loss) attributable to TechnipFMC plc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060" w:type="dxa"/>
            <w:vAlign w:val="bottom"/>
          </w:tcPr>
          <w:p>
            <w:pPr>
              <w:jc w:val="right"/>
              <w:ind w:right="10"/>
              <w:spacing w:after="0"/>
              <w:rPr>
                <w:sz w:val="20"/>
                <w:szCs w:val="20"/>
                <w:color w:val="auto"/>
              </w:rPr>
            </w:pPr>
            <w:r>
              <w:rPr>
                <w:rFonts w:ascii="Arial" w:cs="Arial" w:eastAsia="Arial" w:hAnsi="Arial"/>
                <w:sz w:val="18"/>
                <w:szCs w:val="18"/>
                <w:color w:val="auto"/>
              </w:rPr>
              <w:t>(3,224.0)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(192.8)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10"/>
              <w:spacing w:after="0"/>
              <w:rPr>
                <w:sz w:val="20"/>
                <w:szCs w:val="20"/>
                <w:color w:val="auto"/>
              </w:rPr>
            </w:pPr>
            <w:r>
              <w:rPr>
                <w:rFonts w:ascii="Arial" w:cs="Arial" w:eastAsia="Arial" w:hAnsi="Arial"/>
                <w:sz w:val="18"/>
                <w:szCs w:val="18"/>
                <w:color w:val="auto"/>
              </w:rPr>
              <w:t>(3,416.8)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(22.9)</w:t>
            </w: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(3,439.7)</w:t>
            </w:r>
          </w:p>
        </w:tc>
      </w:tr>
      <w:tr>
        <w:trPr>
          <w:trHeight w:val="411"/>
        </w:trPr>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(14.8)</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(14.8)</w:t>
            </w:r>
          </w:p>
        </w:tc>
      </w:tr>
      <w:tr>
        <w:trPr>
          <w:trHeight w:val="392"/>
        </w:trPr>
        <w:tc>
          <w:tcPr>
            <w:tcW w:w="1060" w:type="dxa"/>
            <w:vAlign w:val="bottom"/>
          </w:tcPr>
          <w:p>
            <w:pPr>
              <w:jc w:val="right"/>
              <w:ind w:right="10"/>
              <w:spacing w:after="0"/>
              <w:rPr>
                <w:sz w:val="20"/>
                <w:szCs w:val="20"/>
                <w:color w:val="auto"/>
              </w:rPr>
            </w:pPr>
            <w:r>
              <w:rPr>
                <w:rFonts w:ascii="Arial" w:cs="Arial" w:eastAsia="Arial" w:hAnsi="Arial"/>
                <w:sz w:val="18"/>
                <w:szCs w:val="18"/>
                <w:color w:val="auto"/>
                <w:w w:val="96"/>
              </w:rPr>
              <w:t>$   (3,248.3)</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(183.3)</w:t>
            </w:r>
          </w:p>
        </w:tc>
        <w:tc>
          <w:tcPr>
            <w:tcW w:w="100" w:type="dxa"/>
            <w:vAlign w:val="bottom"/>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640" w:type="dxa"/>
            <w:vAlign w:val="bottom"/>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10"/>
              <w:spacing w:after="0"/>
              <w:rPr>
                <w:sz w:val="20"/>
                <w:szCs w:val="20"/>
                <w:color w:val="auto"/>
              </w:rPr>
            </w:pPr>
            <w:r>
              <w:rPr>
                <w:rFonts w:ascii="Arial" w:cs="Arial" w:eastAsia="Arial" w:hAnsi="Arial"/>
                <w:sz w:val="18"/>
                <w:szCs w:val="18"/>
                <w:color w:val="auto"/>
              </w:rPr>
              <w:t>$   (3,431.6)</w:t>
            </w:r>
          </w:p>
        </w:tc>
        <w:tc>
          <w:tcPr>
            <w:tcW w:w="80" w:type="dxa"/>
            <w:vAlign w:val="bottom"/>
          </w:tcPr>
          <w:p>
            <w:pPr>
              <w:spacing w:after="0"/>
              <w:rPr>
                <w:sz w:val="24"/>
                <w:szCs w:val="24"/>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(22.9)</w:t>
            </w:r>
          </w:p>
        </w:tc>
        <w:tc>
          <w:tcPr>
            <w:tcW w:w="72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(3,454.5)</w:t>
            </w:r>
          </w:p>
        </w:tc>
      </w:tr>
      <w:tr>
        <w:trPr>
          <w:trHeight w:val="20"/>
        </w:trPr>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-565150</wp:posOffset>
            </wp:positionV>
            <wp:extent cx="7132320" cy="27432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060" w:space="100"/>
            <w:col w:w="80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30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2"/>
        </w:trPr>
        <w:tc>
          <w:tcPr>
            <w:tcW w:w="3040" w:type="dxa"/>
            <w:vAlign w:val="bottom"/>
          </w:tcPr>
          <w:p>
            <w:pPr>
              <w:spacing w:after="0" w:line="201" w:lineRule="exact"/>
              <w:rPr>
                <w:sz w:val="20"/>
                <w:szCs w:val="20"/>
                <w:color w:val="auto"/>
              </w:rPr>
            </w:pPr>
            <w:r>
              <w:rPr>
                <w:rFonts w:ascii="Arial" w:cs="Arial" w:eastAsia="Arial" w:hAnsi="Arial"/>
                <w:sz w:val="18"/>
                <w:szCs w:val="18"/>
                <w:i w:val="1"/>
                <w:iCs w:val="1"/>
                <w:color w:val="auto"/>
                <w:w w:val="95"/>
              </w:rPr>
              <w:t>Earnings (loss) per share attributable to</w:t>
            </w: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0"/>
        </w:trPr>
        <w:tc>
          <w:tcPr>
            <w:tcW w:w="3040" w:type="dxa"/>
            <w:vAlign w:val="bottom"/>
          </w:tcPr>
          <w:p>
            <w:pPr>
              <w:spacing w:after="0"/>
              <w:rPr>
                <w:sz w:val="20"/>
                <w:szCs w:val="20"/>
                <w:color w:val="auto"/>
              </w:rPr>
            </w:pPr>
            <w:r>
              <w:rPr>
                <w:rFonts w:ascii="Arial" w:cs="Arial" w:eastAsia="Arial" w:hAnsi="Arial"/>
                <w:sz w:val="18"/>
                <w:szCs w:val="18"/>
                <w:i w:val="1"/>
                <w:iCs w:val="1"/>
                <w:color w:val="auto"/>
              </w:rPr>
              <w:t>TechnipFMC plc</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16"/>
        </w:trPr>
        <w:tc>
          <w:tcPr>
            <w:tcW w:w="3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(7.24)</w:t>
            </w:r>
          </w:p>
        </w:tc>
        <w:tc>
          <w:tcPr>
            <w:tcW w:w="5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(7.70)</w:t>
            </w:r>
          </w:p>
        </w:tc>
      </w:tr>
      <w:tr>
        <w:trPr>
          <w:trHeight w:val="216"/>
        </w:trPr>
        <w:tc>
          <w:tcPr>
            <w:tcW w:w="3040" w:type="dxa"/>
            <w:vAlign w:val="bottom"/>
          </w:tcPr>
          <w:p>
            <w:pPr>
              <w:ind w:left="340"/>
              <w:spacing w:after="0"/>
              <w:rPr>
                <w:sz w:val="20"/>
                <w:szCs w:val="20"/>
                <w:color w:val="auto"/>
              </w:rPr>
            </w:pPr>
            <w:r>
              <w:rPr>
                <w:rFonts w:ascii="Arial" w:cs="Arial" w:eastAsia="Arial" w:hAnsi="Arial"/>
                <w:sz w:val="18"/>
                <w:szCs w:val="18"/>
                <w:color w:val="auto"/>
              </w:rPr>
              <w:t>Diluted</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tcPr>
          <w:p>
            <w:pPr>
              <w:ind w:left="240"/>
              <w:spacing w:after="0"/>
              <w:rPr>
                <w:sz w:val="20"/>
                <w:szCs w:val="20"/>
                <w:color w:val="auto"/>
              </w:rPr>
            </w:pPr>
            <w:r>
              <w:rPr>
                <w:rFonts w:ascii="Arial" w:cs="Arial" w:eastAsia="Arial" w:hAnsi="Arial"/>
                <w:sz w:val="18"/>
                <w:szCs w:val="18"/>
                <w:color w:val="auto"/>
              </w:rPr>
              <w:t>(7.24)</w:t>
            </w:r>
          </w:p>
        </w:tc>
        <w:tc>
          <w:tcPr>
            <w:tcW w:w="56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Pr>
          <w:p>
            <w:pPr>
              <w:ind w:left="240"/>
              <w:spacing w:after="0"/>
              <w:rPr>
                <w:sz w:val="20"/>
                <w:szCs w:val="20"/>
                <w:color w:val="auto"/>
              </w:rPr>
            </w:pPr>
            <w:r>
              <w:rPr>
                <w:rFonts w:ascii="Arial" w:cs="Arial" w:eastAsia="Arial" w:hAnsi="Arial"/>
                <w:sz w:val="18"/>
                <w:szCs w:val="18"/>
                <w:color w:val="auto"/>
              </w:rPr>
              <w:t>(7.70)</w:t>
            </w: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99"/>
              </w:rPr>
              <w:t>Weighted average shares outstanding</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3040" w:type="dxa"/>
            <w:vAlign w:val="bottom"/>
          </w:tcPr>
          <w:p>
            <w:pPr>
              <w:ind w:left="340"/>
              <w:spacing w:after="0"/>
              <w:rPr>
                <w:sz w:val="20"/>
                <w:szCs w:val="20"/>
                <w:color w:val="auto"/>
              </w:rPr>
            </w:pPr>
            <w:r>
              <w:rPr>
                <w:rFonts w:ascii="Arial" w:cs="Arial" w:eastAsia="Arial" w:hAnsi="Arial"/>
                <w:sz w:val="18"/>
                <w:szCs w:val="18"/>
                <w:color w:val="auto"/>
              </w:rPr>
              <w:t>Basic</w:t>
            </w:r>
          </w:p>
        </w:tc>
        <w:tc>
          <w:tcPr>
            <w:tcW w:w="420" w:type="dxa"/>
            <w:vAlign w:val="bottom"/>
          </w:tcPr>
          <w:p>
            <w:pPr>
              <w:spacing w:after="0"/>
              <w:rPr>
                <w:sz w:val="18"/>
                <w:szCs w:val="18"/>
                <w:color w:val="auto"/>
              </w:rPr>
            </w:pPr>
          </w:p>
        </w:tc>
        <w:tc>
          <w:tcPr>
            <w:tcW w:w="1400" w:type="dxa"/>
            <w:vAlign w:val="bottom"/>
          </w:tcPr>
          <w:p>
            <w:pPr>
              <w:ind w:left="220"/>
              <w:spacing w:after="0"/>
              <w:rPr>
                <w:sz w:val="20"/>
                <w:szCs w:val="20"/>
                <w:color w:val="auto"/>
              </w:rPr>
            </w:pPr>
            <w:r>
              <w:rPr>
                <w:rFonts w:ascii="Arial" w:cs="Arial" w:eastAsia="Arial" w:hAnsi="Arial"/>
                <w:sz w:val="18"/>
                <w:szCs w:val="18"/>
                <w:color w:val="auto"/>
              </w:rPr>
              <w:t>448.4</w:t>
            </w:r>
          </w:p>
        </w:tc>
        <w:tc>
          <w:tcPr>
            <w:tcW w:w="560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Arial" w:cs="Arial" w:eastAsia="Arial" w:hAnsi="Arial"/>
                <w:sz w:val="18"/>
                <w:szCs w:val="18"/>
                <w:color w:val="auto"/>
              </w:rPr>
              <w:t>448.4</w:t>
            </w:r>
          </w:p>
        </w:tc>
      </w:tr>
      <w:tr>
        <w:trPr>
          <w:trHeight w:val="216"/>
        </w:trPr>
        <w:tc>
          <w:tcPr>
            <w:tcW w:w="3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448.4</w:t>
            </w:r>
          </w:p>
        </w:tc>
        <w:tc>
          <w:tcPr>
            <w:tcW w:w="5600" w:type="dxa"/>
            <w:vAlign w:val="bottom"/>
            <w:shd w:val="clear" w:color="auto" w:fill="CCEEFF"/>
          </w:tcPr>
          <w:p>
            <w:pPr>
              <w:spacing w:after="0"/>
              <w:rPr>
                <w:sz w:val="18"/>
                <w:szCs w:val="18"/>
                <w:color w:val="auto"/>
              </w:rPr>
            </w:pPr>
          </w:p>
        </w:tc>
        <w:tc>
          <w:tcPr>
            <w:tcW w:w="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448.4</w:t>
            </w:r>
          </w:p>
        </w:tc>
      </w:tr>
      <w:tr>
        <w:trPr>
          <w:trHeight w:val="392"/>
        </w:trPr>
        <w:tc>
          <w:tcPr>
            <w:tcW w:w="3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0" w:type="dxa"/>
            <w:vAlign w:val="bottom"/>
          </w:tcPr>
          <w:p>
            <w:pPr>
              <w:jc w:val="right"/>
              <w:ind w:right="4710"/>
              <w:spacing w:after="0"/>
              <w:rPr>
                <w:sz w:val="20"/>
                <w:szCs w:val="20"/>
                <w:color w:val="auto"/>
              </w:rPr>
            </w:pPr>
            <w:r>
              <w:rPr>
                <w:rFonts w:ascii="Arial" w:cs="Arial" w:eastAsia="Arial" w:hAnsi="Arial"/>
                <w:sz w:val="18"/>
                <w:szCs w:val="18"/>
                <w:color w:val="auto"/>
              </w:rPr>
              <w:t>3</w:t>
            </w:r>
          </w:p>
        </w:tc>
        <w:tc>
          <w:tcPr>
            <w:tcW w:w="780" w:type="dxa"/>
            <w:vAlign w:val="bottom"/>
          </w:tcPr>
          <w:p>
            <w:pPr>
              <w:spacing w:after="0"/>
              <w:rPr>
                <w:sz w:val="24"/>
                <w:szCs w:val="24"/>
                <w:color w:val="auto"/>
              </w:rPr>
            </w:pPr>
          </w:p>
        </w:tc>
      </w:tr>
      <w:tr>
        <w:trPr>
          <w:trHeight w:val="61"/>
        </w:trPr>
        <w:tc>
          <w:tcPr>
            <w:tcW w:w="30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56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21" w:right="339" w:bottom="1440" w:gutter="0" w:footer="0" w:header="0"/>
          <w:type w:val="continuous"/>
        </w:sectPr>
      </w:pPr>
    </w:p>
    <w:bookmarkStart w:id="358" w:name="page359"/>
    <w:bookmarkEnd w:id="358"/>
    <w:p>
      <w:pPr>
        <w:jc w:val="center"/>
        <w:spacing w:after="0"/>
        <w:rPr>
          <w:sz w:val="20"/>
          <w:szCs w:val="20"/>
          <w:color w:val="auto"/>
        </w:rPr>
      </w:pPr>
      <w:r>
        <w:rPr>
          <w:rFonts w:ascii="Arial" w:cs="Arial" w:eastAsia="Arial" w:hAnsi="Arial"/>
          <w:sz w:val="18"/>
          <w:szCs w:val="18"/>
          <w:b w:val="1"/>
          <w:bCs w:val="1"/>
          <w:color w:val="auto"/>
        </w:rPr>
        <w:t>TECHNIPFMC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Pro Forma</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Technip</w:t>
            </w:r>
          </w:p>
        </w:tc>
        <w:tc>
          <w:tcPr>
            <w:tcW w:w="1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Transaction</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TechnipFMC</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Pro Forma</w:t>
            </w:r>
          </w:p>
        </w:tc>
      </w:tr>
      <w:tr>
        <w:trPr>
          <w:trHeight w:val="216"/>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Energies</w:t>
            </w:r>
          </w:p>
        </w:tc>
        <w:tc>
          <w:tcPr>
            <w:tcW w:w="1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Accounting</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plc after</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ind w:left="20"/>
              <w:spacing w:after="0"/>
              <w:rPr>
                <w:sz w:val="20"/>
                <w:szCs w:val="20"/>
                <w:color w:val="auto"/>
              </w:rPr>
            </w:pPr>
            <w:r>
              <w:rPr>
                <w:rFonts w:ascii="Arial" w:cs="Arial" w:eastAsia="Arial" w:hAnsi="Arial"/>
                <w:sz w:val="18"/>
                <w:szCs w:val="18"/>
                <w:b w:val="1"/>
                <w:bCs w:val="1"/>
                <w:color w:val="auto"/>
              </w:rPr>
              <w:t>Financing</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6"/>
              </w:rPr>
              <w:t>TechnipFMC</w:t>
            </w:r>
          </w:p>
        </w:tc>
      </w:tr>
      <w:tr>
        <w:trPr>
          <w:trHeight w:val="241"/>
        </w:trPr>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b w:val="1"/>
                <w:bCs w:val="1"/>
                <w:color w:val="auto"/>
                <w:w w:val="92"/>
              </w:rPr>
              <w:t>Historical</w:t>
            </w:r>
          </w:p>
        </w:tc>
        <w:tc>
          <w:tcPr>
            <w:tcW w:w="100" w:type="dxa"/>
            <w:vAlign w:val="bottom"/>
          </w:tcPr>
          <w:p>
            <w:pPr>
              <w:spacing w:after="0"/>
              <w:rPr>
                <w:sz w:val="20"/>
                <w:szCs w:val="20"/>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Separation</w:t>
            </w:r>
          </w:p>
        </w:tc>
        <w:tc>
          <w:tcPr>
            <w:tcW w:w="1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Adjustments</w:t>
            </w:r>
          </w:p>
        </w:tc>
        <w:tc>
          <w:tcPr>
            <w:tcW w:w="100" w:type="dxa"/>
            <w:vAlign w:val="bottom"/>
          </w:tcPr>
          <w:p>
            <w:pPr>
              <w:spacing w:after="0"/>
              <w:rPr>
                <w:sz w:val="20"/>
                <w:szCs w:val="20"/>
                <w:color w:val="auto"/>
              </w:rPr>
            </w:pPr>
          </w:p>
        </w:tc>
        <w:tc>
          <w:tcPr>
            <w:tcW w:w="72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w w:val="91"/>
              </w:rPr>
              <w:t>Notes</w:t>
            </w:r>
          </w:p>
        </w:tc>
        <w:tc>
          <w:tcPr>
            <w:tcW w:w="9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Spin-off</w:t>
            </w:r>
          </w:p>
        </w:tc>
        <w:tc>
          <w:tcPr>
            <w:tcW w:w="40" w:type="dxa"/>
            <w:vAlign w:val="bottom"/>
          </w:tcPr>
          <w:p>
            <w:pPr>
              <w:spacing w:after="0"/>
              <w:rPr>
                <w:sz w:val="20"/>
                <w:szCs w:val="20"/>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b w:val="1"/>
                <w:bCs w:val="1"/>
                <w:color w:val="auto"/>
                <w:w w:val="93"/>
              </w:rPr>
              <w:t>Adjustments</w:t>
            </w:r>
          </w:p>
        </w:tc>
        <w:tc>
          <w:tcPr>
            <w:tcW w:w="80" w:type="dxa"/>
            <w:vAlign w:val="bottom"/>
          </w:tcPr>
          <w:p>
            <w:pPr>
              <w:spacing w:after="0"/>
              <w:rPr>
                <w:sz w:val="20"/>
                <w:szCs w:val="20"/>
                <w:color w:val="auto"/>
              </w:rPr>
            </w:pPr>
          </w:p>
        </w:tc>
        <w:tc>
          <w:tcPr>
            <w:tcW w:w="640" w:type="dxa"/>
            <w:vAlign w:val="bottom"/>
            <w:gridSpan w:val="2"/>
          </w:tcPr>
          <w:p>
            <w:pPr>
              <w:ind w:left="60"/>
              <w:spacing w:after="0"/>
              <w:rPr>
                <w:sz w:val="20"/>
                <w:szCs w:val="20"/>
                <w:color w:val="auto"/>
              </w:rPr>
            </w:pPr>
            <w:r>
              <w:rPr>
                <w:rFonts w:ascii="Arial" w:cs="Arial" w:eastAsia="Arial" w:hAnsi="Arial"/>
                <w:sz w:val="18"/>
                <w:szCs w:val="18"/>
                <w:b w:val="1"/>
                <w:bCs w:val="1"/>
                <w:color w:val="auto"/>
              </w:rPr>
              <w:t>Notes</w:t>
            </w:r>
          </w:p>
        </w:tc>
        <w:tc>
          <w:tcPr>
            <w:tcW w:w="100" w:type="dxa"/>
            <w:vAlign w:val="bottom"/>
          </w:tcPr>
          <w:p>
            <w:pPr>
              <w:spacing w:after="0"/>
              <w:rPr>
                <w:sz w:val="20"/>
                <w:szCs w:val="20"/>
                <w:color w:val="auto"/>
              </w:rPr>
            </w:pPr>
          </w:p>
        </w:tc>
        <w:tc>
          <w:tcPr>
            <w:tcW w:w="98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plc</w:t>
            </w:r>
          </w:p>
        </w:tc>
      </w:tr>
      <w:tr>
        <w:trPr>
          <w:trHeight w:val="216"/>
        </w:trPr>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Revenue</w:t>
            </w: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r>
      <w:tr>
        <w:trPr>
          <w:trHeight w:val="216"/>
        </w:trPr>
        <w:tc>
          <w:tcPr>
            <w:tcW w:w="3200" w:type="dxa"/>
            <w:vAlign w:val="bottom"/>
          </w:tcPr>
          <w:p>
            <w:pPr>
              <w:ind w:left="220"/>
              <w:spacing w:after="0"/>
              <w:rPr>
                <w:sz w:val="20"/>
                <w:szCs w:val="20"/>
                <w:color w:val="auto"/>
              </w:rPr>
            </w:pPr>
            <w:r>
              <w:rPr>
                <w:rFonts w:ascii="Arial" w:cs="Arial" w:eastAsia="Arial" w:hAnsi="Arial"/>
                <w:sz w:val="18"/>
                <w:szCs w:val="18"/>
                <w:color w:val="auto"/>
              </w:rPr>
              <w:t>Service revenue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9,789.7</w:t>
            </w: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   (6,458.9)</w:t>
            </w:r>
          </w:p>
        </w:tc>
        <w:tc>
          <w:tcPr>
            <w:tcW w:w="8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640" w:type="dxa"/>
            <w:vAlign w:val="bottom"/>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3,330.8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ind w:lef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3,330.8</w:t>
            </w:r>
          </w:p>
        </w:tc>
      </w:tr>
      <w:tr>
        <w:trPr>
          <w:trHeight w:val="216"/>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 revenue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3,352.9</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3,352.9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3,352.9</w:t>
            </w:r>
          </w:p>
        </w:tc>
      </w:tr>
      <w:tr>
        <w:trPr>
          <w:trHeight w:val="223"/>
        </w:trPr>
        <w:tc>
          <w:tcPr>
            <w:tcW w:w="3200" w:type="dxa"/>
            <w:vAlign w:val="bottom"/>
          </w:tcPr>
          <w:p>
            <w:pPr>
              <w:ind w:left="220"/>
              <w:spacing w:after="0"/>
              <w:rPr>
                <w:sz w:val="20"/>
                <w:szCs w:val="20"/>
                <w:color w:val="auto"/>
              </w:rPr>
            </w:pPr>
            <w:r>
              <w:rPr>
                <w:rFonts w:ascii="Arial" w:cs="Arial" w:eastAsia="Arial" w:hAnsi="Arial"/>
                <w:sz w:val="18"/>
                <w:szCs w:val="18"/>
                <w:color w:val="auto"/>
              </w:rPr>
              <w:t>Lease revenue</w:t>
            </w:r>
          </w:p>
        </w:tc>
        <w:tc>
          <w:tcPr>
            <w:tcW w:w="1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266.5</w:t>
            </w:r>
          </w:p>
        </w:tc>
        <w:tc>
          <w:tcPr>
            <w:tcW w:w="1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40" w:type="dxa"/>
            <w:vAlign w:val="bottom"/>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266.5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ind w:lef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266.5</w:t>
            </w:r>
          </w:p>
        </w:tc>
      </w:tr>
      <w:tr>
        <w:trPr>
          <w:trHeight w:val="216"/>
        </w:trPr>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13,409.1</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(6,458.9)</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6,950.2</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6,950.2</w:t>
            </w:r>
          </w:p>
        </w:tc>
      </w:tr>
      <w:tr>
        <w:trPr>
          <w:trHeight w:val="216"/>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Costs and expenses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3200" w:type="dxa"/>
            <w:vAlign w:val="bottom"/>
          </w:tcPr>
          <w:p>
            <w:pPr>
              <w:ind w:left="220"/>
              <w:spacing w:after="0"/>
              <w:rPr>
                <w:sz w:val="20"/>
                <w:szCs w:val="20"/>
                <w:color w:val="auto"/>
              </w:rPr>
            </w:pPr>
            <w:r>
              <w:rPr>
                <w:rFonts w:ascii="Arial" w:cs="Arial" w:eastAsia="Arial" w:hAnsi="Arial"/>
                <w:sz w:val="18"/>
                <w:szCs w:val="18"/>
                <w:color w:val="auto"/>
              </w:rPr>
              <w:t>Cost of service revenue</w:t>
            </w:r>
          </w:p>
        </w:tc>
        <w:tc>
          <w:tcPr>
            <w:tcW w:w="12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7,767.2</w:t>
            </w: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(5,071.4)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2,695.8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ind w:lef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2,695.8</w:t>
            </w:r>
          </w:p>
        </w:tc>
      </w:tr>
      <w:tr>
        <w:trPr>
          <w:trHeight w:val="216"/>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product revenue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3,015.6</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3,015.6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3,015.6</w:t>
            </w:r>
          </w:p>
        </w:tc>
      </w:tr>
      <w:tr>
        <w:trPr>
          <w:trHeight w:val="216"/>
        </w:trPr>
        <w:tc>
          <w:tcPr>
            <w:tcW w:w="3200" w:type="dxa"/>
            <w:vAlign w:val="bottom"/>
          </w:tcPr>
          <w:p>
            <w:pPr>
              <w:ind w:left="220"/>
              <w:spacing w:after="0"/>
              <w:rPr>
                <w:sz w:val="20"/>
                <w:szCs w:val="20"/>
                <w:color w:val="auto"/>
              </w:rPr>
            </w:pPr>
            <w:r>
              <w:rPr>
                <w:rFonts w:ascii="Arial" w:cs="Arial" w:eastAsia="Arial" w:hAnsi="Arial"/>
                <w:sz w:val="18"/>
                <w:szCs w:val="18"/>
                <w:color w:val="auto"/>
              </w:rPr>
              <w:t>Cost of lease revenue</w:t>
            </w:r>
          </w:p>
        </w:tc>
        <w:tc>
          <w:tcPr>
            <w:tcW w:w="12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167.9</w:t>
            </w: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40" w:type="dxa"/>
            <w:vAlign w:val="bottom"/>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167.9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ind w:lef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167.9</w:t>
            </w:r>
          </w:p>
        </w:tc>
      </w:tr>
      <w:tr>
        <w:trPr>
          <w:trHeight w:val="202"/>
        </w:trPr>
        <w:tc>
          <w:tcPr>
            <w:tcW w:w="32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0"/>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expense</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1,228.1</w:t>
            </w:r>
          </w:p>
        </w:tc>
        <w:tc>
          <w:tcPr>
            <w:tcW w:w="11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(406.1)</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822.0</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822.0</w:t>
            </w:r>
          </w:p>
        </w:tc>
      </w:tr>
      <w:tr>
        <w:trPr>
          <w:trHeight w:val="216"/>
        </w:trPr>
        <w:tc>
          <w:tcPr>
            <w:tcW w:w="3200" w:type="dxa"/>
            <w:vAlign w:val="bottom"/>
          </w:tcPr>
          <w:p>
            <w:pPr>
              <w:ind w:left="220"/>
              <w:spacing w:after="0"/>
              <w:rPr>
                <w:sz w:val="20"/>
                <w:szCs w:val="20"/>
                <w:color w:val="auto"/>
              </w:rPr>
            </w:pPr>
            <w:r>
              <w:rPr>
                <w:rFonts w:ascii="Arial" w:cs="Arial" w:eastAsia="Arial" w:hAnsi="Arial"/>
                <w:sz w:val="18"/>
                <w:szCs w:val="18"/>
                <w:color w:val="auto"/>
              </w:rPr>
              <w:t>Research and development expense</w:t>
            </w:r>
          </w:p>
        </w:tc>
        <w:tc>
          <w:tcPr>
            <w:tcW w:w="12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162.9</w:t>
            </w: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(47.0)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115.9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ind w:lef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115.9</w:t>
            </w:r>
          </w:p>
        </w:tc>
      </w:tr>
      <w:tr>
        <w:trPr>
          <w:trHeight w:val="202"/>
        </w:trPr>
        <w:tc>
          <w:tcPr>
            <w:tcW w:w="32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Impairment, restructuring and other</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0"/>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expense</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2,490.8</w:t>
            </w:r>
          </w:p>
        </w:tc>
        <w:tc>
          <w:tcPr>
            <w:tcW w:w="11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2,460.8</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2,460.8</w:t>
            </w:r>
          </w:p>
        </w:tc>
      </w:tr>
      <w:tr>
        <w:trPr>
          <w:trHeight w:val="216"/>
        </w:trPr>
        <w:tc>
          <w:tcPr>
            <w:tcW w:w="3200" w:type="dxa"/>
            <w:vAlign w:val="bottom"/>
          </w:tcPr>
          <w:p>
            <w:pPr>
              <w:ind w:left="220"/>
              <w:spacing w:after="0"/>
              <w:rPr>
                <w:sz w:val="20"/>
                <w:szCs w:val="20"/>
                <w:color w:val="auto"/>
              </w:rPr>
            </w:pPr>
            <w:r>
              <w:rPr>
                <w:rFonts w:ascii="Arial" w:cs="Arial" w:eastAsia="Arial" w:hAnsi="Arial"/>
                <w:sz w:val="18"/>
                <w:szCs w:val="18"/>
                <w:color w:val="auto"/>
              </w:rPr>
              <w:t>Separation costs</w:t>
            </w:r>
          </w:p>
        </w:tc>
        <w:tc>
          <w:tcPr>
            <w:tcW w:w="12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72.1</w:t>
            </w: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(72.1)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ind w:lef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36"/>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Merger transaction and integration costs</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31.2</w:t>
            </w:r>
          </w:p>
        </w:tc>
        <w:tc>
          <w:tcPr>
            <w:tcW w:w="11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14.2</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14.2</w:t>
            </w:r>
          </w:p>
        </w:tc>
      </w:tr>
      <w:tr>
        <w:trPr>
          <w:trHeight w:val="203"/>
        </w:trPr>
        <w:tc>
          <w:tcPr>
            <w:tcW w:w="32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costs and expenses</w:t>
            </w: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14,935.8</w:t>
            </w:r>
          </w:p>
        </w:tc>
        <w:tc>
          <w:tcPr>
            <w:tcW w:w="100" w:type="dxa"/>
            <w:vAlign w:val="bottom"/>
            <w:tcBorders>
              <w:top w:val="single" w:sz="8" w:color="CCEEFF"/>
            </w:tcBorders>
          </w:tcPr>
          <w:p>
            <w:pPr>
              <w:spacing w:after="0"/>
              <w:rPr>
                <w:sz w:val="17"/>
                <w:szCs w:val="17"/>
                <w:color w:val="auto"/>
              </w:rPr>
            </w:pPr>
          </w:p>
        </w:tc>
        <w:tc>
          <w:tcPr>
            <w:tcW w:w="1060" w:type="dxa"/>
            <w:vAlign w:val="bottom"/>
            <w:tcBorders>
              <w:top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(5,643.6)</w:t>
            </w:r>
          </w:p>
        </w:tc>
        <w:tc>
          <w:tcPr>
            <w:tcW w:w="8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ind w:left="32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9,292.2</w:t>
            </w:r>
          </w:p>
        </w:tc>
        <w:tc>
          <w:tcPr>
            <w:tcW w:w="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ind w:left="640"/>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9,292.2</w:t>
            </w:r>
          </w:p>
        </w:tc>
      </w:tr>
      <w:tr>
        <w:trPr>
          <w:trHeight w:val="216"/>
        </w:trPr>
        <w:tc>
          <w:tcPr>
            <w:tcW w:w="3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3200" w:type="dxa"/>
            <w:vAlign w:val="bottom"/>
          </w:tcPr>
          <w:p>
            <w:pPr>
              <w:ind w:left="220"/>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(220.7)</w:t>
            </w: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39.0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(181.7)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ind w:lef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(181.7)</w:t>
            </w:r>
          </w:p>
        </w:tc>
      </w:tr>
      <w:tr>
        <w:trPr>
          <w:trHeight w:val="236"/>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equity affiliates</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62.9</w:t>
            </w:r>
          </w:p>
        </w:tc>
        <w:tc>
          <w:tcPr>
            <w:tcW w:w="11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59.7</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59.7</w:t>
            </w:r>
          </w:p>
        </w:tc>
      </w:tr>
      <w:tr>
        <w:trPr>
          <w:trHeight w:val="175"/>
        </w:trPr>
        <w:tc>
          <w:tcPr>
            <w:tcW w:w="320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w w:val="96"/>
              </w:rPr>
              <w:t>Income (loss) before net interest expense</w:t>
            </w: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and income taxes</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(1,684.5)</w:t>
            </w: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(779.5)</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(2,464.0)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ind w:lef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(2,464.0)</w:t>
            </w:r>
          </w:p>
        </w:tc>
      </w:tr>
      <w:tr>
        <w:trPr>
          <w:trHeight w:val="236"/>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interest expense</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(451.3)</w:t>
            </w:r>
          </w:p>
        </w:tc>
        <w:tc>
          <w:tcPr>
            <w:tcW w:w="11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360.4</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(90.9)</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(h)</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(97.0)</w:t>
            </w:r>
          </w:p>
        </w:tc>
      </w:tr>
      <w:tr>
        <w:trPr>
          <w:trHeight w:val="203"/>
        </w:trPr>
        <w:tc>
          <w:tcPr>
            <w:tcW w:w="32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Income (loss) before income taxes</w:t>
            </w: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(2,135.8)</w:t>
            </w:r>
          </w:p>
        </w:tc>
        <w:tc>
          <w:tcPr>
            <w:tcW w:w="100" w:type="dxa"/>
            <w:vAlign w:val="bottom"/>
            <w:tcBorders>
              <w:top w:val="single" w:sz="8" w:color="CCEEFF"/>
            </w:tcBorders>
          </w:tcPr>
          <w:p>
            <w:pPr>
              <w:spacing w:after="0"/>
              <w:rPr>
                <w:sz w:val="17"/>
                <w:szCs w:val="17"/>
                <w:color w:val="auto"/>
              </w:rPr>
            </w:pPr>
          </w:p>
        </w:tc>
        <w:tc>
          <w:tcPr>
            <w:tcW w:w="1060" w:type="dxa"/>
            <w:vAlign w:val="bottom"/>
            <w:tcBorders>
              <w:top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(419.1)</w:t>
            </w:r>
          </w:p>
        </w:tc>
        <w:tc>
          <w:tcPr>
            <w:tcW w:w="8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ind w:left="32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(2,554.9)</w:t>
            </w:r>
          </w:p>
        </w:tc>
        <w:tc>
          <w:tcPr>
            <w:tcW w:w="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ind w:left="520"/>
              <w:spacing w:after="0" w:line="203" w:lineRule="exact"/>
              <w:rPr>
                <w:sz w:val="20"/>
                <w:szCs w:val="20"/>
                <w:color w:val="auto"/>
              </w:rPr>
            </w:pPr>
            <w:r>
              <w:rPr>
                <w:rFonts w:ascii="Arial" w:cs="Arial" w:eastAsia="Arial" w:hAnsi="Arial"/>
                <w:sz w:val="18"/>
                <w:szCs w:val="18"/>
                <w:color w:val="auto"/>
              </w:rPr>
              <w:t>(6.1)</w:t>
            </w:r>
          </w:p>
        </w:tc>
        <w:tc>
          <w:tcPr>
            <w:tcW w:w="8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(2,561.0)</w:t>
            </w:r>
          </w:p>
        </w:tc>
      </w:tr>
      <w:tr>
        <w:trPr>
          <w:trHeight w:val="223"/>
        </w:trPr>
        <w:tc>
          <w:tcPr>
            <w:tcW w:w="3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Provision for income taxes</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276.3</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(216.3)</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60.0</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(i)</w:t>
            </w: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60.0</w:t>
            </w: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rPr>
          <w:sz w:val="20"/>
          <w:szCs w:val="20"/>
          <w:color w:val="auto"/>
        </w:rPr>
      </w:pPr>
      <w:r>
        <w:rPr>
          <w:rFonts w:ascii="Arial" w:cs="Arial" w:eastAsia="Arial" w:hAnsi="Arial"/>
          <w:sz w:val="18"/>
          <w:szCs w:val="18"/>
          <w:b w:val="1"/>
          <w:bCs w:val="1"/>
          <w:color w:val="auto"/>
        </w:rPr>
        <w:t>Net income (loss)</w:t>
      </w:r>
    </w:p>
    <w:p>
      <w:pPr>
        <w:spacing w:after="0" w:line="9" w:lineRule="exact"/>
        <w:rPr>
          <w:sz w:val="20"/>
          <w:szCs w:val="20"/>
          <w:color w:val="auto"/>
        </w:rPr>
      </w:pPr>
    </w:p>
    <w:p>
      <w:pPr>
        <w:ind w:left="220"/>
        <w:spacing w:after="0" w:line="250" w:lineRule="auto"/>
        <w:rPr>
          <w:sz w:val="20"/>
          <w:szCs w:val="20"/>
          <w:color w:val="auto"/>
        </w:rPr>
      </w:pPr>
      <w:r>
        <w:rPr>
          <w:rFonts w:ascii="Arial" w:cs="Arial" w:eastAsia="Arial" w:hAnsi="Arial"/>
          <w:sz w:val="18"/>
          <w:szCs w:val="18"/>
          <w:color w:val="auto"/>
        </w:rPr>
        <w:t>Net profit attributable to noncontrolling interests</w:t>
      </w:r>
    </w:p>
    <w:p>
      <w:pPr>
        <w:spacing w:after="0" w:line="1" w:lineRule="exact"/>
        <w:rPr>
          <w:sz w:val="20"/>
          <w:szCs w:val="20"/>
          <w:color w:val="auto"/>
        </w:rPr>
      </w:pPr>
    </w:p>
    <w:p>
      <w:pPr>
        <w:ind w:right="580"/>
        <w:spacing w:after="0" w:line="290" w:lineRule="auto"/>
        <w:rPr>
          <w:sz w:val="20"/>
          <w:szCs w:val="20"/>
          <w:color w:val="auto"/>
        </w:rPr>
      </w:pPr>
      <w:r>
        <w:rPr>
          <w:rFonts w:ascii="Arial" w:cs="Arial" w:eastAsia="Arial" w:hAnsi="Arial"/>
          <w:sz w:val="17"/>
          <w:szCs w:val="17"/>
          <w:b w:val="1"/>
          <w:bCs w:val="1"/>
          <w:color w:val="auto"/>
        </w:rPr>
        <w:t>Net income (loss) attributable to TechnipFMC plc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jc w:val="right"/>
              <w:spacing w:after="0"/>
              <w:rPr>
                <w:sz w:val="20"/>
                <w:szCs w:val="20"/>
                <w:color w:val="auto"/>
              </w:rPr>
            </w:pPr>
            <w:r>
              <w:rPr>
                <w:rFonts w:ascii="Arial" w:cs="Arial" w:eastAsia="Arial" w:hAnsi="Arial"/>
                <w:sz w:val="18"/>
                <w:szCs w:val="18"/>
                <w:color w:val="auto"/>
              </w:rPr>
              <w:t>(2,412.1)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(202.8)</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ind w:left="32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0"/>
              <w:spacing w:after="0"/>
              <w:rPr>
                <w:sz w:val="20"/>
                <w:szCs w:val="20"/>
                <w:color w:val="auto"/>
              </w:rPr>
            </w:pPr>
            <w:r>
              <w:rPr>
                <w:rFonts w:ascii="Arial" w:cs="Arial" w:eastAsia="Arial" w:hAnsi="Arial"/>
                <w:sz w:val="18"/>
                <w:szCs w:val="18"/>
                <w:color w:val="auto"/>
              </w:rPr>
              <w:t>(2,614.9)</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72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(2,621.0)</w:t>
            </w:r>
          </w:p>
        </w:tc>
      </w:tr>
      <w:tr>
        <w:trPr>
          <w:trHeight w:val="411"/>
        </w:trPr>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4"/>
                <w:szCs w:val="24"/>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4"/>
                <w:szCs w:val="24"/>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4.6</w:t>
            </w:r>
          </w:p>
        </w:tc>
      </w:tr>
      <w:tr>
        <w:trPr>
          <w:trHeight w:val="392"/>
        </w:trPr>
        <w:tc>
          <w:tcPr>
            <w:tcW w:w="1040" w:type="dxa"/>
            <w:vAlign w:val="bottom"/>
          </w:tcPr>
          <w:p>
            <w:pPr>
              <w:jc w:val="right"/>
              <w:spacing w:after="0"/>
              <w:rPr>
                <w:sz w:val="20"/>
                <w:szCs w:val="20"/>
                <w:color w:val="auto"/>
              </w:rPr>
            </w:pPr>
            <w:r>
              <w:rPr>
                <w:rFonts w:ascii="Arial" w:cs="Arial" w:eastAsia="Arial" w:hAnsi="Arial"/>
                <w:sz w:val="18"/>
                <w:szCs w:val="18"/>
                <w:color w:val="auto"/>
                <w:w w:val="96"/>
              </w:rPr>
              <w:t>$   (2,415.2)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(195.1)</w:t>
            </w:r>
          </w:p>
        </w:tc>
        <w:tc>
          <w:tcPr>
            <w:tcW w:w="80" w:type="dxa"/>
            <w:vAlign w:val="bottom"/>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640" w:type="dxa"/>
            <w:vAlign w:val="bottom"/>
          </w:tcPr>
          <w:p>
            <w:pPr>
              <w:ind w:left="32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0"/>
              <w:spacing w:after="0"/>
              <w:rPr>
                <w:sz w:val="20"/>
                <w:szCs w:val="20"/>
                <w:color w:val="auto"/>
              </w:rPr>
            </w:pPr>
            <w:r>
              <w:rPr>
                <w:rFonts w:ascii="Arial" w:cs="Arial" w:eastAsia="Arial" w:hAnsi="Arial"/>
                <w:sz w:val="18"/>
                <w:szCs w:val="18"/>
                <w:color w:val="auto"/>
              </w:rPr>
              <w:t>$   (2,610.3)</w:t>
            </w: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72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w w:val="98"/>
              </w:rPr>
              <w:t>$   (2,616.4)</w:t>
            </w:r>
          </w:p>
        </w:tc>
      </w:tr>
      <w:tr>
        <w:trPr>
          <w:trHeight w:val="20"/>
        </w:trPr>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-565150</wp:posOffset>
            </wp:positionV>
            <wp:extent cx="7132320" cy="27432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060" w:space="140"/>
            <w:col w:w="80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30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56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2"/>
        </w:trPr>
        <w:tc>
          <w:tcPr>
            <w:tcW w:w="3060" w:type="dxa"/>
            <w:vAlign w:val="bottom"/>
          </w:tcPr>
          <w:p>
            <w:pPr>
              <w:spacing w:after="0" w:line="201" w:lineRule="exact"/>
              <w:rPr>
                <w:sz w:val="20"/>
                <w:szCs w:val="20"/>
                <w:color w:val="auto"/>
              </w:rPr>
            </w:pPr>
            <w:r>
              <w:rPr>
                <w:rFonts w:ascii="Arial" w:cs="Arial" w:eastAsia="Arial" w:hAnsi="Arial"/>
                <w:sz w:val="18"/>
                <w:szCs w:val="18"/>
                <w:i w:val="1"/>
                <w:iCs w:val="1"/>
                <w:color w:val="auto"/>
                <w:w w:val="96"/>
              </w:rPr>
              <w:t>Earnings (loss) per share attributable to</w:t>
            </w:r>
          </w:p>
        </w:tc>
        <w:tc>
          <w:tcPr>
            <w:tcW w:w="4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30"/>
        </w:trPr>
        <w:tc>
          <w:tcPr>
            <w:tcW w:w="3060" w:type="dxa"/>
            <w:vAlign w:val="bottom"/>
          </w:tcPr>
          <w:p>
            <w:pPr>
              <w:spacing w:after="0"/>
              <w:rPr>
                <w:sz w:val="20"/>
                <w:szCs w:val="20"/>
                <w:color w:val="auto"/>
              </w:rPr>
            </w:pPr>
            <w:r>
              <w:rPr>
                <w:rFonts w:ascii="Arial" w:cs="Arial" w:eastAsia="Arial" w:hAnsi="Arial"/>
                <w:sz w:val="18"/>
                <w:szCs w:val="18"/>
                <w:i w:val="1"/>
                <w:iCs w:val="1"/>
                <w:color w:val="auto"/>
              </w:rPr>
              <w:t>TechnipFMC plc</w:t>
            </w:r>
          </w:p>
        </w:tc>
        <w:tc>
          <w:tcPr>
            <w:tcW w:w="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16"/>
        </w:trPr>
        <w:tc>
          <w:tcPr>
            <w:tcW w:w="3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(5.39)</w:t>
            </w:r>
          </w:p>
        </w:tc>
        <w:tc>
          <w:tcPr>
            <w:tcW w:w="5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(5.84)</w:t>
            </w:r>
          </w:p>
        </w:tc>
      </w:tr>
      <w:tr>
        <w:trPr>
          <w:trHeight w:val="216"/>
        </w:trPr>
        <w:tc>
          <w:tcPr>
            <w:tcW w:w="3060" w:type="dxa"/>
            <w:vAlign w:val="bottom"/>
          </w:tcPr>
          <w:p>
            <w:pPr>
              <w:ind w:left="340"/>
              <w:spacing w:after="0"/>
              <w:rPr>
                <w:sz w:val="20"/>
                <w:szCs w:val="20"/>
                <w:color w:val="auto"/>
              </w:rPr>
            </w:pPr>
            <w:r>
              <w:rPr>
                <w:rFonts w:ascii="Arial" w:cs="Arial" w:eastAsia="Arial" w:hAnsi="Arial"/>
                <w:sz w:val="18"/>
                <w:szCs w:val="18"/>
                <w:color w:val="auto"/>
              </w:rPr>
              <w:t>Diluted</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Pr>
          <w:p>
            <w:pPr>
              <w:ind w:left="220"/>
              <w:spacing w:after="0"/>
              <w:rPr>
                <w:sz w:val="20"/>
                <w:szCs w:val="20"/>
                <w:color w:val="auto"/>
              </w:rPr>
            </w:pPr>
            <w:r>
              <w:rPr>
                <w:rFonts w:ascii="Arial" w:cs="Arial" w:eastAsia="Arial" w:hAnsi="Arial"/>
                <w:sz w:val="18"/>
                <w:szCs w:val="18"/>
                <w:color w:val="auto"/>
              </w:rPr>
              <w:t>(5.39)</w:t>
            </w:r>
          </w:p>
        </w:tc>
        <w:tc>
          <w:tcPr>
            <w:tcW w:w="5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tcPr>
          <w:p>
            <w:pPr>
              <w:ind w:left="240"/>
              <w:spacing w:after="0"/>
              <w:rPr>
                <w:sz w:val="20"/>
                <w:szCs w:val="20"/>
                <w:color w:val="auto"/>
              </w:rPr>
            </w:pPr>
            <w:r>
              <w:rPr>
                <w:rFonts w:ascii="Arial" w:cs="Arial" w:eastAsia="Arial" w:hAnsi="Arial"/>
                <w:sz w:val="18"/>
                <w:szCs w:val="18"/>
                <w:color w:val="auto"/>
              </w:rPr>
              <w:t>(5.84)</w:t>
            </w: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Weighted average shares outstanding</w:t>
            </w: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3060" w:type="dxa"/>
            <w:vAlign w:val="bottom"/>
          </w:tcPr>
          <w:p>
            <w:pPr>
              <w:ind w:left="340"/>
              <w:spacing w:after="0"/>
              <w:rPr>
                <w:sz w:val="20"/>
                <w:szCs w:val="20"/>
                <w:color w:val="auto"/>
              </w:rPr>
            </w:pPr>
            <w:r>
              <w:rPr>
                <w:rFonts w:ascii="Arial" w:cs="Arial" w:eastAsia="Arial" w:hAnsi="Arial"/>
                <w:sz w:val="18"/>
                <w:szCs w:val="18"/>
                <w:color w:val="auto"/>
              </w:rPr>
              <w:t>Basic</w:t>
            </w:r>
          </w:p>
        </w:tc>
        <w:tc>
          <w:tcPr>
            <w:tcW w:w="440" w:type="dxa"/>
            <w:vAlign w:val="bottom"/>
          </w:tcPr>
          <w:p>
            <w:pPr>
              <w:spacing w:after="0"/>
              <w:rPr>
                <w:sz w:val="18"/>
                <w:szCs w:val="18"/>
                <w:color w:val="auto"/>
              </w:rPr>
            </w:pPr>
          </w:p>
        </w:tc>
        <w:tc>
          <w:tcPr>
            <w:tcW w:w="1360" w:type="dxa"/>
            <w:vAlign w:val="bottom"/>
          </w:tcPr>
          <w:p>
            <w:pPr>
              <w:ind w:left="200"/>
              <w:spacing w:after="0"/>
              <w:rPr>
                <w:sz w:val="20"/>
                <w:szCs w:val="20"/>
                <w:color w:val="auto"/>
              </w:rPr>
            </w:pPr>
            <w:r>
              <w:rPr>
                <w:rFonts w:ascii="Arial" w:cs="Arial" w:eastAsia="Arial" w:hAnsi="Arial"/>
                <w:sz w:val="18"/>
                <w:szCs w:val="18"/>
                <w:color w:val="auto"/>
              </w:rPr>
              <w:t>448.0</w:t>
            </w:r>
          </w:p>
        </w:tc>
        <w:tc>
          <w:tcPr>
            <w:tcW w:w="5620" w:type="dxa"/>
            <w:vAlign w:val="bottom"/>
          </w:tcPr>
          <w:p>
            <w:pPr>
              <w:spacing w:after="0"/>
              <w:rPr>
                <w:sz w:val="18"/>
                <w:szCs w:val="18"/>
                <w:color w:val="auto"/>
              </w:rPr>
            </w:pPr>
          </w:p>
        </w:tc>
        <w:tc>
          <w:tcPr>
            <w:tcW w:w="760" w:type="dxa"/>
            <w:vAlign w:val="bottom"/>
          </w:tcPr>
          <w:p>
            <w:pPr>
              <w:ind w:left="220"/>
              <w:spacing w:after="0"/>
              <w:rPr>
                <w:sz w:val="20"/>
                <w:szCs w:val="20"/>
                <w:color w:val="auto"/>
              </w:rPr>
            </w:pPr>
            <w:r>
              <w:rPr>
                <w:rFonts w:ascii="Arial" w:cs="Arial" w:eastAsia="Arial" w:hAnsi="Arial"/>
                <w:sz w:val="18"/>
                <w:szCs w:val="18"/>
                <w:color w:val="auto"/>
              </w:rPr>
              <w:t>448.0</w:t>
            </w:r>
          </w:p>
        </w:tc>
      </w:tr>
      <w:tr>
        <w:trPr>
          <w:trHeight w:val="216"/>
        </w:trPr>
        <w:tc>
          <w:tcPr>
            <w:tcW w:w="3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448.0</w:t>
            </w:r>
          </w:p>
        </w:tc>
        <w:tc>
          <w:tcPr>
            <w:tcW w:w="5620" w:type="dxa"/>
            <w:vAlign w:val="bottom"/>
            <w:shd w:val="clear" w:color="auto" w:fill="CCEEFF"/>
          </w:tcPr>
          <w:p>
            <w:pPr>
              <w:spacing w:after="0"/>
              <w:rPr>
                <w:sz w:val="18"/>
                <w:szCs w:val="18"/>
                <w:color w:val="auto"/>
              </w:rPr>
            </w:pPr>
          </w:p>
        </w:tc>
        <w:tc>
          <w:tcPr>
            <w:tcW w:w="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448.0</w:t>
            </w:r>
          </w:p>
        </w:tc>
      </w:tr>
      <w:tr>
        <w:trPr>
          <w:trHeight w:val="392"/>
        </w:trPr>
        <w:tc>
          <w:tcPr>
            <w:tcW w:w="3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20" w:type="dxa"/>
            <w:vAlign w:val="bottom"/>
          </w:tcPr>
          <w:p>
            <w:pPr>
              <w:jc w:val="right"/>
              <w:ind w:right="4730"/>
              <w:spacing w:after="0"/>
              <w:rPr>
                <w:sz w:val="20"/>
                <w:szCs w:val="20"/>
                <w:color w:val="auto"/>
              </w:rPr>
            </w:pPr>
            <w:r>
              <w:rPr>
                <w:rFonts w:ascii="Arial" w:cs="Arial" w:eastAsia="Arial" w:hAnsi="Arial"/>
                <w:sz w:val="18"/>
                <w:szCs w:val="18"/>
                <w:color w:val="auto"/>
              </w:rPr>
              <w:t>4</w:t>
            </w:r>
          </w:p>
        </w:tc>
        <w:tc>
          <w:tcPr>
            <w:tcW w:w="760" w:type="dxa"/>
            <w:vAlign w:val="bottom"/>
          </w:tcPr>
          <w:p>
            <w:pPr>
              <w:spacing w:after="0"/>
              <w:rPr>
                <w:sz w:val="24"/>
                <w:szCs w:val="24"/>
                <w:color w:val="auto"/>
              </w:rPr>
            </w:pPr>
          </w:p>
        </w:tc>
      </w:tr>
      <w:tr>
        <w:trPr>
          <w:trHeight w:val="61"/>
        </w:trPr>
        <w:tc>
          <w:tcPr>
            <w:tcW w:w="30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56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21" w:right="339" w:bottom="1440" w:gutter="0" w:footer="0" w:header="0"/>
          <w:type w:val="continuous"/>
        </w:sectPr>
      </w:pPr>
    </w:p>
    <w:bookmarkStart w:id="359" w:name="page360"/>
    <w:bookmarkEnd w:id="359"/>
    <w:p>
      <w:pPr>
        <w:jc w:val="center"/>
        <w:spacing w:after="0"/>
        <w:rPr>
          <w:sz w:val="20"/>
          <w:szCs w:val="20"/>
          <w:color w:val="auto"/>
        </w:rPr>
      </w:pPr>
      <w:r>
        <w:rPr>
          <w:rFonts w:ascii="Arial" w:cs="Arial" w:eastAsia="Arial" w:hAnsi="Arial"/>
          <w:sz w:val="18"/>
          <w:szCs w:val="18"/>
          <w:b w:val="1"/>
          <w:bCs w:val="1"/>
          <w:color w:val="auto"/>
        </w:rPr>
        <w:t>TECHNIPFMC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Pro Forma</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Technip</w:t>
            </w:r>
          </w:p>
        </w:tc>
        <w:tc>
          <w:tcPr>
            <w:tcW w:w="1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Transaction</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TechnipFMC</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Pro Forma</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Energies</w:t>
            </w:r>
          </w:p>
        </w:tc>
        <w:tc>
          <w:tcPr>
            <w:tcW w:w="1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Accounting</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plc after</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ind w:left="20"/>
              <w:spacing w:after="0"/>
              <w:rPr>
                <w:sz w:val="20"/>
                <w:szCs w:val="20"/>
                <w:color w:val="auto"/>
              </w:rPr>
            </w:pPr>
            <w:r>
              <w:rPr>
                <w:rFonts w:ascii="Arial" w:cs="Arial" w:eastAsia="Arial" w:hAnsi="Arial"/>
                <w:sz w:val="18"/>
                <w:szCs w:val="18"/>
                <w:b w:val="1"/>
                <w:bCs w:val="1"/>
                <w:color w:val="auto"/>
              </w:rPr>
              <w:t>Financing</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6"/>
              </w:rPr>
              <w:t>TechnipFMC</w:t>
            </w:r>
          </w:p>
        </w:tc>
        <w:tc>
          <w:tcPr>
            <w:tcW w:w="0" w:type="dxa"/>
            <w:vAlign w:val="bottom"/>
          </w:tcPr>
          <w:p>
            <w:pPr>
              <w:spacing w:after="0"/>
              <w:rPr>
                <w:sz w:val="1"/>
                <w:szCs w:val="1"/>
                <w:color w:val="auto"/>
              </w:rPr>
            </w:pPr>
          </w:p>
        </w:tc>
      </w:tr>
      <w:tr>
        <w:trPr>
          <w:trHeight w:val="241"/>
        </w:trPr>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b w:val="1"/>
                <w:bCs w:val="1"/>
                <w:color w:val="auto"/>
                <w:w w:val="92"/>
              </w:rPr>
              <w:t>Historical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Separation</w:t>
            </w:r>
          </w:p>
        </w:tc>
        <w:tc>
          <w:tcPr>
            <w:tcW w:w="1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Adjustments</w:t>
            </w:r>
          </w:p>
        </w:tc>
        <w:tc>
          <w:tcPr>
            <w:tcW w:w="100" w:type="dxa"/>
            <w:vAlign w:val="bottom"/>
          </w:tcPr>
          <w:p>
            <w:pPr>
              <w:spacing w:after="0"/>
              <w:rPr>
                <w:sz w:val="20"/>
                <w:szCs w:val="20"/>
                <w:color w:val="auto"/>
              </w:rPr>
            </w:pPr>
          </w:p>
        </w:tc>
        <w:tc>
          <w:tcPr>
            <w:tcW w:w="72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w w:val="91"/>
              </w:rPr>
              <w:t>Notes</w:t>
            </w:r>
          </w:p>
        </w:tc>
        <w:tc>
          <w:tcPr>
            <w:tcW w:w="9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Spin-off</w:t>
            </w:r>
          </w:p>
        </w:tc>
        <w:tc>
          <w:tcPr>
            <w:tcW w:w="40" w:type="dxa"/>
            <w:vAlign w:val="bottom"/>
          </w:tcPr>
          <w:p>
            <w:pPr>
              <w:spacing w:after="0"/>
              <w:rPr>
                <w:sz w:val="20"/>
                <w:szCs w:val="20"/>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b w:val="1"/>
                <w:bCs w:val="1"/>
                <w:color w:val="auto"/>
                <w:w w:val="93"/>
              </w:rPr>
              <w:t>Adjustments</w:t>
            </w:r>
          </w:p>
        </w:tc>
        <w:tc>
          <w:tcPr>
            <w:tcW w:w="80" w:type="dxa"/>
            <w:vAlign w:val="bottom"/>
          </w:tcPr>
          <w:p>
            <w:pPr>
              <w:spacing w:after="0"/>
              <w:rPr>
                <w:sz w:val="20"/>
                <w:szCs w:val="20"/>
                <w:color w:val="auto"/>
              </w:rPr>
            </w:pPr>
          </w:p>
        </w:tc>
        <w:tc>
          <w:tcPr>
            <w:tcW w:w="74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w w:val="95"/>
              </w:rPr>
              <w:t>Notes</w:t>
            </w:r>
          </w:p>
        </w:tc>
        <w:tc>
          <w:tcPr>
            <w:tcW w:w="98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plc</w:t>
            </w:r>
          </w:p>
        </w:tc>
        <w:tc>
          <w:tcPr>
            <w:tcW w:w="0" w:type="dxa"/>
            <w:vAlign w:val="bottom"/>
          </w:tcPr>
          <w:p>
            <w:pPr>
              <w:spacing w:after="0"/>
              <w:rPr>
                <w:sz w:val="1"/>
                <w:szCs w:val="1"/>
                <w:color w:val="auto"/>
              </w:rPr>
            </w:pPr>
          </w:p>
        </w:tc>
      </w:tr>
      <w:tr>
        <w:trPr>
          <w:trHeight w:val="216"/>
        </w:trPr>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Revenue</w:t>
            </w: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220"/>
              <w:spacing w:after="0"/>
              <w:rPr>
                <w:sz w:val="20"/>
                <w:szCs w:val="20"/>
                <w:color w:val="auto"/>
              </w:rPr>
            </w:pPr>
            <w:r>
              <w:rPr>
                <w:rFonts w:ascii="Arial" w:cs="Arial" w:eastAsia="Arial" w:hAnsi="Arial"/>
                <w:sz w:val="18"/>
                <w:szCs w:val="18"/>
                <w:color w:val="auto"/>
              </w:rPr>
              <w:t>Service revenue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9,057.6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(6,281.2)</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ind w:left="640"/>
              <w:spacing w:after="0"/>
              <w:rPr>
                <w:sz w:val="20"/>
                <w:szCs w:val="20"/>
                <w:color w:val="auto"/>
              </w:rPr>
            </w:pPr>
            <w:r>
              <w:rPr>
                <w:rFonts w:ascii="Arial" w:cs="Arial" w:eastAsia="Arial" w:hAnsi="Arial"/>
                <w:sz w:val="18"/>
                <w:szCs w:val="18"/>
                <w:color w:val="auto"/>
              </w:rPr>
              <w:t>—</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2,776.4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ind w:left="640"/>
              <w:spacing w:after="0"/>
              <w:rPr>
                <w:sz w:val="20"/>
                <w:szCs w:val="20"/>
                <w:color w:val="auto"/>
              </w:rPr>
            </w:pPr>
            <w:r>
              <w:rPr>
                <w:rFonts w:ascii="Arial" w:cs="Arial" w:eastAsia="Arial" w:hAnsi="Arial"/>
                <w:sz w:val="18"/>
                <w:szCs w:val="18"/>
                <w:color w:val="auto"/>
              </w:rPr>
              <w:t>—</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2,776.4</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 revenue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3,272.6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3,272.6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3,272.6</w:t>
            </w:r>
          </w:p>
        </w:tc>
        <w:tc>
          <w:tcPr>
            <w:tcW w:w="0" w:type="dxa"/>
            <w:vAlign w:val="bottom"/>
          </w:tcPr>
          <w:p>
            <w:pPr>
              <w:spacing w:after="0"/>
              <w:rPr>
                <w:sz w:val="1"/>
                <w:szCs w:val="1"/>
                <w:color w:val="auto"/>
              </w:rPr>
            </w:pPr>
          </w:p>
        </w:tc>
      </w:tr>
      <w:tr>
        <w:trPr>
          <w:trHeight w:val="223"/>
        </w:trPr>
        <w:tc>
          <w:tcPr>
            <w:tcW w:w="3200" w:type="dxa"/>
            <w:vAlign w:val="bottom"/>
          </w:tcPr>
          <w:p>
            <w:pPr>
              <w:ind w:left="220"/>
              <w:spacing w:after="0"/>
              <w:rPr>
                <w:sz w:val="20"/>
                <w:szCs w:val="20"/>
                <w:color w:val="auto"/>
              </w:rPr>
            </w:pPr>
            <w:r>
              <w:rPr>
                <w:rFonts w:ascii="Arial" w:cs="Arial" w:eastAsia="Arial" w:hAnsi="Arial"/>
                <w:sz w:val="18"/>
                <w:szCs w:val="18"/>
                <w:color w:val="auto"/>
              </w:rPr>
              <w:t>Lease revenue</w:t>
            </w:r>
          </w:p>
        </w:tc>
        <w:tc>
          <w:tcPr>
            <w:tcW w:w="1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222.7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tcPr>
          <w:p>
            <w:pPr>
              <w:ind w:lef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222.7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ind w:lef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222.7</w:t>
            </w:r>
          </w:p>
        </w:tc>
        <w:tc>
          <w:tcPr>
            <w:tcW w:w="0" w:type="dxa"/>
            <w:vAlign w:val="bottom"/>
          </w:tcPr>
          <w:p>
            <w:pPr>
              <w:spacing w:after="0"/>
              <w:rPr>
                <w:sz w:val="1"/>
                <w:szCs w:val="1"/>
                <w:color w:val="auto"/>
              </w:rPr>
            </w:pPr>
          </w:p>
        </w:tc>
      </w:tr>
      <w:tr>
        <w:trPr>
          <w:trHeight w:val="216"/>
        </w:trPr>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12,552.9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(6,281.2)</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6,271.7</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6,271.7</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Costs and expenses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220"/>
              <w:spacing w:after="0"/>
              <w:rPr>
                <w:sz w:val="20"/>
                <w:szCs w:val="20"/>
                <w:color w:val="auto"/>
              </w:rPr>
            </w:pPr>
            <w:r>
              <w:rPr>
                <w:rFonts w:ascii="Arial" w:cs="Arial" w:eastAsia="Arial" w:hAnsi="Arial"/>
                <w:sz w:val="18"/>
                <w:szCs w:val="18"/>
                <w:color w:val="auto"/>
              </w:rPr>
              <w:t>Cost of service revenue</w:t>
            </w:r>
          </w:p>
        </w:tc>
        <w:tc>
          <w:tcPr>
            <w:tcW w:w="12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7,452.7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(5,193.0)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ind w:lef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2,259.7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ind w:lef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2,259.7</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product revenue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2,676.9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2,676.9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2,676.9</w:t>
            </w:r>
          </w:p>
        </w:tc>
        <w:tc>
          <w:tcPr>
            <w:tcW w:w="0" w:type="dxa"/>
            <w:vAlign w:val="bottom"/>
          </w:tcPr>
          <w:p>
            <w:pPr>
              <w:spacing w:after="0"/>
              <w:rPr>
                <w:sz w:val="1"/>
                <w:szCs w:val="1"/>
                <w:color w:val="auto"/>
              </w:rPr>
            </w:pPr>
          </w:p>
        </w:tc>
      </w:tr>
      <w:tr>
        <w:trPr>
          <w:trHeight w:val="216"/>
        </w:trPr>
        <w:tc>
          <w:tcPr>
            <w:tcW w:w="3200" w:type="dxa"/>
            <w:vAlign w:val="bottom"/>
          </w:tcPr>
          <w:p>
            <w:pPr>
              <w:ind w:left="220"/>
              <w:spacing w:after="0"/>
              <w:rPr>
                <w:sz w:val="20"/>
                <w:szCs w:val="20"/>
                <w:color w:val="auto"/>
              </w:rPr>
            </w:pPr>
            <w:r>
              <w:rPr>
                <w:rFonts w:ascii="Arial" w:cs="Arial" w:eastAsia="Arial" w:hAnsi="Arial"/>
                <w:sz w:val="18"/>
                <w:szCs w:val="18"/>
                <w:color w:val="auto"/>
              </w:rPr>
              <w:t>Cost of lease revenue</w:t>
            </w:r>
          </w:p>
        </w:tc>
        <w:tc>
          <w:tcPr>
            <w:tcW w:w="12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143.4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tcPr>
          <w:p>
            <w:pPr>
              <w:ind w:lef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143.4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ind w:lef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02"/>
        </w:trPr>
        <w:tc>
          <w:tcPr>
            <w:tcW w:w="32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expense</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1,140.6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739.8</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739.8</w:t>
            </w:r>
          </w:p>
        </w:tc>
        <w:tc>
          <w:tcPr>
            <w:tcW w:w="0" w:type="dxa"/>
            <w:vAlign w:val="bottom"/>
          </w:tcPr>
          <w:p>
            <w:pPr>
              <w:spacing w:after="0"/>
              <w:rPr>
                <w:sz w:val="1"/>
                <w:szCs w:val="1"/>
                <w:color w:val="auto"/>
              </w:rPr>
            </w:pPr>
          </w:p>
        </w:tc>
      </w:tr>
      <w:tr>
        <w:trPr>
          <w:trHeight w:val="216"/>
        </w:trPr>
        <w:tc>
          <w:tcPr>
            <w:tcW w:w="3200" w:type="dxa"/>
            <w:vAlign w:val="bottom"/>
          </w:tcPr>
          <w:p>
            <w:pPr>
              <w:ind w:left="220"/>
              <w:spacing w:after="0"/>
              <w:rPr>
                <w:sz w:val="20"/>
                <w:szCs w:val="20"/>
                <w:color w:val="auto"/>
              </w:rPr>
            </w:pPr>
            <w:r>
              <w:rPr>
                <w:rFonts w:ascii="Arial" w:cs="Arial" w:eastAsia="Arial" w:hAnsi="Arial"/>
                <w:sz w:val="18"/>
                <w:szCs w:val="18"/>
                <w:color w:val="auto"/>
              </w:rPr>
              <w:t>Research and development expense</w:t>
            </w:r>
          </w:p>
        </w:tc>
        <w:tc>
          <w:tcPr>
            <w:tcW w:w="12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189.2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ind w:lef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157.6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ind w:lef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02"/>
        </w:trPr>
        <w:tc>
          <w:tcPr>
            <w:tcW w:w="32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Impairment, restructuring and other</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expense</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1,831.2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1,821.6</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1,821.6</w:t>
            </w:r>
          </w:p>
        </w:tc>
        <w:tc>
          <w:tcPr>
            <w:tcW w:w="0" w:type="dxa"/>
            <w:vAlign w:val="bottom"/>
          </w:tcPr>
          <w:p>
            <w:pPr>
              <w:spacing w:after="0"/>
              <w:rPr>
                <w:sz w:val="1"/>
                <w:szCs w:val="1"/>
                <w:color w:val="auto"/>
              </w:rPr>
            </w:pPr>
          </w:p>
        </w:tc>
      </w:tr>
      <w:tr>
        <w:trPr>
          <w:trHeight w:val="223"/>
        </w:trPr>
        <w:tc>
          <w:tcPr>
            <w:tcW w:w="3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w w:val="92"/>
              </w:rPr>
              <w:t>Merger transaction and integration costs</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(18.1)</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18.4</w:t>
            </w: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costs and expenses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13,470.5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(5,653.1)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7,817.4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7,817.4</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23"/>
        </w:trPr>
        <w:tc>
          <w:tcPr>
            <w:tcW w:w="3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Income from equity affiliates</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114.3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(34.2)</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80.1</w:t>
            </w: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188"/>
        </w:trPr>
        <w:tc>
          <w:tcPr>
            <w:tcW w:w="32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6"/>
              </w:rPr>
              <w:t>Income (loss) before net interest expense</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and income taxes</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(417.9)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(1,545.1)</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(1,545.1)</w:t>
            </w:r>
          </w:p>
        </w:tc>
        <w:tc>
          <w:tcPr>
            <w:tcW w:w="0" w:type="dxa"/>
            <w:vAlign w:val="bottom"/>
          </w:tcPr>
          <w:p>
            <w:pPr>
              <w:spacing w:after="0"/>
              <w:rPr>
                <w:sz w:val="1"/>
                <w:szCs w:val="1"/>
                <w:color w:val="auto"/>
              </w:rPr>
            </w:pPr>
          </w:p>
        </w:tc>
      </w:tr>
      <w:tr>
        <w:trPr>
          <w:trHeight w:val="223"/>
        </w:trPr>
        <w:tc>
          <w:tcPr>
            <w:tcW w:w="3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interest expense</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(360.9)</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245.5</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(115.4)</w:t>
            </w: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(1,660.5)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(1,660.5)</w:t>
            </w:r>
          </w:p>
        </w:tc>
        <w:tc>
          <w:tcPr>
            <w:tcW w:w="0" w:type="dxa"/>
            <w:vAlign w:val="bottom"/>
          </w:tcPr>
          <w:p>
            <w:pPr>
              <w:spacing w:after="0"/>
              <w:rPr>
                <w:sz w:val="1"/>
                <w:szCs w:val="1"/>
                <w:color w:val="auto"/>
              </w:rPr>
            </w:pPr>
          </w:p>
        </w:tc>
      </w:tr>
      <w:tr>
        <w:trPr>
          <w:trHeight w:val="223"/>
        </w:trPr>
        <w:tc>
          <w:tcPr>
            <w:tcW w:w="3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Provision for income taxes</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422.7</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(230.8)</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191.9</w:t>
            </w: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191.9</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(1,852.4)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(1,852.4)</w:t>
            </w:r>
          </w:p>
        </w:tc>
        <w:tc>
          <w:tcPr>
            <w:tcW w:w="0" w:type="dxa"/>
            <w:vAlign w:val="bottom"/>
          </w:tcPr>
          <w:p>
            <w:pPr>
              <w:spacing w:after="0"/>
              <w:rPr>
                <w:sz w:val="1"/>
                <w:szCs w:val="1"/>
                <w:color w:val="auto"/>
              </w:rPr>
            </w:pPr>
          </w:p>
        </w:tc>
      </w:tr>
      <w:tr>
        <w:trPr>
          <w:trHeight w:val="202"/>
        </w:trPr>
        <w:tc>
          <w:tcPr>
            <w:tcW w:w="3200" w:type="dxa"/>
            <w:vAlign w:val="bottom"/>
          </w:tcPr>
          <w:p>
            <w:pPr>
              <w:ind w:left="220"/>
              <w:spacing w:after="0" w:line="201" w:lineRule="exact"/>
              <w:rPr>
                <w:sz w:val="20"/>
                <w:szCs w:val="20"/>
                <w:color w:val="auto"/>
              </w:rPr>
            </w:pPr>
            <w:r>
              <w:rPr>
                <w:rFonts w:ascii="Arial" w:cs="Arial" w:eastAsia="Arial" w:hAnsi="Arial"/>
                <w:sz w:val="18"/>
                <w:szCs w:val="18"/>
                <w:color w:val="auto"/>
                <w:w w:val="97"/>
              </w:rPr>
              <w:t>Net profit attributable to noncontrolling</w:t>
            </w:r>
          </w:p>
        </w:tc>
        <w:tc>
          <w:tcPr>
            <w:tcW w:w="12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vMerge w:val="restart"/>
          </w:tcPr>
          <w:p>
            <w:pPr>
              <w:jc w:val="right"/>
              <w:ind w:right="1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vMerge w:val="restart"/>
          </w:tcPr>
          <w:p>
            <w:pPr>
              <w:ind w:lef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vMerge w:val="restart"/>
          </w:tcPr>
          <w:p>
            <w:pPr>
              <w:jc w:val="right"/>
              <w:ind w:right="10"/>
              <w:spacing w:after="0"/>
              <w:rPr>
                <w:sz w:val="20"/>
                <w:szCs w:val="20"/>
                <w:color w:val="auto"/>
              </w:rPr>
            </w:pPr>
            <w:r>
              <w:rPr>
                <w:rFonts w:ascii="Arial" w:cs="Arial" w:eastAsia="Arial" w:hAnsi="Arial"/>
                <w:sz w:val="18"/>
                <w:szCs w:val="18"/>
                <w:color w:val="auto"/>
              </w:rPr>
              <w:t>(11.0)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vMerge w:val="restart"/>
          </w:tcPr>
          <w:p>
            <w:pPr>
              <w:ind w:lef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vMerge w:val="restart"/>
          </w:tcPr>
          <w:p>
            <w:pPr>
              <w:jc w:val="right"/>
              <w:ind w:right="1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4"/>
        </w:trPr>
        <w:tc>
          <w:tcPr>
            <w:tcW w:w="3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interests</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200" w:type="dxa"/>
            <w:vAlign w:val="bottom"/>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Net income (loss) attributable to</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(1,921.6)</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58.2</w:t>
            </w:r>
          </w:p>
        </w:tc>
        <w:tc>
          <w:tcPr>
            <w:tcW w:w="8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2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(1,863.4)</w:t>
            </w: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2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(1,863.4)</w:t>
            </w: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TechnipFMC plc</w:t>
            </w:r>
          </w:p>
        </w:tc>
        <w:tc>
          <w:tcPr>
            <w:tcW w:w="12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00" w:type="dxa"/>
            <w:vAlign w:val="bottom"/>
            <w:gridSpan w:val="2"/>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820" w:type="dxa"/>
            <w:vAlign w:val="bottom"/>
            <w:gridSpan w:val="4"/>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60" w:type="dxa"/>
            <w:vAlign w:val="bottom"/>
            <w:gridSpan w:val="2"/>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820" w:type="dxa"/>
            <w:vAlign w:val="bottom"/>
            <w:gridSpan w:val="4"/>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200" w:type="dxa"/>
            <w:vAlign w:val="bottom"/>
            <w:shd w:val="clear" w:color="auto" w:fill="CCEEFF"/>
          </w:tcPr>
          <w:p>
            <w:pPr>
              <w:spacing w:after="0" w:line="201" w:lineRule="exact"/>
              <w:rPr>
                <w:sz w:val="20"/>
                <w:szCs w:val="20"/>
                <w:color w:val="auto"/>
              </w:rPr>
            </w:pPr>
            <w:r>
              <w:rPr>
                <w:rFonts w:ascii="Arial" w:cs="Arial" w:eastAsia="Arial" w:hAnsi="Arial"/>
                <w:sz w:val="18"/>
                <w:szCs w:val="18"/>
                <w:i w:val="1"/>
                <w:iCs w:val="1"/>
                <w:color w:val="auto"/>
              </w:rPr>
              <w:t>Earnings (loss) per share attributable to</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TechnipFMC plc</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34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i w:val="1"/>
                <w:iCs w:val="1"/>
                <w:color w:val="auto"/>
              </w:rPr>
              <w:t>Weighted average shares outstanding</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458.0</w:t>
            </w:r>
          </w:p>
        </w:tc>
        <w:tc>
          <w:tcPr>
            <w:tcW w:w="0" w:type="dxa"/>
            <w:vAlign w:val="bottom"/>
          </w:tcPr>
          <w:p>
            <w:pPr>
              <w:spacing w:after="0"/>
              <w:rPr>
                <w:sz w:val="1"/>
                <w:szCs w:val="1"/>
                <w:color w:val="auto"/>
              </w:rPr>
            </w:pPr>
          </w:p>
        </w:tc>
      </w:tr>
      <w:tr>
        <w:trPr>
          <w:trHeight w:val="230"/>
        </w:trPr>
        <w:tc>
          <w:tcPr>
            <w:tcW w:w="3200" w:type="dxa"/>
            <w:vAlign w:val="bottom"/>
          </w:tcPr>
          <w:p>
            <w:pPr>
              <w:ind w:left="34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458.0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458.0</w:t>
            </w:r>
          </w:p>
        </w:tc>
        <w:tc>
          <w:tcPr>
            <w:tcW w:w="0" w:type="dxa"/>
            <w:vAlign w:val="bottom"/>
          </w:tcPr>
          <w:p>
            <w:pPr>
              <w:spacing w:after="0"/>
              <w:rPr>
                <w:sz w:val="1"/>
                <w:szCs w:val="1"/>
                <w:color w:val="auto"/>
              </w:rPr>
            </w:pPr>
          </w:p>
        </w:tc>
      </w:tr>
      <w:tr>
        <w:trPr>
          <w:trHeight w:val="377"/>
        </w:trPr>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32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60" w:name="page361"/>
    <w:bookmarkEnd w:id="360"/>
    <w:p>
      <w:pPr>
        <w:jc w:val="center"/>
        <w:spacing w:after="0"/>
        <w:rPr>
          <w:sz w:val="20"/>
          <w:szCs w:val="20"/>
          <w:color w:val="auto"/>
        </w:rPr>
      </w:pPr>
      <w:r>
        <w:rPr>
          <w:rFonts w:ascii="Arial" w:cs="Arial" w:eastAsia="Arial" w:hAnsi="Arial"/>
          <w:sz w:val="18"/>
          <w:szCs w:val="18"/>
          <w:b w:val="1"/>
          <w:bCs w:val="1"/>
          <w:color w:val="auto"/>
        </w:rPr>
        <w:t>TECHNIPFMC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Pro Forma</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Technip</w:t>
            </w:r>
          </w:p>
        </w:tc>
        <w:tc>
          <w:tcPr>
            <w:tcW w:w="1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Transaction</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TechnipFMC</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Pro Forma</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Energies</w:t>
            </w:r>
          </w:p>
        </w:tc>
        <w:tc>
          <w:tcPr>
            <w:tcW w:w="1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Accounting</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plc after</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ind w:left="20"/>
              <w:spacing w:after="0"/>
              <w:rPr>
                <w:sz w:val="20"/>
                <w:szCs w:val="20"/>
                <w:color w:val="auto"/>
              </w:rPr>
            </w:pPr>
            <w:r>
              <w:rPr>
                <w:rFonts w:ascii="Arial" w:cs="Arial" w:eastAsia="Arial" w:hAnsi="Arial"/>
                <w:sz w:val="18"/>
                <w:szCs w:val="18"/>
                <w:b w:val="1"/>
                <w:bCs w:val="1"/>
                <w:color w:val="auto"/>
              </w:rPr>
              <w:t>Financing</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6"/>
              </w:rPr>
              <w:t>TechnipFMC</w:t>
            </w:r>
          </w:p>
        </w:tc>
        <w:tc>
          <w:tcPr>
            <w:tcW w:w="0" w:type="dxa"/>
            <w:vAlign w:val="bottom"/>
          </w:tcPr>
          <w:p>
            <w:pPr>
              <w:spacing w:after="0"/>
              <w:rPr>
                <w:sz w:val="1"/>
                <w:szCs w:val="1"/>
                <w:color w:val="auto"/>
              </w:rPr>
            </w:pPr>
          </w:p>
        </w:tc>
      </w:tr>
      <w:tr>
        <w:trPr>
          <w:trHeight w:val="241"/>
        </w:trPr>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b w:val="1"/>
                <w:bCs w:val="1"/>
                <w:color w:val="auto"/>
                <w:w w:val="92"/>
              </w:rPr>
              <w:t>Historical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Separation</w:t>
            </w:r>
          </w:p>
        </w:tc>
        <w:tc>
          <w:tcPr>
            <w:tcW w:w="1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Adjustments</w:t>
            </w:r>
          </w:p>
        </w:tc>
        <w:tc>
          <w:tcPr>
            <w:tcW w:w="100" w:type="dxa"/>
            <w:vAlign w:val="bottom"/>
          </w:tcPr>
          <w:p>
            <w:pPr>
              <w:spacing w:after="0"/>
              <w:rPr>
                <w:sz w:val="20"/>
                <w:szCs w:val="20"/>
                <w:color w:val="auto"/>
              </w:rPr>
            </w:pPr>
          </w:p>
        </w:tc>
        <w:tc>
          <w:tcPr>
            <w:tcW w:w="72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w w:val="91"/>
              </w:rPr>
              <w:t>Notes</w:t>
            </w:r>
          </w:p>
        </w:tc>
        <w:tc>
          <w:tcPr>
            <w:tcW w:w="9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Spin-off</w:t>
            </w:r>
          </w:p>
        </w:tc>
        <w:tc>
          <w:tcPr>
            <w:tcW w:w="40" w:type="dxa"/>
            <w:vAlign w:val="bottom"/>
          </w:tcPr>
          <w:p>
            <w:pPr>
              <w:spacing w:after="0"/>
              <w:rPr>
                <w:sz w:val="20"/>
                <w:szCs w:val="20"/>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b w:val="1"/>
                <w:bCs w:val="1"/>
                <w:color w:val="auto"/>
                <w:w w:val="93"/>
              </w:rPr>
              <w:t>Adjustments</w:t>
            </w:r>
          </w:p>
        </w:tc>
        <w:tc>
          <w:tcPr>
            <w:tcW w:w="80" w:type="dxa"/>
            <w:vAlign w:val="bottom"/>
          </w:tcPr>
          <w:p>
            <w:pPr>
              <w:spacing w:after="0"/>
              <w:rPr>
                <w:sz w:val="20"/>
                <w:szCs w:val="20"/>
                <w:color w:val="auto"/>
              </w:rPr>
            </w:pPr>
          </w:p>
        </w:tc>
        <w:tc>
          <w:tcPr>
            <w:tcW w:w="74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w w:val="95"/>
              </w:rPr>
              <w:t>Notes</w:t>
            </w:r>
          </w:p>
        </w:tc>
        <w:tc>
          <w:tcPr>
            <w:tcW w:w="98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plc</w:t>
            </w:r>
          </w:p>
        </w:tc>
        <w:tc>
          <w:tcPr>
            <w:tcW w:w="0" w:type="dxa"/>
            <w:vAlign w:val="bottom"/>
          </w:tcPr>
          <w:p>
            <w:pPr>
              <w:spacing w:after="0"/>
              <w:rPr>
                <w:sz w:val="1"/>
                <w:szCs w:val="1"/>
                <w:color w:val="auto"/>
              </w:rPr>
            </w:pPr>
          </w:p>
        </w:tc>
      </w:tr>
      <w:tr>
        <w:trPr>
          <w:trHeight w:val="216"/>
        </w:trPr>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Revenue</w:t>
            </w: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220"/>
              <w:spacing w:after="0"/>
              <w:rPr>
                <w:sz w:val="20"/>
                <w:szCs w:val="20"/>
                <w:color w:val="auto"/>
              </w:rPr>
            </w:pPr>
            <w:r>
              <w:rPr>
                <w:rFonts w:ascii="Arial" w:cs="Arial" w:eastAsia="Arial" w:hAnsi="Arial"/>
                <w:sz w:val="18"/>
                <w:szCs w:val="18"/>
                <w:color w:val="auto"/>
              </w:rPr>
              <w:t>Service revenue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11,445.9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(8,078.7)</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ind w:left="640"/>
              <w:spacing w:after="0"/>
              <w:rPr>
                <w:sz w:val="20"/>
                <w:szCs w:val="20"/>
                <w:color w:val="auto"/>
              </w:rPr>
            </w:pPr>
            <w:r>
              <w:rPr>
                <w:rFonts w:ascii="Arial" w:cs="Arial" w:eastAsia="Arial" w:hAnsi="Arial"/>
                <w:sz w:val="18"/>
                <w:szCs w:val="18"/>
                <w:color w:val="auto"/>
              </w:rPr>
              <w:t>—</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3,367.2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ind w:left="640"/>
              <w:spacing w:after="0"/>
              <w:rPr>
                <w:sz w:val="20"/>
                <w:szCs w:val="20"/>
                <w:color w:val="auto"/>
              </w:rPr>
            </w:pPr>
            <w:r>
              <w:rPr>
                <w:rFonts w:ascii="Arial" w:cs="Arial" w:eastAsia="Arial" w:hAnsi="Arial"/>
                <w:sz w:val="18"/>
                <w:szCs w:val="18"/>
                <w:color w:val="auto"/>
              </w:rPr>
              <w:t>—</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3,367.2</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 revenue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3,416.4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3,416.4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3,416.4</w:t>
            </w:r>
          </w:p>
        </w:tc>
        <w:tc>
          <w:tcPr>
            <w:tcW w:w="0" w:type="dxa"/>
            <w:vAlign w:val="bottom"/>
          </w:tcPr>
          <w:p>
            <w:pPr>
              <w:spacing w:after="0"/>
              <w:rPr>
                <w:sz w:val="1"/>
                <w:szCs w:val="1"/>
                <w:color w:val="auto"/>
              </w:rPr>
            </w:pPr>
          </w:p>
        </w:tc>
      </w:tr>
      <w:tr>
        <w:trPr>
          <w:trHeight w:val="223"/>
        </w:trPr>
        <w:tc>
          <w:tcPr>
            <w:tcW w:w="3200" w:type="dxa"/>
            <w:vAlign w:val="bottom"/>
          </w:tcPr>
          <w:p>
            <w:pPr>
              <w:ind w:left="220"/>
              <w:spacing w:after="0"/>
              <w:rPr>
                <w:sz w:val="20"/>
                <w:szCs w:val="20"/>
                <w:color w:val="auto"/>
              </w:rPr>
            </w:pPr>
            <w:r>
              <w:rPr>
                <w:rFonts w:ascii="Arial" w:cs="Arial" w:eastAsia="Arial" w:hAnsi="Arial"/>
                <w:sz w:val="18"/>
                <w:szCs w:val="18"/>
                <w:color w:val="auto"/>
              </w:rPr>
              <w:t>Lease revenue</w:t>
            </w:r>
          </w:p>
        </w:tc>
        <w:tc>
          <w:tcPr>
            <w:tcW w:w="1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194.6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tcPr>
          <w:p>
            <w:pPr>
              <w:ind w:lef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194.6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ind w:lef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194.6</w:t>
            </w:r>
          </w:p>
        </w:tc>
        <w:tc>
          <w:tcPr>
            <w:tcW w:w="0" w:type="dxa"/>
            <w:vAlign w:val="bottom"/>
          </w:tcPr>
          <w:p>
            <w:pPr>
              <w:spacing w:after="0"/>
              <w:rPr>
                <w:sz w:val="1"/>
                <w:szCs w:val="1"/>
                <w:color w:val="auto"/>
              </w:rPr>
            </w:pPr>
          </w:p>
        </w:tc>
      </w:tr>
      <w:tr>
        <w:trPr>
          <w:trHeight w:val="216"/>
        </w:trPr>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15,056.9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(8,078.7)</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6,978.2</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6,978.2</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Costs and expenses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220"/>
              <w:spacing w:after="0"/>
              <w:rPr>
                <w:sz w:val="20"/>
                <w:szCs w:val="20"/>
                <w:color w:val="auto"/>
              </w:rPr>
            </w:pPr>
            <w:r>
              <w:rPr>
                <w:rFonts w:ascii="Arial" w:cs="Arial" w:eastAsia="Arial" w:hAnsi="Arial"/>
                <w:sz w:val="18"/>
                <w:szCs w:val="18"/>
                <w:color w:val="auto"/>
              </w:rPr>
              <w:t>Cost of service revenue</w:t>
            </w:r>
          </w:p>
        </w:tc>
        <w:tc>
          <w:tcPr>
            <w:tcW w:w="12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9,433.1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(7,012.8)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ind w:lef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2,420.3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ind w:lef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2,420.3</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product revenue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2,954.3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2,954.3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2,954.3</w:t>
            </w:r>
          </w:p>
        </w:tc>
        <w:tc>
          <w:tcPr>
            <w:tcW w:w="0" w:type="dxa"/>
            <w:vAlign w:val="bottom"/>
          </w:tcPr>
          <w:p>
            <w:pPr>
              <w:spacing w:after="0"/>
              <w:rPr>
                <w:sz w:val="1"/>
                <w:szCs w:val="1"/>
                <w:color w:val="auto"/>
              </w:rPr>
            </w:pPr>
          </w:p>
        </w:tc>
      </w:tr>
      <w:tr>
        <w:trPr>
          <w:trHeight w:val="216"/>
        </w:trPr>
        <w:tc>
          <w:tcPr>
            <w:tcW w:w="3200" w:type="dxa"/>
            <w:vAlign w:val="bottom"/>
          </w:tcPr>
          <w:p>
            <w:pPr>
              <w:ind w:left="220"/>
              <w:spacing w:after="0"/>
              <w:rPr>
                <w:sz w:val="20"/>
                <w:szCs w:val="20"/>
                <w:color w:val="auto"/>
              </w:rPr>
            </w:pPr>
            <w:r>
              <w:rPr>
                <w:rFonts w:ascii="Arial" w:cs="Arial" w:eastAsia="Arial" w:hAnsi="Arial"/>
                <w:sz w:val="18"/>
                <w:szCs w:val="18"/>
                <w:color w:val="auto"/>
              </w:rPr>
              <w:t>Cost of lease revenue</w:t>
            </w:r>
          </w:p>
        </w:tc>
        <w:tc>
          <w:tcPr>
            <w:tcW w:w="12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137.2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tcPr>
          <w:p>
            <w:pPr>
              <w:ind w:lef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137.2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ind w:lef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202"/>
        </w:trPr>
        <w:tc>
          <w:tcPr>
            <w:tcW w:w="32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expense</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1,060.9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(328.3)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732.6</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732.6</w:t>
            </w:r>
          </w:p>
        </w:tc>
        <w:tc>
          <w:tcPr>
            <w:tcW w:w="0" w:type="dxa"/>
            <w:vAlign w:val="bottom"/>
          </w:tcPr>
          <w:p>
            <w:pPr>
              <w:spacing w:after="0"/>
              <w:rPr>
                <w:sz w:val="1"/>
                <w:szCs w:val="1"/>
                <w:color w:val="auto"/>
              </w:rPr>
            </w:pPr>
          </w:p>
        </w:tc>
      </w:tr>
      <w:tr>
        <w:trPr>
          <w:trHeight w:val="216"/>
        </w:trPr>
        <w:tc>
          <w:tcPr>
            <w:tcW w:w="3200" w:type="dxa"/>
            <w:vAlign w:val="bottom"/>
          </w:tcPr>
          <w:p>
            <w:pPr>
              <w:ind w:left="220"/>
              <w:spacing w:after="0"/>
              <w:rPr>
                <w:sz w:val="20"/>
                <w:szCs w:val="20"/>
                <w:color w:val="auto"/>
              </w:rPr>
            </w:pPr>
            <w:r>
              <w:rPr>
                <w:rFonts w:ascii="Arial" w:cs="Arial" w:eastAsia="Arial" w:hAnsi="Arial"/>
                <w:sz w:val="18"/>
                <w:szCs w:val="18"/>
                <w:color w:val="auto"/>
              </w:rPr>
              <w:t>Research and development expense</w:t>
            </w:r>
          </w:p>
        </w:tc>
        <w:tc>
          <w:tcPr>
            <w:tcW w:w="12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212.9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ind w:lef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177.0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ind w:lef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02"/>
        </w:trPr>
        <w:tc>
          <w:tcPr>
            <w:tcW w:w="32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Impairment, restructuring and other</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expense</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191.5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135.1</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23"/>
        </w:trPr>
        <w:tc>
          <w:tcPr>
            <w:tcW w:w="3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w w:val="92"/>
              </w:rPr>
              <w:t>Merger transaction and integration costs</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101.8</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(53.4)</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48.4</w:t>
            </w: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costs and expenses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14,091.7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(7,486.8)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6,604.9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6,604.9</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23"/>
        </w:trPr>
        <w:tc>
          <w:tcPr>
            <w:tcW w:w="3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Income from equity affiliates</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(0.3)</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55.3</w:t>
            </w: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188"/>
        </w:trPr>
        <w:tc>
          <w:tcPr>
            <w:tcW w:w="32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6"/>
              </w:rPr>
              <w:t>Income (loss) before net interest expense</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and income taxes</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994.9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(640.1)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354.8</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354.8</w:t>
            </w:r>
          </w:p>
        </w:tc>
        <w:tc>
          <w:tcPr>
            <w:tcW w:w="0" w:type="dxa"/>
            <w:vAlign w:val="bottom"/>
          </w:tcPr>
          <w:p>
            <w:pPr>
              <w:spacing w:after="0"/>
              <w:rPr>
                <w:sz w:val="1"/>
                <w:szCs w:val="1"/>
                <w:color w:val="auto"/>
              </w:rPr>
            </w:pPr>
          </w:p>
        </w:tc>
      </w:tr>
      <w:tr>
        <w:trPr>
          <w:trHeight w:val="223"/>
        </w:trPr>
        <w:tc>
          <w:tcPr>
            <w:tcW w:w="3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interest expense</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231.5</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(83.7)</w:t>
            </w: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679.7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(408.6)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271.1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271.1</w:t>
            </w:r>
          </w:p>
        </w:tc>
        <w:tc>
          <w:tcPr>
            <w:tcW w:w="0" w:type="dxa"/>
            <w:vAlign w:val="bottom"/>
          </w:tcPr>
          <w:p>
            <w:pPr>
              <w:spacing w:after="0"/>
              <w:rPr>
                <w:sz w:val="1"/>
                <w:szCs w:val="1"/>
                <w:color w:val="auto"/>
              </w:rPr>
            </w:pPr>
          </w:p>
        </w:tc>
      </w:tr>
      <w:tr>
        <w:trPr>
          <w:trHeight w:val="223"/>
        </w:trPr>
        <w:tc>
          <w:tcPr>
            <w:tcW w:w="3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Provision for income taxes</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545.5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(271.4)</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274.1</w:t>
            </w: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274.1</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2"/>
        </w:trPr>
        <w:tc>
          <w:tcPr>
            <w:tcW w:w="3200" w:type="dxa"/>
            <w:vAlign w:val="bottom"/>
          </w:tcPr>
          <w:p>
            <w:pPr>
              <w:ind w:left="220"/>
              <w:spacing w:after="0" w:line="201" w:lineRule="exact"/>
              <w:rPr>
                <w:sz w:val="20"/>
                <w:szCs w:val="20"/>
                <w:color w:val="auto"/>
              </w:rPr>
            </w:pPr>
            <w:r>
              <w:rPr>
                <w:rFonts w:ascii="Arial" w:cs="Arial" w:eastAsia="Arial" w:hAnsi="Arial"/>
                <w:sz w:val="18"/>
                <w:szCs w:val="18"/>
                <w:color w:val="auto"/>
                <w:w w:val="97"/>
              </w:rPr>
              <w:t>Net profit attributable to noncontrolling</w:t>
            </w:r>
          </w:p>
        </w:tc>
        <w:tc>
          <w:tcPr>
            <w:tcW w:w="12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vMerge w:val="restart"/>
          </w:tcPr>
          <w:p>
            <w:pPr>
              <w:jc w:val="right"/>
              <w:ind w:right="1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vMerge w:val="restart"/>
          </w:tcPr>
          <w:p>
            <w:pPr>
              <w:ind w:lef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vMerge w:val="restart"/>
          </w:tcPr>
          <w:p>
            <w:pPr>
              <w:jc w:val="right"/>
              <w:ind w:right="10"/>
              <w:spacing w:after="0"/>
              <w:rPr>
                <w:sz w:val="20"/>
                <w:szCs w:val="20"/>
                <w:color w:val="auto"/>
              </w:rPr>
            </w:pPr>
            <w:r>
              <w:rPr>
                <w:rFonts w:ascii="Arial" w:cs="Arial" w:eastAsia="Arial" w:hAnsi="Arial"/>
                <w:sz w:val="18"/>
                <w:szCs w:val="18"/>
                <w:color w:val="auto"/>
              </w:rPr>
              <w:t>(21.2)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vMerge w:val="restart"/>
          </w:tcPr>
          <w:p>
            <w:pPr>
              <w:ind w:lef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vMerge w:val="restart"/>
          </w:tcPr>
          <w:p>
            <w:pPr>
              <w:jc w:val="right"/>
              <w:ind w:right="1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24"/>
        </w:trPr>
        <w:tc>
          <w:tcPr>
            <w:tcW w:w="3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interests</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200" w:type="dxa"/>
            <w:vAlign w:val="bottom"/>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Net income (loss) attributable to</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113.3</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(137.5)</w:t>
            </w:r>
          </w:p>
        </w:tc>
        <w:tc>
          <w:tcPr>
            <w:tcW w:w="8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2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2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TechnipFMC plc</w:t>
            </w:r>
          </w:p>
        </w:tc>
        <w:tc>
          <w:tcPr>
            <w:tcW w:w="12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00" w:type="dxa"/>
            <w:vAlign w:val="bottom"/>
            <w:gridSpan w:val="2"/>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820" w:type="dxa"/>
            <w:vAlign w:val="bottom"/>
            <w:gridSpan w:val="4"/>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60" w:type="dxa"/>
            <w:vAlign w:val="bottom"/>
            <w:gridSpan w:val="2"/>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820" w:type="dxa"/>
            <w:vAlign w:val="bottom"/>
            <w:gridSpan w:val="4"/>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200" w:type="dxa"/>
            <w:vAlign w:val="bottom"/>
            <w:shd w:val="clear" w:color="auto" w:fill="CCEEFF"/>
          </w:tcPr>
          <w:p>
            <w:pPr>
              <w:spacing w:after="0" w:line="201" w:lineRule="exact"/>
              <w:rPr>
                <w:sz w:val="20"/>
                <w:szCs w:val="20"/>
                <w:color w:val="auto"/>
              </w:rPr>
            </w:pPr>
            <w:r>
              <w:rPr>
                <w:rFonts w:ascii="Arial" w:cs="Arial" w:eastAsia="Arial" w:hAnsi="Arial"/>
                <w:sz w:val="18"/>
                <w:szCs w:val="18"/>
                <w:i w:val="1"/>
                <w:iCs w:val="1"/>
                <w:color w:val="auto"/>
              </w:rPr>
              <w:t>Earnings (loss) per share attributable to</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TechnipFMC plc</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34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i w:val="1"/>
                <w:iCs w:val="1"/>
                <w:color w:val="auto"/>
              </w:rPr>
              <w:t>Weighted average shares outstanding</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466.7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466.7</w:t>
            </w:r>
          </w:p>
        </w:tc>
        <w:tc>
          <w:tcPr>
            <w:tcW w:w="0" w:type="dxa"/>
            <w:vAlign w:val="bottom"/>
          </w:tcPr>
          <w:p>
            <w:pPr>
              <w:spacing w:after="0"/>
              <w:rPr>
                <w:sz w:val="1"/>
                <w:szCs w:val="1"/>
                <w:color w:val="auto"/>
              </w:rPr>
            </w:pPr>
          </w:p>
        </w:tc>
      </w:tr>
      <w:tr>
        <w:trPr>
          <w:trHeight w:val="230"/>
        </w:trPr>
        <w:tc>
          <w:tcPr>
            <w:tcW w:w="3200" w:type="dxa"/>
            <w:vAlign w:val="bottom"/>
          </w:tcPr>
          <w:p>
            <w:pPr>
              <w:ind w:left="34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468.3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466.7</w:t>
            </w:r>
          </w:p>
        </w:tc>
        <w:tc>
          <w:tcPr>
            <w:tcW w:w="0" w:type="dxa"/>
            <w:vAlign w:val="bottom"/>
          </w:tcPr>
          <w:p>
            <w:pPr>
              <w:spacing w:after="0"/>
              <w:rPr>
                <w:sz w:val="1"/>
                <w:szCs w:val="1"/>
                <w:color w:val="auto"/>
              </w:rPr>
            </w:pPr>
          </w:p>
        </w:tc>
      </w:tr>
      <w:tr>
        <w:trPr>
          <w:trHeight w:val="377"/>
        </w:trPr>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32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61" w:name="page362"/>
    <w:bookmarkEnd w:id="361"/>
    <w:p>
      <w:pPr>
        <w:jc w:val="center"/>
        <w:spacing w:after="0"/>
        <w:rPr>
          <w:sz w:val="20"/>
          <w:szCs w:val="20"/>
          <w:color w:val="auto"/>
        </w:rPr>
      </w:pPr>
      <w:r>
        <w:rPr>
          <w:rFonts w:ascii="Arial" w:cs="Arial" w:eastAsia="Arial" w:hAnsi="Arial"/>
          <w:sz w:val="18"/>
          <w:szCs w:val="18"/>
          <w:b w:val="1"/>
          <w:bCs w:val="1"/>
          <w:color w:val="auto"/>
        </w:rPr>
        <w:t>TECHNIPFMC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par value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Pro Forma</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Technip</w:t>
            </w:r>
          </w:p>
        </w:tc>
        <w:tc>
          <w:tcPr>
            <w:tcW w:w="10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Transaction</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TechnipFMC</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Pro Forma</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Energies</w:t>
            </w:r>
          </w:p>
        </w:tc>
        <w:tc>
          <w:tcPr>
            <w:tcW w:w="10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Accounting</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plc after</w:t>
            </w:r>
          </w:p>
        </w:tc>
        <w:tc>
          <w:tcPr>
            <w:tcW w:w="100" w:type="dxa"/>
            <w:vAlign w:val="bottom"/>
          </w:tcPr>
          <w:p>
            <w:pPr>
              <w:spacing w:after="0"/>
              <w:rPr>
                <w:sz w:val="18"/>
                <w:szCs w:val="18"/>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Financing</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6"/>
              </w:rPr>
              <w:t>TechnipFMC</w:t>
            </w:r>
          </w:p>
        </w:tc>
        <w:tc>
          <w:tcPr>
            <w:tcW w:w="0" w:type="dxa"/>
            <w:vAlign w:val="bottom"/>
          </w:tcPr>
          <w:p>
            <w:pPr>
              <w:spacing w:after="0"/>
              <w:rPr>
                <w:sz w:val="1"/>
                <w:szCs w:val="1"/>
                <w:color w:val="auto"/>
              </w:rPr>
            </w:pPr>
          </w:p>
        </w:tc>
      </w:tr>
      <w:tr>
        <w:trPr>
          <w:trHeight w:val="241"/>
        </w:trPr>
        <w:tc>
          <w:tcPr>
            <w:tcW w:w="3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b w:val="1"/>
                <w:bCs w:val="1"/>
                <w:color w:val="auto"/>
              </w:rPr>
              <w:t>Historical</w:t>
            </w:r>
          </w:p>
        </w:tc>
        <w:tc>
          <w:tcPr>
            <w:tcW w:w="100" w:type="dxa"/>
            <w:vAlign w:val="bottom"/>
          </w:tcPr>
          <w:p>
            <w:pPr>
              <w:spacing w:after="0"/>
              <w:rPr>
                <w:sz w:val="20"/>
                <w:szCs w:val="20"/>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Separation</w:t>
            </w:r>
          </w:p>
        </w:tc>
        <w:tc>
          <w:tcPr>
            <w:tcW w:w="100" w:type="dxa"/>
            <w:vAlign w:val="bottom"/>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Adjustments</w:t>
            </w:r>
          </w:p>
        </w:tc>
        <w:tc>
          <w:tcPr>
            <w:tcW w:w="100" w:type="dxa"/>
            <w:vAlign w:val="bottom"/>
          </w:tcPr>
          <w:p>
            <w:pPr>
              <w:spacing w:after="0"/>
              <w:rPr>
                <w:sz w:val="20"/>
                <w:szCs w:val="20"/>
                <w:color w:val="auto"/>
              </w:rPr>
            </w:pPr>
          </w:p>
        </w:tc>
        <w:tc>
          <w:tcPr>
            <w:tcW w:w="560" w:type="dxa"/>
            <w:vAlign w:val="bottom"/>
            <w:gridSpan w:val="2"/>
          </w:tcPr>
          <w:p>
            <w:pPr>
              <w:ind w:left="20"/>
              <w:spacing w:after="0"/>
              <w:rPr>
                <w:sz w:val="20"/>
                <w:szCs w:val="20"/>
                <w:color w:val="auto"/>
              </w:rPr>
            </w:pPr>
            <w:r>
              <w:rPr>
                <w:rFonts w:ascii="Arial" w:cs="Arial" w:eastAsia="Arial" w:hAnsi="Arial"/>
                <w:sz w:val="18"/>
                <w:szCs w:val="18"/>
                <w:b w:val="1"/>
                <w:bCs w:val="1"/>
                <w:color w:val="auto"/>
              </w:rPr>
              <w:t>Notes</w:t>
            </w:r>
          </w:p>
        </w:tc>
        <w:tc>
          <w:tcPr>
            <w:tcW w:w="100" w:type="dxa"/>
            <w:vAlign w:val="bottom"/>
          </w:tcPr>
          <w:p>
            <w:pPr>
              <w:spacing w:after="0"/>
              <w:rPr>
                <w:sz w:val="20"/>
                <w:szCs w:val="20"/>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Spin-off</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Adjustments</w:t>
            </w:r>
          </w:p>
        </w:tc>
        <w:tc>
          <w:tcPr>
            <w:tcW w:w="100" w:type="dxa"/>
            <w:vAlign w:val="bottom"/>
          </w:tcPr>
          <w:p>
            <w:pPr>
              <w:spacing w:after="0"/>
              <w:rPr>
                <w:sz w:val="20"/>
                <w:szCs w:val="20"/>
                <w:color w:val="auto"/>
              </w:rPr>
            </w:pPr>
          </w:p>
        </w:tc>
        <w:tc>
          <w:tcPr>
            <w:tcW w:w="580" w:type="dxa"/>
            <w:vAlign w:val="bottom"/>
            <w:gridSpan w:val="2"/>
          </w:tcPr>
          <w:p>
            <w:pPr>
              <w:ind w:left="20"/>
              <w:spacing w:after="0"/>
              <w:rPr>
                <w:sz w:val="20"/>
                <w:szCs w:val="20"/>
                <w:color w:val="auto"/>
              </w:rPr>
            </w:pPr>
            <w:r>
              <w:rPr>
                <w:rFonts w:ascii="Arial" w:cs="Arial" w:eastAsia="Arial" w:hAnsi="Arial"/>
                <w:sz w:val="18"/>
                <w:szCs w:val="18"/>
                <w:b w:val="1"/>
                <w:bCs w:val="1"/>
                <w:color w:val="auto"/>
              </w:rPr>
              <w:t>Notes</w:t>
            </w:r>
          </w:p>
        </w:tc>
        <w:tc>
          <w:tcPr>
            <w:tcW w:w="100" w:type="dxa"/>
            <w:vAlign w:val="bottom"/>
          </w:tcPr>
          <w:p>
            <w:pPr>
              <w:spacing w:after="0"/>
              <w:rPr>
                <w:sz w:val="20"/>
                <w:szCs w:val="20"/>
                <w:color w:val="auto"/>
              </w:rPr>
            </w:pPr>
          </w:p>
        </w:tc>
        <w:tc>
          <w:tcPr>
            <w:tcW w:w="98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plc</w:t>
            </w:r>
          </w:p>
        </w:tc>
        <w:tc>
          <w:tcPr>
            <w:tcW w:w="0" w:type="dxa"/>
            <w:vAlign w:val="bottom"/>
          </w:tcPr>
          <w:p>
            <w:pPr>
              <w:spacing w:after="0"/>
              <w:rPr>
                <w:sz w:val="1"/>
                <w:szCs w:val="1"/>
                <w:color w:val="auto"/>
              </w:rPr>
            </w:pPr>
          </w:p>
        </w:tc>
      </w:tr>
      <w:tr>
        <w:trPr>
          <w:trHeight w:val="216"/>
        </w:trPr>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Assets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4,244.0</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(3,650.4)</w:t>
            </w:r>
          </w:p>
        </w:tc>
        <w:tc>
          <w:tcPr>
            <w:tcW w:w="320" w:type="dxa"/>
            <w:vAlign w:val="bottom"/>
            <w:gridSpan w:val="2"/>
          </w:tcPr>
          <w:p>
            <w:pPr>
              <w:jc w:val="right"/>
              <w:ind w:right="57"/>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1,042.3</w:t>
            </w:r>
          </w:p>
        </w:tc>
        <w:tc>
          <w:tcPr>
            <w:tcW w:w="100" w:type="dxa"/>
            <w:vAlign w:val="bottom"/>
          </w:tcPr>
          <w:p>
            <w:pPr>
              <w:spacing w:after="0"/>
              <w:rPr>
                <w:sz w:val="18"/>
                <w:szCs w:val="18"/>
                <w:color w:val="auto"/>
              </w:rPr>
            </w:pPr>
          </w:p>
        </w:tc>
        <w:tc>
          <w:tcPr>
            <w:tcW w:w="560" w:type="dxa"/>
            <w:vAlign w:val="bottom"/>
            <w:gridSpan w:val="2"/>
          </w:tcPr>
          <w:p>
            <w:pPr>
              <w:ind w:left="160"/>
              <w:spacing w:after="0"/>
              <w:rPr>
                <w:sz w:val="20"/>
                <w:szCs w:val="20"/>
                <w:color w:val="auto"/>
              </w:rPr>
            </w:pPr>
            <w:r>
              <w:rPr>
                <w:rFonts w:ascii="Arial" w:cs="Arial" w:eastAsia="Arial" w:hAnsi="Arial"/>
                <w:sz w:val="18"/>
                <w:szCs w:val="18"/>
                <w:b w:val="1"/>
                <w:bCs w:val="1"/>
                <w:color w:val="auto"/>
              </w:rPr>
              <w:t>(a)</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1,635.9</w:t>
            </w: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(1,185.9)</w:t>
            </w:r>
          </w:p>
        </w:tc>
        <w:tc>
          <w:tcPr>
            <w:tcW w:w="100" w:type="dxa"/>
            <w:vAlign w:val="bottom"/>
          </w:tcPr>
          <w:p>
            <w:pPr>
              <w:spacing w:after="0"/>
              <w:rPr>
                <w:sz w:val="18"/>
                <w:szCs w:val="18"/>
                <w:color w:val="auto"/>
              </w:rPr>
            </w:pPr>
          </w:p>
        </w:tc>
        <w:tc>
          <w:tcPr>
            <w:tcW w:w="580" w:type="dxa"/>
            <w:vAlign w:val="bottom"/>
            <w:gridSpan w:val="2"/>
          </w:tcPr>
          <w:p>
            <w:pPr>
              <w:ind w:left="160"/>
              <w:spacing w:after="0"/>
              <w:rPr>
                <w:sz w:val="20"/>
                <w:szCs w:val="20"/>
                <w:color w:val="auto"/>
              </w:rPr>
            </w:pPr>
            <w:r>
              <w:rPr>
                <w:rFonts w:ascii="Arial" w:cs="Arial" w:eastAsia="Arial" w:hAnsi="Arial"/>
                <w:sz w:val="18"/>
                <w:szCs w:val="18"/>
                <w:b w:val="1"/>
                <w:bCs w:val="1"/>
                <w:color w:val="auto"/>
              </w:rPr>
              <w:t>(b)</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Trade receivables,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2,127.8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(995.7)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1,132.1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1,132.1</w:t>
            </w:r>
          </w:p>
        </w:tc>
        <w:tc>
          <w:tcPr>
            <w:tcW w:w="0" w:type="dxa"/>
            <w:vAlign w:val="bottom"/>
          </w:tcPr>
          <w:p>
            <w:pPr>
              <w:spacing w:after="0"/>
              <w:rPr>
                <w:sz w:val="1"/>
                <w:szCs w:val="1"/>
                <w:color w:val="auto"/>
              </w:rPr>
            </w:pPr>
          </w:p>
        </w:tc>
      </w:tr>
      <w:tr>
        <w:trPr>
          <w:trHeight w:val="216"/>
        </w:trPr>
        <w:tc>
          <w:tcPr>
            <w:tcW w:w="3300" w:type="dxa"/>
            <w:vAlign w:val="bottom"/>
          </w:tcPr>
          <w:p>
            <w:pPr>
              <w:ind w:left="220"/>
              <w:spacing w:after="0"/>
              <w:rPr>
                <w:sz w:val="20"/>
                <w:szCs w:val="20"/>
                <w:color w:val="auto"/>
              </w:rPr>
            </w:pPr>
            <w:r>
              <w:rPr>
                <w:rFonts w:ascii="Arial" w:cs="Arial" w:eastAsia="Arial" w:hAnsi="Arial"/>
                <w:sz w:val="18"/>
                <w:szCs w:val="18"/>
                <w:color w:val="auto"/>
              </w:rPr>
              <w:t>Contract assets,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1,470.0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(420.4)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1,049.6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1,049.6</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1,339.1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1,326.5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1,326.5</w:t>
            </w:r>
          </w:p>
        </w:tc>
        <w:tc>
          <w:tcPr>
            <w:tcW w:w="0" w:type="dxa"/>
            <w:vAlign w:val="bottom"/>
          </w:tcPr>
          <w:p>
            <w:pPr>
              <w:spacing w:after="0"/>
              <w:rPr>
                <w:sz w:val="1"/>
                <w:szCs w:val="1"/>
                <w:color w:val="auto"/>
              </w:rPr>
            </w:pPr>
          </w:p>
        </w:tc>
      </w:tr>
      <w:tr>
        <w:trPr>
          <w:trHeight w:val="216"/>
        </w:trPr>
        <w:tc>
          <w:tcPr>
            <w:tcW w:w="3300" w:type="dxa"/>
            <w:vAlign w:val="bottom"/>
          </w:tcPr>
          <w:p>
            <w:pPr>
              <w:ind w:left="220"/>
              <w:spacing w:after="0"/>
              <w:rPr>
                <w:sz w:val="20"/>
                <w:szCs w:val="20"/>
                <w:color w:val="auto"/>
              </w:rPr>
            </w:pPr>
            <w:r>
              <w:rPr>
                <w:rFonts w:ascii="Arial" w:cs="Arial" w:eastAsia="Arial" w:hAnsi="Arial"/>
                <w:sz w:val="18"/>
                <w:szCs w:val="18"/>
                <w:color w:val="auto"/>
              </w:rPr>
              <w:t>Derivative financial instruments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310.7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8"/>
                <w:szCs w:val="18"/>
                <w:color w:val="auto"/>
              </w:rPr>
            </w:pPr>
          </w:p>
        </w:tc>
        <w:tc>
          <w:tcPr>
            <w:tcW w:w="560" w:type="dxa"/>
            <w:vAlign w:val="bottom"/>
            <w:gridSpan w:val="2"/>
          </w:tcPr>
          <w:p>
            <w:pPr>
              <w:ind w:left="120"/>
              <w:spacing w:after="0"/>
              <w:rPr>
                <w:sz w:val="20"/>
                <w:szCs w:val="20"/>
                <w:color w:val="auto"/>
              </w:rPr>
            </w:pPr>
            <w:r>
              <w:rPr>
                <w:rFonts w:ascii="Arial" w:cs="Arial" w:eastAsia="Arial" w:hAnsi="Arial"/>
                <w:sz w:val="18"/>
                <w:szCs w:val="18"/>
                <w:b w:val="1"/>
                <w:bCs w:val="1"/>
                <w:color w:val="auto"/>
              </w:rPr>
              <w:t>(a)</w:t>
            </w:r>
          </w:p>
        </w:tc>
        <w:tc>
          <w:tcPr>
            <w:tcW w:w="10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281.9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281.9</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 receivable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192.1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16"/>
        </w:trPr>
        <w:tc>
          <w:tcPr>
            <w:tcW w:w="3300" w:type="dxa"/>
            <w:vAlign w:val="bottom"/>
          </w:tcPr>
          <w:p>
            <w:pPr>
              <w:ind w:left="220"/>
              <w:spacing w:after="0"/>
              <w:rPr>
                <w:sz w:val="20"/>
                <w:szCs w:val="20"/>
                <w:color w:val="auto"/>
              </w:rPr>
            </w:pPr>
            <w:r>
              <w:rPr>
                <w:rFonts w:ascii="Arial" w:cs="Arial" w:eastAsia="Arial" w:hAnsi="Arial"/>
                <w:sz w:val="18"/>
                <w:szCs w:val="18"/>
                <w:color w:val="auto"/>
              </w:rPr>
              <w:t>Advances paid to suppliers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219.2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(119.2)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6"/>
        </w:trPr>
        <w:tc>
          <w:tcPr>
            <w:tcW w:w="3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current assets</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1,037.9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(415.9)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204.1</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(c )</w:t>
            </w:r>
          </w:p>
        </w:tc>
        <w:tc>
          <w:tcPr>
            <w:tcW w:w="1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826.1</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826.1</w:t>
            </w:r>
          </w:p>
        </w:tc>
        <w:tc>
          <w:tcPr>
            <w:tcW w:w="0" w:type="dxa"/>
            <w:vAlign w:val="bottom"/>
          </w:tcPr>
          <w:p>
            <w:pPr>
              <w:spacing w:after="0"/>
              <w:rPr>
                <w:sz w:val="1"/>
                <w:szCs w:val="1"/>
                <w:color w:val="auto"/>
              </w:rPr>
            </w:pPr>
          </w:p>
        </w:tc>
      </w:tr>
      <w:tr>
        <w:trPr>
          <w:trHeight w:val="203"/>
        </w:trPr>
        <w:tc>
          <w:tcPr>
            <w:tcW w:w="3300" w:type="dxa"/>
            <w:vAlign w:val="bottom"/>
          </w:tcPr>
          <w:p>
            <w:pPr>
              <w:ind w:left="460"/>
              <w:spacing w:after="0" w:line="203" w:lineRule="exact"/>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50"/>
              <w:spacing w:after="0" w:line="203" w:lineRule="exact"/>
              <w:rPr>
                <w:sz w:val="20"/>
                <w:szCs w:val="20"/>
                <w:color w:val="auto"/>
              </w:rPr>
            </w:pPr>
            <w:r>
              <w:rPr>
                <w:rFonts w:ascii="Arial" w:cs="Arial" w:eastAsia="Arial" w:hAnsi="Arial"/>
                <w:sz w:val="18"/>
                <w:szCs w:val="18"/>
                <w:color w:val="auto"/>
              </w:rPr>
              <w:t>11,034.1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10"/>
              <w:spacing w:after="0" w:line="203" w:lineRule="exact"/>
              <w:rPr>
                <w:sz w:val="20"/>
                <w:szCs w:val="20"/>
                <w:color w:val="auto"/>
              </w:rPr>
            </w:pPr>
            <w:r>
              <w:rPr>
                <w:rFonts w:ascii="Arial" w:cs="Arial" w:eastAsia="Arial" w:hAnsi="Arial"/>
                <w:sz w:val="18"/>
                <w:szCs w:val="18"/>
                <w:color w:val="auto"/>
              </w:rPr>
              <w:t>(5,720.0)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50"/>
              <w:spacing w:after="0" w:line="203" w:lineRule="exact"/>
              <w:rPr>
                <w:sz w:val="20"/>
                <w:szCs w:val="20"/>
                <w:color w:val="auto"/>
              </w:rPr>
            </w:pPr>
            <w:r>
              <w:rPr>
                <w:rFonts w:ascii="Arial" w:cs="Arial" w:eastAsia="Arial" w:hAnsi="Arial"/>
                <w:sz w:val="18"/>
                <w:szCs w:val="18"/>
                <w:color w:val="auto"/>
              </w:rPr>
              <w:t>1,230.1</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50"/>
              <w:spacing w:after="0" w:line="203" w:lineRule="exact"/>
              <w:rPr>
                <w:sz w:val="20"/>
                <w:szCs w:val="20"/>
                <w:color w:val="auto"/>
              </w:rPr>
            </w:pPr>
            <w:r>
              <w:rPr>
                <w:rFonts w:ascii="Arial" w:cs="Arial" w:eastAsia="Arial" w:hAnsi="Arial"/>
                <w:sz w:val="18"/>
                <w:szCs w:val="18"/>
                <w:color w:val="auto"/>
              </w:rPr>
              <w:t>6,544.2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(1,185.9)</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50"/>
              <w:spacing w:after="0" w:line="203" w:lineRule="exact"/>
              <w:rPr>
                <w:sz w:val="20"/>
                <w:szCs w:val="20"/>
                <w:color w:val="auto"/>
              </w:rPr>
            </w:pPr>
            <w:r>
              <w:rPr>
                <w:rFonts w:ascii="Arial" w:cs="Arial" w:eastAsia="Arial" w:hAnsi="Arial"/>
                <w:sz w:val="18"/>
                <w:szCs w:val="18"/>
                <w:color w:val="auto"/>
              </w:rPr>
              <w:t>5,358.3</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 in equity affiliates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294.9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294.9</w:t>
            </w:r>
          </w:p>
        </w:tc>
        <w:tc>
          <w:tcPr>
            <w:tcW w:w="0" w:type="dxa"/>
            <w:vAlign w:val="bottom"/>
          </w:tcPr>
          <w:p>
            <w:pPr>
              <w:spacing w:after="0"/>
              <w:rPr>
                <w:sz w:val="1"/>
                <w:szCs w:val="1"/>
                <w:color w:val="auto"/>
              </w:rPr>
            </w:pPr>
          </w:p>
        </w:tc>
      </w:tr>
      <w:tr>
        <w:trPr>
          <w:trHeight w:val="216"/>
        </w:trPr>
        <w:tc>
          <w:tcPr>
            <w:tcW w:w="3300" w:type="dxa"/>
            <w:vAlign w:val="bottom"/>
          </w:tcPr>
          <w:p>
            <w:pPr>
              <w:ind w:left="220"/>
              <w:spacing w:after="0"/>
              <w:rPr>
                <w:sz w:val="20"/>
                <w:szCs w:val="20"/>
                <w:color w:val="auto"/>
              </w:rPr>
            </w:pPr>
            <w:r>
              <w:rPr>
                <w:rFonts w:ascii="Arial" w:cs="Arial" w:eastAsia="Arial" w:hAnsi="Arial"/>
                <w:sz w:val="18"/>
                <w:szCs w:val="18"/>
                <w:color w:val="auto"/>
              </w:rPr>
              <w:t>Property, plant and equipment,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2,806.4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(116.8)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2,689.6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2,689.6</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right-of-use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742.1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(240.3)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501.8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501.8</w:t>
            </w:r>
          </w:p>
        </w:tc>
        <w:tc>
          <w:tcPr>
            <w:tcW w:w="0" w:type="dxa"/>
            <w:vAlign w:val="bottom"/>
          </w:tcPr>
          <w:p>
            <w:pPr>
              <w:spacing w:after="0"/>
              <w:rPr>
                <w:sz w:val="1"/>
                <w:szCs w:val="1"/>
                <w:color w:val="auto"/>
              </w:rPr>
            </w:pPr>
          </w:p>
        </w:tc>
      </w:tr>
      <w:tr>
        <w:trPr>
          <w:trHeight w:val="216"/>
        </w:trPr>
        <w:tc>
          <w:tcPr>
            <w:tcW w:w="3300" w:type="dxa"/>
            <w:vAlign w:val="bottom"/>
          </w:tcPr>
          <w:p>
            <w:pPr>
              <w:ind w:left="220"/>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2,488.7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(2,488.7)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Intangible assets,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879.4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879.4</w:t>
            </w:r>
          </w:p>
        </w:tc>
        <w:tc>
          <w:tcPr>
            <w:tcW w:w="0" w:type="dxa"/>
            <w:vAlign w:val="bottom"/>
          </w:tcPr>
          <w:p>
            <w:pPr>
              <w:spacing w:after="0"/>
              <w:rPr>
                <w:sz w:val="1"/>
                <w:szCs w:val="1"/>
                <w:color w:val="auto"/>
              </w:rPr>
            </w:pPr>
          </w:p>
        </w:tc>
      </w:tr>
      <w:tr>
        <w:trPr>
          <w:trHeight w:val="216"/>
        </w:trPr>
        <w:tc>
          <w:tcPr>
            <w:tcW w:w="330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228.1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(178.2)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49.9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financial instruments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3300" w:type="dxa"/>
            <w:vAlign w:val="bottom"/>
          </w:tcPr>
          <w:p>
            <w:pPr>
              <w:ind w:left="220"/>
              <w:spacing w:after="0"/>
              <w:rPr>
                <w:sz w:val="20"/>
                <w:szCs w:val="20"/>
                <w:color w:val="auto"/>
              </w:rPr>
            </w:pPr>
            <w:r>
              <w:rPr>
                <w:rFonts w:ascii="Arial" w:cs="Arial" w:eastAsia="Arial" w:hAnsi="Arial"/>
                <w:sz w:val="18"/>
                <w:szCs w:val="18"/>
                <w:color w:val="auto"/>
              </w:rPr>
              <w:t>Investment in Technip Energies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678.4</w:t>
            </w:r>
          </w:p>
        </w:tc>
        <w:tc>
          <w:tcPr>
            <w:tcW w:w="100" w:type="dxa"/>
            <w:vAlign w:val="bottom"/>
          </w:tcPr>
          <w:p>
            <w:pPr>
              <w:spacing w:after="0"/>
              <w:rPr>
                <w:sz w:val="18"/>
                <w:szCs w:val="18"/>
                <w:color w:val="auto"/>
              </w:rPr>
            </w:pPr>
          </w:p>
        </w:tc>
        <w:tc>
          <w:tcPr>
            <w:tcW w:w="560" w:type="dxa"/>
            <w:vAlign w:val="bottom"/>
            <w:gridSpan w:val="2"/>
          </w:tcPr>
          <w:p>
            <w:pPr>
              <w:ind w:left="140"/>
              <w:spacing w:after="0"/>
              <w:rPr>
                <w:sz w:val="20"/>
                <w:szCs w:val="20"/>
                <w:color w:val="auto"/>
              </w:rPr>
            </w:pPr>
            <w:r>
              <w:rPr>
                <w:rFonts w:ascii="Arial" w:cs="Arial" w:eastAsia="Arial" w:hAnsi="Arial"/>
                <w:sz w:val="18"/>
                <w:szCs w:val="18"/>
                <w:b w:val="1"/>
                <w:bCs w:val="1"/>
                <w:color w:val="auto"/>
              </w:rPr>
              <w:t>(d)</w:t>
            </w:r>
          </w:p>
        </w:tc>
        <w:tc>
          <w:tcPr>
            <w:tcW w:w="10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678.4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678.4</w:t>
            </w:r>
          </w:p>
        </w:tc>
        <w:tc>
          <w:tcPr>
            <w:tcW w:w="0" w:type="dxa"/>
            <w:vAlign w:val="bottom"/>
          </w:tcPr>
          <w:p>
            <w:pPr>
              <w:spacing w:after="0"/>
              <w:rPr>
                <w:sz w:val="1"/>
                <w:szCs w:val="1"/>
                <w:color w:val="auto"/>
              </w:rPr>
            </w:pPr>
          </w:p>
        </w:tc>
      </w:tr>
      <w:tr>
        <w:trPr>
          <w:trHeight w:val="236"/>
        </w:trPr>
        <w:tc>
          <w:tcPr>
            <w:tcW w:w="3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235.4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185.9</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203"/>
        </w:trPr>
        <w:tc>
          <w:tcPr>
            <w:tcW w:w="3300" w:type="dxa"/>
            <w:vAlign w:val="bottom"/>
          </w:tcPr>
          <w:p>
            <w:pPr>
              <w:spacing w:after="0" w:line="203" w:lineRule="exact"/>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18,911.2</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(8,974.9)</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5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1,908.5</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11,844.8</w:t>
            </w:r>
          </w:p>
        </w:tc>
        <w:tc>
          <w:tcPr>
            <w:tcW w:w="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(1,185.9)</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10,658.9</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i w:val="1"/>
                <w:iCs w:val="1"/>
                <w:color w:val="auto"/>
              </w:rPr>
              <w:t>Liabilities and equity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Short-term debt and current portion of</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b w:val="1"/>
                <w:bCs w:val="1"/>
                <w:color w:val="auto"/>
              </w:rPr>
              <w:t>(e)</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debt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612.2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320" w:type="dxa"/>
            <w:vAlign w:val="bottom"/>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609.5</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(522.8)</w:t>
            </w:r>
          </w:p>
        </w:tc>
        <w:tc>
          <w:tcPr>
            <w:tcW w:w="100" w:type="dxa"/>
            <w:vAlign w:val="bottom"/>
            <w:shd w:val="clear" w:color="auto" w:fill="CCEEFF"/>
          </w:tcPr>
          <w:p>
            <w:pPr>
              <w:spacing w:after="0"/>
              <w:rPr>
                <w:sz w:val="20"/>
                <w:szCs w:val="20"/>
                <w:color w:val="auto"/>
              </w:rPr>
            </w:pPr>
          </w:p>
        </w:tc>
        <w:tc>
          <w:tcPr>
            <w:tcW w:w="58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16"/>
        </w:trPr>
        <w:tc>
          <w:tcPr>
            <w:tcW w:w="3300" w:type="dxa"/>
            <w:vAlign w:val="bottom"/>
          </w:tcPr>
          <w:p>
            <w:pPr>
              <w:ind w:left="220"/>
              <w:spacing w:after="0"/>
              <w:rPr>
                <w:sz w:val="20"/>
                <w:szCs w:val="20"/>
                <w:color w:val="auto"/>
              </w:rPr>
            </w:pPr>
            <w:r>
              <w:rPr>
                <w:rFonts w:ascii="Arial" w:cs="Arial" w:eastAsia="Arial" w:hAnsi="Arial"/>
                <w:sz w:val="18"/>
                <w:szCs w:val="18"/>
                <w:color w:val="auto"/>
              </w:rPr>
              <w:t>Operating lease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206.1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156.1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156.1</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trade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2,498.4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1,112.1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1,112.1</w:t>
            </w:r>
          </w:p>
        </w:tc>
        <w:tc>
          <w:tcPr>
            <w:tcW w:w="0" w:type="dxa"/>
            <w:vAlign w:val="bottom"/>
          </w:tcPr>
          <w:p>
            <w:pPr>
              <w:spacing w:after="0"/>
              <w:rPr>
                <w:sz w:val="1"/>
                <w:szCs w:val="1"/>
                <w:color w:val="auto"/>
              </w:rPr>
            </w:pPr>
          </w:p>
        </w:tc>
      </w:tr>
      <w:tr>
        <w:trPr>
          <w:trHeight w:val="216"/>
        </w:trPr>
        <w:tc>
          <w:tcPr>
            <w:tcW w:w="3300" w:type="dxa"/>
            <w:vAlign w:val="bottom"/>
          </w:tcPr>
          <w:p>
            <w:pPr>
              <w:ind w:left="220"/>
              <w:spacing w:after="0"/>
              <w:rPr>
                <w:sz w:val="20"/>
                <w:szCs w:val="20"/>
                <w:color w:val="auto"/>
              </w:rPr>
            </w:pPr>
            <w:r>
              <w:rPr>
                <w:rFonts w:ascii="Arial" w:cs="Arial" w:eastAsia="Arial" w:hAnsi="Arial"/>
                <w:sz w:val="18"/>
                <w:szCs w:val="18"/>
                <w:color w:val="auto"/>
              </w:rPr>
              <w:t>Contract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4,643.4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(3,649.1)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994.3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994.3</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payroll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173.2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173.2</w:t>
            </w:r>
          </w:p>
        </w:tc>
        <w:tc>
          <w:tcPr>
            <w:tcW w:w="0" w:type="dxa"/>
            <w:vAlign w:val="bottom"/>
          </w:tcPr>
          <w:p>
            <w:pPr>
              <w:spacing w:after="0"/>
              <w:rPr>
                <w:sz w:val="1"/>
                <w:szCs w:val="1"/>
                <w:color w:val="auto"/>
              </w:rPr>
            </w:pPr>
          </w:p>
        </w:tc>
      </w:tr>
      <w:tr>
        <w:trPr>
          <w:trHeight w:val="216"/>
        </w:trPr>
        <w:tc>
          <w:tcPr>
            <w:tcW w:w="3300" w:type="dxa"/>
            <w:vAlign w:val="bottom"/>
          </w:tcPr>
          <w:p>
            <w:pPr>
              <w:ind w:left="220"/>
              <w:spacing w:after="0"/>
              <w:rPr>
                <w:sz w:val="20"/>
                <w:szCs w:val="20"/>
                <w:color w:val="auto"/>
              </w:rPr>
            </w:pPr>
            <w:r>
              <w:rPr>
                <w:rFonts w:ascii="Arial" w:cs="Arial" w:eastAsia="Arial" w:hAnsi="Arial"/>
                <w:sz w:val="18"/>
                <w:szCs w:val="18"/>
                <w:color w:val="auto"/>
              </w:rPr>
              <w:t>Derivative financial instruments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280.2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254.0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 payable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3"/>
        </w:trPr>
        <w:tc>
          <w:tcPr>
            <w:tcW w:w="33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current liabilities</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1,326.7</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(612.8)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131.9</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b w:val="1"/>
                <w:bCs w:val="1"/>
                <w:color w:val="auto"/>
              </w:rPr>
              <w:t>(c )</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845.8</w:t>
            </w: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845.8</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10,017.2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(5,987.0)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131.9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4,162.1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3,639.3</w:t>
            </w:r>
          </w:p>
        </w:tc>
        <w:tc>
          <w:tcPr>
            <w:tcW w:w="0" w:type="dxa"/>
            <w:vAlign w:val="bottom"/>
          </w:tcPr>
          <w:p>
            <w:pPr>
              <w:spacing w:after="0"/>
              <w:rPr>
                <w:sz w:val="1"/>
                <w:szCs w:val="1"/>
                <w:color w:val="auto"/>
              </w:rPr>
            </w:pPr>
          </w:p>
        </w:tc>
      </w:tr>
      <w:tr>
        <w:trPr>
          <w:trHeight w:val="216"/>
        </w:trPr>
        <w:tc>
          <w:tcPr>
            <w:tcW w:w="3300" w:type="dxa"/>
            <w:vAlign w:val="bottom"/>
          </w:tcPr>
          <w:p>
            <w:pPr>
              <w:ind w:left="220"/>
              <w:spacing w:after="0"/>
              <w:rPr>
                <w:sz w:val="20"/>
                <w:szCs w:val="20"/>
                <w:color w:val="auto"/>
              </w:rPr>
            </w:pPr>
            <w:r>
              <w:rPr>
                <w:rFonts w:ascii="Arial" w:cs="Arial" w:eastAsia="Arial" w:hAnsi="Arial"/>
                <w:sz w:val="18"/>
                <w:szCs w:val="18"/>
                <w:color w:val="auto"/>
              </w:rPr>
              <w:t>Long-term debt, less current portion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3,248.0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(416.8)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2,831.2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(613.1)</w:t>
            </w:r>
          </w:p>
        </w:tc>
        <w:tc>
          <w:tcPr>
            <w:tcW w:w="100" w:type="dxa"/>
            <w:vAlign w:val="bottom"/>
          </w:tcPr>
          <w:p>
            <w:pPr>
              <w:spacing w:after="0"/>
              <w:rPr>
                <w:sz w:val="18"/>
                <w:szCs w:val="18"/>
                <w:color w:val="auto"/>
              </w:rPr>
            </w:pPr>
          </w:p>
        </w:tc>
        <w:tc>
          <w:tcPr>
            <w:tcW w:w="580" w:type="dxa"/>
            <w:vAlign w:val="bottom"/>
            <w:gridSpan w:val="2"/>
          </w:tcPr>
          <w:p>
            <w:pPr>
              <w:ind w:left="160"/>
              <w:spacing w:after="0"/>
              <w:rPr>
                <w:sz w:val="20"/>
                <w:szCs w:val="20"/>
                <w:color w:val="auto"/>
              </w:rPr>
            </w:pPr>
            <w:r>
              <w:rPr>
                <w:rFonts w:ascii="Arial" w:cs="Arial" w:eastAsia="Arial" w:hAnsi="Arial"/>
                <w:sz w:val="18"/>
                <w:szCs w:val="18"/>
                <w:b w:val="1"/>
                <w:bCs w:val="1"/>
                <w:color w:val="auto"/>
              </w:rPr>
              <w:t>(e)</w:t>
            </w:r>
          </w:p>
        </w:tc>
        <w:tc>
          <w:tcPr>
            <w:tcW w:w="10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2,218.1</w:t>
            </w:r>
          </w:p>
        </w:tc>
        <w:tc>
          <w:tcPr>
            <w:tcW w:w="0" w:type="dxa"/>
            <w:vAlign w:val="bottom"/>
          </w:tcPr>
          <w:p>
            <w:pPr>
              <w:spacing w:after="0"/>
              <w:rPr>
                <w:sz w:val="1"/>
                <w:szCs w:val="1"/>
                <w:color w:val="auto"/>
              </w:rPr>
            </w:pPr>
          </w:p>
        </w:tc>
      </w:tr>
      <w:tr>
        <w:trPr>
          <w:trHeight w:val="202"/>
        </w:trPr>
        <w:tc>
          <w:tcPr>
            <w:tcW w:w="33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Operating lease liabilities, less current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portion</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626.2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(251.5)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374.7</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374.7</w:t>
            </w:r>
          </w:p>
        </w:tc>
        <w:tc>
          <w:tcPr>
            <w:tcW w:w="0" w:type="dxa"/>
            <w:vAlign w:val="bottom"/>
          </w:tcPr>
          <w:p>
            <w:pPr>
              <w:spacing w:after="0"/>
              <w:rPr>
                <w:sz w:val="1"/>
                <w:szCs w:val="1"/>
                <w:color w:val="auto"/>
              </w:rPr>
            </w:pPr>
          </w:p>
        </w:tc>
      </w:tr>
      <w:tr>
        <w:trPr>
          <w:trHeight w:val="216"/>
        </w:trPr>
        <w:tc>
          <w:tcPr>
            <w:tcW w:w="330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47.8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02"/>
        </w:trPr>
        <w:tc>
          <w:tcPr>
            <w:tcW w:w="33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89"/>
              </w:rPr>
              <w:t>Accrued pension and other post-retirement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benefits, less current portion</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320.4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156.3</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16"/>
        </w:trPr>
        <w:tc>
          <w:tcPr>
            <w:tcW w:w="3300" w:type="dxa"/>
            <w:vAlign w:val="bottom"/>
          </w:tcPr>
          <w:p>
            <w:pPr>
              <w:ind w:left="220"/>
              <w:spacing w:after="0"/>
              <w:rPr>
                <w:sz w:val="20"/>
                <w:szCs w:val="20"/>
                <w:color w:val="auto"/>
              </w:rPr>
            </w:pPr>
            <w:r>
              <w:rPr>
                <w:rFonts w:ascii="Arial" w:cs="Arial" w:eastAsia="Arial" w:hAnsi="Arial"/>
                <w:sz w:val="18"/>
                <w:szCs w:val="18"/>
                <w:color w:val="auto"/>
              </w:rPr>
              <w:t>Derivative financial instruments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29.6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36"/>
        </w:trPr>
        <w:tc>
          <w:tcPr>
            <w:tcW w:w="3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309.4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(180.5)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128.9</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10"/>
        </w:trPr>
        <w:tc>
          <w:tcPr>
            <w:tcW w:w="3300" w:type="dxa"/>
            <w:vAlign w:val="bottom"/>
            <w:tcBorders>
              <w:bottom w:val="single" w:sz="8" w:color="CCEEFF"/>
            </w:tcBorders>
          </w:tcPr>
          <w:p>
            <w:pPr>
              <w:ind w:left="460"/>
              <w:spacing w:after="0" w:line="203" w:lineRule="exact"/>
              <w:rPr>
                <w:sz w:val="20"/>
                <w:szCs w:val="20"/>
                <w:color w:val="auto"/>
              </w:rPr>
            </w:pPr>
            <w:r>
              <w:rPr>
                <w:rFonts w:ascii="Arial" w:cs="Arial" w:eastAsia="Arial" w:hAnsi="Arial"/>
                <w:sz w:val="18"/>
                <w:szCs w:val="18"/>
                <w:color w:val="auto"/>
              </w:rPr>
              <w:t>Total liabilities</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14,635.4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(7,036.7)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131.9</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7,730.6</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(1,135.9)</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6,594.7</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Commitments and contingent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00" w:type="dxa"/>
            <w:vAlign w:val="bottom"/>
            <w:tcBorders>
              <w:bottom w:val="single" w:sz="8" w:color="CCEEFF"/>
            </w:tcBorders>
          </w:tcPr>
          <w:p>
            <w:pPr>
              <w:spacing w:after="0"/>
              <w:rPr>
                <w:sz w:val="20"/>
                <w:szCs w:val="20"/>
                <w:color w:val="auto"/>
              </w:rPr>
            </w:pPr>
            <w:r>
              <w:rPr>
                <w:rFonts w:ascii="Arial" w:cs="Arial" w:eastAsia="Arial" w:hAnsi="Arial"/>
                <w:sz w:val="18"/>
                <w:szCs w:val="18"/>
                <w:i w:val="1"/>
                <w:iCs w:val="1"/>
                <w:color w:val="auto"/>
              </w:rPr>
              <w:t>Mezzanine equity</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Redeemable non-controlling interest</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42.1</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03"/>
        </w:trPr>
        <w:tc>
          <w:tcPr>
            <w:tcW w:w="3300" w:type="dxa"/>
            <w:vAlign w:val="bottom"/>
          </w:tcPr>
          <w:p>
            <w:pPr>
              <w:spacing w:after="0" w:line="203" w:lineRule="exact"/>
              <w:rPr>
                <w:sz w:val="20"/>
                <w:szCs w:val="20"/>
                <w:color w:val="auto"/>
              </w:rPr>
            </w:pPr>
            <w:r>
              <w:rPr>
                <w:rFonts w:ascii="Arial" w:cs="Arial" w:eastAsia="Arial" w:hAnsi="Arial"/>
                <w:sz w:val="18"/>
                <w:szCs w:val="18"/>
                <w:i w:val="1"/>
                <w:iCs w:val="1"/>
                <w:color w:val="auto"/>
              </w:rPr>
              <w:t>Stockholders’ equity</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3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6"/>
              </w:rPr>
              <w:t>Ordinary shares, $1.00 par value; 618.3</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7"/>
              </w:rPr>
              <w:t>shares authorized; 449.4 shares issued and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outstanding</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449.4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449.4</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449.4</w:t>
            </w:r>
          </w:p>
        </w:tc>
        <w:tc>
          <w:tcPr>
            <w:tcW w:w="0" w:type="dxa"/>
            <w:vAlign w:val="bottom"/>
          </w:tcPr>
          <w:p>
            <w:pPr>
              <w:spacing w:after="0"/>
              <w:rPr>
                <w:sz w:val="1"/>
                <w:szCs w:val="1"/>
                <w:color w:val="auto"/>
              </w:rPr>
            </w:pPr>
          </w:p>
        </w:tc>
      </w:tr>
      <w:tr>
        <w:trPr>
          <w:trHeight w:val="202"/>
        </w:trPr>
        <w:tc>
          <w:tcPr>
            <w:tcW w:w="3300" w:type="dxa"/>
            <w:vAlign w:val="bottom"/>
          </w:tcPr>
          <w:p>
            <w:pPr>
              <w:ind w:left="220"/>
              <w:spacing w:after="0" w:line="201" w:lineRule="exact"/>
              <w:rPr>
                <w:sz w:val="20"/>
                <w:szCs w:val="20"/>
                <w:color w:val="auto"/>
              </w:rPr>
            </w:pPr>
            <w:r>
              <w:rPr>
                <w:rFonts w:ascii="Arial" w:cs="Arial" w:eastAsia="Arial" w:hAnsi="Arial"/>
                <w:sz w:val="18"/>
                <w:szCs w:val="18"/>
                <w:color w:val="auto"/>
                <w:w w:val="94"/>
              </w:rPr>
              <w:t>Capital in excess of par value of ordinary</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220"/>
              <w:spacing w:after="0"/>
              <w:rPr>
                <w:sz w:val="20"/>
                <w:szCs w:val="20"/>
                <w:color w:val="auto"/>
              </w:rPr>
            </w:pPr>
            <w:r>
              <w:rPr>
                <w:rFonts w:ascii="Arial" w:cs="Arial" w:eastAsia="Arial" w:hAnsi="Arial"/>
                <w:sz w:val="18"/>
                <w:szCs w:val="18"/>
                <w:color w:val="auto"/>
              </w:rPr>
              <w:t>shares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10,227.8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10,227.8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10,227.8</w:t>
            </w:r>
          </w:p>
        </w:tc>
        <w:tc>
          <w:tcPr>
            <w:tcW w:w="0" w:type="dxa"/>
            <w:vAlign w:val="bottom"/>
          </w:tcPr>
          <w:p>
            <w:pPr>
              <w:spacing w:after="0"/>
              <w:rPr>
                <w:sz w:val="1"/>
                <w:szCs w:val="1"/>
                <w:color w:val="auto"/>
              </w:rPr>
            </w:pPr>
          </w:p>
        </w:tc>
      </w:tr>
      <w:tr>
        <w:trPr>
          <w:trHeight w:val="202"/>
        </w:trPr>
        <w:tc>
          <w:tcPr>
            <w:tcW w:w="33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Accumulated deficit/ Parent Company</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b w:val="1"/>
                <w:bCs w:val="1"/>
                <w:color w:val="auto"/>
              </w:rPr>
              <w:t>(f)</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b w:val="1"/>
                <w:bCs w:val="1"/>
                <w:color w:val="auto"/>
              </w:rPr>
              <w:t>(g)</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in Technip Energies</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(4,879.0)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(2,032.1)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1,776.6</w:t>
            </w:r>
          </w:p>
        </w:tc>
        <w:tc>
          <w:tcPr>
            <w:tcW w:w="100" w:type="dxa"/>
            <w:vAlign w:val="bottom"/>
            <w:shd w:val="clear" w:color="auto" w:fill="CCEEFF"/>
          </w:tcPr>
          <w:p>
            <w:pPr>
              <w:spacing w:after="0"/>
              <w:rPr>
                <w:sz w:val="20"/>
                <w:szCs w:val="20"/>
                <w:color w:val="auto"/>
              </w:rPr>
            </w:pPr>
          </w:p>
        </w:tc>
        <w:tc>
          <w:tcPr>
            <w:tcW w:w="56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(5,134.5)</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0"/>
                <w:szCs w:val="20"/>
                <w:color w:val="auto"/>
              </w:rPr>
            </w:pPr>
          </w:p>
        </w:tc>
        <w:tc>
          <w:tcPr>
            <w:tcW w:w="58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(5,184.5)</w:t>
            </w:r>
          </w:p>
        </w:tc>
        <w:tc>
          <w:tcPr>
            <w:tcW w:w="0" w:type="dxa"/>
            <w:vAlign w:val="bottom"/>
          </w:tcPr>
          <w:p>
            <w:pPr>
              <w:spacing w:after="0"/>
              <w:rPr>
                <w:sz w:val="1"/>
                <w:szCs w:val="1"/>
                <w:color w:val="auto"/>
              </w:rPr>
            </w:pPr>
          </w:p>
        </w:tc>
      </w:tr>
      <w:tr>
        <w:trPr>
          <w:trHeight w:val="223"/>
        </w:trPr>
        <w:tc>
          <w:tcPr>
            <w:tcW w:w="33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w w:val="97"/>
              </w:rPr>
              <w:t>Accumulated other comprehensive loss</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(1,609.1)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108.1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(1,501.0)</w:t>
            </w: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(1,501.0)</w:t>
            </w:r>
          </w:p>
        </w:tc>
        <w:tc>
          <w:tcPr>
            <w:tcW w:w="0" w:type="dxa"/>
            <w:vAlign w:val="bottom"/>
          </w:tcPr>
          <w:p>
            <w:pPr>
              <w:spacing w:after="0"/>
              <w:rPr>
                <w:sz w:val="1"/>
                <w:szCs w:val="1"/>
                <w:color w:val="auto"/>
              </w:rPr>
            </w:pPr>
          </w:p>
        </w:tc>
      </w:tr>
      <w:tr>
        <w:trPr>
          <w:trHeight w:val="188"/>
        </w:trPr>
        <w:tc>
          <w:tcPr>
            <w:tcW w:w="3300" w:type="dxa"/>
            <w:vAlign w:val="bottom"/>
            <w:shd w:val="clear" w:color="auto" w:fill="CCEEFF"/>
          </w:tcPr>
          <w:p>
            <w:pPr>
              <w:ind w:left="340"/>
              <w:spacing w:after="0" w:line="189" w:lineRule="exact"/>
              <w:rPr>
                <w:sz w:val="20"/>
                <w:szCs w:val="20"/>
                <w:color w:val="auto"/>
              </w:rPr>
            </w:pPr>
            <w:r>
              <w:rPr>
                <w:rFonts w:ascii="Arial" w:cs="Arial" w:eastAsia="Arial" w:hAnsi="Arial"/>
                <w:sz w:val="18"/>
                <w:szCs w:val="18"/>
                <w:color w:val="auto"/>
              </w:rPr>
              <w:t>Total TechnipFMC plc stockholders’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4,189.1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(1,924.0)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1,776.6</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4,041.7</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3,991.7</w:t>
            </w:r>
          </w:p>
        </w:tc>
        <w:tc>
          <w:tcPr>
            <w:tcW w:w="0" w:type="dxa"/>
            <w:vAlign w:val="bottom"/>
          </w:tcPr>
          <w:p>
            <w:pPr>
              <w:spacing w:after="0"/>
              <w:rPr>
                <w:sz w:val="1"/>
                <w:szCs w:val="1"/>
                <w:color w:val="auto"/>
              </w:rPr>
            </w:pPr>
          </w:p>
        </w:tc>
      </w:tr>
      <w:tr>
        <w:trPr>
          <w:trHeight w:val="223"/>
        </w:trPr>
        <w:tc>
          <w:tcPr>
            <w:tcW w:w="3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Non-controlling interests</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30.4</w:t>
            </w: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36"/>
        </w:trPr>
        <w:tc>
          <w:tcPr>
            <w:tcW w:w="3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equity</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4,233.7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(1,938.2)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1,776.6</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4,072.1</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4,022.1</w:t>
            </w:r>
          </w:p>
        </w:tc>
        <w:tc>
          <w:tcPr>
            <w:tcW w:w="0" w:type="dxa"/>
            <w:vAlign w:val="bottom"/>
          </w:tcPr>
          <w:p>
            <w:pPr>
              <w:spacing w:after="0"/>
              <w:rPr>
                <w:sz w:val="1"/>
                <w:szCs w:val="1"/>
                <w:color w:val="auto"/>
              </w:rPr>
            </w:pPr>
          </w:p>
        </w:tc>
      </w:tr>
      <w:tr>
        <w:trPr>
          <w:trHeight w:val="203"/>
        </w:trPr>
        <w:tc>
          <w:tcPr>
            <w:tcW w:w="3300" w:type="dxa"/>
            <w:vAlign w:val="bottom"/>
          </w:tcPr>
          <w:p>
            <w:pPr>
              <w:spacing w:after="0" w:line="203" w:lineRule="exact"/>
              <w:rPr>
                <w:sz w:val="20"/>
                <w:szCs w:val="20"/>
                <w:color w:val="auto"/>
              </w:rPr>
            </w:pPr>
            <w:r>
              <w:rPr>
                <w:rFonts w:ascii="Arial" w:cs="Arial" w:eastAsia="Arial" w:hAnsi="Arial"/>
                <w:sz w:val="18"/>
                <w:szCs w:val="18"/>
                <w:b w:val="1"/>
                <w:bCs w:val="1"/>
                <w:color w:val="auto"/>
              </w:rPr>
              <w:t>Total liabilities and equity</w:t>
            </w:r>
          </w:p>
        </w:tc>
        <w:tc>
          <w:tcPr>
            <w:tcW w:w="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18,911.2</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(8,974.9)</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5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1,908.5</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11,844.8</w:t>
            </w:r>
          </w:p>
        </w:tc>
        <w:tc>
          <w:tcPr>
            <w:tcW w:w="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(1,185.9)</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10,658.9</w:t>
            </w:r>
          </w:p>
        </w:tc>
        <w:tc>
          <w:tcPr>
            <w:tcW w:w="0" w:type="dxa"/>
            <w:vAlign w:val="bottom"/>
          </w:tcPr>
          <w:p>
            <w:pPr>
              <w:spacing w:after="0"/>
              <w:rPr>
                <w:sz w:val="1"/>
                <w:szCs w:val="1"/>
                <w:color w:val="auto"/>
              </w:rPr>
            </w:pPr>
          </w:p>
        </w:tc>
      </w:tr>
      <w:tr>
        <w:trPr>
          <w:trHeight w:val="21"/>
        </w:trPr>
        <w:tc>
          <w:tcPr>
            <w:tcW w:w="3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ectPr>
          <w:pgSz w:w="11900" w:h="16838" w:orient="portrait"/>
          <w:cols w:equalWidth="0" w:num="1">
            <w:col w:w="11240"/>
          </w:cols>
          <w:pgMar w:left="320" w:top="121" w:right="339" w:bottom="960" w:gutter="0" w:footer="0" w:header="0"/>
        </w:sect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960" w:gutter="0" w:footer="0" w:header="0"/>
          <w:type w:val="continuous"/>
        </w:sectPr>
      </w:pPr>
    </w:p>
    <w:bookmarkStart w:id="362" w:name="page363"/>
    <w:bookmarkEnd w:id="362"/>
    <w:p>
      <w:pPr>
        <w:jc w:val="center"/>
        <w:spacing w:after="0"/>
        <w:rPr>
          <w:sz w:val="20"/>
          <w:szCs w:val="20"/>
          <w:color w:val="auto"/>
        </w:rPr>
      </w:pPr>
      <w:r>
        <w:rPr>
          <w:rFonts w:ascii="Arial" w:cs="Arial" w:eastAsia="Arial" w:hAnsi="Arial"/>
          <w:sz w:val="18"/>
          <w:szCs w:val="18"/>
          <w:b w:val="1"/>
          <w:bCs w:val="1"/>
          <w:color w:val="auto"/>
        </w:rPr>
        <w:t>TECHNIPFMC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Pro Forma Condensed Consolidated Financial Statements</w:t>
      </w:r>
    </w:p>
    <w:p>
      <w:pPr>
        <w:spacing w:after="0" w:line="229" w:lineRule="exact"/>
        <w:rPr>
          <w:sz w:val="20"/>
          <w:szCs w:val="20"/>
          <w:color w:val="auto"/>
        </w:rPr>
      </w:pPr>
    </w:p>
    <w:p>
      <w:pPr>
        <w:ind w:left="660" w:right="100" w:hanging="652"/>
        <w:spacing w:after="0" w:line="259" w:lineRule="auto"/>
        <w:tabs>
          <w:tab w:leader="none" w:pos="660" w:val="left"/>
        </w:tabs>
        <w:numPr>
          <w:ilvl w:val="0"/>
          <w:numId w:val="292"/>
        </w:numPr>
        <w:rPr>
          <w:rFonts w:ascii="Arial" w:cs="Arial" w:eastAsia="Arial" w:hAnsi="Arial"/>
          <w:sz w:val="18"/>
          <w:szCs w:val="18"/>
          <w:b w:val="1"/>
          <w:bCs w:val="1"/>
          <w:color w:val="auto"/>
        </w:rPr>
      </w:pPr>
      <w:r>
        <w:rPr>
          <w:rFonts w:ascii="Arial" w:cs="Arial" w:eastAsia="Arial" w:hAnsi="Arial"/>
          <w:sz w:val="18"/>
          <w:szCs w:val="18"/>
          <w:color w:val="auto"/>
        </w:rPr>
        <w:t>Pursuant to the Separation and Distribution Agreement signed between TechnipFMC and Technip Energies, pro forma adjustment to cash reflects proceeds received from BPI for its proportionate share of the investment in Technip Energies and cash retained by TechnipFMC, including proceeds from settlement of hedging instruments, after the deconsolidation of Technip Energies. The adjustment is comprised of the following (in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4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September 30, 2020</w:t>
            </w: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Technip Energies’ cash retained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842.3</w:t>
            </w:r>
          </w:p>
        </w:tc>
      </w:tr>
      <w:tr>
        <w:trPr>
          <w:trHeight w:val="223"/>
        </w:trPr>
        <w:tc>
          <w:tcPr>
            <w:tcW w:w="9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proceeds from BPI</w:t>
            </w: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200.0</w:t>
            </w:r>
          </w:p>
        </w:tc>
      </w:tr>
      <w:tr>
        <w:trPr>
          <w:trHeight w:val="241"/>
        </w:trPr>
        <w:tc>
          <w:tcPr>
            <w:tcW w:w="9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 forma adjustment to cash</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1,042.3</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right="40" w:hanging="652"/>
        <w:spacing w:after="0" w:line="277" w:lineRule="auto"/>
        <w:tabs>
          <w:tab w:leader="none" w:pos="660" w:val="left"/>
        </w:tabs>
        <w:numPr>
          <w:ilvl w:val="0"/>
          <w:numId w:val="293"/>
        </w:numPr>
        <w:rPr>
          <w:rFonts w:ascii="Arial" w:cs="Arial" w:eastAsia="Arial" w:hAnsi="Arial"/>
          <w:sz w:val="18"/>
          <w:szCs w:val="18"/>
          <w:b w:val="1"/>
          <w:bCs w:val="1"/>
          <w:color w:val="auto"/>
        </w:rPr>
      </w:pPr>
      <w:r>
        <w:rPr>
          <w:rFonts w:ascii="Arial" w:cs="Arial" w:eastAsia="Arial" w:hAnsi="Arial"/>
          <w:sz w:val="18"/>
          <w:szCs w:val="18"/>
          <w:color w:val="auto"/>
        </w:rPr>
        <w:t>Reflects the adjustment to cash for the retirement of certain of TechnipFMC’s debt, issuance of new 6.50% Senior Notes due 2026 and payment of estimated cost of debt issuance and financing. The adjustment is comprised of the following (in millions):</w:t>
      </w:r>
    </w:p>
    <w:p>
      <w:pPr>
        <w:sectPr>
          <w:pgSz w:w="11900" w:h="16838" w:orient="portrait"/>
          <w:cols w:equalWidth="0" w:num="1">
            <w:col w:w="11240"/>
          </w:cols>
          <w:pgMar w:left="320" w:top="121" w:right="339" w:bottom="1440" w:gutter="0" w:footer="0" w:header="0"/>
        </w:sect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Repayment of TechnipFMC’s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Issuance of 6.50% Senior Notes due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3716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Debt issuance costs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Other financing costs related to the Spin-off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7145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 forma adjustment to cash</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135"/>
        <w:spacing w:after="0"/>
        <w:rPr>
          <w:sz w:val="20"/>
          <w:szCs w:val="20"/>
          <w:color w:val="auto"/>
        </w:rPr>
      </w:pPr>
      <w:r>
        <w:rPr>
          <w:rFonts w:ascii="Arial" w:cs="Arial" w:eastAsia="Arial" w:hAnsi="Arial"/>
          <w:sz w:val="16"/>
          <w:szCs w:val="16"/>
          <w:b w:val="1"/>
          <w:bCs w:val="1"/>
          <w:color w:val="auto"/>
        </w:rPr>
        <w:t>September 30, 2020</w:t>
      </w:r>
    </w:p>
    <w:p>
      <w:pPr>
        <w:spacing w:after="0" w:line="63" w:lineRule="exact"/>
        <w:rPr>
          <w:sz w:val="20"/>
          <w:szCs w:val="20"/>
          <w:color w:val="auto"/>
        </w:rPr>
      </w:pPr>
    </w:p>
    <w:p>
      <w:pPr>
        <w:ind w:left="995" w:hanging="995"/>
        <w:spacing w:after="0"/>
        <w:tabs>
          <w:tab w:leader="none" w:pos="995" w:val="left"/>
        </w:tabs>
        <w:numPr>
          <w:ilvl w:val="0"/>
          <w:numId w:val="294"/>
        </w:numPr>
        <w:rPr>
          <w:rFonts w:ascii="Arial" w:cs="Arial" w:eastAsia="Arial" w:hAnsi="Arial"/>
          <w:sz w:val="16"/>
          <w:szCs w:val="16"/>
          <w:color w:val="auto"/>
        </w:rPr>
      </w:pPr>
      <w:r>
        <w:rPr>
          <w:rFonts w:ascii="Arial" w:cs="Arial" w:eastAsia="Arial" w:hAnsi="Arial"/>
          <w:sz w:val="16"/>
          <w:szCs w:val="16"/>
          <w:color w:val="auto"/>
        </w:rPr>
        <w:t>(2,113.4)</w:t>
      </w:r>
    </w:p>
    <w:p>
      <w:pPr>
        <w:spacing w:after="0" w:line="46" w:lineRule="exact"/>
        <w:rPr>
          <w:rFonts w:ascii="Arial" w:cs="Arial" w:eastAsia="Arial" w:hAnsi="Arial"/>
          <w:sz w:val="16"/>
          <w:szCs w:val="16"/>
          <w:color w:val="auto"/>
        </w:rPr>
      </w:pPr>
    </w:p>
    <w:p>
      <w:pPr>
        <w:ind w:left="1055"/>
        <w:spacing w:after="0"/>
        <w:rPr>
          <w:rFonts w:ascii="Arial" w:cs="Arial" w:eastAsia="Arial" w:hAnsi="Arial"/>
          <w:sz w:val="16"/>
          <w:szCs w:val="16"/>
          <w:color w:val="auto"/>
        </w:rPr>
      </w:pPr>
      <w:r>
        <w:rPr>
          <w:rFonts w:ascii="Arial" w:cs="Arial" w:eastAsia="Arial" w:hAnsi="Arial"/>
          <w:sz w:val="17"/>
          <w:szCs w:val="17"/>
          <w:color w:val="auto"/>
        </w:rPr>
        <w:t>1,000.0</w:t>
      </w:r>
    </w:p>
    <w:p>
      <w:pPr>
        <w:spacing w:after="0" w:line="20" w:lineRule="exact"/>
        <w:rPr>
          <w:rFonts w:ascii="Arial" w:cs="Arial" w:eastAsia="Arial" w:hAnsi="Arial"/>
          <w:sz w:val="16"/>
          <w:szCs w:val="16"/>
          <w:color w:val="auto"/>
        </w:rPr>
      </w:pPr>
    </w:p>
    <w:p>
      <w:pPr>
        <w:ind w:left="1215"/>
        <w:spacing w:after="0"/>
        <w:rPr>
          <w:rFonts w:ascii="Arial" w:cs="Arial" w:eastAsia="Arial" w:hAnsi="Arial"/>
          <w:sz w:val="16"/>
          <w:szCs w:val="16"/>
          <w:color w:val="auto"/>
        </w:rPr>
      </w:pPr>
      <w:r>
        <w:rPr>
          <w:rFonts w:ascii="Arial" w:cs="Arial" w:eastAsia="Arial" w:hAnsi="Arial"/>
          <w:sz w:val="16"/>
          <w:szCs w:val="16"/>
          <w:color w:val="auto"/>
        </w:rPr>
        <w:t>(22.5)</w:t>
      </w:r>
    </w:p>
    <w:p>
      <w:pPr>
        <w:spacing w:after="0" w:line="32" w:lineRule="exact"/>
        <w:rPr>
          <w:rFonts w:ascii="Arial" w:cs="Arial" w:eastAsia="Arial" w:hAnsi="Arial"/>
          <w:sz w:val="16"/>
          <w:szCs w:val="16"/>
          <w:color w:val="auto"/>
        </w:rPr>
      </w:pPr>
    </w:p>
    <w:p>
      <w:pPr>
        <w:ind w:left="1215"/>
        <w:spacing w:after="0"/>
        <w:rPr>
          <w:rFonts w:ascii="Arial" w:cs="Arial" w:eastAsia="Arial" w:hAnsi="Arial"/>
          <w:sz w:val="16"/>
          <w:szCs w:val="16"/>
          <w:color w:val="auto"/>
        </w:rPr>
      </w:pPr>
      <w:r>
        <w:rPr>
          <w:rFonts w:ascii="Arial" w:cs="Arial" w:eastAsia="Arial" w:hAnsi="Arial"/>
          <w:sz w:val="16"/>
          <w:szCs w:val="16"/>
          <w:color w:val="auto"/>
        </w:rPr>
        <w:t>(50.0)</w:t>
      </w:r>
    </w:p>
    <w:p>
      <w:pPr>
        <w:spacing w:after="0" w:line="45" w:lineRule="exact"/>
        <w:rPr>
          <w:sz w:val="20"/>
          <w:szCs w:val="20"/>
          <w:color w:val="auto"/>
        </w:rPr>
      </w:pPr>
    </w:p>
    <w:p>
      <w:pPr>
        <w:ind w:left="995" w:hanging="995"/>
        <w:spacing w:after="0"/>
        <w:tabs>
          <w:tab w:leader="none" w:pos="995" w:val="left"/>
        </w:tabs>
        <w:numPr>
          <w:ilvl w:val="0"/>
          <w:numId w:val="295"/>
        </w:numPr>
        <w:rPr>
          <w:rFonts w:ascii="Arial" w:cs="Arial" w:eastAsia="Arial" w:hAnsi="Arial"/>
          <w:sz w:val="16"/>
          <w:szCs w:val="16"/>
          <w:color w:val="auto"/>
        </w:rPr>
      </w:pPr>
      <w:r>
        <w:rPr>
          <w:rFonts w:ascii="Arial" w:cs="Arial" w:eastAsia="Arial" w:hAnsi="Arial"/>
          <w:sz w:val="16"/>
          <w:szCs w:val="16"/>
          <w:color w:val="auto"/>
        </w:rPr>
        <w:t>(1,185.9)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111442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210" w:lineRule="exact"/>
        <w:rPr>
          <w:sz w:val="20"/>
          <w:szCs w:val="20"/>
          <w:color w:val="auto"/>
        </w:rPr>
      </w:pPr>
    </w:p>
    <w:p>
      <w:pPr>
        <w:sectPr>
          <w:pgSz w:w="11900" w:h="16838" w:orient="portrait"/>
          <w:cols w:equalWidth="0" w:num="2">
            <w:col w:w="8765" w:space="720"/>
            <w:col w:w="1755"/>
          </w:cols>
          <w:pgMar w:left="320" w:top="121" w:right="339" w:bottom="1440" w:gutter="0" w:footer="0" w:header="0"/>
          <w:type w:val="continuous"/>
        </w:sectPr>
      </w:pPr>
    </w:p>
    <w:p>
      <w:pPr>
        <w:spacing w:after="0" w:line="92" w:lineRule="exact"/>
        <w:rPr>
          <w:sz w:val="20"/>
          <w:szCs w:val="20"/>
          <w:color w:val="auto"/>
        </w:rPr>
      </w:pPr>
    </w:p>
    <w:p>
      <w:pPr>
        <w:ind w:left="660" w:hanging="652"/>
        <w:spacing w:after="0"/>
        <w:tabs>
          <w:tab w:leader="none" w:pos="660" w:val="left"/>
        </w:tabs>
        <w:numPr>
          <w:ilvl w:val="0"/>
          <w:numId w:val="296"/>
        </w:numPr>
        <w:rPr>
          <w:rFonts w:ascii="Arial" w:cs="Arial" w:eastAsia="Arial" w:hAnsi="Arial"/>
          <w:sz w:val="16"/>
          <w:szCs w:val="16"/>
          <w:b w:val="1"/>
          <w:bCs w:val="1"/>
          <w:color w:val="auto"/>
        </w:rPr>
      </w:pPr>
      <w:r>
        <w:rPr>
          <w:rFonts w:ascii="Arial" w:cs="Arial" w:eastAsia="Arial" w:hAnsi="Arial"/>
          <w:sz w:val="16"/>
          <w:szCs w:val="16"/>
          <w:color w:val="auto"/>
        </w:rPr>
        <w:t>Reflects the settlement of the outstanding intercompany accounts receivables (payables) pursuant to the Separation and Distribution Agreement.</w:t>
      </w:r>
    </w:p>
    <w:p>
      <w:pPr>
        <w:spacing w:after="0" w:line="248" w:lineRule="exact"/>
        <w:rPr>
          <w:rFonts w:ascii="Arial" w:cs="Arial" w:eastAsia="Arial" w:hAnsi="Arial"/>
          <w:sz w:val="16"/>
          <w:szCs w:val="16"/>
          <w:b w:val="1"/>
          <w:bCs w:val="1"/>
          <w:color w:val="auto"/>
        </w:rPr>
      </w:pPr>
    </w:p>
    <w:p>
      <w:pPr>
        <w:ind w:left="660" w:right="260" w:hanging="652"/>
        <w:spacing w:after="0" w:line="275" w:lineRule="auto"/>
        <w:tabs>
          <w:tab w:leader="none" w:pos="660" w:val="left"/>
        </w:tabs>
        <w:numPr>
          <w:ilvl w:val="0"/>
          <w:numId w:val="296"/>
        </w:numPr>
        <w:rPr>
          <w:rFonts w:ascii="Arial" w:cs="Arial" w:eastAsia="Arial" w:hAnsi="Arial"/>
          <w:sz w:val="17"/>
          <w:szCs w:val="17"/>
          <w:b w:val="1"/>
          <w:bCs w:val="1"/>
          <w:color w:val="auto"/>
        </w:rPr>
      </w:pPr>
      <w:r>
        <w:rPr>
          <w:rFonts w:ascii="Arial" w:cs="Arial" w:eastAsia="Arial" w:hAnsi="Arial"/>
          <w:sz w:val="17"/>
          <w:szCs w:val="17"/>
          <w:color w:val="auto"/>
        </w:rPr>
        <w:t>Reflects the remaining non-controlling equity interest in Technip Energies, calculated by applying the ownership percentage, assuming that the BPI Investment is purchased at the midpoint of the 11.82 percentage floor and 17.25 percentage cap, to the historical carrying value of Technip Energies. It is management’s belief that the historical carrying value of Technip Energies approximates its fair value. BPI’s $200.0 million investment in Technip Energies is subject to adjustment, and the incremental ownership stake will be determined based upon the first thirty day volume-weighted average price of Technip Energies’ shares, less a six percent discount.</w:t>
      </w:r>
    </w:p>
    <w:p>
      <w:pPr>
        <w:spacing w:after="0" w:line="176" w:lineRule="exact"/>
        <w:rPr>
          <w:rFonts w:ascii="Arial" w:cs="Arial" w:eastAsia="Arial" w:hAnsi="Arial"/>
          <w:sz w:val="17"/>
          <w:szCs w:val="17"/>
          <w:b w:val="1"/>
          <w:bCs w:val="1"/>
          <w:color w:val="auto"/>
        </w:rPr>
      </w:pPr>
    </w:p>
    <w:p>
      <w:pPr>
        <w:ind w:left="660" w:right="420"/>
        <w:spacing w:after="0" w:line="263" w:lineRule="auto"/>
        <w:rPr>
          <w:rFonts w:ascii="Arial" w:cs="Arial" w:eastAsia="Arial" w:hAnsi="Arial"/>
          <w:sz w:val="17"/>
          <w:szCs w:val="17"/>
          <w:b w:val="1"/>
          <w:bCs w:val="1"/>
          <w:color w:val="auto"/>
        </w:rPr>
      </w:pPr>
      <w:r>
        <w:rPr>
          <w:rFonts w:ascii="Arial" w:cs="Arial" w:eastAsia="Arial" w:hAnsi="Arial"/>
          <w:sz w:val="18"/>
          <w:szCs w:val="18"/>
          <w:color w:val="auto"/>
        </w:rPr>
        <w:t>Following the completion of the Spin-off, TechnipFMC elected to apply a fair value option to account for its equity method investment in the remaining ownership interest in Technip Energies. The pro forma adjustments related to the changes in the fair value of the equity method investment are not reflected in these financial statements, because they are not meaningful.</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3" w:name="page364"/>
    <w:bookmarkEnd w:id="363"/>
    <w:p>
      <w:pPr>
        <w:ind w:left="660" w:hanging="652"/>
        <w:spacing w:after="0"/>
        <w:tabs>
          <w:tab w:leader="none" w:pos="660" w:val="left"/>
        </w:tabs>
        <w:numPr>
          <w:ilvl w:val="0"/>
          <w:numId w:val="297"/>
        </w:numPr>
        <w:rPr>
          <w:rFonts w:ascii="Arial" w:cs="Arial" w:eastAsia="Arial" w:hAnsi="Arial"/>
          <w:sz w:val="16"/>
          <w:szCs w:val="16"/>
          <w:b w:val="1"/>
          <w:bCs w:val="1"/>
          <w:color w:val="auto"/>
        </w:rPr>
      </w:pPr>
      <w:r>
        <w:rPr>
          <w:rFonts w:ascii="Arial" w:cs="Arial" w:eastAsia="Arial" w:hAnsi="Arial"/>
          <w:sz w:val="16"/>
          <w:szCs w:val="16"/>
          <w:color w:val="auto"/>
        </w:rPr>
        <w:t>Reflects pro forma adjustment related to repayment of certain debts and issuance of new 6.50% Senior Notes due 2026 as follows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4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September 30, 2020</w:t>
            </w: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Repayment of commercial paper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(1,090.6)</w:t>
            </w: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rPr>
              <w:t>Repayment of 3.45% Senior Notes due 2022</w:t>
            </w:r>
          </w:p>
        </w:tc>
        <w:tc>
          <w:tcPr>
            <w:tcW w:w="120" w:type="dxa"/>
            <w:vAlign w:val="bottom"/>
          </w:tcPr>
          <w:p>
            <w:pPr>
              <w:spacing w:after="0"/>
              <w:rPr>
                <w:sz w:val="18"/>
                <w:szCs w:val="18"/>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(500.0)</w:t>
            </w: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Repayment of Synthetic bonds due 2021 (classified as short-term debt)</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(522.8)</w:t>
            </w: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rPr>
              <w:t>Issuance of 6.50% Senior Notes due 2026</w:t>
            </w:r>
          </w:p>
        </w:tc>
        <w:tc>
          <w:tcPr>
            <w:tcW w:w="120" w:type="dxa"/>
            <w:vAlign w:val="bottom"/>
          </w:tcPr>
          <w:p>
            <w:pPr>
              <w:spacing w:after="0"/>
              <w:rPr>
                <w:sz w:val="18"/>
                <w:szCs w:val="18"/>
                <w:color w:val="auto"/>
              </w:rPr>
            </w:pPr>
          </w:p>
        </w:tc>
        <w:tc>
          <w:tcPr>
            <w:tcW w:w="1640" w:type="dxa"/>
            <w:vAlign w:val="bottom"/>
          </w:tcPr>
          <w:p>
            <w:pPr>
              <w:jc w:val="right"/>
              <w:ind w:right="70"/>
              <w:spacing w:after="0"/>
              <w:rPr>
                <w:sz w:val="20"/>
                <w:szCs w:val="20"/>
                <w:color w:val="auto"/>
              </w:rPr>
            </w:pPr>
            <w:r>
              <w:rPr>
                <w:rFonts w:ascii="Arial" w:cs="Arial" w:eastAsia="Arial" w:hAnsi="Arial"/>
                <w:sz w:val="18"/>
                <w:szCs w:val="18"/>
                <w:color w:val="auto"/>
              </w:rPr>
              <w:t>1,000.0</w:t>
            </w:r>
          </w:p>
        </w:tc>
      </w:tr>
      <w:tr>
        <w:trPr>
          <w:trHeight w:val="236"/>
        </w:trPr>
        <w:tc>
          <w:tcPr>
            <w:tcW w:w="9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12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r>
      <w:tr>
        <w:trPr>
          <w:trHeight w:val="203"/>
        </w:trPr>
        <w:tc>
          <w:tcPr>
            <w:tcW w:w="9480" w:type="dxa"/>
            <w:vAlign w:val="bottom"/>
          </w:tcPr>
          <w:p>
            <w:pPr>
              <w:ind w:left="140"/>
              <w:spacing w:after="0" w:line="203" w:lineRule="exact"/>
              <w:rPr>
                <w:sz w:val="20"/>
                <w:szCs w:val="20"/>
                <w:color w:val="auto"/>
              </w:rPr>
            </w:pPr>
            <w:r>
              <w:rPr>
                <w:rFonts w:ascii="Arial" w:cs="Arial" w:eastAsia="Arial" w:hAnsi="Arial"/>
                <w:sz w:val="18"/>
                <w:szCs w:val="18"/>
                <w:b w:val="1"/>
                <w:bCs w:val="1"/>
                <w:color w:val="auto"/>
              </w:rPr>
              <w:t>Pro forma adjustment to total debt</w:t>
            </w: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(1,135.9)</w:t>
            </w:r>
          </w:p>
        </w:tc>
      </w:tr>
      <w:tr>
        <w:trPr>
          <w:trHeight w:val="20"/>
        </w:trPr>
        <w:tc>
          <w:tcPr>
            <w:tcW w:w="9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right="400" w:hanging="652"/>
        <w:spacing w:after="0" w:line="277" w:lineRule="auto"/>
        <w:tabs>
          <w:tab w:leader="none" w:pos="660" w:val="left"/>
        </w:tabs>
        <w:numPr>
          <w:ilvl w:val="0"/>
          <w:numId w:val="298"/>
        </w:numPr>
        <w:rPr>
          <w:rFonts w:ascii="Arial" w:cs="Arial" w:eastAsia="Arial" w:hAnsi="Arial"/>
          <w:sz w:val="18"/>
          <w:szCs w:val="18"/>
          <w:b w:val="1"/>
          <w:bCs w:val="1"/>
          <w:color w:val="auto"/>
        </w:rPr>
      </w:pPr>
      <w:r>
        <w:rPr>
          <w:rFonts w:ascii="Arial" w:cs="Arial" w:eastAsia="Arial" w:hAnsi="Arial"/>
          <w:sz w:val="18"/>
          <w:szCs w:val="18"/>
          <w:color w:val="auto"/>
        </w:rPr>
        <w:t>Represents pro forma adjustment to retained earnings to reflect the net impact of amounts as a result of the pro forma Spin-off adjustments as follows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4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September 30, 2020</w:t>
            </w: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Technip Energies’ cash retained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826.0</w:t>
            </w: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rPr>
              <w:t>Investment in Technip Energies</w:t>
            </w:r>
          </w:p>
        </w:tc>
        <w:tc>
          <w:tcPr>
            <w:tcW w:w="120" w:type="dxa"/>
            <w:vAlign w:val="bottom"/>
          </w:tcPr>
          <w:p>
            <w:pPr>
              <w:spacing w:after="0"/>
              <w:rPr>
                <w:sz w:val="18"/>
                <w:szCs w:val="18"/>
                <w:color w:val="auto"/>
              </w:rPr>
            </w:pPr>
          </w:p>
        </w:tc>
        <w:tc>
          <w:tcPr>
            <w:tcW w:w="1640" w:type="dxa"/>
            <w:vAlign w:val="bottom"/>
          </w:tcPr>
          <w:p>
            <w:pPr>
              <w:jc w:val="right"/>
              <w:ind w:right="70"/>
              <w:spacing w:after="0"/>
              <w:rPr>
                <w:sz w:val="20"/>
                <w:szCs w:val="20"/>
                <w:color w:val="auto"/>
              </w:rPr>
            </w:pPr>
            <w:r>
              <w:rPr>
                <w:rFonts w:ascii="Arial" w:cs="Arial" w:eastAsia="Arial" w:hAnsi="Arial"/>
                <w:sz w:val="18"/>
                <w:szCs w:val="18"/>
                <w:color w:val="auto"/>
              </w:rPr>
              <w:t>678.4</w:t>
            </w: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Cash proceeds from BPI</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200.0</w:t>
            </w:r>
          </w:p>
        </w:tc>
      </w:tr>
      <w:tr>
        <w:trPr>
          <w:trHeight w:val="223"/>
        </w:trPr>
        <w:tc>
          <w:tcPr>
            <w:tcW w:w="9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Settlement of intercompany receivables (payables)</w:t>
            </w: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72.2</w:t>
            </w:r>
          </w:p>
        </w:tc>
      </w:tr>
      <w:tr>
        <w:trPr>
          <w:trHeight w:val="241"/>
        </w:trPr>
        <w:tc>
          <w:tcPr>
            <w:tcW w:w="9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Accumulated deficit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1,776.6</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hanging="652"/>
        <w:spacing w:after="0"/>
        <w:tabs>
          <w:tab w:leader="none" w:pos="660" w:val="left"/>
        </w:tabs>
        <w:numPr>
          <w:ilvl w:val="0"/>
          <w:numId w:val="299"/>
        </w:numPr>
        <w:rPr>
          <w:rFonts w:ascii="Arial" w:cs="Arial" w:eastAsia="Arial" w:hAnsi="Arial"/>
          <w:sz w:val="17"/>
          <w:szCs w:val="17"/>
          <w:b w:val="1"/>
          <w:bCs w:val="1"/>
          <w:color w:val="auto"/>
        </w:rPr>
      </w:pPr>
      <w:r>
        <w:rPr>
          <w:rFonts w:ascii="Arial" w:cs="Arial" w:eastAsia="Arial" w:hAnsi="Arial"/>
          <w:sz w:val="17"/>
          <w:szCs w:val="17"/>
          <w:color w:val="auto"/>
        </w:rPr>
        <w:t>Represents pro forma adjustment to accumulated deficit to reflect the net impact of payments for other financing and transaction costs.</w:t>
      </w:r>
    </w:p>
    <w:p>
      <w:pPr>
        <w:spacing w:after="0" w:line="196" w:lineRule="exact"/>
        <w:rPr>
          <w:rFonts w:ascii="Arial" w:cs="Arial" w:eastAsia="Arial" w:hAnsi="Arial"/>
          <w:sz w:val="17"/>
          <w:szCs w:val="17"/>
          <w:b w:val="1"/>
          <w:bCs w:val="1"/>
          <w:color w:val="auto"/>
        </w:rPr>
      </w:pPr>
    </w:p>
    <w:p>
      <w:pPr>
        <w:ind w:left="5580"/>
        <w:spacing w:after="0"/>
        <w:rPr>
          <w:rFonts w:ascii="Arial" w:cs="Arial" w:eastAsia="Arial" w:hAnsi="Arial"/>
          <w:sz w:val="17"/>
          <w:szCs w:val="17"/>
          <w:b w:val="1"/>
          <w:bCs w:val="1"/>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4" w:name="page365"/>
    <w:bookmarkEnd w:id="364"/>
    <w:p>
      <w:pPr>
        <w:ind w:left="660" w:hanging="652"/>
        <w:spacing w:after="0"/>
        <w:tabs>
          <w:tab w:leader="none" w:pos="660" w:val="left"/>
        </w:tabs>
        <w:numPr>
          <w:ilvl w:val="0"/>
          <w:numId w:val="300"/>
        </w:numPr>
        <w:rPr>
          <w:rFonts w:ascii="Arial" w:cs="Arial" w:eastAsia="Arial" w:hAnsi="Arial"/>
          <w:sz w:val="18"/>
          <w:szCs w:val="18"/>
          <w:b w:val="1"/>
          <w:bCs w:val="1"/>
          <w:color w:val="auto"/>
        </w:rPr>
      </w:pPr>
      <w:r>
        <w:rPr>
          <w:rFonts w:ascii="Arial" w:cs="Arial" w:eastAsia="Arial" w:hAnsi="Arial"/>
          <w:sz w:val="18"/>
          <w:szCs w:val="18"/>
          <w:color w:val="auto"/>
        </w:rPr>
        <w:t>Reflects pro forma interest expense adjustments for the nine months ended September 30, 2020 as follows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41"/>
        </w:trPr>
        <w:tc>
          <w:tcPr>
            <w:tcW w:w="9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23"/>
        </w:trPr>
        <w:tc>
          <w:tcPr>
            <w:tcW w:w="94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new 6.50% Senior Notes due 2026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23"/>
        </w:trPr>
        <w:tc>
          <w:tcPr>
            <w:tcW w:w="9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Eliminate interest expense associated with retirement of TechnipFMC’s debt(i)</w:t>
            </w:r>
          </w:p>
        </w:tc>
        <w:tc>
          <w:tcPr>
            <w:tcW w:w="1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41"/>
        </w:trPr>
        <w:tc>
          <w:tcPr>
            <w:tcW w:w="9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Pro forma adjustment to interest expenses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bottom w:val="single" w:sz="8" w:color="CCEEFF"/>
            </w:tcBorders>
            <w:vMerge w:val="restart"/>
          </w:tcPr>
          <w:p>
            <w:pPr>
              <w:ind w:left="660"/>
              <w:spacing w:after="0"/>
              <w:rPr>
                <w:sz w:val="20"/>
                <w:szCs w:val="20"/>
                <w:color w:val="auto"/>
              </w:rPr>
            </w:pPr>
            <w:r>
              <w:rPr>
                <w:rFonts w:ascii="Arial" w:cs="Arial" w:eastAsia="Arial" w:hAnsi="Arial"/>
                <w:sz w:val="18"/>
                <w:szCs w:val="18"/>
                <w:color w:val="auto"/>
              </w:rPr>
              <w:t>Reflects pro forma interest expense adjustments for the year ended December 31, 2019:</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94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9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0"/>
              </w:rPr>
              <w:t>Year Ended</w:t>
            </w:r>
          </w:p>
        </w:tc>
        <w:tc>
          <w:tcPr>
            <w:tcW w:w="0" w:type="dxa"/>
            <w:vAlign w:val="bottom"/>
          </w:tcPr>
          <w:p>
            <w:pPr>
              <w:spacing w:after="0"/>
              <w:rPr>
                <w:sz w:val="1"/>
                <w:szCs w:val="1"/>
                <w:color w:val="auto"/>
              </w:rPr>
            </w:pPr>
          </w:p>
        </w:tc>
      </w:tr>
      <w:tr>
        <w:trPr>
          <w:trHeight w:val="216"/>
        </w:trPr>
        <w:tc>
          <w:tcPr>
            <w:tcW w:w="9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94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new 6.50% Senior Notes due 2026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23"/>
        </w:trPr>
        <w:tc>
          <w:tcPr>
            <w:tcW w:w="9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Eliminate interest expense associated with retirement of TechnipFMC’s debt(i)</w:t>
            </w:r>
          </w:p>
        </w:tc>
        <w:tc>
          <w:tcPr>
            <w:tcW w:w="1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41"/>
        </w:trPr>
        <w:tc>
          <w:tcPr>
            <w:tcW w:w="9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 forma adjustment to interest expenses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120"/>
        <w:spacing w:after="0" w:line="308" w:lineRule="auto"/>
        <w:rPr>
          <w:sz w:val="20"/>
          <w:szCs w:val="20"/>
          <w:color w:val="auto"/>
        </w:rPr>
      </w:pPr>
      <w:r>
        <w:rPr>
          <w:rFonts w:ascii="Arial" w:cs="Arial" w:eastAsia="Arial" w:hAnsi="Arial"/>
          <w:sz w:val="17"/>
          <w:szCs w:val="17"/>
          <w:color w:val="auto"/>
        </w:rPr>
        <w:t>Pro forma adjustments for interest expense associated with retirement of TechnipFMC’s debt was calculated based on the historical debt balances of the commercial paper, Synthetic bonds and 3.45% Senior Notes outstanding at each applicable balance sheet date.</w:t>
      </w:r>
    </w:p>
    <w:p>
      <w:pPr>
        <w:spacing w:after="0" w:line="146" w:lineRule="exact"/>
        <w:rPr>
          <w:sz w:val="20"/>
          <w:szCs w:val="20"/>
          <w:color w:val="auto"/>
        </w:rPr>
      </w:pPr>
    </w:p>
    <w:p>
      <w:pPr>
        <w:ind w:left="660" w:right="100" w:hanging="652"/>
        <w:spacing w:after="0" w:line="259" w:lineRule="auto"/>
        <w:tabs>
          <w:tab w:leader="none" w:pos="660" w:val="left"/>
        </w:tabs>
        <w:numPr>
          <w:ilvl w:val="0"/>
          <w:numId w:val="301"/>
        </w:numPr>
        <w:rPr>
          <w:rFonts w:ascii="Arial" w:cs="Arial" w:eastAsia="Arial" w:hAnsi="Arial"/>
          <w:sz w:val="18"/>
          <w:szCs w:val="18"/>
          <w:b w:val="1"/>
          <w:bCs w:val="1"/>
          <w:color w:val="auto"/>
        </w:rPr>
      </w:pPr>
      <w:r>
        <w:rPr>
          <w:rFonts w:ascii="Arial" w:cs="Arial" w:eastAsia="Arial" w:hAnsi="Arial"/>
          <w:sz w:val="18"/>
          <w:szCs w:val="18"/>
          <w:color w:val="auto"/>
        </w:rPr>
        <w:t>Reflects income tax expense (benefit) related to income (loss) from operations before income taxes generated by the pro forma adjustments based upon an estimate of the effective tax rate. There is no tax benefit related to the pro forma adjustments for the nine months ended September 30, 2020 and for the year ended December 31, 2019, due to the overall net deferred tax asset position and corresponding full valuation allowances which were recorded during these periods.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D4D3C4"/>
    <w:multiLevelType w:val="hybridMultilevel"/>
    <w:lvl w:ilvl="0">
      <w:lvlJc w:val="left"/>
      <w:lvlText w:val="☐"/>
      <w:numFmt w:val="bullet"/>
      <w:start w:val="1"/>
    </w:lvl>
  </w:abstractNum>
  <w:abstractNum w:abstractNumId="1">
    <w:nsid w:val="746F2E30"/>
    <w:multiLevelType w:val="hybridMultilevel"/>
    <w:lvl w:ilvl="0">
      <w:lvlJc w:val="left"/>
      <w:lvlText w:val="•"/>
      <w:numFmt w:val="bullet"/>
      <w:start w:val="1"/>
    </w:lvl>
  </w:abstractNum>
  <w:abstractNum w:abstractNumId="2">
    <w:nsid w:val="6FDE8AF6"/>
    <w:multiLevelType w:val="hybridMultilevel"/>
    <w:lvl w:ilvl="0">
      <w:lvlJc w:val="left"/>
      <w:lvlText w:val="•"/>
      <w:numFmt w:val="bullet"/>
      <w:start w:val="1"/>
    </w:lvl>
  </w:abstractNum>
  <w:abstractNum w:abstractNumId="3">
    <w:nsid w:val="3FC32E20"/>
    <w:multiLevelType w:val="hybridMultilevel"/>
    <w:lvl w:ilvl="0">
      <w:lvlJc w:val="left"/>
      <w:lvlText w:val="•"/>
      <w:numFmt w:val="bullet"/>
      <w:start w:val="1"/>
    </w:lvl>
  </w:abstractNum>
  <w:abstractNum w:abstractNumId="4">
    <w:nsid w:val="49C0E823"/>
    <w:multiLevelType w:val="hybridMultilevel"/>
    <w:lvl w:ilvl="0">
      <w:lvlJc w:val="left"/>
      <w:lvlText w:val="•"/>
      <w:numFmt w:val="bullet"/>
      <w:start w:val="1"/>
    </w:lvl>
  </w:abstractNum>
  <w:abstractNum w:abstractNumId="5">
    <w:nsid w:val="14D53685"/>
    <w:multiLevelType w:val="hybridMultilevel"/>
    <w:lvl w:ilvl="0">
      <w:lvlJc w:val="left"/>
      <w:lvlText w:val="•"/>
      <w:numFmt w:val="bullet"/>
      <w:start w:val="1"/>
    </w:lvl>
  </w:abstractNum>
  <w:abstractNum w:abstractNumId="6">
    <w:nsid w:val="230F856C"/>
    <w:multiLevelType w:val="hybridMultilevel"/>
    <w:lvl w:ilvl="0">
      <w:lvlJc w:val="left"/>
      <w:lvlText w:val="(%1)"/>
      <w:numFmt w:val="lowerLetter"/>
      <w:start w:val="2"/>
    </w:lvl>
  </w:abstractNum>
  <w:abstractNum w:abstractNumId="7">
    <w:nsid w:val="6EAA85FB"/>
    <w:multiLevelType w:val="hybridMultilevel"/>
    <w:lvl w:ilvl="0">
      <w:lvlJc w:val="left"/>
      <w:lvlText w:val="(%1)"/>
      <w:numFmt w:val="lowerLetter"/>
      <w:start w:val="1"/>
    </w:lvl>
  </w:abstractNum>
  <w:abstractNum w:abstractNumId="8">
    <w:nsid w:val="3F06ECB2"/>
    <w:multiLevelType w:val="hybridMultilevel"/>
    <w:lvl w:ilvl="0">
      <w:lvlJc w:val="left"/>
      <w:lvlText w:val="%1"/>
      <w:numFmt w:val="lowerLetter"/>
      <w:start w:val="1"/>
    </w:lvl>
    <w:lvl w:ilvl="1">
      <w:lvlJc w:val="left"/>
      <w:lvlText w:val="(%2)"/>
      <w:numFmt w:val="lowerRoman"/>
      <w:start w:val="1"/>
    </w:lvl>
  </w:abstractNum>
  <w:abstractNum w:abstractNumId="9">
    <w:nsid w:val="3B594807"/>
    <w:multiLevelType w:val="hybridMultilevel"/>
    <w:lvl w:ilvl="0">
      <w:lvlJc w:val="left"/>
      <w:lvlText w:val="(%1)"/>
      <w:numFmt w:val="lowerLetter"/>
      <w:start w:val="2"/>
    </w:lvl>
    <w:lvl w:ilvl="1">
      <w:lvlJc w:val="left"/>
      <w:lvlText w:val="(%2)"/>
      <w:numFmt w:val="lowerRoman"/>
      <w:start w:val="1"/>
    </w:lvl>
  </w:abstractNum>
  <w:abstractNum w:abstractNumId="10">
    <w:nsid w:val="6CAA2304"/>
    <w:multiLevelType w:val="hybridMultilevel"/>
    <w:lvl w:ilvl="0">
      <w:lvlJc w:val="left"/>
      <w:lvlText w:val="(%1)"/>
      <w:numFmt w:val="lowerLetter"/>
      <w:start w:val="1"/>
    </w:lvl>
    <w:lvl w:ilvl="1">
      <w:lvlJc w:val="left"/>
      <w:lvlText w:val="(%2)"/>
      <w:numFmt w:val="lowerRoman"/>
      <w:start w:val="1"/>
    </w:lvl>
  </w:abstractNum>
  <w:abstractNum w:abstractNumId="11">
    <w:nsid w:val="3F7C2FF4"/>
    <w:multiLevelType w:val="hybridMultilevel"/>
    <w:lvl w:ilvl="0">
      <w:lvlJc w:val="left"/>
      <w:lvlText w:val="(%1)"/>
      <w:numFmt w:val="lowerLetter"/>
      <w:start w:val="1"/>
    </w:lvl>
  </w:abstractNum>
  <w:abstractNum w:abstractNumId="12">
    <w:nsid w:val="25413BEC"/>
    <w:multiLevelType w:val="hybridMultilevel"/>
    <w:lvl w:ilvl="0">
      <w:lvlJc w:val="left"/>
      <w:lvlText w:val="(%1)"/>
      <w:numFmt w:val="lowerLetter"/>
      <w:start w:val="1"/>
    </w:lvl>
  </w:abstractNum>
  <w:abstractNum w:abstractNumId="13">
    <w:nsid w:val="17180B0B"/>
    <w:multiLevelType w:val="hybridMultilevel"/>
    <w:lvl w:ilvl="0">
      <w:lvlJc w:val="left"/>
      <w:lvlText w:val="(%1)"/>
      <w:numFmt w:val="lowerLetter"/>
      <w:start w:val="1"/>
    </w:lvl>
  </w:abstractNum>
  <w:abstractNum w:abstractNumId="14">
    <w:nsid w:val="579328B9"/>
    <w:multiLevelType w:val="hybridMultilevel"/>
    <w:lvl w:ilvl="0">
      <w:lvlJc w:val="left"/>
      <w:lvlText w:val="(%1)"/>
      <w:numFmt w:val="lowerLetter"/>
      <w:start w:val="1"/>
    </w:lvl>
  </w:abstractNum>
  <w:abstractNum w:abstractNumId="15">
    <w:nsid w:val="5D205E20"/>
    <w:multiLevelType w:val="hybridMultilevel"/>
    <w:lvl w:ilvl="0">
      <w:lvlJc w:val="left"/>
      <w:lvlText w:val="(%1)"/>
      <w:numFmt w:val="lowerLetter"/>
      <w:start w:val="1"/>
    </w:lvl>
  </w:abstractNum>
  <w:abstractNum w:abstractNumId="16">
    <w:nsid w:val="11CCA8BA"/>
    <w:multiLevelType w:val="hybridMultilevel"/>
    <w:lvl w:ilvl="0">
      <w:lvlJc w:val="left"/>
      <w:lvlText w:val="(%1)"/>
      <w:numFmt w:val="lowerLetter"/>
      <w:start w:val="3"/>
    </w:lvl>
  </w:abstractNum>
  <w:abstractNum w:abstractNumId="17">
    <w:nsid w:val="4D32AB86"/>
    <w:multiLevelType w:val="hybridMultilevel"/>
    <w:lvl w:ilvl="0">
      <w:lvlJc w:val="left"/>
      <w:lvlText w:val="&amp;"/>
      <w:numFmt w:val="bullet"/>
      <w:start w:val="1"/>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18">
    <w:nsid w:val="3F07ACC3"/>
    <w:multiLevelType w:val="hybridMultilevel"/>
    <w:lvl w:ilvl="0">
      <w:lvlJc w:val="left"/>
      <w:lvlText w:val="&amp;"/>
      <w:numFmt w:val="bullet"/>
      <w:start w:val="1"/>
    </w:lvl>
    <w:lvl w:ilvl="1">
      <w:lvlJc w:val="left"/>
      <w:lvlText w:val="%2"/>
      <w:numFmt w:val="lowerLetter"/>
      <w:start w:val="1"/>
    </w:lvl>
    <w:lvl w:ilvl="2">
      <w:lvlJc w:val="left"/>
      <w:lvlText w:val="%3"/>
      <w:numFmt w:val="lowerLetter"/>
      <w:start w:val="1"/>
    </w:lvl>
    <w:lvl w:ilvl="3">
      <w:lvlJc w:val="left"/>
      <w:lvlText w:val="(%4)"/>
      <w:numFmt w:val="lowerRoman"/>
      <w:start w:val="3"/>
    </w:lvl>
  </w:abstractNum>
  <w:abstractNum w:abstractNumId="19">
    <w:nsid w:val="6B47F63E"/>
    <w:multiLevelType w:val="hybridMultilevel"/>
    <w:lvl w:ilvl="0">
      <w:lvlJc w:val="left"/>
      <w:lvlText w:val="&amp;"/>
      <w:numFmt w:val="bullet"/>
      <w:start w:val="1"/>
    </w:lvl>
    <w:lvl w:ilvl="1">
      <w:lvlJc w:val="left"/>
      <w:lvlText w:val="(%2)"/>
      <w:numFmt w:val="lowerLetter"/>
      <w:start w:val="2"/>
    </w:lvl>
    <w:lvl w:ilvl="2">
      <w:lvlJc w:val="left"/>
      <w:lvlText w:val="%3"/>
      <w:numFmt w:val="lowerLetter"/>
      <w:start w:val="1"/>
    </w:lvl>
    <w:lvl w:ilvl="3">
      <w:lvlJc w:val="left"/>
      <w:lvlText w:val="(%4)"/>
      <w:numFmt w:val="lowerRoman"/>
      <w:start w:val="1"/>
    </w:lvl>
  </w:abstractNum>
  <w:abstractNum w:abstractNumId="20">
    <w:nsid w:val="5CB44A05"/>
    <w:multiLevelType w:val="hybridMultilevel"/>
    <w:lvl w:ilvl="0">
      <w:lvlJc w:val="left"/>
      <w:lvlText w:val="(%1)"/>
      <w:numFmt w:val="lowerRoman"/>
      <w:start w:val="2"/>
    </w:lvl>
    <w:lvl w:ilvl="1">
      <w:lvlJc w:val="left"/>
      <w:lvlText w:val="(%2)"/>
      <w:numFmt w:val="decimal"/>
      <w:start w:val="1"/>
    </w:lvl>
  </w:abstractNum>
  <w:abstractNum w:abstractNumId="21">
    <w:nsid w:val="16CF80F1"/>
    <w:multiLevelType w:val="hybridMultilevel"/>
    <w:lvl w:ilvl="0">
      <w:lvlJc w:val="left"/>
      <w:lvlText w:val="(%1)"/>
      <w:numFmt w:val="lowerLetter"/>
      <w:start w:val="1"/>
    </w:lvl>
  </w:abstractNum>
  <w:abstractNum w:abstractNumId="22">
    <w:nsid w:val="1C695DEC"/>
    <w:multiLevelType w:val="hybridMultilevel"/>
    <w:lvl w:ilvl="0">
      <w:lvlJc w:val="left"/>
      <w:lvlText w:val="(%1)"/>
      <w:numFmt w:val="lowerLetter"/>
      <w:start w:val="1"/>
    </w:lvl>
  </w:abstractNum>
  <w:abstractNum w:abstractNumId="23">
    <w:nsid w:val="3FCFAED9"/>
    <w:multiLevelType w:val="hybridMultilevel"/>
    <w:lvl w:ilvl="0">
      <w:lvlJc w:val="left"/>
      <w:lvlText w:val="(%1)"/>
      <w:numFmt w:val="lowerLetter"/>
      <w:start w:val="1"/>
    </w:lvl>
  </w:abstractNum>
  <w:abstractNum w:abstractNumId="24">
    <w:nsid w:val="F856867"/>
    <w:multiLevelType w:val="hybridMultilevel"/>
    <w:lvl w:ilvl="0">
      <w:lvlJc w:val="left"/>
      <w:lvlText w:val="(%1)"/>
      <w:numFmt w:val="lowerLetter"/>
      <w:start w:val="2"/>
    </w:lvl>
  </w:abstractNum>
  <w:abstractNum w:abstractNumId="25">
    <w:nsid w:val="11B1CC33"/>
    <w:multiLevelType w:val="hybridMultilevel"/>
    <w:lvl w:ilvl="0">
      <w:lvlJc w:val="left"/>
      <w:lvlText w:val="(%1)"/>
      <w:numFmt w:val="lowerLetter"/>
      <w:start w:val="1"/>
    </w:lvl>
  </w:abstractNum>
  <w:abstractNum w:abstractNumId="26">
    <w:nsid w:val="2E22FBB7"/>
    <w:multiLevelType w:val="hybridMultilevel"/>
    <w:lvl w:ilvl="0">
      <w:lvlJc w:val="left"/>
      <w:lvlText w:val="%1"/>
      <w:numFmt w:val="lowerLetter"/>
      <w:start w:val="1"/>
    </w:lvl>
    <w:lvl w:ilvl="1">
      <w:lvlJc w:val="left"/>
      <w:lvlText w:val="(%2)"/>
      <w:numFmt w:val="lowerLetter"/>
      <w:start w:val="3"/>
    </w:lvl>
  </w:abstractNum>
  <w:abstractNum w:abstractNumId="27">
    <w:nsid w:val="29934699"/>
    <w:multiLevelType w:val="hybridMultilevel"/>
    <w:lvl w:ilvl="0">
      <w:lvlJc w:val="left"/>
      <w:lvlText w:val="(%1)"/>
      <w:numFmt w:val="lowerLetter"/>
      <w:start w:val="9"/>
    </w:lvl>
    <w:lvl w:ilvl="1">
      <w:lvlJc w:val="left"/>
      <w:lvlText w:val="(%2)"/>
      <w:numFmt w:val="lowerLetter"/>
      <w:start w:val="4"/>
    </w:lvl>
  </w:abstractNum>
  <w:abstractNum w:abstractNumId="28">
    <w:nsid w:val="77485850"/>
    <w:multiLevelType w:val="hybridMultilevel"/>
    <w:lvl w:ilvl="0">
      <w:lvlJc w:val="left"/>
      <w:lvlText w:val="(%1)"/>
      <w:numFmt w:val="lowerLetter"/>
      <w:start w:val="5"/>
    </w:lvl>
  </w:abstractNum>
  <w:abstractNum w:abstractNumId="29">
    <w:nsid w:val="744939A3"/>
    <w:multiLevelType w:val="hybridMultilevel"/>
    <w:lvl w:ilvl="0">
      <w:lvlJc w:val="left"/>
      <w:lvlText w:val="(%1)"/>
      <w:numFmt w:val="lowerLetter"/>
      <w:start w:val="1"/>
    </w:lvl>
    <w:lvl w:ilvl="1">
      <w:lvlJc w:val="left"/>
      <w:lvlText w:val="(%2)"/>
      <w:numFmt w:val="lowerRoman"/>
      <w:start w:val="1"/>
    </w:lvl>
  </w:abstractNum>
  <w:abstractNum w:abstractNumId="30">
    <w:nsid w:val="4FA0D2E3"/>
    <w:multiLevelType w:val="hybridMultilevel"/>
    <w:lvl w:ilvl="0">
      <w:lvlJc w:val="left"/>
      <w:lvlText w:val="(%1)"/>
      <w:numFmt w:val="lowerLetter"/>
      <w:start w:val="1"/>
    </w:lvl>
  </w:abstractNum>
  <w:abstractNum w:abstractNumId="31">
    <w:nsid w:val="6B1D2C14"/>
    <w:multiLevelType w:val="hybridMultilevel"/>
    <w:lvl w:ilvl="0">
      <w:lvlJc w:val="left"/>
      <w:lvlText w:val="(%1)"/>
      <w:numFmt w:val="lowerLetter"/>
      <w:start w:val="2"/>
    </w:lvl>
  </w:abstractNum>
  <w:abstractNum w:abstractNumId="32">
    <w:nsid w:val="68B867D3"/>
    <w:multiLevelType w:val="hybridMultilevel"/>
    <w:lvl w:ilvl="0">
      <w:lvlJc w:val="left"/>
      <w:lvlText w:val="(%1)"/>
      <w:numFmt w:val="lowerLetter"/>
      <w:start w:val="1"/>
    </w:lvl>
  </w:abstractNum>
  <w:abstractNum w:abstractNumId="33">
    <w:nsid w:val="3F7F5DD9"/>
    <w:multiLevelType w:val="hybridMultilevel"/>
    <w:lvl w:ilvl="0">
      <w:lvlJc w:val="left"/>
      <w:lvlText w:val="(%1)"/>
      <w:numFmt w:val="lowerLetter"/>
      <w:start w:val="1"/>
    </w:lvl>
  </w:abstractNum>
  <w:abstractNum w:abstractNumId="34">
    <w:nsid w:val="2AE05A34"/>
    <w:multiLevelType w:val="hybridMultilevel"/>
    <w:lvl w:ilvl="0">
      <w:lvlJc w:val="left"/>
      <w:lvlText w:val="(%1)"/>
      <w:numFmt w:val="lowerLetter"/>
      <w:start w:val="1"/>
    </w:lvl>
  </w:abstractNum>
  <w:abstractNum w:abstractNumId="35">
    <w:nsid w:val="32794FF7"/>
    <w:multiLevelType w:val="hybridMultilevel"/>
    <w:lvl w:ilvl="0">
      <w:lvlJc w:val="left"/>
      <w:lvlText w:val="(%1)"/>
      <w:numFmt w:val="lowerLetter"/>
      <w:start w:val="1"/>
    </w:lvl>
  </w:abstractNum>
  <w:abstractNum w:abstractNumId="36">
    <w:nsid w:val="5454945E"/>
    <w:multiLevelType w:val="hybridMultilevel"/>
    <w:lvl w:ilvl="0">
      <w:lvlJc w:val="left"/>
      <w:lvlText w:val="(%1)"/>
      <w:numFmt w:val="lowerLetter"/>
      <w:start w:val="2"/>
    </w:lvl>
  </w:abstractNum>
  <w:abstractNum w:abstractNumId="37">
    <w:nsid w:val="4DEFDFA0"/>
    <w:multiLevelType w:val="hybridMultilevel"/>
    <w:lvl w:ilvl="0">
      <w:lvlJc w:val="left"/>
      <w:lvlText w:val="(%1)"/>
      <w:numFmt w:val="lowerLetter"/>
      <w:start w:val="1"/>
    </w:lvl>
  </w:abstractNum>
  <w:abstractNum w:abstractNumId="38">
    <w:nsid w:val="2123D5F2"/>
    <w:multiLevelType w:val="hybridMultilevel"/>
    <w:lvl w:ilvl="0">
      <w:lvlJc w:val="left"/>
      <w:lvlText w:val="(%1)"/>
      <w:numFmt w:val="lowerLetter"/>
      <w:start w:val="1"/>
    </w:lvl>
  </w:abstractNum>
  <w:abstractNum w:abstractNumId="39">
    <w:nsid w:val="135B8110"/>
    <w:multiLevelType w:val="hybridMultilevel"/>
    <w:lvl w:ilvl="0">
      <w:lvlJc w:val="left"/>
      <w:lvlText w:val="(%1)"/>
      <w:numFmt w:val="lowerLetter"/>
      <w:start w:val="1"/>
    </w:lvl>
  </w:abstractNum>
  <w:abstractNum w:abstractNumId="40">
    <w:nsid w:val="94927A8"/>
    <w:multiLevelType w:val="hybridMultilevel"/>
    <w:lvl w:ilvl="0">
      <w:lvlJc w:val="left"/>
      <w:lvlText w:val="(%1)"/>
      <w:numFmt w:val="lowerLetter"/>
      <w:start w:val="1"/>
    </w:lvl>
  </w:abstractNum>
  <w:abstractNum w:abstractNumId="41">
    <w:nsid w:val="DCDF8F6"/>
    <w:multiLevelType w:val="hybridMultilevel"/>
    <w:lvl w:ilvl="0">
      <w:lvlJc w:val="left"/>
      <w:lvlText w:val="(%1)"/>
      <w:numFmt w:val="lowerLetter"/>
      <w:start w:val="1"/>
    </w:lvl>
  </w:abstractNum>
  <w:abstractNum w:abstractNumId="42">
    <w:nsid w:val="52D7B105"/>
    <w:multiLevelType w:val="hybridMultilevel"/>
    <w:lvl w:ilvl="0">
      <w:lvlJc w:val="left"/>
      <w:lvlText w:val="(%1)"/>
      <w:numFmt w:val="lowerLetter"/>
      <w:start w:val="1"/>
    </w:lvl>
    <w:lvl w:ilvl="1">
      <w:lvlJc w:val="left"/>
      <w:lvlText w:val="(%2)"/>
      <w:numFmt w:val="lowerLetter"/>
      <w:start w:val="9"/>
    </w:lvl>
  </w:abstractNum>
  <w:abstractNum w:abstractNumId="43">
    <w:nsid w:val="2E8A6394"/>
    <w:multiLevelType w:val="hybridMultilevel"/>
    <w:lvl w:ilvl="0">
      <w:lvlJc w:val="left"/>
      <w:lvlText w:val="%1"/>
      <w:numFmt w:val="lowerLetter"/>
      <w:start w:val="1"/>
    </w:lvl>
    <w:lvl w:ilvl="1">
      <w:lvlJc w:val="left"/>
      <w:lvlText w:val="(%2)"/>
      <w:numFmt w:val="lowerLetter"/>
      <w:start w:val="35"/>
    </w:lvl>
  </w:abstractNum>
  <w:abstractNum w:abstractNumId="44">
    <w:nsid w:val="24E60401"/>
    <w:multiLevelType w:val="hybridMultilevel"/>
    <w:lvl w:ilvl="0">
      <w:lvlJc w:val="left"/>
      <w:lvlText w:val="(%1)"/>
      <w:numFmt w:val="lowerLetter"/>
      <w:start w:val="2"/>
    </w:lvl>
    <w:lvl w:ilvl="1">
      <w:lvlJc w:val="left"/>
      <w:lvlText w:val="(%2)"/>
      <w:numFmt w:val="lowerLetter"/>
      <w:start w:val="9"/>
    </w:lvl>
  </w:abstractNum>
  <w:abstractNum w:abstractNumId="45">
    <w:nsid w:val="2A6AD9BE"/>
    <w:multiLevelType w:val="hybridMultilevel"/>
    <w:lvl w:ilvl="0">
      <w:lvlJc w:val="left"/>
      <w:lvlText w:val="(%1)"/>
      <w:numFmt w:val="lowerRoman"/>
      <w:start w:val="2"/>
    </w:lvl>
  </w:abstractNum>
  <w:abstractNum w:abstractNumId="46">
    <w:nsid w:val="BAAC1B4"/>
    <w:multiLevelType w:val="hybridMultilevel"/>
    <w:lvl w:ilvl="0">
      <w:lvlJc w:val="left"/>
      <w:lvlText w:val="(%1)"/>
      <w:numFmt w:val="lowerLetter"/>
      <w:start w:val="3"/>
    </w:lvl>
    <w:lvl w:ilvl="1">
      <w:lvlJc w:val="left"/>
      <w:lvlText w:val="(%2)"/>
      <w:numFmt w:val="lowerRoman"/>
      <w:start w:val="1"/>
    </w:lvl>
  </w:abstractNum>
  <w:abstractNum w:abstractNumId="47">
    <w:nsid w:val="36B2ACBC"/>
    <w:multiLevelType w:val="hybridMultilevel"/>
    <w:lvl w:ilvl="0">
      <w:lvlJc w:val="left"/>
      <w:lvlText w:val="(%1)"/>
      <w:numFmt w:val="lowerLetter"/>
      <w:start w:val="6"/>
    </w:lvl>
  </w:abstractNum>
  <w:abstractNum w:abstractNumId="48">
    <w:nsid w:val="779D8544"/>
    <w:multiLevelType w:val="hybridMultilevel"/>
    <w:lvl w:ilvl="0">
      <w:lvlJc w:val="left"/>
      <w:lvlText w:val="(%1)"/>
      <w:numFmt w:val="lowerLetter"/>
      <w:start w:val="1"/>
    </w:lvl>
  </w:abstractNum>
  <w:abstractNum w:abstractNumId="49">
    <w:nsid w:val="4AB26E78"/>
    <w:multiLevelType w:val="hybridMultilevel"/>
    <w:lvl w:ilvl="0">
      <w:lvlJc w:val="left"/>
      <w:lvlText w:val="(%1)"/>
      <w:numFmt w:val="lowerLetter"/>
      <w:start w:val="2"/>
    </w:lvl>
  </w:abstractNum>
  <w:abstractNum w:abstractNumId="50">
    <w:nsid w:val="21FAA2FA"/>
    <w:multiLevelType w:val="hybridMultilevel"/>
    <w:lvl w:ilvl="0">
      <w:lvlJc w:val="left"/>
      <w:lvlText w:val="(%1)"/>
      <w:numFmt w:val="lowerLetter"/>
      <w:start w:val="1"/>
    </w:lvl>
  </w:abstractNum>
  <w:abstractNum w:abstractNumId="51">
    <w:nsid w:val="5451CF49"/>
    <w:multiLevelType w:val="hybridMultilevel"/>
    <w:lvl w:ilvl="0">
      <w:lvlJc w:val="left"/>
      <w:lvlText w:val="(%1)"/>
      <w:numFmt w:val="lowerLetter"/>
      <w:start w:val="1"/>
    </w:lvl>
  </w:abstractNum>
  <w:abstractNum w:abstractNumId="52">
    <w:nsid w:val="6181EF69"/>
    <w:multiLevelType w:val="hybridMultilevel"/>
    <w:lvl w:ilvl="0">
      <w:lvlJc w:val="left"/>
      <w:lvlText w:val="(%1)"/>
      <w:numFmt w:val="lowerLetter"/>
      <w:start w:val="2"/>
    </w:lvl>
  </w:abstractNum>
  <w:abstractNum w:abstractNumId="53">
    <w:nsid w:val="3E6400E6"/>
    <w:multiLevelType w:val="hybridMultilevel"/>
    <w:lvl w:ilvl="0">
      <w:lvlJc w:val="left"/>
      <w:lvlText w:val="(%1)"/>
      <w:numFmt w:val="lowerLetter"/>
      <w:start w:val="1"/>
    </w:lvl>
  </w:abstractNum>
  <w:abstractNum w:abstractNumId="54">
    <w:nsid w:val="14217E23"/>
    <w:multiLevelType w:val="hybridMultilevel"/>
    <w:lvl w:ilvl="0">
      <w:lvlJc w:val="left"/>
      <w:lvlText w:val="(%1)"/>
      <w:numFmt w:val="lowerLetter"/>
      <w:start w:val="1"/>
    </w:lvl>
  </w:abstractNum>
  <w:abstractNum w:abstractNumId="55">
    <w:nsid w:val="710757D0"/>
    <w:multiLevelType w:val="hybridMultilevel"/>
    <w:lvl w:ilvl="0">
      <w:lvlJc w:val="left"/>
      <w:lvlText w:val="%1"/>
      <w:numFmt w:val="lowerLetter"/>
      <w:start w:val="1"/>
    </w:lvl>
    <w:lvl w:ilvl="1">
      <w:lvlJc w:val="left"/>
      <w:lvlText w:val="(%2)"/>
      <w:numFmt w:val="lowerRoman"/>
      <w:start w:val="1"/>
    </w:lvl>
  </w:abstractNum>
  <w:abstractNum w:abstractNumId="56">
    <w:nsid w:val="5015CD1A"/>
    <w:multiLevelType w:val="hybridMultilevel"/>
    <w:lvl w:ilvl="0">
      <w:lvlJc w:val="left"/>
      <w:lvlText w:val="(%1)"/>
      <w:numFmt w:val="lowerLetter"/>
      <w:start w:val="2"/>
    </w:lvl>
    <w:lvl w:ilvl="1">
      <w:lvlJc w:val="left"/>
      <w:lvlText w:val="%2"/>
      <w:numFmt w:val="lowerRoman"/>
      <w:start w:val="1"/>
    </w:lvl>
  </w:abstractNum>
  <w:abstractNum w:abstractNumId="57">
    <w:nsid w:val="424479DA"/>
    <w:multiLevelType w:val="hybridMultilevel"/>
    <w:lvl w:ilvl="0">
      <w:lvlJc w:val="left"/>
      <w:lvlText w:val="(%1)"/>
      <w:numFmt w:val="lowerRoman"/>
      <w:start w:val="1"/>
    </w:lvl>
  </w:abstractNum>
  <w:abstractNum w:abstractNumId="58">
    <w:nsid w:val="1A9A9E69"/>
    <w:multiLevelType w:val="hybridMultilevel"/>
    <w:lvl w:ilvl="0">
      <w:lvlJc w:val="left"/>
      <w:lvlText w:val="%1"/>
      <w:numFmt w:val="lowerLetter"/>
      <w:start w:val="1"/>
    </w:lvl>
    <w:lvl w:ilvl="1">
      <w:lvlJc w:val="left"/>
      <w:lvlText w:val="(%2)"/>
      <w:numFmt w:val="lowerRoman"/>
      <w:start w:val="4"/>
    </w:lvl>
  </w:abstractNum>
  <w:abstractNum w:abstractNumId="59">
    <w:nsid w:val="475E256A"/>
    <w:multiLevelType w:val="hybridMultilevel"/>
    <w:lvl w:ilvl="0">
      <w:lvlJc w:val="left"/>
      <w:lvlText w:val="(%1)"/>
      <w:numFmt w:val="lowerLetter"/>
      <w:start w:val="3"/>
    </w:lvl>
    <w:lvl w:ilvl="1">
      <w:lvlJc w:val="left"/>
      <w:lvlText w:val="%2"/>
      <w:numFmt w:val="lowerRoman"/>
      <w:start w:val="1"/>
    </w:lvl>
  </w:abstractNum>
  <w:abstractNum w:abstractNumId="60">
    <w:nsid w:val="368DB37E"/>
    <w:multiLevelType w:val="hybridMultilevel"/>
    <w:lvl w:ilvl="0">
      <w:lvlJc w:val="left"/>
      <w:lvlText w:val="(%1)"/>
      <w:numFmt w:val="lowerLetter"/>
      <w:start w:val="1"/>
    </w:lvl>
  </w:abstractNum>
  <w:abstractNum w:abstractNumId="61">
    <w:nsid w:val="6A3B714C"/>
    <w:multiLevelType w:val="hybridMultilevel"/>
    <w:lvl w:ilvl="0">
      <w:lvlJc w:val="left"/>
      <w:lvlText w:val="(%1)"/>
      <w:numFmt w:val="lowerLetter"/>
      <w:start w:val="1"/>
    </w:lvl>
  </w:abstractNum>
  <w:abstractNum w:abstractNumId="62">
    <w:nsid w:val="327B517E"/>
    <w:multiLevelType w:val="hybridMultilevel"/>
    <w:lvl w:ilvl="0">
      <w:lvlJc w:val="left"/>
      <w:lvlText w:val="(%1)"/>
      <w:numFmt w:val="lowerLetter"/>
      <w:start w:val="1"/>
    </w:lvl>
  </w:abstractNum>
  <w:abstractNum w:abstractNumId="63">
    <w:nsid w:val="1F461B51"/>
    <w:multiLevelType w:val="hybridMultilevel"/>
    <w:lvl w:ilvl="0">
      <w:lvlJc w:val="left"/>
      <w:lvlText w:val="(%1)"/>
      <w:numFmt w:val="lowerLetter"/>
      <w:start w:val="1"/>
    </w:lvl>
  </w:abstractNum>
  <w:abstractNum w:abstractNumId="64">
    <w:nsid w:val="29BACF25"/>
    <w:multiLevelType w:val="hybridMultilevel"/>
    <w:lvl w:ilvl="0">
      <w:lvlJc w:val="left"/>
      <w:lvlText w:val="(%1)"/>
      <w:numFmt w:val="lowerLetter"/>
      <w:start w:val="4"/>
    </w:lvl>
  </w:abstractNum>
  <w:abstractNum w:abstractNumId="65">
    <w:nsid w:val="5D5BABB3"/>
    <w:multiLevelType w:val="hybridMultilevel"/>
    <w:lvl w:ilvl="0">
      <w:lvlJc w:val="left"/>
      <w:lvlText w:val="(%1)"/>
      <w:numFmt w:val="lowerLetter"/>
      <w:start w:val="1"/>
    </w:lvl>
  </w:abstractNum>
  <w:abstractNum w:abstractNumId="66">
    <w:nsid w:val="51BF6B48"/>
    <w:multiLevelType w:val="hybridMultilevel"/>
    <w:lvl w:ilvl="0">
      <w:lvlJc w:val="left"/>
      <w:lvlText w:val="(%1)"/>
      <w:numFmt w:val="lowerLetter"/>
      <w:start w:val="1"/>
    </w:lvl>
  </w:abstractNum>
  <w:abstractNum w:abstractNumId="67">
    <w:nsid w:val="7E0F6384"/>
    <w:multiLevelType w:val="hybridMultilevel"/>
    <w:lvl w:ilvl="0">
      <w:lvlJc w:val="left"/>
      <w:lvlText w:val="(%1)"/>
      <w:numFmt w:val="lowerLetter"/>
      <w:start w:val="1"/>
    </w:lvl>
  </w:abstractNum>
  <w:abstractNum w:abstractNumId="68">
    <w:nsid w:val="2B4B8B53"/>
    <w:multiLevelType w:val="hybridMultilevel"/>
    <w:lvl w:ilvl="0">
      <w:lvlJc w:val="left"/>
      <w:lvlText w:val="(%1)"/>
      <w:numFmt w:val="lowerLetter"/>
      <w:start w:val="4"/>
    </w:lvl>
  </w:abstractNum>
  <w:abstractNum w:abstractNumId="69">
    <w:nsid w:val="72E3413A"/>
    <w:multiLevelType w:val="hybridMultilevel"/>
    <w:lvl w:ilvl="0">
      <w:lvlJc w:val="left"/>
      <w:lvlText w:val="%1"/>
      <w:numFmt w:val="lowerLetter"/>
      <w:start w:val="1"/>
    </w:lvl>
    <w:lvl w:ilvl="1">
      <w:lvlJc w:val="left"/>
      <w:lvlText w:val="(%2)"/>
      <w:numFmt w:val="lowerLetter"/>
      <w:start w:val="1"/>
    </w:lvl>
  </w:abstractNum>
  <w:abstractNum w:abstractNumId="70">
    <w:nsid w:val="116AE494"/>
    <w:multiLevelType w:val="hybridMultilevel"/>
    <w:lvl w:ilvl="0">
      <w:lvlJc w:val="left"/>
      <w:lvlText w:val="(%1)"/>
      <w:numFmt w:val="lowerLetter"/>
      <w:start w:val="9"/>
    </w:lvl>
    <w:lvl w:ilvl="1">
      <w:lvlJc w:val="left"/>
      <w:lvlText w:val="(%2)"/>
      <w:numFmt w:val="lowerLetter"/>
      <w:start w:val="3"/>
    </w:lvl>
  </w:abstractNum>
  <w:abstractNum w:abstractNumId="71">
    <w:nsid w:val="3494B2FB"/>
    <w:multiLevelType w:val="hybridMultilevel"/>
    <w:lvl w:ilvl="0">
      <w:lvlJc w:val="left"/>
      <w:lvlText w:val="(%1)"/>
      <w:numFmt w:val="lowerLetter"/>
      <w:start w:val="6"/>
    </w:lvl>
  </w:abstractNum>
  <w:abstractNum w:abstractNumId="72">
    <w:nsid w:val="B13A31"/>
    <w:multiLevelType w:val="hybridMultilevel"/>
    <w:lvl w:ilvl="0">
      <w:lvlJc w:val="left"/>
      <w:lvlText w:val="(%1)"/>
      <w:numFmt w:val="lowerLetter"/>
      <w:start w:val="1"/>
    </w:lvl>
  </w:abstractNum>
  <w:abstractNum w:abstractNumId="73">
    <w:nsid w:val="64429599"/>
    <w:multiLevelType w:val="hybridMultilevel"/>
    <w:lvl w:ilvl="0">
      <w:lvlJc w:val="left"/>
      <w:lvlText w:val="(%1)"/>
      <w:numFmt w:val="lowerLetter"/>
      <w:start w:val="1"/>
    </w:lvl>
  </w:abstractNum>
  <w:abstractNum w:abstractNumId="74">
    <w:nsid w:val="631F1690"/>
    <w:multiLevelType w:val="hybridMultilevel"/>
    <w:lvl w:ilvl="0">
      <w:lvlJc w:val="left"/>
      <w:lvlText w:val="(%1)"/>
      <w:numFmt w:val="lowerLetter"/>
      <w:start w:val="1"/>
    </w:lvl>
  </w:abstractNum>
  <w:abstractNum w:abstractNumId="75">
    <w:nsid w:val="25973E32"/>
    <w:multiLevelType w:val="hybridMultilevel"/>
    <w:lvl w:ilvl="0">
      <w:lvlJc w:val="left"/>
      <w:lvlText w:val="(%1)"/>
      <w:numFmt w:val="lowerLetter"/>
      <w:start w:val="1"/>
    </w:lvl>
  </w:abstractNum>
  <w:abstractNum w:abstractNumId="76">
    <w:nsid w:val="EAD6F57"/>
    <w:multiLevelType w:val="hybridMultilevel"/>
    <w:lvl w:ilvl="0">
      <w:lvlJc w:val="left"/>
      <w:lvlText w:val="(%1)"/>
      <w:numFmt w:val="lowerLetter"/>
      <w:start w:val="1"/>
    </w:lvl>
    <w:lvl w:ilvl="1">
      <w:lvlJc w:val="left"/>
      <w:lvlText w:val="(%2)"/>
      <w:numFmt w:val="lowerRoman"/>
      <w:start w:val="1"/>
    </w:lvl>
  </w:abstractNum>
  <w:abstractNum w:abstractNumId="77">
    <w:nsid w:val="6EC9D844"/>
    <w:multiLevelType w:val="hybridMultilevel"/>
    <w:lvl w:ilvl="0">
      <w:lvlJc w:val="left"/>
      <w:lvlText w:val="(%1)"/>
      <w:numFmt w:val="lowerLetter"/>
      <w:start w:val="1"/>
    </w:lvl>
  </w:abstractNum>
  <w:abstractNum w:abstractNumId="78">
    <w:nsid w:val="5C49EAEE"/>
    <w:multiLevelType w:val="hybridMultilevel"/>
    <w:lvl w:ilvl="0">
      <w:lvlJc w:val="left"/>
      <w:lvlText w:val="%1."/>
      <w:numFmt w:val="upperLetter"/>
      <w:start w:val="9"/>
    </w:lvl>
    <w:lvl w:ilvl="1">
      <w:lvlJc w:val="left"/>
      <w:lvlText w:val="%2."/>
      <w:numFmt w:val="upperLetter"/>
      <w:start w:val="1"/>
    </w:lvl>
  </w:abstractNum>
  <w:abstractNum w:abstractNumId="79">
    <w:nsid w:val="64AF49B"/>
    <w:multiLevelType w:val="hybridMultilevel"/>
    <w:lvl w:ilvl="0">
      <w:lvlJc w:val="left"/>
      <w:lvlText w:val="%1."/>
      <w:numFmt w:val="upperLetter"/>
      <w:start w:val="35"/>
    </w:lvl>
    <w:lvl w:ilvl="1">
      <w:lvlJc w:val="left"/>
      <w:lvlText w:val="%2."/>
      <w:numFmt w:val="upperLetter"/>
      <w:start w:val="1"/>
    </w:lvl>
  </w:abstractNum>
  <w:abstractNum w:abstractNumId="80">
    <w:nsid w:val="397C46BC"/>
    <w:multiLevelType w:val="hybridMultilevel"/>
    <w:lvl w:ilvl="0">
      <w:lvlJc w:val="left"/>
      <w:lvlText w:val="%1"/>
      <w:numFmt w:val="upperLetter"/>
      <w:start w:val="1"/>
    </w:lvl>
    <w:lvl w:ilvl="1">
      <w:lvlJc w:val="left"/>
      <w:lvlText w:val="%2."/>
      <w:numFmt w:val="upperLetter"/>
      <w:start w:val="2"/>
    </w:lvl>
  </w:abstractNum>
  <w:abstractNum w:abstractNumId="81">
    <w:nsid w:val="7E448DE9"/>
    <w:multiLevelType w:val="hybridMultilevel"/>
    <w:lvl w:ilvl="0">
      <w:lvlJc w:val="left"/>
      <w:lvlText w:val="%1"/>
      <w:numFmt w:val="upperLetter"/>
      <w:start w:val="1"/>
    </w:lvl>
    <w:lvl w:ilvl="1">
      <w:lvlJc w:val="left"/>
      <w:lvlText w:val="%2."/>
      <w:numFmt w:val="upperLetter"/>
      <w:start w:val="1"/>
    </w:lvl>
  </w:abstractNum>
  <w:abstractNum w:abstractNumId="82">
    <w:nsid w:val="5A9CC3E5"/>
    <w:multiLevelType w:val="hybridMultilevel"/>
    <w:lvl w:ilvl="0">
      <w:lvlJc w:val="left"/>
      <w:lvlText w:val="(%1)"/>
      <w:numFmt w:val="lowerLetter"/>
      <w:start w:val="1"/>
    </w:lvl>
  </w:abstractNum>
  <w:abstractNum w:abstractNumId="83">
    <w:nsid w:val="1AFE3625"/>
    <w:multiLevelType w:val="hybridMultilevel"/>
    <w:lvl w:ilvl="0">
      <w:lvlJc w:val="left"/>
      <w:lvlText w:val="(%1)"/>
      <w:numFmt w:val="lowerLetter"/>
      <w:start w:val="1"/>
    </w:lvl>
  </w:abstractNum>
  <w:abstractNum w:abstractNumId="84">
    <w:nsid w:val="3CA88ECF"/>
    <w:multiLevelType w:val="hybridMultilevel"/>
    <w:lvl w:ilvl="0">
      <w:lvlJc w:val="left"/>
      <w:lvlText w:val="(%1)"/>
      <w:numFmt w:val="lowerLetter"/>
      <w:start w:val="1"/>
    </w:lvl>
  </w:abstractNum>
  <w:abstractNum w:abstractNumId="85">
    <w:nsid w:val="6EBE4208"/>
    <w:multiLevelType w:val="hybridMultilevel"/>
    <w:lvl w:ilvl="0">
      <w:lvlJc w:val="left"/>
      <w:lvlText w:val="(%1)"/>
      <w:numFmt w:val="lowerLetter"/>
      <w:start w:val="1"/>
    </w:lvl>
    <w:lvl w:ilvl="1">
      <w:lvlJc w:val="left"/>
      <w:lvlText w:val="(%2)"/>
      <w:numFmt w:val="lowerRoman"/>
      <w:start w:val="1"/>
    </w:lvl>
  </w:abstractNum>
  <w:abstractNum w:abstractNumId="86">
    <w:nsid w:val="C058DF5"/>
    <w:multiLevelType w:val="hybridMultilevel"/>
    <w:lvl w:ilvl="0">
      <w:lvlJc w:val="left"/>
      <w:lvlText w:val="(%1)"/>
      <w:numFmt w:val="lowerLetter"/>
      <w:start w:val="1"/>
    </w:lvl>
  </w:abstractNum>
  <w:abstractNum w:abstractNumId="87">
    <w:nsid w:val="CBE5BE9"/>
    <w:multiLevelType w:val="hybridMultilevel"/>
    <w:lvl w:ilvl="0">
      <w:lvlJc w:val="left"/>
      <w:lvlText w:val="(%1)"/>
      <w:numFmt w:val="lowerRoman"/>
      <w:start w:val="1"/>
    </w:lvl>
  </w:abstractNum>
  <w:abstractNum w:abstractNumId="88">
    <w:nsid w:val="3102BBE2"/>
    <w:multiLevelType w:val="hybridMultilevel"/>
    <w:lvl w:ilvl="0">
      <w:lvlJc w:val="left"/>
      <w:lvlText w:val="%1"/>
      <w:numFmt w:val="upperLetter"/>
      <w:start w:val="35"/>
    </w:lvl>
  </w:abstractNum>
  <w:abstractNum w:abstractNumId="89">
    <w:nsid w:val="26A02C5E"/>
    <w:multiLevelType w:val="hybridMultilevel"/>
    <w:lvl w:ilvl="0">
      <w:lvlJc w:val="left"/>
      <w:lvlText w:val="(%1)"/>
      <w:numFmt w:val="lowerRoman"/>
      <w:start w:val="2"/>
    </w:lvl>
  </w:abstractNum>
  <w:abstractNum w:abstractNumId="90">
    <w:nsid w:val="541C8153"/>
    <w:multiLevelType w:val="hybridMultilevel"/>
    <w:lvl w:ilvl="0">
      <w:lvlJc w:val="left"/>
      <w:lvlText w:val="(%1)"/>
      <w:numFmt w:val="lowerLetter"/>
      <w:start w:val="1"/>
    </w:lvl>
  </w:abstractNum>
  <w:abstractNum w:abstractNumId="91">
    <w:nsid w:val="67906F60"/>
    <w:multiLevelType w:val="hybridMultilevel"/>
    <w:lvl w:ilvl="0">
      <w:lvlJc w:val="left"/>
      <w:lvlText w:val="(%1)"/>
      <w:numFmt w:val="lowerLetter"/>
      <w:start w:val="1"/>
    </w:lvl>
  </w:abstractNum>
  <w:abstractNum w:abstractNumId="92">
    <w:nsid w:val="10DB9DAA"/>
    <w:multiLevelType w:val="hybridMultilevel"/>
    <w:lvl w:ilvl="0">
      <w:lvlJc w:val="left"/>
      <w:lvlText w:val="(%1)"/>
      <w:numFmt w:val="lowerLetter"/>
      <w:start w:val="1"/>
    </w:lvl>
  </w:abstractNum>
  <w:abstractNum w:abstractNumId="93">
    <w:nsid w:val="697D2D2"/>
    <w:multiLevelType w:val="hybridMultilevel"/>
    <w:lvl w:ilvl="0">
      <w:lvlJc w:val="left"/>
      <w:lvlText w:val="(%1)"/>
      <w:numFmt w:val="lowerLetter"/>
      <w:start w:val="1"/>
    </w:lvl>
  </w:abstractNum>
  <w:abstractNum w:abstractNumId="94">
    <w:nsid w:val="6D68AB2"/>
    <w:multiLevelType w:val="hybridMultilevel"/>
    <w:lvl w:ilvl="0">
      <w:lvlJc w:val="left"/>
      <w:lvlText w:val="(%1)"/>
      <w:numFmt w:val="lowerLetter"/>
      <w:start w:val="2"/>
    </w:lvl>
  </w:abstractNum>
  <w:abstractNum w:abstractNumId="95">
    <w:nsid w:val="3A966CD0"/>
    <w:multiLevelType w:val="hybridMultilevel"/>
    <w:lvl w:ilvl="0">
      <w:lvlJc w:val="left"/>
      <w:lvlText w:val="(%1)"/>
      <w:numFmt w:val="lowerLetter"/>
      <w:start w:val="1"/>
    </w:lvl>
    <w:lvl w:ilvl="1">
      <w:lvlJc w:val="left"/>
      <w:lvlText w:val="(%2)"/>
      <w:numFmt w:val="lowerLetter"/>
      <w:start w:val="9"/>
    </w:lvl>
  </w:abstractNum>
  <w:abstractNum w:abstractNumId="96">
    <w:nsid w:val="63F37E85"/>
    <w:multiLevelType w:val="hybridMultilevel"/>
    <w:lvl w:ilvl="0">
      <w:lvlJc w:val="left"/>
      <w:lvlText w:val="(%1)"/>
      <w:numFmt w:val="lowerLetter"/>
      <w:start w:val="35"/>
    </w:lvl>
  </w:abstractNum>
  <w:abstractNum w:abstractNumId="97">
    <w:nsid w:val="5895F5FA"/>
    <w:multiLevelType w:val="hybridMultilevel"/>
    <w:lvl w:ilvl="0">
      <w:lvlJc w:val="left"/>
      <w:lvlText w:val="(%1)"/>
      <w:numFmt w:val="lowerLetter"/>
      <w:start w:val="1"/>
    </w:lvl>
    <w:lvl w:ilvl="1">
      <w:lvlJc w:val="left"/>
      <w:lvlText w:val="(%2)"/>
      <w:numFmt w:val="lowerRoman"/>
      <w:start w:val="1"/>
    </w:lvl>
  </w:abstractNum>
  <w:abstractNum w:abstractNumId="98">
    <w:nsid w:val="38A5D054"/>
    <w:multiLevelType w:val="hybridMultilevel"/>
    <w:lvl w:ilvl="0">
      <w:lvlJc w:val="left"/>
      <w:lvlText w:val="(%1)"/>
      <w:numFmt w:val="lowerLetter"/>
      <w:start w:val="1"/>
    </w:lvl>
  </w:abstractNum>
  <w:abstractNum w:abstractNumId="99">
    <w:nsid w:val="F3F09D8"/>
    <w:multiLevelType w:val="hybridMultilevel"/>
    <w:lvl w:ilvl="0">
      <w:lvlJc w:val="left"/>
      <w:lvlText w:val="(%1)"/>
      <w:numFmt w:val="lowerLetter"/>
      <w:start w:val="3"/>
    </w:lvl>
  </w:abstractNum>
  <w:abstractNum w:abstractNumId="100">
    <w:nsid w:val="4B793735"/>
    <w:multiLevelType w:val="hybridMultilevel"/>
    <w:lvl w:ilvl="0">
      <w:lvlJc w:val="left"/>
      <w:lvlText w:val="(%1)"/>
      <w:numFmt w:val="lowerRoman"/>
      <w:start w:val="1"/>
    </w:lvl>
  </w:abstractNum>
  <w:abstractNum w:abstractNumId="101">
    <w:nsid w:val="4A10B4E8"/>
    <w:multiLevelType w:val="hybridMultilevel"/>
    <w:lvl w:ilvl="0">
      <w:lvlJc w:val="left"/>
      <w:lvlText w:val="(%1)"/>
      <w:numFmt w:val="upperLetter"/>
      <w:start w:val="1"/>
    </w:lvl>
  </w:abstractNum>
  <w:abstractNum w:abstractNumId="102">
    <w:nsid w:val="43D3BCD4"/>
    <w:multiLevelType w:val="hybridMultilevel"/>
    <w:lvl w:ilvl="0">
      <w:lvlJc w:val="left"/>
      <w:lvlText w:val="(%1)"/>
      <w:numFmt w:val="upperLetter"/>
      <w:start w:val="1"/>
    </w:lvl>
  </w:abstractNum>
  <w:abstractNum w:abstractNumId="103">
    <w:nsid w:val="4C2A7166"/>
    <w:multiLevelType w:val="hybridMultilevel"/>
    <w:lvl w:ilvl="0">
      <w:lvlJc w:val="left"/>
      <w:lvlText w:val="%1"/>
      <w:numFmt w:val="lowerLetter"/>
      <w:start w:val="1"/>
    </w:lvl>
    <w:lvl w:ilvl="1">
      <w:lvlJc w:val="left"/>
      <w:lvlText w:val="(%2)"/>
      <w:numFmt w:val="decimal"/>
      <w:start w:val="3"/>
    </w:lvl>
  </w:abstractNum>
  <w:abstractNum w:abstractNumId="104">
    <w:nsid w:val="2E534A82"/>
    <w:multiLevelType w:val="hybridMultilevel"/>
    <w:lvl w:ilvl="0">
      <w:lvlJc w:val="left"/>
      <w:lvlText w:val="(%1)"/>
      <w:numFmt w:val="lowerLetter"/>
      <w:start w:val="2"/>
    </w:lvl>
    <w:lvl w:ilvl="1">
      <w:lvlJc w:val="left"/>
      <w:lvlText w:val="%2"/>
      <w:numFmt w:val="decimal"/>
      <w:start w:val="1"/>
    </w:lvl>
  </w:abstractNum>
  <w:abstractNum w:abstractNumId="105">
    <w:nsid w:val="26F2D364"/>
    <w:multiLevelType w:val="hybridMultilevel"/>
    <w:lvl w:ilvl="0">
      <w:lvlJc w:val="left"/>
      <w:lvlText w:val="(%1)"/>
      <w:numFmt w:val="decimal"/>
      <w:start w:val="1"/>
    </w:lvl>
  </w:abstractNum>
  <w:abstractNum w:abstractNumId="106">
    <w:nsid w:val="71C1AF98"/>
    <w:multiLevelType w:val="hybridMultilevel"/>
    <w:lvl w:ilvl="0">
      <w:lvlJc w:val="left"/>
      <w:lvlText w:val="(%1)"/>
      <w:numFmt w:val="lowerLetter"/>
      <w:start w:val="1"/>
    </w:lvl>
  </w:abstractNum>
  <w:abstractNum w:abstractNumId="107">
    <w:nsid w:val="3D00B9D9"/>
    <w:multiLevelType w:val="hybridMultilevel"/>
    <w:lvl w:ilvl="0">
      <w:lvlJc w:val="left"/>
      <w:lvlText w:val="(%1)"/>
      <w:numFmt w:val="decimal"/>
      <w:start w:val="2"/>
    </w:lvl>
  </w:abstractNum>
  <w:abstractNum w:abstractNumId="108">
    <w:nsid w:val="15BCABA8"/>
    <w:multiLevelType w:val="hybridMultilevel"/>
    <w:lvl w:ilvl="0">
      <w:lvlJc w:val="left"/>
      <w:lvlText w:val="(%1)"/>
      <w:numFmt w:val="decimal"/>
      <w:start w:val="1"/>
    </w:lvl>
  </w:abstractNum>
  <w:abstractNum w:abstractNumId="109">
    <w:nsid w:val="4E0B9A87"/>
    <w:multiLevelType w:val="hybridMultilevel"/>
    <w:lvl w:ilvl="0">
      <w:lvlJc w:val="left"/>
      <w:lvlText w:val="%1"/>
      <w:numFmt w:val="decimal"/>
      <w:start w:val="1"/>
    </w:lvl>
    <w:lvl w:ilvl="1">
      <w:lvlJc w:val="left"/>
      <w:lvlText w:val="(%2)"/>
      <w:numFmt w:val="decimal"/>
      <w:start w:val="3"/>
    </w:lvl>
  </w:abstractNum>
  <w:abstractNum w:abstractNumId="110">
    <w:nsid w:val="434BAE75"/>
    <w:multiLevelType w:val="hybridMultilevel"/>
    <w:lvl w:ilvl="0">
      <w:lvlJc w:val="left"/>
      <w:lvlText w:val="(%1)"/>
      <w:numFmt w:val="decimal"/>
      <w:start w:val="30"/>
    </w:lvl>
    <w:lvl w:ilvl="1">
      <w:lvlJc w:val="left"/>
      <w:lvlText w:val="(%2)"/>
      <w:numFmt w:val="decimal"/>
      <w:start w:val="4"/>
    </w:lvl>
  </w:abstractNum>
  <w:abstractNum w:abstractNumId="111">
    <w:nsid w:val="4F38F265"/>
    <w:multiLevelType w:val="hybridMultilevel"/>
    <w:lvl w:ilvl="0">
      <w:lvlJc w:val="left"/>
      <w:lvlText w:val="(%1)"/>
      <w:numFmt w:val="decimal"/>
      <w:start w:val="1"/>
    </w:lvl>
  </w:abstractNum>
  <w:abstractNum w:abstractNumId="112">
    <w:nsid w:val="4C502870"/>
    <w:multiLevelType w:val="hybridMultilevel"/>
    <w:lvl w:ilvl="0">
      <w:lvlJc w:val="left"/>
      <w:lvlText w:val="(%1)"/>
      <w:numFmt w:val="lowerLetter"/>
      <w:start w:val="1"/>
    </w:lvl>
  </w:abstractNum>
  <w:abstractNum w:abstractNumId="113">
    <w:nsid w:val="1DE8725A"/>
    <w:multiLevelType w:val="hybridMultilevel"/>
    <w:lvl w:ilvl="0">
      <w:lvlJc w:val="left"/>
      <w:lvlText w:val="(%1)"/>
      <w:numFmt w:val="lowerRoman"/>
      <w:start w:val="1"/>
    </w:lvl>
  </w:abstractNum>
  <w:abstractNum w:abstractNumId="114">
    <w:nsid w:val="6A37288A"/>
    <w:multiLevelType w:val="hybridMultilevel"/>
    <w:lvl w:ilvl="0">
      <w:lvlJc w:val="left"/>
      <w:lvlText w:val="(%1)"/>
      <w:numFmt w:val="lowerRoman"/>
      <w:start w:val="1"/>
    </w:lvl>
    <w:lvl w:ilvl="1">
      <w:lvlJc w:val="left"/>
      <w:lvlText w:val="(%2)"/>
      <w:numFmt w:val="lowerRoman"/>
      <w:start w:val="3"/>
    </w:lvl>
  </w:abstractNum>
  <w:abstractNum w:abstractNumId="115">
    <w:nsid w:val="8F8B73F"/>
    <w:multiLevelType w:val="hybridMultilevel"/>
    <w:lvl w:ilvl="0">
      <w:lvlJc w:val="left"/>
      <w:lvlText w:val="(%1)"/>
      <w:numFmt w:val="lowerRoman"/>
      <w:start w:val="7"/>
    </w:lvl>
  </w:abstractNum>
  <w:abstractNum w:abstractNumId="116">
    <w:nsid w:val="CA6B462"/>
    <w:multiLevelType w:val="hybridMultilevel"/>
    <w:lvl w:ilvl="0">
      <w:lvlJc w:val="left"/>
      <w:lvlText w:val="(%1)"/>
      <w:numFmt w:val="lowerLetter"/>
      <w:start w:val="1"/>
    </w:lvl>
  </w:abstractNum>
  <w:abstractNum w:abstractNumId="117">
    <w:nsid w:val="763CB680"/>
    <w:multiLevelType w:val="hybridMultilevel"/>
    <w:lvl w:ilvl="0">
      <w:lvlJc w:val="left"/>
      <w:lvlText w:val="(%1)"/>
      <w:numFmt w:val="lowerLetter"/>
      <w:start w:val="2"/>
    </w:lvl>
  </w:abstractNum>
  <w:abstractNum w:abstractNumId="118">
    <w:nsid w:val="15B71329"/>
    <w:multiLevelType w:val="hybridMultilevel"/>
    <w:lvl w:ilvl="0">
      <w:lvlJc w:val="left"/>
      <w:lvlText w:val="(%1)"/>
      <w:numFmt w:val="lowerLetter"/>
      <w:start w:val="5"/>
    </w:lvl>
  </w:abstractNum>
  <w:abstractNum w:abstractNumId="119">
    <w:nsid w:val="3DA97044"/>
    <w:multiLevelType w:val="hybridMultilevel"/>
    <w:lvl w:ilvl="0">
      <w:lvlJc w:val="left"/>
      <w:lvlText w:val="(%1)"/>
      <w:numFmt w:val="lowerLetter"/>
      <w:start w:val="6"/>
    </w:lvl>
  </w:abstractNum>
  <w:abstractNum w:abstractNumId="120">
    <w:nsid w:val="1CDCE2DE"/>
    <w:multiLevelType w:val="hybridMultilevel"/>
    <w:lvl w:ilvl="0">
      <w:lvlJc w:val="left"/>
      <w:lvlText w:val="(%1)"/>
      <w:numFmt w:val="lowerLetter"/>
      <w:start w:val="1"/>
    </w:lvl>
    <w:lvl w:ilvl="1">
      <w:lvlJc w:val="left"/>
      <w:lvlText w:val="(%2)"/>
      <w:numFmt w:val="lowerRoman"/>
      <w:start w:val="1"/>
    </w:lvl>
  </w:abstractNum>
  <w:abstractNum w:abstractNumId="121">
    <w:nsid w:val="69D3947C"/>
    <w:multiLevelType w:val="hybridMultilevel"/>
    <w:lvl w:ilvl="0">
      <w:lvlJc w:val="left"/>
      <w:lvlText w:val="(%1)"/>
      <w:numFmt w:val="lowerLetter"/>
      <w:start w:val="1"/>
    </w:lvl>
  </w:abstractNum>
  <w:abstractNum w:abstractNumId="122">
    <w:nsid w:val="2539DFA5"/>
    <w:multiLevelType w:val="hybridMultilevel"/>
    <w:lvl w:ilvl="0">
      <w:lvlJc w:val="left"/>
      <w:lvlText w:val="(%1)"/>
      <w:numFmt w:val="lowerLetter"/>
      <w:start w:val="1"/>
    </w:lvl>
  </w:abstractNum>
  <w:abstractNum w:abstractNumId="123">
    <w:nsid w:val="2DB88089"/>
    <w:multiLevelType w:val="hybridMultilevel"/>
    <w:lvl w:ilvl="0">
      <w:lvlJc w:val="left"/>
      <w:lvlText w:val="(%1)"/>
      <w:numFmt w:val="lowerLetter"/>
      <w:start w:val="3"/>
    </w:lvl>
  </w:abstractNum>
  <w:abstractNum w:abstractNumId="124">
    <w:nsid w:val="706B674E"/>
    <w:multiLevelType w:val="hybridMultilevel"/>
    <w:lvl w:ilvl="0">
      <w:lvlJc w:val="left"/>
      <w:lvlText w:val="(%1)"/>
      <w:numFmt w:val="lowerLetter"/>
      <w:start w:val="1"/>
    </w:lvl>
  </w:abstractNum>
  <w:abstractNum w:abstractNumId="125">
    <w:nsid w:val="2C106A57"/>
    <w:multiLevelType w:val="hybridMultilevel"/>
    <w:lvl w:ilvl="0">
      <w:lvlJc w:val="left"/>
      <w:lvlText w:val="(%1)"/>
      <w:numFmt w:val="decimal"/>
      <w:start w:val="1"/>
    </w:lvl>
  </w:abstractNum>
  <w:abstractNum w:abstractNumId="126">
    <w:nsid w:val="684EED59"/>
    <w:multiLevelType w:val="hybridMultilevel"/>
    <w:lvl w:ilvl="0">
      <w:lvlJc w:val="left"/>
      <w:lvlText w:val="(%1)"/>
      <w:numFmt w:val="lowerLetter"/>
      <w:start w:val="1"/>
    </w:lvl>
  </w:abstractNum>
  <w:abstractNum w:abstractNumId="127">
    <w:nsid w:val="545EE5D3"/>
    <w:multiLevelType w:val="hybridMultilevel"/>
    <w:lvl w:ilvl="0">
      <w:lvlJc w:val="left"/>
      <w:lvlText w:val="(%1)"/>
      <w:numFmt w:val="lowerLetter"/>
      <w:start w:val="4"/>
    </w:lvl>
  </w:abstractNum>
  <w:abstractNum w:abstractNumId="128">
    <w:nsid w:val="4A66051"/>
    <w:multiLevelType w:val="hybridMultilevel"/>
    <w:lvl w:ilvl="0">
      <w:lvlJc w:val="left"/>
      <w:lvlText w:val="(%1)"/>
      <w:numFmt w:val="lowerLetter"/>
      <w:start w:val="2"/>
    </w:lvl>
  </w:abstractNum>
  <w:abstractNum w:abstractNumId="129">
    <w:nsid w:val="20F4BDAD"/>
    <w:multiLevelType w:val="hybridMultilevel"/>
    <w:lvl w:ilvl="0">
      <w:lvlJc w:val="left"/>
      <w:lvlText w:val="(%1)"/>
      <w:numFmt w:val="lowerLetter"/>
      <w:start w:val="1"/>
    </w:lvl>
  </w:abstractNum>
  <w:abstractNum w:abstractNumId="130">
    <w:nsid w:val="639DEFAC"/>
    <w:multiLevelType w:val="hybridMultilevel"/>
    <w:lvl w:ilvl="0">
      <w:lvlJc w:val="left"/>
      <w:lvlText w:val="(%1)"/>
      <w:numFmt w:val="lowerRoman"/>
      <w:start w:val="1"/>
    </w:lvl>
  </w:abstractNum>
  <w:abstractNum w:abstractNumId="131">
    <w:nsid w:val="501F9786"/>
    <w:multiLevelType w:val="hybridMultilevel"/>
    <w:lvl w:ilvl="0">
      <w:lvlJc w:val="left"/>
      <w:lvlText w:val="(%1)"/>
      <w:numFmt w:val="lowerLetter"/>
      <w:start w:val="1"/>
    </w:lvl>
  </w:abstractNum>
  <w:abstractNum w:abstractNumId="132">
    <w:nsid w:val="6B057295"/>
    <w:multiLevelType w:val="hybridMultilevel"/>
    <w:lvl w:ilvl="0">
      <w:lvlJc w:val="left"/>
      <w:lvlText w:val="(%1)"/>
      <w:numFmt w:val="lowerLetter"/>
      <w:start w:val="4"/>
    </w:lvl>
  </w:abstractNum>
  <w:abstractNum w:abstractNumId="133">
    <w:nsid w:val="2771AC80"/>
    <w:multiLevelType w:val="hybridMultilevel"/>
    <w:lvl w:ilvl="0">
      <w:lvlJc w:val="left"/>
      <w:lvlText w:val="(%1)"/>
      <w:numFmt w:val="lowerLetter"/>
      <w:start w:val="15"/>
    </w:lvl>
  </w:abstractNum>
  <w:abstractNum w:abstractNumId="134">
    <w:nsid w:val="1C4A08EC"/>
    <w:multiLevelType w:val="hybridMultilevel"/>
    <w:lvl w:ilvl="0">
      <w:lvlJc w:val="left"/>
      <w:lvlText w:val="%1"/>
      <w:numFmt w:val="lowerLetter"/>
      <w:start w:val="1"/>
    </w:lvl>
    <w:lvl w:ilvl="1">
      <w:lvlJc w:val="left"/>
      <w:lvlText w:val="(%2)"/>
      <w:numFmt w:val="lowerLetter"/>
      <w:start w:val="1"/>
    </w:lvl>
  </w:abstractNum>
  <w:abstractNum w:abstractNumId="135">
    <w:nsid w:val="1958BD17"/>
    <w:multiLevelType w:val="hybridMultilevel"/>
    <w:lvl w:ilvl="0">
      <w:lvlJc w:val="left"/>
      <w:lvlText w:val="(%1)"/>
      <w:numFmt w:val="lowerLetter"/>
      <w:start w:val="1"/>
    </w:lvl>
    <w:lvl w:ilvl="1">
      <w:lvlJc w:val="left"/>
      <w:lvlText w:val="%2"/>
      <w:numFmt w:val="lowerLetter"/>
      <w:start w:val="1"/>
    </w:lvl>
  </w:abstractNum>
  <w:abstractNum w:abstractNumId="136">
    <w:nsid w:val="4E647FE4"/>
    <w:multiLevelType w:val="hybridMultilevel"/>
    <w:lvl w:ilvl="0">
      <w:lvlJc w:val="left"/>
      <w:lvlText w:val="(%1)"/>
      <w:numFmt w:val="lowerLetter"/>
      <w:start w:val="5"/>
    </w:lvl>
  </w:abstractNum>
  <w:abstractNum w:abstractNumId="137">
    <w:nsid w:val="E0BB885"/>
    <w:multiLevelType w:val="hybridMultilevel"/>
    <w:lvl w:ilvl="0">
      <w:lvlJc w:val="left"/>
      <w:lvlText w:val="(%1)"/>
      <w:numFmt w:val="lowerLetter"/>
      <w:start w:val="1"/>
    </w:lvl>
    <w:lvl w:ilvl="1">
      <w:lvlJc w:val="left"/>
      <w:lvlText w:val="(%2)"/>
      <w:numFmt w:val="lowerRoman"/>
      <w:start w:val="1"/>
    </w:lvl>
  </w:abstractNum>
  <w:abstractNum w:abstractNumId="138">
    <w:nsid w:val="565976F1"/>
    <w:multiLevelType w:val="hybridMultilevel"/>
    <w:lvl w:ilvl="0">
      <w:lvlJc w:val="left"/>
      <w:lvlText w:val="(%1)"/>
      <w:numFmt w:val="lowerLetter"/>
      <w:start w:val="3"/>
    </w:lvl>
  </w:abstractNum>
  <w:abstractNum w:abstractNumId="139">
    <w:nsid w:val="64212B8C"/>
    <w:multiLevelType w:val="hybridMultilevel"/>
    <w:lvl w:ilvl="0">
      <w:lvlJc w:val="left"/>
      <w:lvlText w:val="%1."/>
      <w:numFmt w:val="upperLetter"/>
      <w:start w:val="4"/>
    </w:lvl>
  </w:abstractNum>
  <w:abstractNum w:abstractNumId="140">
    <w:nsid w:val="5C17530C"/>
    <w:multiLevelType w:val="hybridMultilevel"/>
    <w:lvl w:ilvl="0">
      <w:lvlJc w:val="left"/>
      <w:lvlText w:val="a"/>
      <w:numFmt w:val="bullet"/>
      <w:start w:val="1"/>
    </w:lvl>
  </w:abstractNum>
  <w:abstractNum w:abstractNumId="141">
    <w:nsid w:val="19A52566"/>
    <w:multiLevelType w:val="hybridMultilevel"/>
    <w:lvl w:ilvl="0">
      <w:lvlJc w:val="left"/>
      <w:lvlText w:val="(%1)"/>
      <w:numFmt w:val="lowerLetter"/>
      <w:start w:val="1"/>
    </w:lvl>
    <w:lvl w:ilvl="1">
      <w:lvlJc w:val="left"/>
      <w:lvlText w:val="(%2)"/>
      <w:numFmt w:val="lowerRoman"/>
      <w:start w:val="1"/>
    </w:lvl>
  </w:abstractNum>
  <w:abstractNum w:abstractNumId="142">
    <w:nsid w:val="335A1DF1"/>
    <w:multiLevelType w:val="hybridMultilevel"/>
    <w:lvl w:ilvl="0">
      <w:lvlJc w:val="left"/>
      <w:lvlText w:val="%1"/>
      <w:numFmt w:val="lowerLetter"/>
      <w:start w:val="1"/>
    </w:lvl>
    <w:lvl w:ilvl="1">
      <w:lvlJc w:val="left"/>
      <w:lvlText w:val="(%2)"/>
      <w:numFmt w:val="lowerRoman"/>
      <w:start w:val="3"/>
    </w:lvl>
  </w:abstractNum>
  <w:abstractNum w:abstractNumId="143">
    <w:nsid w:val="28677B7C"/>
    <w:multiLevelType w:val="hybridMultilevel"/>
    <w:lvl w:ilvl="0">
      <w:lvlJc w:val="left"/>
      <w:lvlText w:val="(%1)"/>
      <w:numFmt w:val="lowerLetter"/>
      <w:start w:val="3"/>
    </w:lvl>
    <w:lvl w:ilvl="1">
      <w:lvlJc w:val="left"/>
      <w:lvlText w:val="%2"/>
      <w:numFmt w:val="lowerRoman"/>
      <w:start w:val="1"/>
    </w:lvl>
  </w:abstractNum>
  <w:abstractNum w:abstractNumId="144">
    <w:nsid w:val="378D97C0"/>
    <w:multiLevelType w:val="hybridMultilevel"/>
    <w:lvl w:ilvl="0">
      <w:lvlJc w:val="left"/>
      <w:lvlText w:val="(%1)"/>
      <w:numFmt w:val="lowerLetter"/>
      <w:start w:val="1"/>
    </w:lvl>
  </w:abstractNum>
  <w:abstractNum w:abstractNumId="145">
    <w:nsid w:val="1D91467C"/>
    <w:multiLevelType w:val="hybridMultilevel"/>
    <w:lvl w:ilvl="0">
      <w:lvlJc w:val="left"/>
      <w:lvlText w:val="(%1)"/>
      <w:numFmt w:val="lowerLetter"/>
      <w:start w:val="1"/>
    </w:lvl>
  </w:abstractNum>
  <w:abstractNum w:abstractNumId="146">
    <w:nsid w:val="316032BB"/>
    <w:multiLevelType w:val="hybridMultilevel"/>
    <w:lvl w:ilvl="0">
      <w:lvlJc w:val="left"/>
      <w:lvlText w:val="%1"/>
      <w:numFmt w:val="upperLetter"/>
      <w:start w:val="1"/>
    </w:lvl>
    <w:lvl w:ilvl="1">
      <w:lvlJc w:val="left"/>
      <w:lvlText w:val="(%2)"/>
      <w:numFmt w:val="lowerLetter"/>
      <w:start w:val="1"/>
    </w:lvl>
  </w:abstractNum>
  <w:abstractNum w:abstractNumId="147">
    <w:nsid w:val="44344C22"/>
    <w:multiLevelType w:val="hybridMultilevel"/>
    <w:lvl w:ilvl="0">
      <w:lvlJc w:val="left"/>
      <w:lvlText w:val="(%1)"/>
      <w:numFmt w:val="upperLetter"/>
      <w:start w:val="2"/>
    </w:lvl>
    <w:lvl w:ilvl="1">
      <w:lvlJc w:val="left"/>
      <w:lvlText w:val="%2"/>
      <w:numFmt w:val="lowerLetter"/>
      <w:start w:val="1"/>
    </w:lvl>
  </w:abstractNum>
  <w:abstractNum w:abstractNumId="148">
    <w:nsid w:val="13CDFCFC"/>
    <w:multiLevelType w:val="hybridMultilevel"/>
    <w:lvl w:ilvl="0">
      <w:lvlJc w:val="left"/>
      <w:lvlText w:val="(%1)"/>
      <w:numFmt w:val="lowerLetter"/>
      <w:start w:val="3"/>
    </w:lvl>
  </w:abstractNum>
  <w:abstractNum w:abstractNumId="149">
    <w:nsid w:val="471745E4"/>
    <w:multiLevelType w:val="hybridMultilevel"/>
    <w:lvl w:ilvl="0">
      <w:lvlJc w:val="left"/>
      <w:lvlText w:val="(%1)"/>
      <w:numFmt w:val="lowerLetter"/>
      <w:start w:val="1"/>
    </w:lvl>
  </w:abstractNum>
  <w:abstractNum w:abstractNumId="150">
    <w:nsid w:val="1DDBC66"/>
    <w:multiLevelType w:val="hybridMultilevel"/>
    <w:lvl w:ilvl="0">
      <w:lvlJc w:val="left"/>
      <w:lvlText w:val="(%1)"/>
      <w:numFmt w:val="lowerLetter"/>
      <w:start w:val="7"/>
    </w:lvl>
  </w:abstractNum>
  <w:abstractNum w:abstractNumId="151">
    <w:nsid w:val="30AADFDA"/>
    <w:multiLevelType w:val="hybridMultilevel"/>
    <w:lvl w:ilvl="0">
      <w:lvlJc w:val="left"/>
      <w:lvlText w:val="(%1)"/>
      <w:numFmt w:val="lowerLetter"/>
      <w:start w:val="10"/>
    </w:lvl>
  </w:abstractNum>
  <w:abstractNum w:abstractNumId="152">
    <w:nsid w:val="30EADA61"/>
    <w:multiLevelType w:val="hybridMultilevel"/>
    <w:lvl w:ilvl="0">
      <w:lvlJc w:val="left"/>
      <w:lvlText w:val="(%1)"/>
      <w:numFmt w:val="lowerLetter"/>
      <w:start w:val="1"/>
    </w:lvl>
  </w:abstractNum>
  <w:abstractNum w:abstractNumId="153">
    <w:nsid w:val="27179C0B"/>
    <w:multiLevelType w:val="hybridMultilevel"/>
    <w:lvl w:ilvl="0">
      <w:lvlJc w:val="left"/>
      <w:lvlText w:val="(%1)"/>
      <w:numFmt w:val="lowerLetter"/>
      <w:start w:val="2"/>
    </w:lvl>
  </w:abstractNum>
  <w:abstractNum w:abstractNumId="154">
    <w:nsid w:val="5E636063"/>
    <w:multiLevelType w:val="hybridMultilevel"/>
    <w:lvl w:ilvl="0">
      <w:lvlJc w:val="left"/>
      <w:lvlText w:val="(%1)"/>
      <w:numFmt w:val="lowerRoman"/>
      <w:start w:val="1"/>
    </w:lvl>
  </w:abstractNum>
  <w:abstractNum w:abstractNumId="155">
    <w:nsid w:val="215641AF"/>
    <w:multiLevelType w:val="hybridMultilevel"/>
    <w:lvl w:ilvl="0">
      <w:lvlJc w:val="left"/>
      <w:lvlText w:val="(%1)"/>
      <w:numFmt w:val="lowerRoman"/>
      <w:start w:val="6"/>
    </w:lvl>
  </w:abstractNum>
  <w:abstractNum w:abstractNumId="156">
    <w:nsid w:val="53280662"/>
    <w:multiLevelType w:val="hybridMultilevel"/>
    <w:lvl w:ilvl="0">
      <w:lvlJc w:val="left"/>
      <w:lvlText w:val="(%1)"/>
      <w:numFmt w:val="lowerLetter"/>
      <w:start w:val="1"/>
    </w:lvl>
  </w:abstractNum>
  <w:abstractNum w:abstractNumId="157">
    <w:nsid w:val="46B24DBC"/>
    <w:multiLevelType w:val="hybridMultilevel"/>
    <w:lvl w:ilvl="0">
      <w:lvlJc w:val="left"/>
      <w:lvlText w:val="%1"/>
      <w:numFmt w:val="lowerLetter"/>
      <w:start w:val="1"/>
    </w:lvl>
    <w:lvl w:ilvl="1">
      <w:lvlJc w:val="left"/>
      <w:lvlText w:val="(%2)"/>
      <w:numFmt w:val="lowerLetter"/>
      <w:start w:val="2"/>
    </w:lvl>
  </w:abstractNum>
  <w:abstractNum w:abstractNumId="158">
    <w:nsid w:val="75B52783"/>
    <w:multiLevelType w:val="hybridMultilevel"/>
    <w:lvl w:ilvl="0">
      <w:lvlJc w:val="left"/>
      <w:lvlText w:val="(%1)"/>
      <w:numFmt w:val="lowerLetter"/>
      <w:start w:val="12"/>
    </w:lvl>
    <w:lvl w:ilvl="1">
      <w:lvlJc w:val="left"/>
      <w:lvlText w:val="(%2)"/>
      <w:numFmt w:val="lowerLetter"/>
      <w:start w:val="3"/>
    </w:lvl>
  </w:abstractNum>
  <w:abstractNum w:abstractNumId="159">
    <w:nsid w:val="57CE66B4"/>
    <w:multiLevelType w:val="hybridMultilevel"/>
    <w:lvl w:ilvl="0">
      <w:lvlJc w:val="left"/>
      <w:lvlText w:val="(%1)"/>
      <w:numFmt w:val="lowerLetter"/>
      <w:start w:val="4"/>
    </w:lvl>
  </w:abstractNum>
  <w:abstractNum w:abstractNumId="160">
    <w:nsid w:val="67A70B69"/>
    <w:multiLevelType w:val="hybridMultilevel"/>
    <w:lvl w:ilvl="0">
      <w:lvlJc w:val="left"/>
      <w:lvlText w:val="(%1)"/>
      <w:numFmt w:val="lowerLetter"/>
      <w:start w:val="6"/>
    </w:lvl>
  </w:abstractNum>
  <w:abstractNum w:abstractNumId="161">
    <w:nsid w:val="5953172F"/>
    <w:multiLevelType w:val="hybridMultilevel"/>
    <w:lvl w:ilvl="0">
      <w:lvlJc w:val="left"/>
      <w:lvlText w:val="(%1)"/>
      <w:numFmt w:val="lowerLetter"/>
      <w:start w:val="7"/>
    </w:lvl>
  </w:abstractNum>
  <w:abstractNum w:abstractNumId="162">
    <w:nsid w:val="27EDFE3A"/>
    <w:multiLevelType w:val="hybridMultilevel"/>
    <w:lvl w:ilvl="0">
      <w:lvlJc w:val="left"/>
      <w:lvlText w:val="(%1)"/>
      <w:numFmt w:val="lowerLetter"/>
      <w:start w:val="9"/>
    </w:lvl>
  </w:abstractNum>
  <w:abstractNum w:abstractNumId="163">
    <w:nsid w:val="52AC7DFF"/>
    <w:multiLevelType w:val="hybridMultilevel"/>
    <w:lvl w:ilvl="0">
      <w:lvlJc w:val="left"/>
      <w:lvlText w:val="(%1)"/>
      <w:numFmt w:val="lowerLetter"/>
      <w:start w:val="12"/>
    </w:lvl>
  </w:abstractNum>
  <w:abstractNum w:abstractNumId="164">
    <w:nsid w:val="C4C3AF"/>
    <w:multiLevelType w:val="hybridMultilevel"/>
    <w:lvl w:ilvl="0">
      <w:lvlJc w:val="left"/>
      <w:lvlText w:val="(%1)"/>
      <w:numFmt w:val="lowerLetter"/>
      <w:start w:val="1"/>
    </w:lvl>
  </w:abstractNum>
  <w:abstractNum w:abstractNumId="165">
    <w:nsid w:val="44380727"/>
    <w:multiLevelType w:val="hybridMultilevel"/>
    <w:lvl w:ilvl="0">
      <w:lvlJc w:val="left"/>
      <w:lvlText w:val="(%1)"/>
      <w:numFmt w:val="lowerLetter"/>
      <w:start w:val="2"/>
    </w:lvl>
  </w:abstractNum>
  <w:abstractNum w:abstractNumId="166">
    <w:nsid w:val="6C053B16"/>
    <w:multiLevelType w:val="hybridMultilevel"/>
    <w:lvl w:ilvl="0">
      <w:lvlJc w:val="left"/>
      <w:lvlText w:val="(%1)"/>
      <w:numFmt w:val="lowerLetter"/>
      <w:start w:val="1"/>
    </w:lvl>
  </w:abstractNum>
  <w:abstractNum w:abstractNumId="167">
    <w:nsid w:val="4F294393"/>
    <w:multiLevelType w:val="hybridMultilevel"/>
    <w:lvl w:ilvl="0">
      <w:lvlJc w:val="left"/>
      <w:lvlText w:val="(%1)"/>
      <w:numFmt w:val="lowerLetter"/>
      <w:start w:val="3"/>
    </w:lvl>
    <w:lvl w:ilvl="1">
      <w:lvlJc w:val="left"/>
      <w:lvlText w:val="(%2)"/>
      <w:numFmt w:val="lowerRoman"/>
      <w:start w:val="1"/>
    </w:lvl>
  </w:abstractNum>
  <w:abstractNum w:abstractNumId="168">
    <w:nsid w:val="5243BFAC"/>
    <w:multiLevelType w:val="hybridMultilevel"/>
    <w:lvl w:ilvl="0">
      <w:lvlJc w:val="left"/>
      <w:lvlText w:val="(%1)"/>
      <w:numFmt w:val="lowerLetter"/>
      <w:start w:val="4"/>
    </w:lvl>
  </w:abstractNum>
  <w:abstractNum w:abstractNumId="169">
    <w:nsid w:val="425EB207"/>
    <w:multiLevelType w:val="hybridMultilevel"/>
    <w:lvl w:ilvl="0">
      <w:lvlJc w:val="left"/>
      <w:lvlText w:val="(%1)"/>
      <w:numFmt w:val="lowerLetter"/>
      <w:start w:val="1"/>
    </w:lvl>
  </w:abstractNum>
  <w:abstractNum w:abstractNumId="170">
    <w:nsid w:val="334A6F1F"/>
    <w:multiLevelType w:val="hybridMultilevel"/>
    <w:lvl w:ilvl="0">
      <w:lvlJc w:val="left"/>
      <w:lvlText w:val="(%1)"/>
      <w:numFmt w:val="lowerLetter"/>
      <w:start w:val="1"/>
    </w:lvl>
  </w:abstractNum>
  <w:abstractNum w:abstractNumId="171">
    <w:nsid w:val="2E5B12B8"/>
    <w:multiLevelType w:val="hybridMultilevel"/>
    <w:lvl w:ilvl="0">
      <w:lvlJc w:val="left"/>
      <w:lvlText w:val="(%1)"/>
      <w:numFmt w:val="lowerLetter"/>
      <w:start w:val="1"/>
    </w:lvl>
  </w:abstractNum>
  <w:abstractNum w:abstractNumId="172">
    <w:nsid w:val="5C03D76D"/>
    <w:multiLevelType w:val="hybridMultilevel"/>
    <w:lvl w:ilvl="0">
      <w:lvlJc w:val="left"/>
      <w:lvlText w:val="(%1)"/>
      <w:numFmt w:val="lowerLetter"/>
      <w:start w:val="1"/>
    </w:lvl>
  </w:abstractNum>
  <w:abstractNum w:abstractNumId="173">
    <w:nsid w:val="66A48D11"/>
    <w:multiLevelType w:val="hybridMultilevel"/>
    <w:lvl w:ilvl="0">
      <w:lvlJc w:val="left"/>
      <w:lvlText w:val="(%1)"/>
      <w:numFmt w:val="lowerLetter"/>
      <w:start w:val="1"/>
    </w:lvl>
  </w:abstractNum>
  <w:abstractNum w:abstractNumId="174">
    <w:nsid w:val="56C28E34"/>
    <w:multiLevelType w:val="hybridMultilevel"/>
    <w:lvl w:ilvl="0">
      <w:lvlJc w:val="left"/>
      <w:lvlText w:val="(%1)"/>
      <w:numFmt w:val="lowerLetter"/>
      <w:start w:val="2"/>
    </w:lvl>
  </w:abstractNum>
  <w:abstractNum w:abstractNumId="175">
    <w:nsid w:val="13916F2D"/>
    <w:multiLevelType w:val="hybridMultilevel"/>
    <w:lvl w:ilvl="0">
      <w:lvlJc w:val="left"/>
      <w:lvlText w:val="(%1)"/>
      <w:numFmt w:val="lowerLetter"/>
      <w:start w:val="1"/>
    </w:lvl>
    <w:lvl w:ilvl="1">
      <w:lvlJc w:val="left"/>
      <w:lvlText w:val="(%2)"/>
      <w:numFmt w:val="lowerLetter"/>
      <w:start w:val="9"/>
    </w:lvl>
  </w:abstractNum>
  <w:abstractNum w:abstractNumId="176">
    <w:nsid w:val="435D38D"/>
    <w:multiLevelType w:val="hybridMultilevel"/>
    <w:lvl w:ilvl="0">
      <w:lvlJc w:val="left"/>
      <w:lvlText w:val="(%1)"/>
      <w:numFmt w:val="lowerRoman"/>
      <w:start w:val="2"/>
    </w:lvl>
  </w:abstractNum>
  <w:abstractNum w:abstractNumId="177">
    <w:nsid w:val="822C0EF"/>
    <w:multiLevelType w:val="hybridMultilevel"/>
    <w:lvl w:ilvl="0">
      <w:lvlJc w:val="left"/>
      <w:lvlText w:val="%1"/>
      <w:numFmt w:val="lowerLetter"/>
      <w:start w:val="1"/>
    </w:lvl>
    <w:lvl w:ilvl="1">
      <w:lvlJc w:val="left"/>
      <w:lvlText w:val="(%2)"/>
      <w:numFmt w:val="lowerLetter"/>
      <w:start w:val="2"/>
    </w:lvl>
  </w:abstractNum>
  <w:abstractNum w:abstractNumId="178">
    <w:nsid w:val="57C5BB4F"/>
    <w:multiLevelType w:val="hybridMultilevel"/>
    <w:lvl w:ilvl="0">
      <w:lvlJc w:val="left"/>
      <w:lvlText w:val="(%1)"/>
      <w:numFmt w:val="lowerLetter"/>
      <w:start w:val="61"/>
    </w:lvl>
    <w:lvl w:ilvl="1">
      <w:lvlJc w:val="left"/>
      <w:lvlText w:val="%2"/>
      <w:numFmt w:val="lowerLetter"/>
      <w:start w:val="1"/>
    </w:lvl>
  </w:abstractNum>
  <w:abstractNum w:abstractNumId="179">
    <w:nsid w:val="1803D089"/>
    <w:multiLevelType w:val="hybridMultilevel"/>
    <w:lvl w:ilvl="0">
      <w:lvlJc w:val="left"/>
      <w:lvlText w:val="(%1)"/>
      <w:numFmt w:val="lowerLetter"/>
      <w:start w:val="6"/>
    </w:lvl>
  </w:abstractNum>
  <w:abstractNum w:abstractNumId="180">
    <w:nsid w:val="4F3A06D4"/>
    <w:multiLevelType w:val="hybridMultilevel"/>
    <w:lvl w:ilvl="0">
      <w:lvlJc w:val="left"/>
      <w:lvlText w:val="(%1)"/>
      <w:numFmt w:val="lowerLetter"/>
      <w:start w:val="1"/>
    </w:lvl>
    <w:lvl w:ilvl="1">
      <w:lvlJc w:val="left"/>
      <w:lvlText w:val="(%2)"/>
      <w:numFmt w:val="lowerRoman"/>
      <w:start w:val="1"/>
    </w:lvl>
  </w:abstractNum>
  <w:abstractNum w:abstractNumId="181">
    <w:nsid w:val="59A377B6"/>
    <w:multiLevelType w:val="hybridMultilevel"/>
    <w:lvl w:ilvl="0">
      <w:lvlJc w:val="left"/>
      <w:lvlText w:val="(%1)"/>
      <w:numFmt w:val="lowerLetter"/>
      <w:start w:val="2"/>
    </w:lvl>
  </w:abstractNum>
  <w:abstractNum w:abstractNumId="182">
    <w:nsid w:val="48AEB063"/>
    <w:multiLevelType w:val="hybridMultilevel"/>
    <w:lvl w:ilvl="0">
      <w:lvlJc w:val="left"/>
      <w:lvlText w:val="(%1)"/>
      <w:numFmt w:val="lowerLetter"/>
      <w:start w:val="4"/>
    </w:lvl>
  </w:abstractNum>
  <w:abstractNum w:abstractNumId="183">
    <w:nsid w:val="24E135"/>
    <w:multiLevelType w:val="hybridMultilevel"/>
    <w:lvl w:ilvl="0">
      <w:lvlJc w:val="left"/>
      <w:lvlText w:val="(%1)"/>
      <w:numFmt w:val="lowerLetter"/>
      <w:start w:val="1"/>
    </w:lvl>
  </w:abstractNum>
  <w:abstractNum w:abstractNumId="184">
    <w:nsid w:val="BB13C1"/>
    <w:multiLevelType w:val="hybridMultilevel"/>
    <w:lvl w:ilvl="0">
      <w:lvlJc w:val="left"/>
      <w:lvlText w:val="(%1)"/>
      <w:numFmt w:val="lowerLetter"/>
      <w:start w:val="2"/>
    </w:lvl>
    <w:lvl w:ilvl="1">
      <w:lvlJc w:val="left"/>
      <w:lvlText w:val="(%2)"/>
      <w:numFmt w:val="lowerLetter"/>
      <w:start w:val="9"/>
    </w:lvl>
  </w:abstractNum>
  <w:abstractNum w:abstractNumId="185">
    <w:nsid w:val="271210C7"/>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186">
    <w:nsid w:val="217B22E4"/>
    <w:multiLevelType w:val="hybridMultilevel"/>
    <w:lvl w:ilvl="0">
      <w:lvlJc w:val="left"/>
      <w:lvlText w:val="(%1)"/>
      <w:numFmt w:val="upperLetter"/>
      <w:start w:val="3"/>
    </w:lvl>
  </w:abstractNum>
  <w:abstractNum w:abstractNumId="187">
    <w:nsid w:val="53E31A24"/>
    <w:multiLevelType w:val="hybridMultilevel"/>
    <w:lvl w:ilvl="0">
      <w:lvlJc w:val="left"/>
      <w:lvlText w:val="(%1)"/>
      <w:numFmt w:val="lowerLetter"/>
      <w:start w:val="6"/>
    </w:lvl>
    <w:lvl w:ilvl="1">
      <w:lvlJc w:val="left"/>
      <w:lvlText w:val="(%2)"/>
      <w:numFmt w:val="lowerLetter"/>
      <w:start w:val="9"/>
    </w:lvl>
  </w:abstractNum>
  <w:abstractNum w:abstractNumId="188">
    <w:nsid w:val="6DC45E83"/>
    <w:multiLevelType w:val="hybridMultilevel"/>
    <w:lvl w:ilvl="0">
      <w:lvlJc w:val="left"/>
      <w:lvlText w:val="(%1)"/>
      <w:numFmt w:val="lowerRoman"/>
      <w:start w:val="2"/>
    </w:lvl>
    <w:lvl w:ilvl="1">
      <w:lvlJc w:val="left"/>
      <w:lvlText w:val="(%2)"/>
      <w:numFmt w:val="upperLetter"/>
      <w:start w:val="2"/>
    </w:lvl>
    <w:lvl w:ilvl="2">
      <w:lvlJc w:val="left"/>
      <w:lvlText w:val="%3"/>
      <w:numFmt w:val="decimal"/>
      <w:start w:val="1"/>
    </w:lvl>
  </w:abstractNum>
  <w:abstractNum w:abstractNumId="189">
    <w:nsid w:val="17304A67"/>
    <w:multiLevelType w:val="hybridMultilevel"/>
    <w:lvl w:ilvl="0">
      <w:lvlJc w:val="left"/>
      <w:lvlText w:val="(%1)"/>
      <w:numFmt w:val="lowerRoman"/>
      <w:start w:val="10"/>
    </w:lvl>
    <w:lvl w:ilvl="1">
      <w:lvlJc w:val="left"/>
      <w:lvlText w:val="(%2)"/>
      <w:numFmt w:val="upperLetter"/>
      <w:start w:val="3"/>
    </w:lvl>
    <w:lvl w:ilvl="2">
      <w:lvlJc w:val="left"/>
      <w:lvlText w:val="%3"/>
      <w:numFmt w:val="decimal"/>
      <w:start w:val="1"/>
    </w:lvl>
  </w:abstractNum>
  <w:abstractNum w:abstractNumId="190">
    <w:nsid w:val="2BB180D8"/>
    <w:multiLevelType w:val="hybridMultilevel"/>
    <w:lvl w:ilvl="0">
      <w:lvlJc w:val="left"/>
      <w:lvlText w:val="(%1)"/>
      <w:numFmt w:val="lowerRoman"/>
      <w:start w:val="3"/>
    </w:lvl>
    <w:lvl w:ilvl="1">
      <w:lvlJc w:val="left"/>
      <w:lvlText w:val="(%2)"/>
      <w:numFmt w:val="upperLetter"/>
      <w:start w:val="1"/>
    </w:lvl>
    <w:lvl w:ilvl="2">
      <w:lvlJc w:val="left"/>
      <w:lvlText w:val="(%3)"/>
      <w:numFmt w:val="decimal"/>
      <w:start w:val="1"/>
    </w:lvl>
  </w:abstractNum>
  <w:abstractNum w:abstractNumId="191">
    <w:nsid w:val="556B69ED"/>
    <w:multiLevelType w:val="hybridMultilevel"/>
    <w:lvl w:ilvl="0">
      <w:lvlJc w:val="left"/>
      <w:lvlText w:val="(%1)"/>
      <w:numFmt w:val="lowerRoman"/>
      <w:start w:val="4"/>
    </w:lvl>
    <w:lvl w:ilvl="1">
      <w:lvlJc w:val="left"/>
      <w:lvlText w:val="(%2)"/>
      <w:numFmt w:val="upperLetter"/>
      <w:start w:val="1"/>
    </w:lvl>
  </w:abstractNum>
  <w:abstractNum w:abstractNumId="192">
    <w:nsid w:val="70836196"/>
    <w:multiLevelType w:val="hybridMultilevel"/>
    <w:lvl w:ilvl="0">
      <w:lvlJc w:val="left"/>
      <w:lvlText w:val="(%1)"/>
      <w:numFmt w:val="lowerRoman"/>
      <w:start w:val="9"/>
    </w:lvl>
  </w:abstractNum>
  <w:abstractNum w:abstractNumId="193">
    <w:nsid w:val="539F7F12"/>
    <w:multiLevelType w:val="hybridMultilevel"/>
    <w:lvl w:ilvl="0">
      <w:lvlJc w:val="left"/>
      <w:lvlText w:val="(%1)"/>
      <w:numFmt w:val="lowerLetter"/>
      <w:start w:val="7"/>
    </w:lvl>
    <w:lvl w:ilvl="1">
      <w:lvlJc w:val="left"/>
      <w:lvlText w:val="(%2)"/>
      <w:numFmt w:val="lowerRoman"/>
      <w:start w:val="1"/>
    </w:lvl>
  </w:abstractNum>
  <w:abstractNum w:abstractNumId="194">
    <w:nsid w:val="2817E7E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95">
    <w:nsid w:val="71482545"/>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196">
    <w:nsid w:val="17D78639"/>
    <w:multiLevelType w:val="hybridMultilevel"/>
    <w:lvl w:ilvl="0">
      <w:lvlJc w:val="left"/>
      <w:lvlText w:val="(%1)"/>
      <w:numFmt w:val="lowerLetter"/>
      <w:start w:val="10"/>
    </w:lvl>
    <w:lvl w:ilvl="1">
      <w:lvlJc w:val="left"/>
      <w:lvlText w:val="%2"/>
      <w:numFmt w:val="lowerRoman"/>
      <w:start w:val="1"/>
    </w:lvl>
    <w:lvl w:ilvl="2">
      <w:lvlJc w:val="left"/>
      <w:lvlText w:val="%3"/>
      <w:numFmt w:val="upperLetter"/>
      <w:start w:val="1"/>
    </w:lvl>
  </w:abstractNum>
  <w:abstractNum w:abstractNumId="197">
    <w:nsid w:val="141D2302"/>
    <w:multiLevelType w:val="hybridMultilevel"/>
    <w:lvl w:ilvl="0">
      <w:lvlJc w:val="left"/>
      <w:lvlText w:val="(%1)"/>
      <w:numFmt w:val="lowerLetter"/>
      <w:start w:val="1"/>
    </w:lvl>
  </w:abstractNum>
  <w:abstractNum w:abstractNumId="198">
    <w:nsid w:val="407168D8"/>
    <w:multiLevelType w:val="hybridMultilevel"/>
    <w:lvl w:ilvl="0">
      <w:lvlJc w:val="left"/>
      <w:lvlText w:val="(%1)"/>
      <w:numFmt w:val="lowerLetter"/>
      <w:start w:val="2"/>
    </w:lvl>
  </w:abstractNum>
  <w:abstractNum w:abstractNumId="199">
    <w:nsid w:val="6A1B45E5"/>
    <w:multiLevelType w:val="hybridMultilevel"/>
    <w:lvl w:ilvl="0">
      <w:lvlJc w:val="left"/>
      <w:lvlText w:val="(%1)"/>
      <w:numFmt w:val="lowerLetter"/>
      <w:start w:val="4"/>
    </w:lvl>
  </w:abstractNum>
  <w:abstractNum w:abstractNumId="200">
    <w:nsid w:val="567BD50A"/>
    <w:multiLevelType w:val="hybridMultilevel"/>
    <w:lvl w:ilvl="0">
      <w:lvlJc w:val="left"/>
      <w:lvlText w:val="(%1)"/>
      <w:numFmt w:val="lowerLetter"/>
      <w:start w:val="1"/>
    </w:lvl>
  </w:abstractNum>
  <w:abstractNum w:abstractNumId="201">
    <w:nsid w:val="73BBD7F8"/>
    <w:multiLevelType w:val="hybridMultilevel"/>
    <w:lvl w:ilvl="0">
      <w:lvlJc w:val="left"/>
      <w:lvlText w:val="(%1)"/>
      <w:numFmt w:val="lowerLetter"/>
      <w:start w:val="1"/>
    </w:lvl>
    <w:lvl w:ilvl="1">
      <w:lvlJc w:val="left"/>
      <w:lvlText w:val="(%2)"/>
      <w:numFmt w:val="lowerLetter"/>
      <w:start w:val="9"/>
    </w:lvl>
  </w:abstractNum>
  <w:abstractNum w:abstractNumId="202">
    <w:nsid w:val="1876589D"/>
    <w:multiLevelType w:val="hybridMultilevel"/>
    <w:lvl w:ilvl="0">
      <w:lvlJc w:val="left"/>
      <w:lvlText w:val="%1"/>
      <w:numFmt w:val="lowerLetter"/>
      <w:start w:val="1"/>
    </w:lvl>
    <w:lvl w:ilvl="1">
      <w:lvlJc w:val="left"/>
      <w:lvlText w:val="(%2)"/>
      <w:numFmt w:val="lowerRoman"/>
      <w:start w:val="2"/>
    </w:lvl>
  </w:abstractNum>
  <w:abstractNum w:abstractNumId="203">
    <w:nsid w:val="327FAC77"/>
    <w:multiLevelType w:val="hybridMultilevel"/>
    <w:lvl w:ilvl="0">
      <w:lvlJc w:val="left"/>
      <w:lvlText w:val="(%1)"/>
      <w:numFmt w:val="lowerLetter"/>
      <w:start w:val="4"/>
    </w:lvl>
    <w:lvl w:ilvl="1">
      <w:lvlJc w:val="left"/>
      <w:lvlText w:val="%2"/>
      <w:numFmt w:val="lowerRoman"/>
      <w:start w:val="1"/>
    </w:lvl>
  </w:abstractNum>
  <w:abstractNum w:abstractNumId="204">
    <w:nsid w:val="5A606509"/>
    <w:multiLevelType w:val="hybridMultilevel"/>
    <w:lvl w:ilvl="0">
      <w:lvlJc w:val="left"/>
      <w:lvlText w:val="(%1)"/>
      <w:numFmt w:val="lowerLetter"/>
      <w:start w:val="1"/>
    </w:lvl>
  </w:abstractNum>
  <w:abstractNum w:abstractNumId="205">
    <w:nsid w:val="6F38E6D1"/>
    <w:multiLevelType w:val="hybridMultilevel"/>
    <w:lvl w:ilvl="0">
      <w:lvlJc w:val="left"/>
      <w:lvlText w:val="(%1)"/>
      <w:numFmt w:val="lowerLetter"/>
      <w:start w:val="1"/>
    </w:lvl>
  </w:abstractNum>
  <w:abstractNum w:abstractNumId="206">
    <w:nsid w:val="46111BA5"/>
    <w:multiLevelType w:val="hybridMultilevel"/>
    <w:lvl w:ilvl="0">
      <w:lvlJc w:val="left"/>
      <w:lvlText w:val="(%1)"/>
      <w:numFmt w:val="lowerLetter"/>
      <w:start w:val="2"/>
    </w:lvl>
  </w:abstractNum>
  <w:abstractNum w:abstractNumId="207">
    <w:nsid w:val="5E963896"/>
    <w:multiLevelType w:val="hybridMultilevel"/>
    <w:lvl w:ilvl="0">
      <w:lvlJc w:val="left"/>
      <w:lvlText w:val="(%1)"/>
      <w:numFmt w:val="lowerLetter"/>
      <w:start w:val="1"/>
    </w:lvl>
    <w:lvl w:ilvl="1">
      <w:lvlJc w:val="left"/>
      <w:lvlText w:val="(%2)"/>
      <w:numFmt w:val="lowerRoman"/>
      <w:start w:val="1"/>
    </w:lvl>
  </w:abstractNum>
  <w:abstractNum w:abstractNumId="208">
    <w:nsid w:val="775BA7C1"/>
    <w:multiLevelType w:val="hybridMultilevel"/>
    <w:lvl w:ilvl="0">
      <w:lvlJc w:val="left"/>
      <w:lvlText w:val="(%1)"/>
      <w:numFmt w:val="lowerLetter"/>
      <w:start w:val="1"/>
    </w:lvl>
  </w:abstractNum>
  <w:abstractNum w:abstractNumId="209">
    <w:nsid w:val="1DD6D6F4"/>
    <w:multiLevelType w:val="hybridMultilevel"/>
    <w:lvl w:ilvl="0">
      <w:lvlJc w:val="left"/>
      <w:lvlText w:val="(%1)"/>
      <w:numFmt w:val="lowerLetter"/>
      <w:start w:val="1"/>
    </w:lvl>
  </w:abstractNum>
  <w:abstractNum w:abstractNumId="210">
    <w:nsid w:val="769A091F"/>
    <w:multiLevelType w:val="hybridMultilevel"/>
    <w:lvl w:ilvl="0">
      <w:lvlJc w:val="left"/>
      <w:lvlText w:val="(%1)"/>
      <w:numFmt w:val="lowerLetter"/>
      <w:start w:val="1"/>
    </w:lvl>
  </w:abstractNum>
  <w:abstractNum w:abstractNumId="211">
    <w:nsid w:val="4695AE95"/>
    <w:multiLevelType w:val="hybridMultilevel"/>
    <w:lvl w:ilvl="0">
      <w:lvlJc w:val="left"/>
      <w:lvlText w:val="(%1)"/>
      <w:numFmt w:val="lowerLetter"/>
      <w:start w:val="1"/>
    </w:lvl>
  </w:abstractNum>
  <w:abstractNum w:abstractNumId="212">
    <w:nsid w:val="777A4EAA"/>
    <w:multiLevelType w:val="hybridMultilevel"/>
    <w:lvl w:ilvl="0">
      <w:lvlJc w:val="left"/>
      <w:lvlText w:val="(%1)"/>
      <w:numFmt w:val="lowerLetter"/>
      <w:start w:val="2"/>
    </w:lvl>
  </w:abstractNum>
  <w:abstractNum w:abstractNumId="213">
    <w:nsid w:val="3F48B982"/>
    <w:multiLevelType w:val="hybridMultilevel"/>
    <w:lvl w:ilvl="0">
      <w:lvlJc w:val="left"/>
      <w:lvlText w:val="(%1)"/>
      <w:numFmt w:val="lowerLetter"/>
      <w:start w:val="1"/>
    </w:lvl>
  </w:abstractNum>
  <w:abstractNum w:abstractNumId="214">
    <w:nsid w:val="46BA8FCA"/>
    <w:multiLevelType w:val="hybridMultilevel"/>
    <w:lvl w:ilvl="0">
      <w:lvlJc w:val="left"/>
      <w:lvlText w:val="&amp;"/>
      <w:numFmt w:val="bullet"/>
      <w:start w:val="1"/>
    </w:lvl>
    <w:lvl w:ilvl="1">
      <w:lvlJc w:val="left"/>
      <w:lvlText w:val="(%2)"/>
      <w:numFmt w:val="lowerLetter"/>
      <w:start w:val="2"/>
    </w:lvl>
  </w:abstractNum>
  <w:abstractNum w:abstractNumId="215">
    <w:nsid w:val="7835626C"/>
    <w:multiLevelType w:val="hybridMultilevel"/>
    <w:lvl w:ilvl="0">
      <w:lvlJc w:val="left"/>
      <w:lvlText w:val="&amp;"/>
      <w:numFmt w:val="bullet"/>
      <w:start w:val="1"/>
    </w:lvl>
    <w:lvl w:ilvl="1">
      <w:lvlJc w:val="left"/>
      <w:lvlText w:val="(%2)"/>
      <w:numFmt w:val="lowerLetter"/>
      <w:start w:val="3"/>
    </w:lvl>
  </w:abstractNum>
  <w:abstractNum w:abstractNumId="216">
    <w:nsid w:val="665ACA49"/>
    <w:multiLevelType w:val="hybridMultilevel"/>
    <w:lvl w:ilvl="0">
      <w:lvlJc w:val="left"/>
      <w:lvlText w:val="(%1)"/>
      <w:numFmt w:val="lowerLetter"/>
      <w:start w:val="8"/>
    </w:lvl>
  </w:abstractNum>
  <w:abstractNum w:abstractNumId="217">
    <w:nsid w:val="6835B2AE"/>
    <w:multiLevelType w:val="hybridMultilevel"/>
    <w:lvl w:ilvl="0">
      <w:lvlJc w:val="left"/>
      <w:lvlText w:val="(%1)"/>
      <w:numFmt w:val="lowerLetter"/>
      <w:start w:val="14"/>
    </w:lvl>
  </w:abstractNum>
  <w:abstractNum w:abstractNumId="218">
    <w:nsid w:val="4C187C90"/>
    <w:multiLevelType w:val="hybridMultilevel"/>
    <w:lvl w:ilvl="0">
      <w:lvlJc w:val="left"/>
      <w:lvlText w:val="(%1)"/>
      <w:numFmt w:val="lowerLetter"/>
      <w:start w:val="1"/>
    </w:lvl>
  </w:abstractNum>
  <w:abstractNum w:abstractNumId="219">
    <w:nsid w:val="541F28CD"/>
    <w:multiLevelType w:val="hybridMultilevel"/>
    <w:lvl w:ilvl="0">
      <w:lvlJc w:val="left"/>
      <w:lvlText w:val="(%1)"/>
      <w:numFmt w:val="lowerLetter"/>
      <w:start w:val="2"/>
    </w:lvl>
  </w:abstractNum>
  <w:abstractNum w:abstractNumId="220">
    <w:nsid w:val="7F65FD16"/>
    <w:multiLevelType w:val="hybridMultilevel"/>
    <w:lvl w:ilvl="0">
      <w:lvlJc w:val="left"/>
      <w:lvlText w:val="(%1)"/>
      <w:numFmt w:val="lowerLetter"/>
      <w:start w:val="1"/>
    </w:lvl>
  </w:abstractNum>
  <w:abstractNum w:abstractNumId="221">
    <w:nsid w:val="77C9FD68"/>
    <w:multiLevelType w:val="hybridMultilevel"/>
    <w:lvl w:ilvl="0">
      <w:lvlJc w:val="left"/>
      <w:lvlText w:val="(%1)"/>
      <w:numFmt w:val="lowerLetter"/>
      <w:start w:val="2"/>
    </w:lvl>
  </w:abstractNum>
  <w:abstractNum w:abstractNumId="222">
    <w:nsid w:val="298A92BA"/>
    <w:multiLevelType w:val="hybridMultilevel"/>
    <w:lvl w:ilvl="0">
      <w:lvlJc w:val="left"/>
      <w:lvlText w:val="(%1)"/>
      <w:numFmt w:val="lowerLetter"/>
      <w:start w:val="5"/>
    </w:lvl>
  </w:abstractNum>
  <w:abstractNum w:abstractNumId="223">
    <w:nsid w:val="6FE95EAC"/>
    <w:multiLevelType w:val="hybridMultilevel"/>
    <w:lvl w:ilvl="0">
      <w:lvlJc w:val="left"/>
      <w:lvlText w:val="(%1)"/>
      <w:numFmt w:val="lowerLetter"/>
      <w:start w:val="1"/>
    </w:lvl>
  </w:abstractNum>
  <w:abstractNum w:abstractNumId="224">
    <w:nsid w:val="4B697C7A"/>
    <w:multiLevelType w:val="hybridMultilevel"/>
    <w:lvl w:ilvl="0">
      <w:lvlJc w:val="left"/>
      <w:lvlText w:val="(%1)"/>
      <w:numFmt w:val="lowerLetter"/>
      <w:start w:val="2"/>
    </w:lvl>
  </w:abstractNum>
  <w:abstractNum w:abstractNumId="225">
    <w:nsid w:val="51A27AA6"/>
    <w:multiLevelType w:val="hybridMultilevel"/>
    <w:lvl w:ilvl="0">
      <w:lvlJc w:val="left"/>
      <w:lvlText w:val="(%1)"/>
      <w:numFmt w:val="lowerLetter"/>
      <w:start w:val="1"/>
    </w:lvl>
  </w:abstractNum>
  <w:abstractNum w:abstractNumId="226">
    <w:nsid w:val="613183F2"/>
    <w:multiLevelType w:val="hybridMultilevel"/>
    <w:lvl w:ilvl="0">
      <w:lvlJc w:val="left"/>
      <w:lvlText w:val="(%1)"/>
      <w:numFmt w:val="lowerLetter"/>
      <w:start w:val="1"/>
    </w:lvl>
  </w:abstractNum>
  <w:abstractNum w:abstractNumId="227">
    <w:nsid w:val="634102B4"/>
    <w:multiLevelType w:val="hybridMultilevel"/>
    <w:lvl w:ilvl="0">
      <w:lvlJc w:val="left"/>
      <w:lvlText w:val="(%1)"/>
      <w:numFmt w:val="lowerLetter"/>
      <w:start w:val="1"/>
    </w:lvl>
    <w:lvl w:ilvl="1">
      <w:lvlJc w:val="left"/>
      <w:lvlText w:val="(%2)"/>
      <w:numFmt w:val="lowerRoman"/>
      <w:start w:val="1"/>
    </w:lvl>
  </w:abstractNum>
  <w:abstractNum w:abstractNumId="228">
    <w:nsid w:val="65BF9DA8"/>
    <w:multiLevelType w:val="hybridMultilevel"/>
    <w:lvl w:ilvl="0">
      <w:lvlJc w:val="left"/>
      <w:lvlText w:val="(%1)"/>
      <w:numFmt w:val="lowerLetter"/>
      <w:start w:val="1"/>
    </w:lvl>
  </w:abstractNum>
  <w:abstractNum w:abstractNumId="229">
    <w:nsid w:val="21A2ECCA"/>
    <w:multiLevelType w:val="hybridMultilevel"/>
    <w:lvl w:ilvl="0">
      <w:lvlJc w:val="left"/>
      <w:lvlText w:val="(%1)"/>
      <w:numFmt w:val="lowerLetter"/>
      <w:start w:val="1"/>
    </w:lvl>
  </w:abstractNum>
  <w:abstractNum w:abstractNumId="230">
    <w:nsid w:val="4D5C4899"/>
    <w:multiLevelType w:val="hybridMultilevel"/>
    <w:lvl w:ilvl="0">
      <w:lvlJc w:val="left"/>
      <w:lvlText w:val="(%1)"/>
      <w:numFmt w:val="lowerLetter"/>
      <w:start w:val="1"/>
    </w:lvl>
  </w:abstractNum>
  <w:abstractNum w:abstractNumId="231">
    <w:nsid w:val="3C3B72B2"/>
    <w:multiLevelType w:val="hybridMultilevel"/>
    <w:lvl w:ilvl="0">
      <w:lvlJc w:val="left"/>
      <w:lvlText w:val="(%1)"/>
      <w:numFmt w:val="lowerLetter"/>
      <w:start w:val="1"/>
    </w:lvl>
  </w:abstractNum>
  <w:abstractNum w:abstractNumId="232">
    <w:nsid w:val="155EC4C2"/>
    <w:multiLevelType w:val="hybridMultilevel"/>
    <w:lvl w:ilvl="0">
      <w:lvlJc w:val="left"/>
      <w:lvlText w:val="(%1)"/>
      <w:numFmt w:val="lowerLetter"/>
      <w:start w:val="3"/>
    </w:lvl>
  </w:abstractNum>
  <w:abstractNum w:abstractNumId="233">
    <w:nsid w:val="65D2A137"/>
    <w:multiLevelType w:val="hybridMultilevel"/>
    <w:lvl w:ilvl="0">
      <w:lvlJc w:val="left"/>
      <w:lvlText w:val="(%1)"/>
      <w:numFmt w:val="lowerLetter"/>
      <w:start w:val="8"/>
    </w:lvl>
  </w:abstractNum>
  <w:abstractNum w:abstractNumId="234">
    <w:nsid w:val="6EBB1F2A"/>
    <w:multiLevelType w:val="hybridMultilevel"/>
    <w:lvl w:ilvl="0">
      <w:lvlJc w:val="left"/>
      <w:lvlText w:val="(%1)"/>
      <w:numFmt w:val="lowerLetter"/>
      <w:start w:val="19"/>
    </w:lvl>
  </w:abstractNum>
  <w:abstractNum w:abstractNumId="235">
    <w:nsid w:val="6FBF29CB"/>
    <w:multiLevelType w:val="hybridMultilevel"/>
    <w:lvl w:ilvl="0">
      <w:lvlJc w:val="left"/>
      <w:lvlText w:val="(%1)"/>
      <w:numFmt w:val="lowerLetter"/>
      <w:start w:val="1"/>
    </w:lvl>
  </w:abstractNum>
  <w:abstractNum w:abstractNumId="236">
    <w:nsid w:val="550B8808"/>
    <w:multiLevelType w:val="hybridMultilevel"/>
    <w:lvl w:ilvl="0">
      <w:lvlJc w:val="left"/>
      <w:lvlText w:val="(%1)"/>
      <w:numFmt w:val="lowerLetter"/>
      <w:start w:val="5"/>
    </w:lvl>
  </w:abstractNum>
  <w:abstractNum w:abstractNumId="237">
    <w:nsid w:val="34CC3ACF"/>
    <w:multiLevelType w:val="hybridMultilevel"/>
    <w:lvl w:ilvl="0">
      <w:lvlJc w:val="left"/>
      <w:lvlText w:val="(%1)"/>
      <w:numFmt w:val="lowerLetter"/>
      <w:start w:val="1"/>
    </w:lvl>
  </w:abstractNum>
  <w:abstractNum w:abstractNumId="238">
    <w:nsid w:val="4E556261"/>
    <w:multiLevelType w:val="hybridMultilevel"/>
    <w:lvl w:ilvl="0">
      <w:lvlJc w:val="left"/>
      <w:lvlText w:val="(%1)"/>
      <w:numFmt w:val="lowerLetter"/>
      <w:start w:val="1"/>
    </w:lvl>
  </w:abstractNum>
  <w:abstractNum w:abstractNumId="239">
    <w:nsid w:val="4C672FC9"/>
    <w:multiLevelType w:val="hybridMultilevel"/>
    <w:lvl w:ilvl="0">
      <w:lvlJc w:val="left"/>
      <w:lvlText w:val="(%1)"/>
      <w:numFmt w:val="lowerLetter"/>
      <w:start w:val="5"/>
    </w:lvl>
  </w:abstractNum>
  <w:abstractNum w:abstractNumId="240">
    <w:nsid w:val="52A311C3"/>
    <w:multiLevelType w:val="hybridMultilevel"/>
    <w:lvl w:ilvl="0">
      <w:lvlJc w:val="left"/>
      <w:lvlText w:val="(%1)"/>
      <w:numFmt w:val="lowerLetter"/>
      <w:start w:val="17"/>
    </w:lvl>
  </w:abstractNum>
  <w:abstractNum w:abstractNumId="241">
    <w:nsid w:val="44EF6B80"/>
    <w:multiLevelType w:val="hybridMultilevel"/>
    <w:lvl w:ilvl="0">
      <w:lvlJc w:val="left"/>
      <w:lvlText w:val="(%1)"/>
      <w:numFmt w:val="lowerLetter"/>
      <w:start w:val="1"/>
    </w:lvl>
  </w:abstractNum>
  <w:abstractNum w:abstractNumId="242">
    <w:nsid w:val="12FCDE5E"/>
    <w:multiLevelType w:val="hybridMultilevel"/>
    <w:lvl w:ilvl="0">
      <w:lvlJc w:val="left"/>
      <w:lvlText w:val="(%1)"/>
      <w:numFmt w:val="lowerLetter"/>
      <w:start w:val="3"/>
    </w:lvl>
  </w:abstractNum>
  <w:abstractNum w:abstractNumId="243">
    <w:nsid w:val="4A1D606E"/>
    <w:multiLevelType w:val="hybridMultilevel"/>
    <w:lvl w:ilvl="0">
      <w:lvlJc w:val="left"/>
      <w:lvlText w:val="(%1)"/>
      <w:numFmt w:val="lowerLetter"/>
      <w:start w:val="1"/>
    </w:lvl>
    <w:lvl w:ilvl="1">
      <w:lvlJc w:val="left"/>
      <w:lvlText w:val="(%2)"/>
      <w:numFmt w:val="lowerLetter"/>
      <w:start w:val="9"/>
    </w:lvl>
  </w:abstractNum>
  <w:abstractNum w:abstractNumId="244">
    <w:nsid w:val="4382503"/>
    <w:multiLevelType w:val="hybridMultilevel"/>
    <w:lvl w:ilvl="0">
      <w:lvlJc w:val="left"/>
      <w:lvlText w:val="(%1)"/>
      <w:numFmt w:val="lowerRoman"/>
      <w:start w:val="2"/>
    </w:lvl>
  </w:abstractNum>
  <w:abstractNum w:abstractNumId="245">
    <w:nsid w:val="59B76E28"/>
    <w:multiLevelType w:val="hybridMultilevel"/>
    <w:lvl w:ilvl="0">
      <w:lvlJc w:val="left"/>
      <w:lvlText w:val="(%1)"/>
      <w:numFmt w:val="lowerLetter"/>
      <w:start w:val="2"/>
    </w:lvl>
    <w:lvl w:ilvl="1">
      <w:lvlJc w:val="left"/>
      <w:lvlText w:val="(%2)"/>
      <w:numFmt w:val="lowerRoman"/>
      <w:start w:val="1"/>
    </w:lvl>
  </w:abstractNum>
  <w:abstractNum w:abstractNumId="246">
    <w:nsid w:val="4252C2DA"/>
    <w:multiLevelType w:val="hybridMultilevel"/>
    <w:lvl w:ilvl="0">
      <w:lvlJc w:val="left"/>
      <w:lvlText w:val="(%1)"/>
      <w:numFmt w:val="lowerLetter"/>
      <w:start w:val="1"/>
    </w:lvl>
  </w:abstractNum>
  <w:abstractNum w:abstractNumId="247">
    <w:nsid w:val="6A92EF4C"/>
    <w:multiLevelType w:val="hybridMultilevel"/>
    <w:lvl w:ilvl="0">
      <w:lvlJc w:val="left"/>
      <w:lvlText w:val="(%1)"/>
      <w:numFmt w:val="lowerLetter"/>
      <w:start w:val="5"/>
    </w:lvl>
  </w:abstractNum>
  <w:abstractNum w:abstractNumId="248">
    <w:nsid w:val="41ED20D7"/>
    <w:multiLevelType w:val="hybridMultilevel"/>
    <w:lvl w:ilvl="0">
      <w:lvlJc w:val="left"/>
      <w:lvlText w:val="%1"/>
      <w:numFmt w:val="lowerLetter"/>
      <w:start w:val="1"/>
    </w:lvl>
    <w:lvl w:ilvl="1">
      <w:lvlJc w:val="left"/>
      <w:lvlText w:val="(%2)"/>
      <w:numFmt w:val="lowerLetter"/>
      <w:start w:val="10"/>
    </w:lvl>
  </w:abstractNum>
  <w:abstractNum w:abstractNumId="249">
    <w:nsid w:val="E6B3F6A"/>
    <w:multiLevelType w:val="hybridMultilevel"/>
    <w:lvl w:ilvl="0">
      <w:lvlJc w:val="left"/>
      <w:lvlText w:val="(%1)"/>
      <w:numFmt w:val="lowerLetter"/>
      <w:start w:val="9"/>
    </w:lvl>
    <w:lvl w:ilvl="1">
      <w:lvlJc w:val="left"/>
      <w:lvlText w:val="(%2)"/>
      <w:numFmt w:val="lowerLetter"/>
      <w:start w:val="13"/>
    </w:lvl>
  </w:abstractNum>
  <w:abstractNum w:abstractNumId="250">
    <w:nsid w:val="3EB21819"/>
    <w:multiLevelType w:val="hybridMultilevel"/>
    <w:lvl w:ilvl="0">
      <w:lvlJc w:val="left"/>
      <w:lvlText w:val="(%1)"/>
      <w:numFmt w:val="lowerLetter"/>
      <w:start w:val="1"/>
    </w:lvl>
  </w:abstractNum>
  <w:abstractNum w:abstractNumId="251">
    <w:nsid w:val="41531DED"/>
    <w:multiLevelType w:val="hybridMultilevel"/>
    <w:lvl w:ilvl="0">
      <w:lvlJc w:val="left"/>
      <w:lvlText w:val="(%1)"/>
      <w:numFmt w:val="lowerLetter"/>
      <w:start w:val="3"/>
    </w:lvl>
  </w:abstractNum>
  <w:abstractNum w:abstractNumId="252">
    <w:nsid w:val="6353CD2"/>
    <w:multiLevelType w:val="hybridMultilevel"/>
    <w:lvl w:ilvl="0">
      <w:lvlJc w:val="left"/>
      <w:lvlText w:val="(%1)"/>
      <w:numFmt w:val="lowerLetter"/>
      <w:start w:val="5"/>
    </w:lvl>
  </w:abstractNum>
  <w:abstractNum w:abstractNumId="253">
    <w:nsid w:val="683CAAD3"/>
    <w:multiLevelType w:val="hybridMultilevel"/>
    <w:lvl w:ilvl="0">
      <w:lvlJc w:val="left"/>
      <w:lvlText w:val="(%1)"/>
      <w:numFmt w:val="lowerLetter"/>
      <w:start w:val="7"/>
    </w:lvl>
  </w:abstractNum>
  <w:abstractNum w:abstractNumId="254">
    <w:nsid w:val="313C7C99"/>
    <w:multiLevelType w:val="hybridMultilevel"/>
    <w:lvl w:ilvl="0">
      <w:lvlJc w:val="left"/>
      <w:lvlText w:val="(%1)"/>
      <w:numFmt w:val="lowerLetter"/>
      <w:start w:val="9"/>
    </w:lvl>
  </w:abstractNum>
  <w:abstractNum w:abstractNumId="255">
    <w:nsid w:val="519EB94C"/>
    <w:multiLevelType w:val="hybridMultilevel"/>
    <w:lvl w:ilvl="0">
      <w:lvlJc w:val="left"/>
      <w:lvlText w:val="(%1)"/>
      <w:numFmt w:val="lowerLetter"/>
      <w:start w:val="11"/>
    </w:lvl>
  </w:abstractNum>
  <w:abstractNum w:abstractNumId="256">
    <w:nsid w:val="39DF2579"/>
    <w:multiLevelType w:val="hybridMultilevel"/>
    <w:lvl w:ilvl="0">
      <w:lvlJc w:val="left"/>
      <w:lvlText w:val="(%1)"/>
      <w:numFmt w:val="lowerLetter"/>
      <w:start w:val="13"/>
    </w:lvl>
    <w:lvl w:ilvl="1">
      <w:lvlJc w:val="left"/>
      <w:lvlText w:val="(%2)"/>
      <w:numFmt w:val="lowerRoman"/>
      <w:start w:val="1"/>
    </w:lvl>
  </w:abstractNum>
  <w:abstractNum w:abstractNumId="257">
    <w:nsid w:val="126E008B"/>
    <w:multiLevelType w:val="hybridMultilevel"/>
    <w:lvl w:ilvl="0">
      <w:lvlJc w:val="left"/>
      <w:lvlText w:val="(%1)"/>
      <w:numFmt w:val="lowerLetter"/>
      <w:start w:val="14"/>
    </w:lvl>
  </w:abstractNum>
  <w:abstractNum w:abstractNumId="258">
    <w:nsid w:val="34DFBC00"/>
    <w:multiLevelType w:val="hybridMultilevel"/>
    <w:lvl w:ilvl="0">
      <w:lvlJc w:val="left"/>
      <w:lvlText w:val="(%1)"/>
      <w:numFmt w:val="lowerLetter"/>
      <w:start w:val="16"/>
    </w:lvl>
  </w:abstractNum>
  <w:abstractNum w:abstractNumId="259">
    <w:nsid w:val="1F9EC322"/>
    <w:multiLevelType w:val="hybridMultilevel"/>
    <w:lvl w:ilvl="0">
      <w:lvlJc w:val="left"/>
      <w:lvlText w:val="(%1)"/>
      <w:numFmt w:val="lowerLetter"/>
      <w:start w:val="1"/>
    </w:lvl>
    <w:lvl w:ilvl="1">
      <w:lvlJc w:val="left"/>
      <w:lvlText w:val="(%2)"/>
      <w:numFmt w:val="lowerLetter"/>
      <w:start w:val="9"/>
    </w:lvl>
  </w:abstractNum>
  <w:abstractNum w:abstractNumId="260">
    <w:nsid w:val="3410ED56"/>
    <w:multiLevelType w:val="hybridMultilevel"/>
    <w:lvl w:ilvl="0">
      <w:lvlJc w:val="left"/>
      <w:lvlText w:val="%1"/>
      <w:numFmt w:val="lowerLetter"/>
      <w:start w:val="1"/>
    </w:lvl>
    <w:lvl w:ilvl="1">
      <w:lvlJc w:val="left"/>
      <w:lvlText w:val="(%2)"/>
      <w:numFmt w:val="lowerRoman"/>
      <w:start w:val="2"/>
    </w:lvl>
  </w:abstractNum>
  <w:abstractNum w:abstractNumId="261">
    <w:nsid w:val="23C049A"/>
    <w:multiLevelType w:val="hybridMultilevel"/>
    <w:lvl w:ilvl="0">
      <w:lvlJc w:val="left"/>
      <w:lvlText w:val="(%1)"/>
      <w:numFmt w:val="lowerLetter"/>
      <w:start w:val="2"/>
    </w:lvl>
    <w:lvl w:ilvl="1">
      <w:lvlJc w:val="left"/>
      <w:lvlText w:val="%2"/>
      <w:numFmt w:val="lowerRoman"/>
      <w:start w:val="1"/>
    </w:lvl>
  </w:abstractNum>
  <w:abstractNum w:abstractNumId="262">
    <w:nsid w:val="5BDA35D4"/>
    <w:multiLevelType w:val="hybridMultilevel"/>
    <w:lvl w:ilvl="0">
      <w:lvlJc w:val="left"/>
      <w:lvlText w:val="(%1)"/>
      <w:numFmt w:val="lowerLetter"/>
      <w:start w:val="1"/>
    </w:lvl>
    <w:lvl w:ilvl="1">
      <w:lvlJc w:val="left"/>
      <w:lvlText w:val="(%2)"/>
      <w:numFmt w:val="lowerRoman"/>
      <w:start w:val="1"/>
    </w:lvl>
  </w:abstractNum>
  <w:abstractNum w:abstractNumId="263">
    <w:nsid w:val="496FB218"/>
    <w:multiLevelType w:val="hybridMultilevel"/>
    <w:lvl w:ilvl="0">
      <w:lvlJc w:val="left"/>
      <w:lvlText w:val="(%1)"/>
      <w:numFmt w:val="lowerRoman"/>
      <w:start w:val="3"/>
    </w:lvl>
  </w:abstractNum>
  <w:abstractNum w:abstractNumId="264">
    <w:nsid w:val="680EA5D1"/>
    <w:multiLevelType w:val="hybridMultilevel"/>
    <w:lvl w:ilvl="0">
      <w:lvlJc w:val="left"/>
      <w:lvlText w:val="(%1)"/>
      <w:numFmt w:val="lowerLetter"/>
      <w:start w:val="2"/>
    </w:lvl>
  </w:abstractNum>
  <w:abstractNum w:abstractNumId="265">
    <w:nsid w:val="4A9554FE"/>
    <w:multiLevelType w:val="hybridMultilevel"/>
    <w:lvl w:ilvl="0">
      <w:lvlJc w:val="left"/>
      <w:lvlText w:val="(%1)"/>
      <w:numFmt w:val="lowerLetter"/>
      <w:start w:val="3"/>
    </w:lvl>
  </w:abstractNum>
  <w:abstractNum w:abstractNumId="266">
    <w:nsid w:val="392EDBE4"/>
    <w:multiLevelType w:val="hybridMultilevel"/>
    <w:lvl w:ilvl="0">
      <w:lvlJc w:val="left"/>
      <w:lvlText w:val="%1"/>
      <w:numFmt w:val="lowerRoman"/>
      <w:start w:val="1"/>
    </w:lvl>
    <w:lvl w:ilvl="1">
      <w:lvlJc w:val="left"/>
      <w:lvlText w:val="(%2)"/>
      <w:numFmt w:val="lowerLetter"/>
      <w:start w:val="1"/>
    </w:lvl>
  </w:abstractNum>
  <w:abstractNum w:abstractNumId="267">
    <w:nsid w:val="3D1A2DD9"/>
    <w:multiLevelType w:val="hybridMultilevel"/>
    <w:lvl w:ilvl="0">
      <w:lvlJc w:val="left"/>
      <w:lvlText w:val="(%1)"/>
      <w:numFmt w:val="lowerRoman"/>
      <w:start w:val="6"/>
    </w:lvl>
    <w:lvl w:ilvl="1">
      <w:lvlJc w:val="left"/>
      <w:lvlText w:val="%2"/>
      <w:numFmt w:val="lowerLetter"/>
      <w:start w:val="1"/>
    </w:lvl>
  </w:abstractNum>
  <w:abstractNum w:abstractNumId="268">
    <w:nsid w:val="7F618FCD"/>
    <w:multiLevelType w:val="hybridMultilevel"/>
    <w:lvl w:ilvl="0">
      <w:lvlJc w:val="left"/>
      <w:lvlText w:val="(%1)"/>
      <w:numFmt w:val="lowerLetter"/>
      <w:start w:val="3"/>
    </w:lvl>
  </w:abstractNum>
  <w:abstractNum w:abstractNumId="269">
    <w:nsid w:val="7843E45"/>
    <w:multiLevelType w:val="hybridMultilevel"/>
    <w:lvl w:ilvl="0">
      <w:lvlJc w:val="left"/>
      <w:lvlText w:val="(%1)"/>
      <w:numFmt w:val="lowerLetter"/>
      <w:start w:val="5"/>
    </w:lvl>
  </w:abstractNum>
  <w:abstractNum w:abstractNumId="270">
    <w:nsid w:val="9815DA3"/>
    <w:multiLevelType w:val="hybridMultilevel"/>
    <w:lvl w:ilvl="0">
      <w:lvlJc w:val="left"/>
      <w:lvlText w:val="(%1)"/>
      <w:numFmt w:val="lowerLetter"/>
      <w:start w:val="1"/>
    </w:lvl>
  </w:abstractNum>
  <w:abstractNum w:abstractNumId="271">
    <w:nsid w:val="5204A191"/>
    <w:multiLevelType w:val="hybridMultilevel"/>
    <w:lvl w:ilvl="0">
      <w:lvlJc w:val="left"/>
      <w:lvlText w:val="(%1)"/>
      <w:numFmt w:val="lowerLetter"/>
      <w:start w:val="3"/>
    </w:lvl>
  </w:abstractNum>
  <w:abstractNum w:abstractNumId="272">
    <w:nsid w:val="4C73A9C6"/>
    <w:multiLevelType w:val="hybridMultilevel"/>
    <w:lvl w:ilvl="0">
      <w:lvlJc w:val="left"/>
      <w:lvlText w:val="(%1)"/>
      <w:numFmt w:val="lowerLetter"/>
      <w:start w:val="4"/>
    </w:lvl>
  </w:abstractNum>
  <w:abstractNum w:abstractNumId="273">
    <w:nsid w:val="1C7E3C01"/>
    <w:multiLevelType w:val="hybridMultilevel"/>
    <w:lvl w:ilvl="0">
      <w:lvlJc w:val="left"/>
      <w:lvlText w:val="(%1)"/>
      <w:numFmt w:val="lowerLetter"/>
      <w:start w:val="1"/>
    </w:lvl>
  </w:abstractNum>
  <w:abstractNum w:abstractNumId="274">
    <w:nsid w:val="1C2201FF"/>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1"/>
    </w:lvl>
  </w:abstractNum>
  <w:abstractNum w:abstractNumId="275">
    <w:nsid w:val="50ABCEC9"/>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276">
    <w:nsid w:val="7635AA2A"/>
    <w:multiLevelType w:val="hybridMultilevel"/>
    <w:lvl w:ilvl="0">
      <w:lvlJc w:val="left"/>
      <w:lvlText w:val="(%1)"/>
      <w:numFmt w:val="lowerRoman"/>
      <w:start w:val="3"/>
    </w:lvl>
  </w:abstractNum>
  <w:abstractNum w:abstractNumId="277">
    <w:nsid w:val="5E74C4D9"/>
    <w:multiLevelType w:val="hybridMultilevel"/>
    <w:lvl w:ilvl="0">
      <w:lvlJc w:val="left"/>
      <w:lvlText w:val="%1"/>
      <w:numFmt w:val="lowerLetter"/>
      <w:start w:val="1"/>
    </w:lvl>
    <w:lvl w:ilvl="1">
      <w:lvlJc w:val="left"/>
      <w:lvlText w:val="(%2)"/>
      <w:numFmt w:val="lowerRoman"/>
      <w:start w:val="7"/>
    </w:lvl>
  </w:abstractNum>
  <w:abstractNum w:abstractNumId="278">
    <w:nsid w:val="3B3EBE15"/>
    <w:multiLevelType w:val="hybridMultilevel"/>
    <w:lvl w:ilvl="0">
      <w:lvlJc w:val="left"/>
      <w:lvlText w:val="(%1)"/>
      <w:numFmt w:val="lowerLetter"/>
      <w:start w:val="25"/>
    </w:lvl>
    <w:lvl w:ilvl="1">
      <w:lvlJc w:val="left"/>
      <w:lvlText w:val="(%2)"/>
      <w:numFmt w:val="lowerRoman"/>
      <w:start w:val="9"/>
    </w:lvl>
  </w:abstractNum>
  <w:abstractNum w:abstractNumId="279">
    <w:nsid w:val="3822CB01"/>
    <w:multiLevelType w:val="hybridMultilevel"/>
    <w:lvl w:ilvl="0">
      <w:lvlJc w:val="left"/>
      <w:lvlText w:val="(%1)"/>
      <w:numFmt w:val="lowerLetter"/>
      <w:start w:val="3"/>
    </w:lvl>
  </w:abstractNum>
  <w:abstractNum w:abstractNumId="280">
    <w:nsid w:val="6CE00443"/>
    <w:multiLevelType w:val="hybridMultilevel"/>
    <w:lvl w:ilvl="0">
      <w:lvlJc w:val="left"/>
      <w:lvlText w:val="(%1)"/>
      <w:numFmt w:val="lowerLetter"/>
      <w:start w:val="4"/>
    </w:lvl>
  </w:abstractNum>
  <w:abstractNum w:abstractNumId="281">
    <w:nsid w:val="79F0D62F"/>
    <w:multiLevelType w:val="hybridMultilevel"/>
    <w:lvl w:ilvl="0">
      <w:lvlJc w:val="left"/>
      <w:lvlText w:val="(%1)"/>
      <w:numFmt w:val="lowerLetter"/>
      <w:start w:val="1"/>
    </w:lvl>
  </w:abstractNum>
  <w:abstractNum w:abstractNumId="282">
    <w:nsid w:val="7975E8EE"/>
    <w:multiLevelType w:val="hybridMultilevel"/>
    <w:lvl w:ilvl="0">
      <w:lvlJc w:val="left"/>
      <w:lvlText w:val="(%1)"/>
      <w:numFmt w:val="lowerLetter"/>
      <w:start w:val="1"/>
    </w:lvl>
  </w:abstractNum>
  <w:abstractNum w:abstractNumId="283">
    <w:nsid w:val="73154115"/>
    <w:multiLevelType w:val="hybridMultilevel"/>
    <w:lvl w:ilvl="0">
      <w:lvlJc w:val="left"/>
      <w:lvlText w:val="(%1)"/>
      <w:numFmt w:val="lowerLetter"/>
      <w:start w:val="3"/>
    </w:lvl>
  </w:abstractNum>
  <w:abstractNum w:abstractNumId="284">
    <w:nsid w:val="622D8102"/>
    <w:multiLevelType w:val="hybridMultilevel"/>
    <w:lvl w:ilvl="0">
      <w:lvlJc w:val="left"/>
      <w:lvlText w:val="(%1)"/>
      <w:numFmt w:val="lowerLetter"/>
      <w:start w:val="35"/>
    </w:lvl>
  </w:abstractNum>
  <w:abstractNum w:abstractNumId="285">
    <w:nsid w:val="2AB26587"/>
    <w:multiLevelType w:val="hybridMultilevel"/>
    <w:lvl w:ilvl="0">
      <w:lvlJc w:val="left"/>
      <w:lvlText w:val="(%1)"/>
      <w:numFmt w:val="lowerLetter"/>
      <w:start w:val="8"/>
    </w:lvl>
  </w:abstractNum>
  <w:abstractNum w:abstractNumId="286">
    <w:nsid w:val="44B3FA61"/>
    <w:multiLevelType w:val="hybridMultilevel"/>
    <w:lvl w:ilvl="0">
      <w:lvlJc w:val="left"/>
      <w:lvlText w:val="(%1)"/>
      <w:numFmt w:val="lowerLetter"/>
      <w:start w:val="1"/>
    </w:lvl>
  </w:abstractNum>
  <w:abstractNum w:abstractNumId="287">
    <w:nsid w:val="1C0CA67C"/>
    <w:multiLevelType w:val="hybridMultilevel"/>
    <w:lvl w:ilvl="0">
      <w:lvlJc w:val="left"/>
      <w:lvlText w:val="(%1)"/>
      <w:numFmt w:val="lowerLetter"/>
      <w:start w:val="1"/>
    </w:lvl>
    <w:lvl w:ilvl="1">
      <w:lvlJc w:val="left"/>
      <w:lvlText w:val="(%2)"/>
      <w:numFmt w:val="lowerRoman"/>
      <w:start w:val="1"/>
    </w:lvl>
  </w:abstractNum>
  <w:abstractNum w:abstractNumId="288">
    <w:nsid w:val="3D206613"/>
    <w:multiLevelType w:val="hybridMultilevel"/>
    <w:lvl w:ilvl="0">
      <w:lvlJc w:val="left"/>
      <w:lvlText w:val="(%1)"/>
      <w:numFmt w:val="lowerLetter"/>
      <w:start w:val="1"/>
    </w:lvl>
  </w:abstractNum>
  <w:abstractNum w:abstractNumId="289">
    <w:nsid w:val="7993B662"/>
    <w:multiLevelType w:val="hybridMultilevel"/>
    <w:lvl w:ilvl="0">
      <w:lvlJc w:val="left"/>
      <w:lvlText w:val="1"/>
      <w:numFmt w:val="bullet"/>
      <w:start w:val="1"/>
    </w:lvl>
  </w:abstractNum>
  <w:abstractNum w:abstractNumId="290">
    <w:nsid w:val="3BAB699E"/>
    <w:multiLevelType w:val="hybridMultilevel"/>
    <w:lvl w:ilvl="0">
      <w:lvlJc w:val="left"/>
      <w:lvlText w:val="\endash "/>
      <w:numFmt w:val="bullet"/>
      <w:start w:val="1"/>
    </w:lvl>
  </w:abstractNum>
  <w:abstractNum w:abstractNumId="291">
    <w:nsid w:val="71315369"/>
    <w:multiLevelType w:val="hybridMultilevel"/>
    <w:lvl w:ilvl="0">
      <w:lvlJc w:val="left"/>
      <w:lvlText w:val="(%1)"/>
      <w:numFmt w:val="lowerLetter"/>
      <w:start w:val="1"/>
    </w:lvl>
  </w:abstractNum>
  <w:abstractNum w:abstractNumId="292">
    <w:nsid w:val="7BCFBAFC"/>
    <w:multiLevelType w:val="hybridMultilevel"/>
    <w:lvl w:ilvl="0">
      <w:lvlJc w:val="left"/>
      <w:lvlText w:val="(%1)"/>
      <w:numFmt w:val="lowerLetter"/>
      <w:start w:val="2"/>
    </w:lvl>
  </w:abstractNum>
  <w:abstractNum w:abstractNumId="293">
    <w:nsid w:val="17859F72"/>
    <w:multiLevelType w:val="hybridMultilevel"/>
    <w:lvl w:ilvl="0">
      <w:lvlJc w:val="left"/>
      <w:lvlText w:val="$"/>
      <w:numFmt w:val="bullet"/>
      <w:start w:val="1"/>
    </w:lvl>
  </w:abstractNum>
  <w:abstractNum w:abstractNumId="294">
    <w:nsid w:val="3AA10581"/>
    <w:multiLevelType w:val="hybridMultilevel"/>
    <w:lvl w:ilvl="0">
      <w:lvlJc w:val="left"/>
      <w:lvlText w:val="$"/>
      <w:numFmt w:val="bullet"/>
      <w:start w:val="1"/>
    </w:lvl>
  </w:abstractNum>
  <w:abstractNum w:abstractNumId="295">
    <w:nsid w:val="63DE60CD"/>
    <w:multiLevelType w:val="hybridMultilevel"/>
    <w:lvl w:ilvl="0">
      <w:lvlJc w:val="left"/>
      <w:lvlText w:val="(%1)"/>
      <w:numFmt w:val="lowerLetter"/>
      <w:start w:val="3"/>
    </w:lvl>
  </w:abstractNum>
  <w:abstractNum w:abstractNumId="296">
    <w:nsid w:val="621AF471"/>
    <w:multiLevelType w:val="hybridMultilevel"/>
    <w:lvl w:ilvl="0">
      <w:lvlJc w:val="left"/>
      <w:lvlText w:val="(%1)"/>
      <w:numFmt w:val="lowerLetter"/>
      <w:start w:val="5"/>
    </w:lvl>
  </w:abstractNum>
  <w:abstractNum w:abstractNumId="297">
    <w:nsid w:val="73CFE165"/>
    <w:multiLevelType w:val="hybridMultilevel"/>
    <w:lvl w:ilvl="0">
      <w:lvlJc w:val="left"/>
      <w:lvlText w:val="(%1)"/>
      <w:numFmt w:val="lowerLetter"/>
      <w:start w:val="6"/>
    </w:lvl>
  </w:abstractNum>
  <w:abstractNum w:abstractNumId="298">
    <w:nsid w:val="20F88EA6"/>
    <w:multiLevelType w:val="hybridMultilevel"/>
    <w:lvl w:ilvl="0">
      <w:lvlJc w:val="left"/>
      <w:lvlText w:val="(%1)"/>
      <w:numFmt w:val="lowerLetter"/>
      <w:start w:val="7"/>
    </w:lvl>
  </w:abstractNum>
  <w:abstractNum w:abstractNumId="299">
    <w:nsid w:val="617C843E"/>
    <w:multiLevelType w:val="hybridMultilevel"/>
    <w:lvl w:ilvl="0">
      <w:lvlJc w:val="left"/>
      <w:lvlText w:val="(%1)"/>
      <w:numFmt w:val="lowerLetter"/>
      <w:start w:val="8"/>
    </w:lvl>
  </w:abstractNum>
  <w:abstractNum w:abstractNumId="300">
    <w:nsid w:val="7B541F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2021-02-16T16:16:10Z</dcterms:created>
  <dcterms:modified xsi:type="dcterms:W3CDTF">2021-02-16T16:16:10Z</dcterms:modified>
</cp:coreProperties>
</file>