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234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(iv) shared power to dispose or to direct the disposition of: 0 </w:t>
      </w:r>
    </w:p>
    <w:p>
      <w:pPr>
        <w:pStyle w:val="Normal"/>
        <w:framePr w:w="10359" w:hAnchor="page" w:vAnchor="page" w:x="280" w:y="19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(iii) sole power to dispose or to direct the disposition of: 21,489,939 </w:t>
      </w:r>
    </w:p>
    <w:p>
      <w:pPr>
        <w:pStyle w:val="Normal"/>
        <w:framePr w:w="7408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(ii) shared power to vote or to direct the vote: 0 </w:t>
      </w:r>
    </w:p>
    <w:p>
      <w:pPr>
        <w:pStyle w:val="Normal"/>
        <w:framePr w:w="4737" w:hAnchor="page" w:vAnchor="page" w:x="280" w:y="184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Items 5 and 6 on the cover page </w:t>
      </w:r>
    </w:p>
    <w:p>
      <w:pPr>
        <w:pStyle w:val="Normal"/>
        <w:framePr w:w="10640" w:hAnchor="page" w:vAnchor="page" w:x="280" w:y="181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(i) sole power to vote or to direct the vote: Please see the responses to </w:t>
      </w:r>
    </w:p>
    <w:p>
      <w:pPr>
        <w:pStyle w:val="Normal"/>
        <w:framePr w:w="7267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(c) Number of shares as to which such person has: </w:t>
      </w:r>
    </w:p>
    <w:p>
      <w:pPr>
        <w:pStyle w:val="Normal"/>
        <w:framePr w:w="4315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(b) Percent of Class: 5.016% </w:t>
      </w:r>
    </w:p>
    <w:p>
      <w:pPr>
        <w:pStyle w:val="Normal"/>
        <w:framePr w:w="6143" w:hAnchor="page" w:vAnchor="page" w:x="280" w:y="168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(a) Amount Beneficially Owned: 21,489,939 </w:t>
      </w:r>
    </w:p>
    <w:p>
      <w:pPr>
        <w:pStyle w:val="Normal"/>
        <w:framePr w:w="2770" w:hAnchor="page" w:vAnchor="page" w:x="280" w:y="163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4. Ownership </w:t>
      </w:r>
    </w:p>
    <w:p>
      <w:pPr>
        <w:pStyle w:val="Normal"/>
        <w:framePr w:w="7970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Section 240.13d-1(b)(1)(ii)(G). (Note: See Exhibit A). </w:t>
      </w:r>
    </w:p>
    <w:p>
      <w:pPr>
        <w:pStyle w:val="Normal"/>
        <w:framePr w:w="11342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the person filing, FMR LLC, is a parent holding company in accordance with </w:t>
      </w:r>
    </w:p>
    <w:p>
      <w:pPr>
        <w:pStyle w:val="Normal"/>
        <w:framePr w:w="11062" w:hAnchor="page" w:vAnchor="page" w:x="280" w:y="154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3. This statement is filed pursuant to Rule 13d-1(b) or 13d-2(b) or (c) </w:t>
      </w:r>
    </w:p>
    <w:p>
      <w:pPr>
        <w:pStyle w:val="Normal"/>
        <w:framePr w:w="1645" w:hAnchor="page" w:vAnchor="page" w:x="280" w:y="150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3753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2(e). CUSIP Number: </w:t>
      </w:r>
    </w:p>
    <w:p>
      <w:pPr>
        <w:pStyle w:val="Normal"/>
        <w:framePr w:w="2067" w:hAnchor="page" w:vAnchor="page" w:x="280" w:y="141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6002" w:hAnchor="page" w:vAnchor="page" w:x="280" w:y="136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2(d). Title of Class of Securities: </w:t>
      </w:r>
    </w:p>
    <w:p>
      <w:pPr>
        <w:pStyle w:val="Normal"/>
        <w:framePr w:w="2348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3613" w:hAnchor="page" w:vAnchor="page" w:x="280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2(c). Citizenship: </w:t>
      </w:r>
    </w:p>
    <w:p>
      <w:pPr>
        <w:pStyle w:val="Normal"/>
        <w:framePr w:w="6845" w:hAnchor="page" w:vAnchor="page" w:x="280" w:y="123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245 Summer Street, Boston, Massachusetts 02210 </w:t>
      </w:r>
    </w:p>
    <w:p>
      <w:pPr>
        <w:pStyle w:val="Normal"/>
        <w:framePr w:w="10359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2(b). Address or Principal Business Office or, if None, Residence: </w:t>
      </w:r>
    </w:p>
    <w:p>
      <w:pPr>
        <w:pStyle w:val="Normal"/>
        <w:framePr w:w="1364" w:hAnchor="page" w:vAnchor="page" w:x="280" w:y="114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FMR LLC </w:t>
      </w:r>
    </w:p>
    <w:p>
      <w:pPr>
        <w:pStyle w:val="Normal"/>
        <w:framePr w:w="5018" w:hAnchor="page" w:vAnchor="page" w:x="280" w:y="109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2(a). Name of Person Filing: </w:t>
      </w:r>
    </w:p>
    <w:p>
      <w:pPr>
        <w:pStyle w:val="Normal"/>
        <w:framePr w:w="661" w:hAnchor="page" w:vAnchor="page" w:x="280" w:y="105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UK </w:t>
      </w:r>
    </w:p>
    <w:p>
      <w:pPr>
        <w:pStyle w:val="Normal"/>
        <w:framePr w:w="4456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NEWCASTLE UPON TYNE,  NE6 3PL </w:t>
      </w:r>
    </w:p>
    <w:p>
      <w:pPr>
        <w:pStyle w:val="Normal"/>
        <w:framePr w:w="4456" w:hAnchor="page" w:vAnchor="page" w:x="280" w:y="100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HOUSE,WINCOMBLEE ROAD </w:t>
      </w:r>
    </w:p>
    <w:p>
      <w:pPr>
        <w:pStyle w:val="Normal"/>
        <w:framePr w:w="8672" w:hAnchor="page" w:vAnchor="page" w:x="280" w:y="96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1(b). Address of Issuer's Principal Executive Offices: </w:t>
      </w:r>
    </w:p>
    <w:p>
      <w:pPr>
        <w:pStyle w:val="Normal"/>
        <w:framePr w:w="2348" w:hAnchor="page" w:vAnchor="page" w:x="280" w:y="91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4035" w:hAnchor="page" w:vAnchor="page" w:x="280" w:y="87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1(a). Name of Issuer: </w:t>
      </w:r>
    </w:p>
    <w:p>
      <w:pPr>
        <w:pStyle w:val="Normal"/>
        <w:framePr w:w="1926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12: IN </w:t>
      </w:r>
    </w:p>
    <w:p>
      <w:pPr>
        <w:pStyle w:val="Normal"/>
        <w:framePr w:w="2489" w:hAnchor="page" w:vAnchor="page" w:x="280" w:y="80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11: 5.016% </w:t>
      </w:r>
    </w:p>
    <w:p>
      <w:pPr>
        <w:pStyle w:val="Normal"/>
        <w:framePr w:w="2910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21,489,939 </w:t>
      </w:r>
    </w:p>
    <w:p>
      <w:pPr>
        <w:pStyle w:val="Normal"/>
        <w:framePr w:w="1645" w:hAnchor="page" w:vAnchor="page" w:x="280" w:y="75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0 </w:t>
      </w:r>
    </w:p>
    <w:p>
      <w:pPr>
        <w:pStyle w:val="Normal"/>
        <w:framePr w:w="291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21,489,939 </w:t>
      </w:r>
    </w:p>
    <w:p>
      <w:pPr>
        <w:pStyle w:val="Normal"/>
        <w:framePr w:w="1645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0 </w:t>
      </w:r>
    </w:p>
    <w:p>
      <w:pPr>
        <w:pStyle w:val="Normal"/>
        <w:framePr w:w="1645" w:hAnchor="page" w:vAnchor="page" w:x="280" w:y="69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0 </w:t>
      </w:r>
    </w:p>
    <w:p>
      <w:pPr>
        <w:pStyle w:val="Normal"/>
        <w:framePr w:w="4878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United States of America </w:t>
      </w:r>
    </w:p>
    <w:p>
      <w:pPr>
        <w:pStyle w:val="Normal"/>
        <w:framePr w:w="2629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(b)  [ ] </w:t>
      </w:r>
    </w:p>
    <w:p>
      <w:pPr>
        <w:pStyle w:val="Normal"/>
        <w:framePr w:w="2629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2: (a)  [ ] </w:t>
      </w:r>
    </w:p>
    <w:p>
      <w:pPr>
        <w:pStyle w:val="Normal"/>
        <w:framePr w:w="6705" w:hAnchor="page" w:vAnchor="page" w:x="280" w:y="60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1: Reporting Person - Abigail P. Johnson </w:t>
      </w:r>
    </w:p>
    <w:p>
      <w:pPr>
        <w:pStyle w:val="Normal"/>
        <w:framePr w:w="2629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1926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12: HC </w:t>
      </w:r>
    </w:p>
    <w:p>
      <w:pPr>
        <w:pStyle w:val="Normal"/>
        <w:framePr w:w="2489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11: 5.016% </w:t>
      </w:r>
    </w:p>
    <w:p>
      <w:pPr>
        <w:pStyle w:val="Normal"/>
        <w:framePr w:w="2910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21,489,939 </w:t>
      </w:r>
    </w:p>
    <w:p>
      <w:pPr>
        <w:pStyle w:val="Normal"/>
        <w:framePr w:w="1645" w:hAnchor="page" w:vAnchor="page" w:x="280" w:y="46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0 </w:t>
      </w:r>
    </w:p>
    <w:p>
      <w:pPr>
        <w:pStyle w:val="Normal"/>
        <w:framePr w:w="2910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21,489,939 </w:t>
      </w:r>
    </w:p>
    <w:p>
      <w:pPr>
        <w:pStyle w:val="Normal"/>
        <w:framePr w:w="1645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0 </w:t>
      </w:r>
    </w:p>
    <w:p>
      <w:pPr>
        <w:pStyle w:val="Normal"/>
        <w:framePr w:w="2910" w:hAnchor="page" w:vAnchor="page" w:x="280" w:y="39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20,935,569 </w:t>
      </w:r>
    </w:p>
    <w:p>
      <w:pPr>
        <w:pStyle w:val="Normal"/>
        <w:framePr w:w="2629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Delaware </w:t>
      </w:r>
    </w:p>
    <w:p>
      <w:pPr>
        <w:pStyle w:val="Normal"/>
        <w:framePr w:w="2629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(b)  [ ] </w:t>
      </w:r>
    </w:p>
    <w:p>
      <w:pPr>
        <w:pStyle w:val="Normal"/>
        <w:framePr w:w="2629" w:hAnchor="page" w:vAnchor="page" w:x="280" w:y="33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2: (a)  [ ] </w:t>
      </w:r>
    </w:p>
    <w:p>
      <w:pPr>
        <w:pStyle w:val="Normal"/>
        <w:framePr w:w="5159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1: Reporting Person - FMR LLC </w:t>
      </w:r>
    </w:p>
    <w:p>
      <w:pPr>
        <w:pStyle w:val="Normal"/>
        <w:framePr w:w="2629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2770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13d-1(d) </w:t>
      </w:r>
    </w:p>
    <w:p>
      <w:pPr>
        <w:pStyle w:val="Normal"/>
        <w:framePr w:w="2770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13d-1(c) </w:t>
      </w:r>
    </w:p>
    <w:p>
      <w:pPr>
        <w:pStyle w:val="Normal"/>
        <w:framePr w:w="2770" w:hAnchor="page" w:vAnchor="page" w:x="280" w:y="19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Rule 13d-1(b) </w:t>
      </w:r>
    </w:p>
    <w:p>
      <w:pPr>
        <w:pStyle w:val="Normal"/>
        <w:framePr w:w="2910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151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2629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2067" w:hAnchor="page" w:vAnchor="page" w:x="280" w:y="10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348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348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Amendment No.2 </w:t>
      </w:r>
    </w:p>
    <w:p>
      <w:pPr>
        <w:pStyle w:val="Normal"/>
        <w:framePr w:w="2067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4597" w:hAnchor="page" w:vAnchor="page" w:x="280" w:y="198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group with respect to FMR LLC. </w:t>
      </w:r>
    </w:p>
    <w:p>
      <w:pPr>
        <w:pStyle w:val="Normal"/>
        <w:framePr w:w="11342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may be deemed, under the Investment Company Act of 1940, to form a controlling </w:t>
      </w:r>
    </w:p>
    <w:p>
      <w:pPr>
        <w:pStyle w:val="Normal"/>
        <w:framePr w:w="11342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execution of the shareholders' voting agreement, members of the Johnson family </w:t>
      </w:r>
    </w:p>
    <w:p>
      <w:pPr>
        <w:pStyle w:val="Normal"/>
        <w:framePr w:w="11062" w:hAnchor="page" w:vAnchor="page" w:x="280" w:y="1918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shares. Accordingly, through their ownership of voting common shares and the </w:t>
      </w:r>
    </w:p>
    <w:p>
      <w:pPr>
        <w:pStyle w:val="Normal"/>
        <w:framePr w:w="11062" w:hAnchor="page" w:vAnchor="page" w:x="280" w:y="189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will be voted in accordance with the majority vote of Series B voting common </w:t>
      </w:r>
    </w:p>
    <w:p>
      <w:pPr>
        <w:pStyle w:val="Normal"/>
        <w:framePr w:w="11062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shareholders' voting agreement under which all Series B voting common shares </w:t>
      </w:r>
    </w:p>
    <w:p>
      <w:pPr>
        <w:pStyle w:val="Normal"/>
        <w:framePr w:w="11062" w:hAnchor="page" w:vAnchor="page" w:x="280" w:y="185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Johnson family group and all other Series B shareholders have entered into a </w:t>
      </w:r>
    </w:p>
    <w:p>
      <w:pPr>
        <w:pStyle w:val="Normal"/>
        <w:framePr w:w="10359" w:hAnchor="page" w:vAnchor="page" w:x="280" w:y="1828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 of FMR LLC, representing 49% of the voting power of FMR LLC. The </w:t>
      </w:r>
    </w:p>
    <w:p>
      <w:pPr>
        <w:pStyle w:val="Normal"/>
        <w:framePr w:w="10640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predominant owners, directly or through trusts, of Series B voting common </w:t>
      </w:r>
    </w:p>
    <w:p>
      <w:pPr>
        <w:pStyle w:val="Normal"/>
        <w:framePr w:w="9937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Members of the Johnson family, including Abigail P. Johnson, are the </w:t>
      </w:r>
    </w:p>
    <w:p>
      <w:pPr>
        <w:pStyle w:val="Normal"/>
        <w:framePr w:w="1926" w:hAnchor="page" w:vAnchor="page" w:x="280" w:y="173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FMR LLC. </w:t>
      </w:r>
    </w:p>
    <w:p>
      <w:pPr>
        <w:pStyle w:val="Normal"/>
        <w:framePr w:w="11342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Abigail P. Johnson is a Director, the Chairman and the Chief Executive Officer </w:t>
      </w:r>
    </w:p>
    <w:p>
      <w:pPr>
        <w:pStyle w:val="Normal"/>
        <w:framePr w:w="4035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Strategic Advisers LLC  IA </w:t>
      </w:r>
    </w:p>
    <w:p>
      <w:pPr>
        <w:pStyle w:val="Normal"/>
        <w:framePr w:w="5580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Management Trust Company  BK </w:t>
      </w:r>
    </w:p>
    <w:p>
      <w:pPr>
        <w:pStyle w:val="Normal"/>
        <w:framePr w:w="6845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Management &amp; Research Company LLC  IA </w:t>
      </w:r>
    </w:p>
    <w:p>
      <w:pPr>
        <w:pStyle w:val="Normal"/>
        <w:framePr w:w="8391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Institutional Asset Management Trust Company  BK </w:t>
      </w:r>
    </w:p>
    <w:p>
      <w:pPr>
        <w:pStyle w:val="Normal"/>
        <w:framePr w:w="2067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FIAM LLC  IA </w:t>
      </w:r>
    </w:p>
    <w:p>
      <w:pPr>
        <w:pStyle w:val="Normal"/>
        <w:framePr w:w="3753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Crosby Advisors LLC  N/A </w:t>
      </w:r>
    </w:p>
    <w:p>
      <w:pPr>
        <w:pStyle w:val="Normal"/>
        <w:framePr w:w="4597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Entity   ITEM 3 Classification </w:t>
      </w:r>
    </w:p>
    <w:p>
      <w:pPr>
        <w:pStyle w:val="Normal"/>
        <w:framePr w:w="2910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Schedule 13G. </w:t>
      </w:r>
    </w:p>
    <w:p>
      <w:pPr>
        <w:pStyle w:val="Normal"/>
        <w:framePr w:w="11062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entity that beneficially owns shares of the security class being reported on </w:t>
      </w:r>
    </w:p>
    <w:p>
      <w:pPr>
        <w:pStyle w:val="Normal"/>
        <w:framePr w:w="11202" w:hAnchor="page" w:vAnchor="page" w:x="280" w:y="140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lists the identity and Item 3 classification, if applicable, of each relevant </w:t>
      </w:r>
    </w:p>
    <w:p>
      <w:pPr>
        <w:pStyle w:val="Normal"/>
        <w:framePr w:w="10921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Pursuant to the instructions in Item 7 of Schedule 13G, the following table </w:t>
      </w:r>
    </w:p>
    <w:p>
      <w:pPr>
        <w:pStyle w:val="Normal"/>
        <w:framePr w:w="1645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A </w:t>
      </w:r>
    </w:p>
    <w:p>
      <w:pPr>
        <w:pStyle w:val="Normal"/>
        <w:framePr w:w="333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0000315066-23-000003. </w:t>
      </w:r>
    </w:p>
    <w:p>
      <w:pPr>
        <w:pStyle w:val="Normal"/>
        <w:framePr w:w="10499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10, 2023, accession number: </w:t>
      </w:r>
    </w:p>
    <w:p>
      <w:pPr>
        <w:pStyle w:val="Normal"/>
        <w:framePr w:w="11202" w:hAnchor="page" w:vAnchor="page" w:x="280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This power of attorney is incorporated herein by reference to Exhibit 24 to </w:t>
      </w:r>
    </w:p>
    <w:p>
      <w:pPr>
        <w:pStyle w:val="Normal"/>
        <w:framePr w:w="9656" w:hAnchor="page" w:vAnchor="page" w:x="280" w:y="115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FMR LLC and its direct and indirect subsidiaries* </w:t>
      </w:r>
    </w:p>
    <w:p>
      <w:pPr>
        <w:pStyle w:val="Normal"/>
        <w:framePr w:w="10921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3, 2023, by </w:t>
      </w:r>
    </w:p>
    <w:p>
      <w:pPr>
        <w:pStyle w:val="Normal"/>
        <w:framePr w:w="2910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1645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 </w:t>
      </w:r>
    </w:p>
    <w:p>
      <w:pPr>
        <w:pStyle w:val="Normal"/>
        <w:framePr w:w="347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/s/ Stephanie J. Brown </w:t>
      </w:r>
    </w:p>
    <w:p>
      <w:pPr>
        <w:pStyle w:val="Normal"/>
        <w:framePr w:w="943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 </w:t>
      </w:r>
    </w:p>
    <w:p>
      <w:pPr>
        <w:pStyle w:val="Normal"/>
        <w:framePr w:w="2629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November 8, 2024 </w:t>
      </w:r>
    </w:p>
    <w:p>
      <w:pPr>
        <w:pStyle w:val="Normal"/>
        <w:framePr w:w="1505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correct. </w:t>
      </w:r>
    </w:p>
    <w:p>
      <w:pPr>
        <w:pStyle w:val="Normal"/>
        <w:framePr w:w="10218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that the information set forth in this statement is true, complete and </w:t>
      </w:r>
    </w:p>
    <w:p>
      <w:pPr>
        <w:pStyle w:val="Normal"/>
        <w:framePr w:w="11342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After reasonable inquiry and to the best of my knowledge and belief, I certify </w:t>
      </w:r>
    </w:p>
    <w:p>
      <w:pPr>
        <w:pStyle w:val="Normal"/>
        <w:framePr w:w="1645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 </w:t>
      </w:r>
    </w:p>
    <w:p>
      <w:pPr>
        <w:pStyle w:val="Normal"/>
        <w:framePr w:w="8953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participant in any transaction having that purpose or effect. </w:t>
      </w:r>
    </w:p>
    <w:p>
      <w:pPr>
        <w:pStyle w:val="Normal"/>
        <w:framePr w:w="11062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were not acquired and are not held in connection with or as a </w:t>
      </w:r>
    </w:p>
    <w:p>
      <w:pPr>
        <w:pStyle w:val="Normal"/>
        <w:framePr w:w="10218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effect of changing or influencing the control of the issuer of the </w:t>
      </w:r>
    </w:p>
    <w:p>
      <w:pPr>
        <w:pStyle w:val="Normal"/>
        <w:framePr w:w="11202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business and were not acquired and are not held for the purpose of or with </w:t>
      </w:r>
    </w:p>
    <w:p>
      <w:pPr>
        <w:pStyle w:val="Normal"/>
        <w:framePr w:w="11342" w:hAnchor="page" w:vAnchor="page" w:x="280" w:y="70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referred to above were acquired and are held in the ordinary course </w:t>
      </w:r>
    </w:p>
    <w:p>
      <w:pPr>
        <w:pStyle w:val="Normal"/>
        <w:framePr w:w="11062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signing below I certify that, to the best of my knowledge and belief, the </w:t>
      </w:r>
    </w:p>
    <w:p>
      <w:pPr>
        <w:pStyle w:val="Normal"/>
        <w:framePr w:w="3753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10. Certifications. </w:t>
      </w:r>
    </w:p>
    <w:p>
      <w:pPr>
        <w:pStyle w:val="Normal"/>
        <w:framePr w:w="2489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5861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9. Notice of Dissolution of Group. </w:t>
      </w:r>
    </w:p>
    <w:p>
      <w:pPr>
        <w:pStyle w:val="Normal"/>
        <w:framePr w:w="2489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9656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8. Identification and Classification of Members of the Group. </w:t>
      </w:r>
    </w:p>
    <w:p>
      <w:pPr>
        <w:pStyle w:val="Normal"/>
        <w:framePr w:w="3613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See attached Exhibit A. </w:t>
      </w:r>
    </w:p>
    <w:p>
      <w:pPr>
        <w:pStyle w:val="Normal"/>
        <w:framePr w:w="8391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Security Being Reported on By the Parent Holding Company. </w:t>
      </w:r>
    </w:p>
    <w:p>
      <w:pPr>
        <w:pStyle w:val="Normal"/>
        <w:framePr w:w="11342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7. Identification and Classification of the Subsidiary Which Acquired the </w:t>
      </w:r>
    </w:p>
    <w:p>
      <w:pPr>
        <w:pStyle w:val="Normal"/>
        <w:framePr w:w="2207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STOCK. </w:t>
      </w:r>
    </w:p>
    <w:p>
      <w:pPr>
        <w:pStyle w:val="Normal"/>
        <w:framePr w:w="10780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STOCK of TECHNIPFMC PLC is more than five percent of the total outstanding </w:t>
      </w:r>
    </w:p>
    <w:p>
      <w:pPr>
        <w:pStyle w:val="Normal"/>
        <w:framePr w:w="11062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of TECHNIPFMC PLC. No one other person's interest in the COMMON </w:t>
      </w:r>
    </w:p>
    <w:p>
      <w:pPr>
        <w:pStyle w:val="Normal"/>
        <w:framePr w:w="11342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to direct the receipt of dividends from, or the proceeds from the sale of, the </w:t>
      </w:r>
    </w:p>
    <w:p>
      <w:pPr>
        <w:pStyle w:val="Normal"/>
        <w:framePr w:w="11202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One or more other persons are known to have the right to receive or the power </w:t>
      </w:r>
    </w:p>
    <w:p>
      <w:pPr>
        <w:pStyle w:val="Normal"/>
        <w:framePr w:w="10499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6. Ownership of More than Five Percent on Behalf of Another Person. </w:t>
      </w:r>
    </w:p>
    <w:p>
      <w:pPr>
        <w:pStyle w:val="Normal"/>
        <w:framePr w:w="248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7829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5. Ownership of Five Percent or Less of a Class.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3191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0000315066-23-000038.</w:t>
      </w:r>
    </w:p>
    <w:p>
      <w:pPr>
        <w:pStyle w:val="Normal"/>
        <w:framePr w:w="10499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31, 2023, accession number: </w:t>
      </w:r>
    </w:p>
    <w:p>
      <w:pPr>
        <w:pStyle w:val="Normal"/>
        <w:framePr w:w="11342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** This power of attorney is incorporated herein by reference to Exhibit 24 to </w:t>
      </w:r>
    </w:p>
    <w:p>
      <w:pPr>
        <w:pStyle w:val="Normal"/>
        <w:framePr w:w="3332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0000315066-23-000003. </w:t>
      </w:r>
    </w:p>
    <w:p>
      <w:pPr>
        <w:pStyle w:val="Normal"/>
        <w:framePr w:w="10499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10, 2023, accession number: </w:t>
      </w:r>
    </w:p>
    <w:p>
      <w:pPr>
        <w:pStyle w:val="Normal"/>
        <w:framePr w:w="11202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This power of attorney is incorporated herein by reference to Exhibit 24 to </w:t>
      </w:r>
    </w:p>
    <w:p>
      <w:pPr>
        <w:pStyle w:val="Normal"/>
        <w:framePr w:w="5580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Abigail P. Johnson** </w:t>
      </w:r>
    </w:p>
    <w:p>
      <w:pPr>
        <w:pStyle w:val="Normal"/>
        <w:framePr w:w="1106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26, 2023, by </w:t>
      </w:r>
    </w:p>
    <w:p>
      <w:pPr>
        <w:pStyle w:val="Normal"/>
        <w:framePr w:w="2910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3894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/s/ Stephanie J. Brown </w:t>
      </w:r>
    </w:p>
    <w:p>
      <w:pPr>
        <w:pStyle w:val="Normal"/>
        <w:framePr w:w="291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Abigail P. Johnson </w:t>
      </w:r>
    </w:p>
    <w:p>
      <w:pPr>
        <w:pStyle w:val="Normal"/>
        <w:framePr w:w="9656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FMR LLC and its direct and indirect subsidiaries* </w:t>
      </w:r>
    </w:p>
    <w:p>
      <w:pPr>
        <w:pStyle w:val="Normal"/>
        <w:framePr w:w="10921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3, 2023, by </w:t>
      </w:r>
    </w:p>
    <w:p>
      <w:pPr>
        <w:pStyle w:val="Normal"/>
        <w:framePr w:w="2910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3894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/s/ Stephanie J. Brown </w:t>
      </w:r>
    </w:p>
    <w:p>
      <w:pPr>
        <w:pStyle w:val="Normal"/>
        <w:framePr w:w="1364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FMR LLC </w:t>
      </w:r>
    </w:p>
    <w:p>
      <w:pPr>
        <w:pStyle w:val="Normal"/>
        <w:framePr w:w="943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2024.</w:t>
      </w:r>
    </w:p>
    <w:p>
      <w:pPr>
        <w:pStyle w:val="Normal"/>
        <w:framePr w:w="10921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beneficial ownership of the COMMON STOCK of TECHNIPFMC PLC at September 30, </w:t>
      </w:r>
    </w:p>
    <w:p>
      <w:pPr>
        <w:pStyle w:val="Normal"/>
        <w:framePr w:w="9937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filing on their behalf of this Schedule 13G in connection with their </w:t>
      </w:r>
    </w:p>
    <w:p>
      <w:pPr>
        <w:pStyle w:val="Normal"/>
        <w:framePr w:w="11062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undersigned persons, on November 8, 2024, agree and consent to the joint </w:t>
      </w:r>
    </w:p>
    <w:p>
      <w:pPr>
        <w:pStyle w:val="Normal"/>
        <w:framePr w:w="4035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RULE 13d-1(k)(1) AGREEMENT </w:t>
      </w:r>
    </w:p>
    <w:p>
      <w:pPr>
        <w:pStyle w:val="Normal"/>
        <w:framePr w:w="7548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Commission Release No. 34-39538 (January 12, 1998). </w:t>
      </w:r>
    </w:p>
    <w:p>
      <w:pPr>
        <w:pStyle w:val="Normal"/>
        <w:framePr w:w="9937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that of the FMR Reporters in accordance with Securities and Exchange </w:t>
      </w:r>
    </w:p>
    <w:p>
      <w:pPr>
        <w:pStyle w:val="Normal"/>
        <w:framePr w:w="11342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other companies whose beneficial ownership of securities is disaggregated from </w:t>
      </w:r>
    </w:p>
    <w:p>
      <w:pPr>
        <w:pStyle w:val="Normal"/>
        <w:framePr w:w="10640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filing does not reflect securities, if any, beneficially owned by certain </w:t>
      </w:r>
    </w:p>
    <w:p>
      <w:pPr>
        <w:pStyle w:val="Normal"/>
        <w:framePr w:w="10640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affiliates, and other companies (collectively, the "FMR Reporters"). This </w:t>
      </w:r>
    </w:p>
    <w:p>
      <w:pPr>
        <w:pStyle w:val="Normal"/>
        <w:framePr w:w="10078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to be beneficially owned, by FMR LLC, certain of its subsidiaries and </w:t>
      </w:r>
    </w:p>
    <w:p>
      <w:pPr>
        <w:pStyle w:val="Normal"/>
        <w:framePr w:w="11202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filing reflects the securities beneficially owned, or that may be deemed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45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styles.xml" Type="http://schemas.openxmlformats.org/officeDocument/2006/relationships/styles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1055</Words>
  <Characters>5233</Characters>
  <Application>e-iceblue</Application>
  <DocSecurity>0</DocSecurity>
  <Lines>150</Lines>
  <Paragraphs>150</Paragraphs>
  <ScaleCrop>false</ScaleCrop>
  <Company>e-iceblue</Company>
  <LinksUpToDate>false</LinksUpToDate>
  <CharactersWithSpaces>6315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2024-11-12T15:42:39Z</dcterms:created>
  <dc:creator>root</dc:creator>
  <cp:lastModifiedBy>root</cp:lastModifiedBy>
  <dcterms:modified xsi:type="dcterms:W3CDTF">2024-11-12T15:42:39Z</dcterms:modified>
  <cp:revision>1</cp:revision>
</cp:coreProperties>
</file>