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602" w:hAnchor="page" w:vAnchor="page" w:x="270" w:y="734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153" w:hAnchor="page" w:vAnchor="page" w:x="7878" w:y="734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.</w:t>
      </w:r>
    </w:p>
    <w:p>
      <w:pPr>
        <w:pStyle w:val="Normal"/>
        <w:framePr w:w="7027" w:hAnchor="page" w:vAnchor="page" w:x="270" w:y="719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6 for procedure.</w:t>
      </w:r>
    </w:p>
    <w:p>
      <w:pPr>
        <w:pStyle w:val="Normal"/>
        <w:framePr w:w="7051" w:hAnchor="page" w:vAnchor="page" w:x="270" w:y="704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18 U.S.C. 1001 and 15 U.S.C. 78ff(a).</w:t>
      </w:r>
    </w:p>
    <w:p>
      <w:pPr>
        <w:pStyle w:val="Normal"/>
        <w:framePr w:w="4472" w:hAnchor="page" w:vAnchor="page" w:x="270" w:y="689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0"/>
          <w:szCs w:val="10"/>
        </w:rPr>
        <w:t>see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Instruction 5 (b)(v).</w:t>
      </w:r>
    </w:p>
    <w:p>
      <w:pPr>
        <w:pStyle w:val="Normal"/>
        <w:framePr w:w="6121" w:hAnchor="page" w:vAnchor="page" w:x="270" w:y="674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Reminder: Report on a separate line for each class of securities beneficially owned directly or indirectly</w:t>
      </w:r>
    </w:p>
    <w:p>
      <w:pPr>
        <w:pStyle w:val="Normal"/>
        <w:framePr w:w="153" w:hAnchor="page" w:vAnchor="page" w:x="4813" w:y="674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.</w:t>
      </w:r>
    </w:p>
    <w:p>
      <w:pPr>
        <w:pStyle w:val="Normal"/>
        <w:framePr w:w="1863" w:hAnchor="page" w:vAnchor="page" w:x="7306" w:y="659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** Signature of Reporting Person</w:t>
      </w:r>
    </w:p>
    <w:p>
      <w:pPr>
        <w:pStyle w:val="Normal"/>
        <w:framePr w:w="374" w:hAnchor="page" w:vAnchor="page" w:x="9658" w:y="6595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Date</w:t>
      </w:r>
    </w:p>
    <w:p>
      <w:pPr>
        <w:pStyle w:val="Normal"/>
        <w:framePr w:w="2220" w:hAnchor="page" w:vAnchor="page" w:x="7306" w:y="6399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/s/ Olivia Reed, Attorney-in-Fact</w:t>
      </w:r>
    </w:p>
    <w:p>
      <w:pPr>
        <w:pStyle w:val="Normal"/>
        <w:framePr w:w="867" w:hAnchor="page" w:vAnchor="page" w:x="9658" w:y="6399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02/21/2023</w:t>
      </w:r>
    </w:p>
    <w:p>
      <w:pPr>
        <w:pStyle w:val="Normal"/>
        <w:framePr w:w="868" w:hAnchor="page" w:vAnchor="page" w:x="270" w:y="6147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Remarks:</w:t>
      </w:r>
    </w:p>
    <w:p>
      <w:pPr>
        <w:pStyle w:val="Normal"/>
        <w:framePr w:w="1662" w:hAnchor="page" w:vAnchor="page" w:x="270" w:y="599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Explanation of Responses:</w:t>
      </w:r>
    </w:p>
    <w:p>
      <w:pPr>
        <w:pStyle w:val="Normal"/>
        <w:framePr w:w="788" w:hAnchor="page" w:vAnchor="page" w:x="4313" w:y="579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Exercisable</w:t>
      </w:r>
    </w:p>
    <w:p>
      <w:pPr>
        <w:pStyle w:val="Normal"/>
        <w:framePr w:w="380" w:hAnchor="page" w:vAnchor="page" w:x="4974" w:y="579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Date</w:t>
      </w:r>
    </w:p>
    <w:p>
      <w:pPr>
        <w:pStyle w:val="Normal"/>
        <w:framePr w:w="365" w:hAnchor="page" w:vAnchor="page" w:x="5565" w:y="579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Title</w:t>
      </w:r>
    </w:p>
    <w:p>
      <w:pPr>
        <w:pStyle w:val="Normal"/>
        <w:framePr w:w="521" w:hAnchor="page" w:vAnchor="page" w:x="7856" w:y="579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Shares</w:t>
      </w:r>
    </w:p>
    <w:p>
      <w:pPr>
        <w:pStyle w:val="Normal"/>
        <w:framePr w:w="380" w:hAnchor="page" w:vAnchor="page" w:x="4313" w:y="568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Date</w:t>
      </w:r>
    </w:p>
    <w:p>
      <w:pPr>
        <w:pStyle w:val="Normal"/>
        <w:framePr w:w="707" w:hAnchor="page" w:vAnchor="page" w:x="4974" w:y="568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Expiration</w:t>
      </w:r>
    </w:p>
    <w:p>
      <w:pPr>
        <w:pStyle w:val="Normal"/>
        <w:framePr w:w="721" w:hAnchor="page" w:vAnchor="page" w:x="7856" w:y="568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Number of</w:t>
      </w:r>
    </w:p>
    <w:p>
      <w:pPr>
        <w:pStyle w:val="Normal"/>
        <w:framePr w:w="727" w:hAnchor="page" w:vAnchor="page" w:x="7856" w:y="557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Amount or</w:t>
      </w:r>
    </w:p>
    <w:p>
      <w:pPr>
        <w:pStyle w:val="Normal"/>
        <w:framePr w:w="767" w:hAnchor="page" w:vAnchor="page" w:x="8557" w:y="558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Security</w:t>
      </w:r>
    </w:p>
    <w:p>
      <w:pPr>
        <w:pStyle w:val="Normal"/>
        <w:framePr w:w="694" w:hAnchor="page" w:vAnchor="page" w:x="8557" w:y="547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Derivative</w:t>
      </w:r>
    </w:p>
    <w:p>
      <w:pPr>
        <w:pStyle w:val="Normal"/>
        <w:framePr w:w="587" w:hAnchor="page" w:vAnchor="page" w:x="9378" w:y="547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(Instr. 5)</w:t>
      </w:r>
    </w:p>
    <w:p>
      <w:pPr>
        <w:pStyle w:val="Normal"/>
        <w:framePr w:w="1101" w:hAnchor="page" w:vAnchor="page" w:x="4313" w:y="536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(Month/Day/Year)</w:t>
      </w:r>
    </w:p>
    <w:p>
      <w:pPr>
        <w:pStyle w:val="Normal"/>
        <w:framePr w:w="561" w:hAnchor="page" w:vAnchor="page" w:x="8557" w:y="536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Price of</w:t>
      </w:r>
    </w:p>
    <w:p>
      <w:pPr>
        <w:pStyle w:val="Normal"/>
        <w:framePr w:w="854" w:hAnchor="page" w:vAnchor="page" w:x="9378" w:y="536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or Indirect (I)</w:t>
      </w:r>
    </w:p>
    <w:p>
      <w:pPr>
        <w:pStyle w:val="Normal"/>
        <w:framePr w:w="1001" w:hAnchor="page" w:vAnchor="page" w:x="4313" w:y="525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Expiration Date</w:t>
      </w:r>
    </w:p>
    <w:p>
      <w:pPr>
        <w:pStyle w:val="Normal"/>
        <w:framePr w:w="1274" w:hAnchor="page" w:vAnchor="page" w:x="5565" w:y="525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Security (Instr. 4)</w:t>
      </w:r>
    </w:p>
    <w:p>
      <w:pPr>
        <w:pStyle w:val="Normal"/>
        <w:framePr w:w="768" w:hAnchor="page" w:vAnchor="page" w:x="8557" w:y="525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or Exercise</w:t>
      </w:r>
    </w:p>
    <w:p>
      <w:pPr>
        <w:pStyle w:val="Normal"/>
        <w:framePr w:w="1034" w:hAnchor="page" w:vAnchor="page" w:x="9378" w:y="525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Form: Direct (D)</w:t>
      </w:r>
    </w:p>
    <w:p>
      <w:pPr>
        <w:pStyle w:val="Normal"/>
        <w:framePr w:w="1241" w:hAnchor="page" w:vAnchor="page" w:x="10309" w:y="525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Ownership (Instr. 5)</w:t>
      </w:r>
    </w:p>
    <w:p>
      <w:pPr>
        <w:pStyle w:val="Normal"/>
        <w:framePr w:w="2440" w:hAnchor="page" w:vAnchor="page" w:x="300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Derivative Security (Instr. 4)</w:t>
      </w:r>
    </w:p>
    <w:p>
      <w:pPr>
        <w:pStyle w:val="Normal"/>
        <w:framePr w:w="1462" w:hAnchor="page" w:vAnchor="page" w:x="4313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2. Date Exercisable and</w:t>
      </w:r>
    </w:p>
    <w:p>
      <w:pPr>
        <w:pStyle w:val="Normal"/>
        <w:framePr w:w="3428" w:hAnchor="page" w:vAnchor="page" w:x="5565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3. Title and Amount of Securities Underlying Derivative</w:t>
      </w:r>
    </w:p>
    <w:p>
      <w:pPr>
        <w:pStyle w:val="Normal"/>
        <w:framePr w:w="914" w:hAnchor="page" w:vAnchor="page" w:x="8557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4. Conversion</w:t>
      </w:r>
    </w:p>
    <w:p>
      <w:pPr>
        <w:pStyle w:val="Normal"/>
        <w:framePr w:w="874" w:hAnchor="page" w:vAnchor="page" w:x="9378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5. Ownership</w:t>
      </w:r>
    </w:p>
    <w:p>
      <w:pPr>
        <w:pStyle w:val="Normal"/>
        <w:framePr w:w="1849" w:hAnchor="page" w:vAnchor="page" w:x="10309" w:y="5144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6. Nature of Indirect Beneficial</w:t>
      </w:r>
    </w:p>
    <w:p>
      <w:pPr>
        <w:pStyle w:val="Normal"/>
        <w:framePr w:w="4459" w:hAnchor="page" w:vAnchor="page" w:x="4327" w:y="489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(e.g., puts, calls, warrants, options, convertible securities)</w:t>
      </w:r>
    </w:p>
    <w:p>
      <w:pPr>
        <w:pStyle w:val="Normal"/>
        <w:framePr w:w="4058" w:hAnchor="page" w:vAnchor="page" w:x="4588" w:y="4746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II - Derivative Securities Beneficially Owned</w:t>
      </w:r>
    </w:p>
    <w:p>
      <w:pPr>
        <w:pStyle w:val="Normal"/>
        <w:framePr w:w="2523" w:hAnchor="page" w:vAnchor="page" w:x="300" w:y="446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No Securities are Beneficially Owned</w:t>
      </w:r>
    </w:p>
    <w:p>
      <w:pPr>
        <w:pStyle w:val="Normal"/>
        <w:framePr w:w="234" w:hAnchor="page" w:vAnchor="page" w:x="6508" w:y="446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</w:t>
      </w:r>
    </w:p>
    <w:p>
      <w:pPr>
        <w:pStyle w:val="Normal"/>
        <w:framePr w:w="269" w:hAnchor="page" w:vAnchor="page" w:x="8255" w:y="446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D</w:t>
      </w:r>
    </w:p>
    <w:p>
      <w:pPr>
        <w:pStyle w:val="Normal"/>
        <w:framePr w:w="587" w:hAnchor="page" w:vAnchor="page" w:x="7706" w:y="425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(Instr. 5)</w:t>
      </w:r>
    </w:p>
    <w:p>
      <w:pPr>
        <w:pStyle w:val="Normal"/>
        <w:framePr w:w="587" w:hAnchor="page" w:vAnchor="page" w:x="5474" w:y="414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(Instr. 4)</w:t>
      </w:r>
    </w:p>
    <w:p>
      <w:pPr>
        <w:pStyle w:val="Normal"/>
        <w:framePr w:w="1428" w:hAnchor="page" w:vAnchor="page" w:x="7706" w:y="414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Direct (D) or Indirect (I)</w:t>
      </w:r>
    </w:p>
    <w:p>
      <w:pPr>
        <w:pStyle w:val="Normal"/>
        <w:framePr w:w="1833" w:hAnchor="page" w:vAnchor="page" w:x="300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1. Title of Security (Instr. 4)</w:t>
      </w:r>
    </w:p>
    <w:p>
      <w:pPr>
        <w:pStyle w:val="Normal"/>
        <w:framePr w:w="3926" w:hAnchor="page" w:vAnchor="page" w:x="5474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2. Amount of Securities Beneficially Owned 3. Ownership Form:</w:t>
      </w:r>
    </w:p>
    <w:p>
      <w:pPr>
        <w:pStyle w:val="Normal"/>
        <w:framePr w:w="3003" w:hAnchor="page" w:vAnchor="page" w:x="8997" w:y="4033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0"/>
          <w:szCs w:val="10"/>
        </w:rPr>
      </w:pP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4. Nature of Indirect Beneficial Ownership (Instr. 5)</w:t>
      </w:r>
    </w:p>
    <w:p>
      <w:pPr>
        <w:pStyle w:val="Normal"/>
        <w:framePr w:w="4370" w:hAnchor="page" w:vAnchor="page" w:x="4458" w:y="3785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Table I - Non-Derivative Securities Beneficially Owned</w:t>
      </w:r>
    </w:p>
    <w:p>
      <w:pPr>
        <w:pStyle w:val="Normal"/>
        <w:framePr w:w="587" w:hAnchor="page" w:vAnchor="page" w:x="330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(City)</w:t>
      </w:r>
    </w:p>
    <w:p>
      <w:pPr>
        <w:pStyle w:val="Normal"/>
        <w:framePr w:w="480" w:hAnchor="page" w:vAnchor="page" w:x="1461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(State)</w:t>
      </w:r>
    </w:p>
    <w:p>
      <w:pPr>
        <w:pStyle w:val="Normal"/>
        <w:framePr w:w="367" w:hAnchor="page" w:vAnchor="page" w:x="2592" w:y="35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(Zip)</w:t>
      </w:r>
    </w:p>
    <w:p>
      <w:pPr>
        <w:pStyle w:val="Normal"/>
        <w:framePr w:w="1036" w:hAnchor="page" w:vAnchor="page" w:x="330" w:y="312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UPON TYNE</w:t>
      </w:r>
    </w:p>
    <w:p>
      <w:pPr>
        <w:pStyle w:val="Normal"/>
        <w:framePr w:w="347" w:hAnchor="page" w:vAnchor="page" w:x="1461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X0</w:t>
      </w:r>
    </w:p>
    <w:p>
      <w:pPr>
        <w:pStyle w:val="Normal"/>
        <w:framePr w:w="741" w:hAnchor="page" w:vAnchor="page" w:x="2592" w:y="304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NE6 3PL</w:t>
      </w:r>
    </w:p>
    <w:p>
      <w:pPr>
        <w:pStyle w:val="Normal"/>
        <w:framePr w:w="1101" w:hAnchor="page" w:vAnchor="page" w:x="330" w:y="296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NEWCASTLE</w:t>
      </w:r>
    </w:p>
    <w:p>
      <w:pPr>
        <w:pStyle w:val="Normal"/>
        <w:framePr w:w="2797" w:hAnchor="page" w:vAnchor="page" w:x="9548" w:y="298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More than One Reporting Person</w:t>
      </w:r>
    </w:p>
    <w:p>
      <w:pPr>
        <w:pStyle w:val="Normal"/>
        <w:framePr w:w="520" w:hAnchor="page" w:vAnchor="page" w:x="300" w:y="282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(Street)</w:t>
      </w:r>
    </w:p>
    <w:p>
      <w:pPr>
        <w:pStyle w:val="Normal"/>
        <w:framePr w:w="269" w:hAnchor="page" w:vAnchor="page" w:x="9261" w:y="278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2223" w:hAnchor="page" w:vAnchor="page" w:x="9548" w:y="280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Form filed by One Reporting Person</w:t>
      </w:r>
    </w:p>
    <w:p>
      <w:pPr>
        <w:pStyle w:val="Normal"/>
        <w:framePr w:w="1373" w:hAnchor="page" w:vAnchor="page" w:x="6115" w:y="26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Officer (give title below)</w:t>
      </w:r>
    </w:p>
    <w:p>
      <w:pPr>
        <w:pStyle w:val="Normal"/>
        <w:framePr w:w="1435" w:hAnchor="page" w:vAnchor="page" w:x="7816" w:y="269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Other (specify below)</w:t>
      </w:r>
    </w:p>
    <w:p>
      <w:pPr>
        <w:pStyle w:val="Normal"/>
        <w:framePr w:w="3177" w:hAnchor="page" w:vAnchor="page" w:x="9077" w:y="264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6. Individual or Joint/Group Filing (Check Applicable Line)</w:t>
      </w:r>
    </w:p>
    <w:p>
      <w:pPr>
        <w:pStyle w:val="Normal"/>
        <w:framePr w:w="269" w:hAnchor="page" w:vAnchor="page" w:x="5788" w:y="249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X</w:t>
      </w:r>
    </w:p>
    <w:p>
      <w:pPr>
        <w:pStyle w:val="Normal"/>
        <w:framePr w:w="540" w:hAnchor="page" w:vAnchor="page" w:x="6115" w:y="251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Director</w:t>
      </w:r>
    </w:p>
    <w:p>
      <w:pPr>
        <w:pStyle w:val="Normal"/>
        <w:framePr w:w="747" w:hAnchor="page" w:vAnchor="page" w:x="7816" w:y="2512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10% Owner</w:t>
      </w:r>
    </w:p>
    <w:p>
      <w:pPr>
        <w:pStyle w:val="Normal"/>
        <w:framePr w:w="1696" w:hAnchor="page" w:vAnchor="page" w:x="330" w:y="24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WINCOMBLEE ROAD</w:t>
      </w:r>
    </w:p>
    <w:p>
      <w:pPr>
        <w:pStyle w:val="Normal"/>
        <w:framePr w:w="1268" w:hAnchor="page" w:vAnchor="page" w:x="5565" w:y="235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(Check all applicable)</w:t>
      </w:r>
    </w:p>
    <w:p>
      <w:pPr>
        <w:pStyle w:val="Normal"/>
        <w:framePr w:w="1435" w:hAnchor="page" w:vAnchor="page" w:x="330" w:y="225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HADRIAN HOUSE</w:t>
      </w:r>
    </w:p>
    <w:p>
      <w:pPr>
        <w:pStyle w:val="Normal"/>
        <w:framePr w:w="2682" w:hAnchor="page" w:vAnchor="page" w:x="5565" w:y="22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4. Relationship of Reporting Person(s) to Issuer </w:t>
      </w:r>
    </w:p>
    <w:p>
      <w:pPr>
        <w:pStyle w:val="Normal"/>
        <w:framePr w:w="3166" w:hAnchor="page" w:vAnchor="page" w:x="9077" w:y="224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5. If Amendment, Date of Original Filed (Month/Day/Year)</w:t>
      </w:r>
    </w:p>
    <w:p>
      <w:pPr>
        <w:pStyle w:val="Normal"/>
        <w:framePr w:w="427" w:hAnchor="page" w:vAnchor="page" w:x="330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(Last)</w:t>
      </w:r>
    </w:p>
    <w:p>
      <w:pPr>
        <w:pStyle w:val="Normal"/>
        <w:framePr w:w="433" w:hAnchor="page" w:vAnchor="page" w:x="1461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(First)</w:t>
      </w:r>
    </w:p>
    <w:p>
      <w:pPr>
        <w:pStyle w:val="Normal"/>
        <w:framePr w:w="554" w:hAnchor="page" w:vAnchor="page" w:x="2592" w:y="20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(Middle)</w:t>
      </w:r>
    </w:p>
    <w:p>
      <w:pPr>
        <w:pStyle w:val="Normal"/>
        <w:framePr w:w="867" w:hAnchor="page" w:vAnchor="page" w:x="3813" w:y="1716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02/01/2023</w:t>
      </w:r>
    </w:p>
    <w:p>
      <w:pPr>
        <w:pStyle w:val="Normal"/>
        <w:framePr w:w="1696" w:hAnchor="page" w:vAnchor="page" w:x="330" w:y="16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GWIN ROBERT G</w:t>
      </w:r>
    </w:p>
    <w:p>
      <w:pPr>
        <w:pStyle w:val="Normal"/>
        <w:framePr w:w="1638" w:hAnchor="page" w:vAnchor="page" w:x="3813" w:y="160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Statement (Month/Day/Year)</w:t>
      </w:r>
    </w:p>
    <w:p>
      <w:pPr>
        <w:pStyle w:val="Normal"/>
        <w:framePr w:w="1994" w:hAnchor="page" w:vAnchor="page" w:x="5565" w:y="15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16"/>
          <w:szCs w:val="16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3"/>
          <w:szCs w:val="13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 ]</w:t>
      </w:r>
    </w:p>
    <w:p>
      <w:pPr>
        <w:pStyle w:val="Normal"/>
        <w:framePr w:w="2410" w:hAnchor="page" w:vAnchor="page" w:x="300" w:y="1496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8"/>
          <w:szCs w:val="8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1. Name and Address of Reporting Person</w:t>
      </w:r>
      <w:r>
        <w:rPr>
          <w:rFonts w:ascii="ArialMT" w:hAnsi="ArialMT" w:fareast="ArialMT" w:cs="ArialMT"/>
          <w:color w:val="000000"/>
          <w:w w:val="100"/>
          <w:sz w:val="8"/>
          <w:szCs w:val="8"/>
        </w:rPr>
        <w:t>*</w:t>
      </w:r>
    </w:p>
    <w:p>
      <w:pPr>
        <w:pStyle w:val="Normal"/>
        <w:framePr w:w="1529" w:hAnchor="page" w:vAnchor="page" w:x="3813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2. Date of Event Requiring</w:t>
      </w:r>
    </w:p>
    <w:p>
      <w:pPr>
        <w:pStyle w:val="Normal"/>
        <w:framePr w:w="2727" w:hAnchor="page" w:vAnchor="page" w:x="5565" w:y="149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3. Issuer Name </w:t>
      </w:r>
      <w:r>
        <w:rPr>
          <w:rFonts w:ascii="Arial-BoldMT" w:hAnsi="Arial-BoldMT" w:fareast="Arial-BoldMT" w:cs="Arial-BoldMT"/>
          <w:color w:val="000000"/>
          <w:w w:val="100"/>
          <w:sz w:val="10"/>
          <w:szCs w:val="10"/>
        </w:rPr>
        <w:t>and</w:t>
      </w:r>
      <w:r>
        <w:rPr>
          <w:rFonts w:ascii="ArialMT" w:hAnsi="ArialMT" w:fareast="ArialMT" w:cs="ArialMT"/>
          <w:color w:val="000000"/>
          <w:w w:val="100"/>
          <w:sz w:val="10"/>
          <w:szCs w:val="10"/>
        </w:rPr>
        <w:t xml:space="preserve"> Ticker or Trading Symbol</w:t>
      </w:r>
    </w:p>
    <w:p>
      <w:pPr>
        <w:pStyle w:val="Normal"/>
        <w:framePr w:w="3298" w:hAnchor="page" w:vAnchor="page" w:x="4871" w:y="1281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or Section 30(h) of the Investment Company Act of 1940</w:t>
      </w:r>
    </w:p>
    <w:p>
      <w:pPr>
        <w:pStyle w:val="Normal"/>
        <w:framePr w:w="3865" w:hAnchor="page" w:vAnchor="page" w:x="4559" w:y="117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Filed pursuant to Section 16(a) of the Securities Exchange Act of 1934</w:t>
      </w:r>
    </w:p>
    <w:p>
      <w:pPr>
        <w:pStyle w:val="Normal"/>
        <w:framePr w:w="1069" w:hAnchor="page" w:vAnchor="page" w:x="9768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hours per response:</w:t>
      </w:r>
    </w:p>
    <w:p>
      <w:pPr>
        <w:pStyle w:val="Normal"/>
        <w:framePr w:w="258" w:hAnchor="page" w:vAnchor="page" w:x="11755" w:y="90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0.5</w:t>
      </w:r>
    </w:p>
    <w:p>
      <w:pPr>
        <w:pStyle w:val="Normal"/>
        <w:framePr w:w="6355" w:hAnchor="page" w:vAnchor="page" w:x="3552" w:y="8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INITIAL STATEMENT OF BENEFICIAL OWNERSHIP OF SECURITIES</w:t>
      </w:r>
    </w:p>
    <w:p>
      <w:pPr>
        <w:pStyle w:val="Normal"/>
        <w:framePr w:w="1376" w:hAnchor="page" w:vAnchor="page" w:x="9768" w:y="76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Estimated average burden</w:t>
      </w:r>
    </w:p>
    <w:p>
      <w:pPr>
        <w:pStyle w:val="Normal"/>
        <w:framePr w:w="799" w:hAnchor="page" w:vAnchor="page" w:x="9768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OMB Number:</w:t>
      </w:r>
    </w:p>
    <w:p>
      <w:pPr>
        <w:pStyle w:val="Normal"/>
        <w:framePr w:w="625" w:hAnchor="page" w:vAnchor="page" w:x="11449" w:y="629"/>
        <w:widowControl w:val="off"/>
        <w:autoSpaceDE w:val="off"/>
        <w:autoSpaceDN w:val="off"/>
        <w:spacing w:before="0" w:after="0" w:line="1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9"/>
          <w:szCs w:val="9"/>
        </w:rPr>
      </w:pPr>
      <w:r>
        <w:rPr>
          <w:rFonts w:ascii="ArialMT" w:hAnsi="ArialMT" w:fareast="ArialMT" w:cs="ArialMT"/>
          <w:color w:val="000000"/>
          <w:w w:val="100"/>
          <w:sz w:val="9"/>
          <w:szCs w:val="9"/>
        </w:rPr>
        <w:t>3235-0104</w:t>
      </w:r>
    </w:p>
    <w:p>
      <w:pPr>
        <w:pStyle w:val="Normal"/>
        <w:framePr w:w="1424" w:hAnchor="page" w:vAnchor="page" w:x="5577" w:y="520"/>
        <w:widowControl w:val="off"/>
        <w:autoSpaceDE w:val="off"/>
        <w:autoSpaceDN w:val="off"/>
        <w:spacing w:before="0" w:after="0" w:line="1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0"/>
          <w:szCs w:val="10"/>
        </w:rPr>
      </w:pPr>
      <w:r>
        <w:rPr>
          <w:rFonts w:ascii="ArialMT" w:hAnsi="ArialMT" w:fareast="ArialMT" w:cs="ArialMT"/>
          <w:color w:val="000000"/>
          <w:w w:val="100"/>
          <w:sz w:val="10"/>
          <w:szCs w:val="10"/>
        </w:rPr>
        <w:t>Washington, D.C. 20549</w:t>
      </w:r>
    </w:p>
    <w:p>
      <w:pPr>
        <w:pStyle w:val="Normal"/>
        <w:framePr w:w="1385" w:hAnchor="page" w:vAnchor="page" w:x="10312" w:y="393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APPROVAL</w:t>
      </w:r>
    </w:p>
    <w:p>
      <w:pPr>
        <w:pStyle w:val="Normal"/>
        <w:framePr w:w="1033" w:hAnchor="page" w:vAnchor="page" w:x="1076" w:y="33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FORM 3</w:t>
      </w:r>
    </w:p>
    <w:p>
      <w:pPr>
        <w:pStyle w:val="Normal"/>
        <w:framePr w:w="5822" w:hAnchor="page" w:vAnchor="page" w:x="3774" w:y="33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SECURITIES AND EXCHANGE COMMISSION</w:t>
      </w:r>
    </w:p>
    <w:p>
      <w:pPr>
        <w:pStyle w:val="Normal"/>
        <w:framePr w:w="1153" w:hAnchor="page" w:vAnchor="page" w:x="240" w:y="1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SEC Form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3.4pt;margin-top:16pt;z-index:-16777208;width:115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3.4pt;margin-top:53.05pt;z-index:-16777204;width:115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5pt;margin-top:16pt;z-index:-16777200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3.4pt;margin-top:16pt;z-index:-1677719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4.9pt;margin-top:17.5pt;z-index:-16777192;width:112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4.9pt;margin-top:26.5pt;z-index:-16777188;width:112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5pt;margin-top:17.5pt;z-index:-16777184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4.9pt;margin-top:17.5pt;z-index:-16777180;width:2.5pt;height:11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4.9pt;margin-top:28pt;z-index:-16777176;width:112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4.9pt;margin-top:51.55pt;z-index:-16777172;width:112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pt;margin-top:28pt;z-index:-16777168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4.9pt;margin-top:28pt;z-index:-16777164;width:2.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1pt;margin-top:70.55pt;z-index:-16777160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1pt;margin-top:184.65pt;z-index:-1677715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98.5pt;margin-top:70.55pt;z-index:-16777152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1pt;margin-top:70.55pt;z-index:-16777148;width:2.5pt;height:116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1.5pt;margin-top:71.05pt;z-index:-16777144;width:177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1.5pt;margin-top:184.15pt;z-index:-16777140;width:177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6.65pt;margin-top:71.05pt;z-index:-16777136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1.5pt;margin-top:71.05pt;z-index:-16777132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pt;margin-top:96.6pt;z-index:-16777128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pt;margin-top:97.1pt;z-index:-16777124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83.15pt;margin-top:96.6pt;z-index:-1677712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pt;margin-top:96.6pt;z-index:-16777116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5pt;margin-top:135.1pt;z-index:-16777112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5pt;margin-top:135.6pt;z-index:-16777108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83.15pt;margin-top:135.1pt;z-index:-1677710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pt;margin-top:135.1pt;z-index:-16777100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pt;margin-top:168.65pt;z-index:-16777096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pt;margin-top:169.15pt;z-index:-16777092;width:170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83.15pt;margin-top:168.65pt;z-index:-16777088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pt;margin-top:168.65pt;z-index:-16777084;width:2.5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7.15pt;margin-top:71.05pt;z-index:-16777080;width:89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7.15pt;margin-top:184.15pt;z-index:-16777076;width:89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74.2pt;margin-top:71.05pt;z-index:-16777072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7.15pt;margin-top:71.05pt;z-index:-16777068;width:2.5pt;height:11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74.7pt;margin-top:71.05pt;z-index:-16777064;width:325.7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74.7pt;margin-top:108.1pt;z-index:-16777060;width:325.7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8pt;margin-top:71.05pt;z-index:-16777056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74.7pt;margin-top:71.05pt;z-index:-16777052;width:2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74.7pt;margin-top:108.6pt;z-index:-16777048;width:177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4.7pt;margin-top:184.15pt;z-index:-16777044;width:177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49.85pt;margin-top:108.6pt;z-index:-16777040;width:2.5pt;height:7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74.7pt;margin-top:108.6pt;z-index:-16777036;width:2.5pt;height:7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0.35pt;margin-top:108.6pt;z-index:-16777032;width:15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50.35pt;margin-top:128.1pt;z-index:-16777028;width:15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8pt;margin-top:108.6pt;z-index:-16777024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50.35pt;margin-top:108.6pt;z-index:-16777020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50.35pt;margin-top:128.6pt;z-index:-16777016;width:15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50.35pt;margin-top:184.15pt;z-index:-16777012;width:150.1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98pt;margin-top:128.6pt;z-index:-16777008;width:2.5pt;height:5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450.35pt;margin-top:128.6pt;z-index:-16777004;width:2.5pt;height:58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1pt;margin-top:185.15pt;z-index:-16777000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1pt;margin-top:232.7pt;z-index:-1677699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8.5pt;margin-top:185.15pt;z-index:-16776992;width:2.5pt;height:50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1pt;margin-top:185.15pt;z-index:-16776988;width:2.5pt;height:50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1.5pt;margin-top:185.65pt;z-index:-16776984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1.5pt;margin-top:197.65pt;z-index:-1677698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8pt;margin-top:185.65pt;z-index:-16776976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1.5pt;margin-top:185.65pt;z-index:-16776972;width:2.5pt;height:1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1.5pt;margin-top:198.15pt;z-index:-16776968;width:260.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1.5pt;margin-top:219.2pt;z-index:-16776964;width:260.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269.7pt;margin-top:198.15pt;z-index:-16776960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1.5pt;margin-top:198.15pt;z-index:-16776956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70.2pt;margin-top:198.15pt;z-index:-16776952;width:113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70.2pt;margin-top:219.2pt;z-index:-16776948;width:113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381.3pt;margin-top:198.15pt;z-index:-1677694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70.2pt;margin-top:198.15pt;z-index:-16776940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381.8pt;margin-top:198.15pt;z-index:-16776936;width:6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381.8pt;margin-top:219.2pt;z-index:-16776932;width:6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45.85pt;margin-top:198.15pt;z-index:-16776928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81.8pt;margin-top:198.15pt;z-index:-1677692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46.35pt;margin-top:198.15pt;z-index:-16776920;width:154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46.35pt;margin-top:219.2pt;z-index:-16776916;width:154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8pt;margin-top:198.15pt;z-index:-16776912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46.35pt;margin-top:198.15pt;z-index:-16776908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1.5pt;margin-top:219.7pt;z-index:-16776904;width:260.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1.5pt;margin-top:232.2pt;z-index:-16776900;width:260.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69.7pt;margin-top:219.7pt;z-index:-1677689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1.5pt;margin-top:219.7pt;z-index:-16776892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70.2pt;margin-top:219.7pt;z-index:-16776888;width:113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70.2pt;margin-top:232.2pt;z-index:-16776884;width:113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81.3pt;margin-top:219.7pt;z-index:-1677688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70.2pt;margin-top:219.7pt;z-index:-16776876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81.8pt;margin-top:219.7pt;z-index:-16776872;width:6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81.8pt;margin-top:232.2pt;z-index:-16776868;width:66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5.85pt;margin-top:219.7pt;z-index:-1677686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81.8pt;margin-top:219.7pt;z-index:-16776860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6.35pt;margin-top:219.7pt;z-index:-16776856;width:154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6.35pt;margin-top:232.2pt;z-index:-16776852;width:154.1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98pt;margin-top:219.7pt;z-index:-16776848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6.35pt;margin-top:219.7pt;z-index:-16776844;width:2.5pt;height: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1pt;margin-top:233.2pt;z-index:-16776840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1pt;margin-top:296.75pt;z-index:-16776836;width:590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98.5pt;margin-top:233.2pt;z-index:-16776832;width:2.5pt;height:6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1pt;margin-top:233.2pt;z-index:-16776828;width:2.5pt;height:6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1.5pt;margin-top:233.7pt;z-index:-16776824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1.5pt;margin-top:253.2pt;z-index:-16776820;width:589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8pt;margin-top:233.7pt;z-index:-16776816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1.5pt;margin-top:233.7pt;z-index:-16776812;width:2.5pt;height: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1.5pt;margin-top:253.7pt;z-index:-16776808;width:202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1.5pt;margin-top:296.25pt;z-index:-16776804;width:202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211.65pt;margin-top:253.7pt;z-index:-16776800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1.5pt;margin-top:253.7pt;z-index:-16776796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12.15pt;margin-top:253.7pt;z-index:-16776792;width:64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12.15pt;margin-top:274.75pt;z-index:-16776788;width:64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74.2pt;margin-top:253.7pt;z-index:-1677678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12.15pt;margin-top:253.7pt;z-index:-16776780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74.7pt;margin-top:253.7pt;z-index:-16776776;width:15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74.7pt;margin-top:274.75pt;z-index:-16776772;width:15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23.85pt;margin-top:253.7pt;z-index:-16776768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74.7pt;margin-top:253.7pt;z-index:-1677676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24.35pt;margin-top:253.7pt;z-index:-16776760;width:43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24.35pt;margin-top:296.25pt;z-index:-16776756;width:43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64.9pt;margin-top:253.7pt;z-index:-16776752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424.35pt;margin-top:253.7pt;z-index:-16776748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65.4pt;margin-top:253.7pt;z-index:-16776744;width:48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65.4pt;margin-top:296.25pt;z-index:-16776740;width:48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11.4pt;margin-top:253.7pt;z-index:-16776736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65.4pt;margin-top:253.7pt;z-index:-16776732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511.9pt;margin-top:253.7pt;z-index:-16776728;width:88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511.9pt;margin-top:296.25pt;z-index:-16776724;width:88.5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598pt;margin-top:253.7pt;z-index:-16776720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511.9pt;margin-top:253.7pt;z-index:-16776716;width:2.5pt;height:4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12.15pt;margin-top:275.25pt;z-index:-16776712;width:3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12.15pt;margin-top:296.25pt;z-index:-16776708;width:35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44.7pt;margin-top:275.25pt;z-index:-1677670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12.15pt;margin-top:275.25pt;z-index:-16776700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45.2pt;margin-top:275.25pt;z-index:-16776696;width:31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45.2pt;margin-top:296.25pt;z-index:-16776692;width:31.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74.2pt;margin-top:275.25pt;z-index:-16776688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5.2pt;margin-top:275.25pt;z-index:-16776684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74.7pt;margin-top:275.25pt;z-index:-16776680;width:116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74.7pt;margin-top:296.25pt;z-index:-16776676;width:116.6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88.8pt;margin-top:275.25pt;z-index:-16776672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74.7pt;margin-top:275.25pt;z-index:-16776668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89.3pt;margin-top:275.25pt;z-index:-16776664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89.3pt;margin-top:296.25pt;z-index:-16776660;width:37.0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23.85pt;margin-top:275.25pt;z-index:-16776656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89.3pt;margin-top:275.25pt;z-index:-16776652;width:2.5pt;height:2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2pt;margin-top:315.25pt;z-index:-16776648;width:588pt;height: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5.5pt;margin-top:89.55pt;z-index:-16776644;width:64.7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5.5pt;margin-top:111.6pt;z-index:-16776640;width:55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5.5pt;margin-top:121.6pt;z-index:-16776636;width:66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5.5pt;margin-top:147.1pt;z-index:-16776632;width:41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5.5pt;margin-top:155.15pt;z-index:-16776628;width:38.5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72.05pt;margin-top:151.15pt;z-index:-16776624;width:10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28.6pt;margin-top:151.15pt;z-index:-16776620;width:2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189.65pt;margin-top:84.55pt;z-index:-16776616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77.25pt;margin-top:86.55pt;z-index:-16776612;width:56.3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8.3pt;margin-top:80.05pt;z-index:-16776608;width:1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88.25pt;margin-top:123.6pt;z-index:-16776604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61.9pt;margin-top:138.1pt;z-index:-16776600;width:7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4pt;margin-top:222.2pt;z-index:-16776596;width:100.6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4.25pt;margin-top:222.2pt;z-index:-16776592;width:5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11.85pt;margin-top:222.2pt;z-index:-16776588;width:6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64.3pt;margin-top:318.75pt;z-index:-16776584;width:88.0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64.3pt;margin-top:325.25pt;z-index:-16776580;width:88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81.9pt;margin-top:318.75pt;z-index:-16776576;width:31.5pt;height:9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81.9pt;margin-top:325.25pt;z-index:-16776572;width:31.65pt;height: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</w:p>
    <w:p>
      <w:pPr>
        <w:pStyle w:val="Normal"/>
        <w:framePr w:w="2873" w:hAnchor="page" w:vAnchor="page" w:x="240" w:y="31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Name:  Robert G. Gwin </w:t>
      </w:r>
    </w:p>
    <w:p>
      <w:pPr>
        <w:pStyle w:val="Normal"/>
        <w:framePr w:w="3810" w:hAnchor="page" w:vAnchor="page" w:x="240" w:y="304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                    /s/ Robert G. Gwin </w:t>
      </w:r>
    </w:p>
    <w:p>
      <w:pPr>
        <w:pStyle w:val="Normal"/>
        <w:framePr w:w="12336" w:hAnchor="page" w:vAnchor="page" w:x="240" w:y="25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IN WITNESS WHEREOF, the undersigned has caused this Limited Power of Attorney to be executed as of this 6th day of February 2023. </w:t>
      </w:r>
    </w:p>
    <w:p>
      <w:pPr>
        <w:pStyle w:val="Normal"/>
        <w:framePr w:w="14397" w:hAnchor="page" w:vAnchor="page" w:x="240" w:y="2294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This Limited Power of Attorney shall remain in full force and effect until the undersigned is no longer required to file Forms 3, 4 or 5 with respect to</w:t>
      </w:r>
    </w:p>
    <w:p>
      <w:pPr>
        <w:pStyle w:val="Normal"/>
        <w:framePr w:w="14397" w:hAnchor="page" w:vAnchor="page" w:x="240" w:y="19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The undersigned hereby grants to each such attorney-in-fact full power and authority to do and perform any and every act and thing whatsoever requisite,</w:t>
      </w:r>
    </w:p>
    <w:p>
      <w:pPr>
        <w:pStyle w:val="Normal"/>
        <w:framePr w:w="14397" w:hAnchor="page" w:vAnchor="page" w:x="240" w:y="16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3.    Take any other action of any type whatsoever in connection with the foregoing which, in the opinion of such attorney-in-fact, may be of benefit to</w:t>
      </w:r>
    </w:p>
    <w:p>
      <w:pPr>
        <w:pStyle w:val="Normal"/>
        <w:framePr w:w="14397" w:hAnchor="page" w:vAnchor="page" w:x="240" w:y="13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2.    Do and perform any and all acts for and on behalf of the undersigned that may be necessary or desirable to complete and execute any such Form 3, 4</w:t>
      </w:r>
    </w:p>
    <w:p>
      <w:pPr>
        <w:pStyle w:val="Normal"/>
        <w:framePr w:w="14397" w:hAnchor="page" w:vAnchor="page" w:x="240" w:y="1093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1.    Execute for and on behalf of the undersigned, in the undersigned's capacity as an officer or director, or both, of TechnipFMC plc (the "Company"),</w:t>
      </w:r>
    </w:p>
    <w:p>
      <w:pPr>
        <w:pStyle w:val="Normal"/>
        <w:framePr w:w="14397" w:hAnchor="page" w:vAnchor="page" w:x="240" w:y="7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>Know all by these presents, that the undersigned hereby constitutes and appoints each of Victoria Lazar, Stevan Verkin, Guillaume Groisard and Olivia Re</w:t>
      </w:r>
    </w:p>
    <w:p>
      <w:pPr>
        <w:pStyle w:val="Normal"/>
        <w:framePr w:w="3248" w:hAnchor="page" w:vAnchor="page" w:x="240" w:y="49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(For Executing Forms 3, 4 and 5) </w:t>
      </w:r>
    </w:p>
    <w:p>
      <w:pPr>
        <w:pStyle w:val="Normal"/>
        <w:framePr w:w="2592" w:hAnchor="page" w:vAnchor="page" w:x="240" w:y="3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LIMITED POWER OF ATTORNEY </w:t>
      </w:r>
    </w:p>
    <w:p>
      <w:pPr>
        <w:pStyle w:val="Normal"/>
        <w:framePr w:w="1561" w:hAnchor="page" w:vAnchor="page" w:x="240" w:y="42"/>
        <w:widowControl w:val="off"/>
        <w:autoSpaceDE w:val="off"/>
        <w:autoSpaceDN w:val="off"/>
        <w:spacing w:before="0" w:after="0" w:line="147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</w:pPr>
      <w:r>
        <w:rPr>
          <w:rFonts w:ascii="CourierNewPSMT" w:hAnsi="CourierNewPSMT" w:fareast="CourierNewPSMT" w:cs="CourierNewPSMT"/>
          <w:color w:val="000000"/>
          <w:w w:val="100"/>
          <w:sz w:val="13"/>
          <w:szCs w:val="13"/>
        </w:rPr>
        <w:t xml:space="preserve">TechnipFMC plc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7pt;margin-top:1pt;z-index:-16776568;width:598pt;height:181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styles.xml" Type="http://schemas.openxmlformats.org/officeDocument/2006/relationships/styles"/><Relationship Id="rId164" Target="fontTable.xml" Type="http://schemas.openxmlformats.org/officeDocument/2006/relationships/fontTable"/><Relationship Id="rId165" Target="settings.xml" Type="http://schemas.openxmlformats.org/officeDocument/2006/relationships/settings"/><Relationship Id="rId166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595</Words>
  <Characters>3112</Characters>
  <Application>e-iceblue</Application>
  <DocSecurity>0</DocSecurity>
  <Lines>107</Lines>
  <Paragraphs>107</Paragraphs>
  <ScaleCrop>false</ScaleCrop>
  <Company>e-iceblue</Company>
  <LinksUpToDate>false</LinksUpToDate>
  <CharactersWithSpaces>3643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2023-02-21T22:14:03Z</dcterms:created>
  <dc:creator>root</dc:creator>
  <cp:lastModifiedBy>root</cp:lastModifiedBy>
  <dcterms:modified xsi:type="dcterms:W3CDTF">2023-02-21T22:14:03Z</dcterms:modified>
  <cp:revision>1</cp:revision>
</cp:coreProperties>
</file>