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Pieton Arnaud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TECHNIPFMC PLC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Subsea</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gridSpan w:val="6"/>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LONDON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9"/>
              </w:rPr>
              <w:t>X0</w:t>
            </w:r>
          </w:p>
        </w:tc>
        <w:tc>
          <w:tcPr>
            <w:tcW w:w="102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EC4M 8AP</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02/18/2019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10,000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4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54"/>
              <w:spacing w:after="0"/>
              <w:rPr>
                <w:sz w:val="20"/>
                <w:szCs w:val="20"/>
                <w:color w:val="auto"/>
              </w:rPr>
            </w:pPr>
            <w:r>
              <w:rPr>
                <w:rFonts w:ascii="Arial" w:cs="Arial" w:eastAsia="Arial" w:hAnsi="Arial"/>
                <w:sz w:val="18"/>
                <w:szCs w:val="18"/>
                <w:color w:val="0000FF"/>
                <w:w w:val="83"/>
              </w:rPr>
              <w:t>30,169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40" w:type="dxa"/>
            <w:vAlign w:val="bottom"/>
            <w:gridSpan w:val="3"/>
            <w:vMerge w:val="restart"/>
          </w:tcPr>
          <w:p>
            <w:pPr>
              <w:ind w:left="860"/>
              <w:spacing w:after="0"/>
              <w:rPr>
                <w:sz w:val="20"/>
                <w:szCs w:val="20"/>
                <w:color w:val="auto"/>
              </w:rPr>
            </w:pPr>
            <w:r>
              <w:rPr>
                <w:rFonts w:ascii="Arial" w:cs="Arial" w:eastAsia="Arial" w:hAnsi="Arial"/>
                <w:sz w:val="18"/>
                <w:szCs w:val="18"/>
                <w:color w:val="0000FF"/>
              </w:rPr>
              <w:t>02/18/2019</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20" w:type="dxa"/>
            <w:vAlign w:val="bottom"/>
            <w:vMerge w:val="restart"/>
          </w:tcPr>
          <w:p>
            <w:pPr>
              <w:jc w:val="center"/>
              <w:spacing w:after="0"/>
              <w:rPr>
                <w:sz w:val="20"/>
                <w:szCs w:val="20"/>
                <w:color w:val="auto"/>
              </w:rPr>
            </w:pPr>
            <w:r>
              <w:rPr>
                <w:rFonts w:ascii="Arial" w:cs="Arial" w:eastAsia="Arial" w:hAnsi="Arial"/>
                <w:sz w:val="18"/>
                <w:szCs w:val="18"/>
                <w:color w:val="0000FF"/>
              </w:rPr>
              <w:t>460</w:t>
            </w:r>
            <w:r>
              <w:rPr>
                <w:rFonts w:ascii="Arial" w:cs="Arial" w:eastAsia="Arial" w:hAnsi="Arial"/>
                <w:sz w:val="22"/>
                <w:szCs w:val="22"/>
                <w:color w:val="008000"/>
                <w:vertAlign w:val="superscript"/>
              </w:rPr>
              <w:t>(2)</w:t>
            </w:r>
          </w:p>
        </w:tc>
        <w:tc>
          <w:tcPr>
            <w:tcW w:w="380" w:type="dxa"/>
            <w:vAlign w:val="bottom"/>
          </w:tcPr>
          <w:p>
            <w:pPr>
              <w:spacing w:after="0"/>
              <w:rPr>
                <w:sz w:val="22"/>
                <w:szCs w:val="22"/>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440" w:type="dxa"/>
            <w:vAlign w:val="bottom"/>
            <w:gridSpan w:val="2"/>
            <w:vMerge w:val="restart"/>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jc w:val="right"/>
              <w:ind w:right="394"/>
              <w:spacing w:after="0"/>
              <w:rPr>
                <w:sz w:val="20"/>
                <w:szCs w:val="20"/>
                <w:color w:val="auto"/>
              </w:rPr>
            </w:pPr>
            <w:r>
              <w:rPr>
                <w:rFonts w:ascii="Arial" w:cs="Arial" w:eastAsia="Arial" w:hAnsi="Arial"/>
                <w:sz w:val="18"/>
                <w:szCs w:val="18"/>
                <w:color w:val="0000FF"/>
                <w:w w:val="93"/>
              </w:rPr>
              <w:t>1,180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6"/>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0" w:type="dxa"/>
            <w:vAlign w:val="bottom"/>
            <w:gridSpan w:val="12"/>
          </w:tcPr>
          <w:p>
            <w:pPr>
              <w:jc w:val="center"/>
              <w:ind w:left="4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July 1, 2016, the Reporting Person was granted restricted stock units subject to certain performance criteria. On February 18, 2019, the Compensation Committee certified the performance level pursuant to the terms of the award, and as a result, 10,000 restricted stock units were awarded, each of which represents a contingent right to receive one Ordinary Share, that will vest on July 1, 2020.</w:t>
      </w:r>
    </w:p>
    <w:p>
      <w:pPr>
        <w:ind w:left="40" w:right="1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July 1, 2016, the Reporting Person's spouse was granted restricted stock units subject to certain performance criteria. On February 18, 2019, the Compensation Committee certified the performance level pursuant to the terms of the award, and as a result, 460 restricted stock units were awarded, each of which represents a contingent right to receive one Ordinary Share, that will vest on July 1, 2020.</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Lisa P. Wang, Attorney-In-</w:t>
            </w:r>
          </w:p>
        </w:tc>
        <w:tc>
          <w:tcPr>
            <w:tcW w:w="8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02/19/2019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9026"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2019-12-24T09:09:00Z</dcterms:created>
  <dcterms:modified xsi:type="dcterms:W3CDTF">2019-12-24T09:09:00Z</dcterms:modified>
</cp:coreProperties>
</file>