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7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7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4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92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9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9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8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726" w:hAnchor="page" w:vAnchor="page" w:x="1856" w:y="185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430" w:hAnchor="page" w:vAnchor="page" w:x="356" w:y="184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82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82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80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9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2025" w:hAnchor="page" w:vAnchor="page" w:x="1526" w:y="176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PENNSYLVANIA</w:t>
      </w:r>
    </w:p>
    <w:p>
      <w:pPr>
        <w:pStyle w:val="Normal"/>
        <w:framePr w:w="361" w:hAnchor="page" w:vAnchor="page" w:x="842" w:y="173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71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7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7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4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62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60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7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2248" w:hAnchor="page" w:vAnchor="page" w:x="1526" w:y="153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The Vanguard Group</w:t>
      </w:r>
    </w:p>
    <w:p>
      <w:pPr>
        <w:pStyle w:val="Normal"/>
        <w:framePr w:w="361" w:hAnchor="page" w:vAnchor="page" w:x="842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8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1570" w:hAnchor="page" w:vAnchor="page" w:x="340" w:y="1392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Number(s):</w:t>
      </w:r>
    </w:p>
    <w:p>
      <w:pPr>
        <w:pStyle w:val="Normal"/>
        <w:framePr w:w="1355" w:hAnchor="page" w:vAnchor="page" w:x="173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G87110105</w:t>
      </w:r>
    </w:p>
    <w:p>
      <w:pPr>
        <w:pStyle w:val="Normal"/>
        <w:framePr w:w="1057" w:hAnchor="page" w:vAnchor="page" w:x="340" w:y="136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CUSIP</w:t>
      </w:r>
    </w:p>
    <w:p>
      <w:pPr>
        <w:pStyle w:val="Normal"/>
        <w:framePr w:w="2599" w:hAnchor="page" w:vAnchor="page" w:x="332" w:y="1297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7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4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100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7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6571" w:hAnchor="page" w:vAnchor="page" w:x="3253" w:y="89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(Date of Event Which Requires Filing of this Statement)</w:t>
      </w:r>
    </w:p>
    <w:p>
      <w:pPr>
        <w:pStyle w:val="Normal"/>
        <w:framePr w:w="1468" w:hAnchor="page" w:vAnchor="page" w:x="5573" w:y="845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03/13/2026</w:t>
      </w:r>
    </w:p>
    <w:p>
      <w:pPr>
        <w:pStyle w:val="Normal"/>
        <w:framePr w:w="2238" w:hAnchor="page" w:vAnchor="page" w:x="358" w:y="81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(CUSIP Number)</w:t>
      </w:r>
    </w:p>
    <w:p>
      <w:pPr>
        <w:pStyle w:val="Normal"/>
        <w:framePr w:w="1512" w:hAnchor="page" w:vAnchor="page" w:x="689" w:y="76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1807" w:hAnchor="page" w:vAnchor="page" w:x="432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128" w:hAnchor="page" w:vAnchor="page" w:x="4182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378.55pt;z-index:-16777188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421.35pt;z-index:-16777184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09.85pt;margin-top:378.55pt;z-index:-16777180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378.55pt;z-index:-16777176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5.25pt;margin-top:380.8pt;z-index:-16777172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419.1pt;z-index:-16777168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07.6pt;margin-top:380.8pt;z-index:-16777164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25pt;margin-top:380.8pt;z-index:-16777160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6.75pt;margin-top:382.3pt;z-index:-16777156;width:92.1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6.75pt;margin-top:401.85pt;z-index:-16777152;width:92.1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22.1pt;z-index:-16777148;width:58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441.6pt;z-index:-16777144;width:586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4pt;margin-top:679.2pt;z-index:-16777140;width:585.2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.4pt;margin-top:739.25pt;z-index:-16777136;width:585.25pt;height:267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5.25pt;margin-top:837.95pt;z-index:-16777132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73.8pt;margin-top:837.95pt;z-index:-16777128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25pt;margin-top:780.9pt;z-index:-167771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71.55pt;margin-top:741.1pt;z-index:-167771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25pt;margin-top:741.1pt;z-index:-167771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73.8pt;margin-top:780.9pt;z-index:-167771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594pt;margin-top:741.1pt;z-index:-167771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3.8pt;margin-top:741.1pt;z-index:-167771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75.3pt;margin-top:767.4pt;z-index:-1677710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.25pt;margin-top:835.7pt;z-index:-1677709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71.55pt;margin-top:783.15pt;z-index:-1677709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5.25pt;margin-top:783.15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73.8pt;margin-top:835.7pt;z-index:-1677708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4pt;margin-top:783.15pt;z-index:-1677708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3.8pt;margin-top:783.15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5.3pt;margin-top:809.45pt;z-index:-16777072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52.2pt;z-index:-167770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1.55pt;margin-top:837.95pt;z-index:-1677706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.25pt;margin-top:837.95pt;z-index:-1677706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52.2pt;z-index:-167770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594pt;margin-top:837.95pt;z-index:-1677705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3.8pt;margin-top:837.95pt;z-index:-1677704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94.25pt;z-index:-1677704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71.55pt;margin-top:854.45pt;z-index:-167770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5.25pt;margin-top:854.45pt;z-index:-167770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3.8pt;margin-top:894.25pt;z-index:-1677703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94pt;margin-top:854.45pt;z-index:-167770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3.8pt;margin-top:854.45pt;z-index:-167770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75.3pt;margin-top:880.75pt;z-index:-1677702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71.55pt;margin-top:896.5pt;z-index:-16777016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5.25pt;margin-top:896.5pt;z-index:-16777012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94pt;margin-top:896.5pt;z-index:-16777008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73.8pt;margin-top:896.5pt;z-index:-16777004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76.8pt;margin-top:940.8pt;z-index:-167770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88.05pt;margin-top:898.75pt;z-index:-16776996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90.3pt;margin-top:940.8pt;z-index:-167769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898.75pt;z-index:-1677698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91.8pt;margin-top:926.55pt;z-index:-167769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76.8pt;margin-top:985.1pt;z-index:-1677698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88.05pt;margin-top:943.05pt;z-index:-16776976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90.3pt;margin-top:985.1pt;z-index:-1677697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90.3pt;margin-top:943.05pt;z-index:-1677696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91.8pt;margin-top:970.8pt;z-index:-1677696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8.05pt;margin-top:987.35pt;z-index:-167769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90.3pt;margin-top:987.35pt;z-index:-167769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6.25pt;margin-top:504.9pt;z-index:-1677695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6.25pt;margin-top:521.45pt;z-index:-1677694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6.25pt;margin-top:537.95pt;z-index:-1677694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76.3pt;margin-top:810.45pt;z-index:-1677694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76.3pt;margin-top:823.2pt;z-index:-1677693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pt;margin-top:22pt;z-index:-16776932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46.05pt;z-index:-1677692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247.2pt;z-index:-1677692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5.25pt;margin-top:309.5pt;z-index:-16776920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6.75pt;margin-top:403.35pt;z-index:-16776916;width:92.1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3pt;margin-top:443.1pt;z-index:-1677691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pt;margin-top:566.2pt;z-index:-1677690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582.75pt;z-index:-1677690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</w:p>
    <w:p>
      <w:pPr>
        <w:pStyle w:val="Normal"/>
        <w:framePr w:w="466" w:hAnchor="page" w:vAnchor="page" w:x="673" w:y="196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96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93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92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91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88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86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8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82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79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76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76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73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70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67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67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64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64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61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61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58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506" w:hAnchor="page" w:vAnchor="page" w:x="656" w:y="153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52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1727" w:hAnchor="page" w:vAnchor="page" w:x="128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524" w:hAnchor="page" w:vAnchor="page" w:x="1286" w:y="141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PA</w:t>
      </w:r>
    </w:p>
    <w:p>
      <w:pPr>
        <w:pStyle w:val="Normal"/>
        <w:framePr w:w="506" w:hAnchor="page" w:vAnchor="page" w:x="656" w:y="138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36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247" w:hAnchor="page" w:vAnchor="page" w:x="1286" w:y="132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100 Vanguard Blvd.,, Malvern, PA, 19355</w:t>
      </w:r>
    </w:p>
    <w:p>
      <w:pPr>
        <w:pStyle w:val="Normal"/>
        <w:framePr w:w="532" w:hAnchor="page" w:vAnchor="page" w:x="643" w:y="130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127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2248" w:hAnchor="page" w:vAnchor="page" w:x="1286" w:y="124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The Vanguard Group</w:t>
      </w:r>
    </w:p>
    <w:p>
      <w:pPr>
        <w:pStyle w:val="Normal"/>
        <w:framePr w:w="519" w:hAnchor="page" w:vAnchor="page" w:x="650" w:y="122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119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116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7205" w:hAnchor="page" w:vAnchor="page" w:x="1286" w:y="113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 3PL</w:t>
      </w:r>
    </w:p>
    <w:p>
      <w:pPr>
        <w:pStyle w:val="Normal"/>
        <w:framePr w:w="532" w:hAnchor="page" w:vAnchor="page" w:x="643" w:y="110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10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001" w:hAnchor="page" w:vAnchor="page" w:x="1286" w:y="105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102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99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9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901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17" w:hAnchor="page" w:vAnchor="page" w:x="280" w:y="76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such subsidiaries and/or business divisions. </w:t>
      </w:r>
    </w:p>
    <w:p>
      <w:pPr>
        <w:pStyle w:val="Normal"/>
        <w:framePr w:w="13177" w:hAnchor="page" w:vAnchor="page" w:x="280" w:y="73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Vanguard Group, Inc. no longer has, or is deemed to have, beneficial ownership over securities beneficially owned by </w:t>
      </w:r>
    </w:p>
    <w:p>
      <w:pPr>
        <w:pStyle w:val="Normal"/>
        <w:framePr w:w="13162" w:hAnchor="page" w:vAnchor="page" w:x="280" w:y="71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Group, Inc. prior to the realignment. Further in accordance with SEC Release No. 34-39538 (January 12, 1998), The </w:t>
      </w:r>
    </w:p>
    <w:p>
      <w:pPr>
        <w:pStyle w:val="Normal"/>
        <w:framePr w:w="13176" w:hAnchor="page" w:vAnchor="page" w:x="280" w:y="68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subsidiaries  and/or  business  divisions  pursue  the  same  investment  strategies  as  previously  pursued  by  The  Vanguard </w:t>
      </w:r>
    </w:p>
    <w:p>
      <w:pPr>
        <w:pStyle w:val="Normal"/>
        <w:framePr w:w="13173" w:hAnchor="page" w:vAnchor="page" w:x="280" w:y="65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ownership  separately  (on  a  disaggregated  basis)  from  The  Vanguard  Group,  Inc.  in  reliance  on  such  release.  These </w:t>
      </w:r>
    </w:p>
    <w:p>
      <w:pPr>
        <w:pStyle w:val="Normal"/>
        <w:framePr w:w="13173" w:hAnchor="page" w:vAnchor="page" w:x="280" w:y="629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that formerly had, or were deemed to have, beneficial ownership with The Vanguard Group, Inc., will report beneficial </w:t>
      </w:r>
    </w:p>
    <w:p>
      <w:pPr>
        <w:pStyle w:val="Normal"/>
        <w:framePr w:w="13168" w:hAnchor="page" w:vAnchor="page" w:x="280" w:y="60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No. 34-39538 (January 12, 1998), certain subsidiaries or business divisions of subsidiaries of The Vanguard Group, Inc., </w:t>
      </w:r>
    </w:p>
    <w:p>
      <w:pPr>
        <w:pStyle w:val="Normal"/>
        <w:framePr w:w="13176" w:hAnchor="page" w:vAnchor="page" w:x="280" w:y="57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On January 12, 2026, The Vanguard Group, Inc. went through an internal realignment. In accordance with SEC Release </w:t>
      </w:r>
    </w:p>
    <w:p>
      <w:pPr>
        <w:pStyle w:val="Normal"/>
        <w:framePr w:w="5029" w:hAnchor="page" w:vAnchor="page" w:x="280" w:y="54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Comment for Type of Reporting Person:</w:t>
      </w: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   </w:t>
      </w:r>
    </w:p>
    <w:p>
      <w:pPr>
        <w:pStyle w:val="Normal"/>
        <w:framePr w:w="493" w:hAnchor="page" w:vAnchor="page" w:x="1526" w:y="48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6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3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618" w:hAnchor="page" w:vAnchor="page" w:x="1526" w:y="40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0 %</w:t>
      </w:r>
    </w:p>
    <w:p>
      <w:pPr>
        <w:pStyle w:val="Normal"/>
        <w:framePr w:w="467" w:hAnchor="page" w:vAnchor="page" w:x="794" w:y="37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32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658" w:hAnchor="page" w:vAnchor="page" w:x="1526" w:y="23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0.00</w:t>
      </w:r>
    </w:p>
    <w:p>
      <w:pPr>
        <w:pStyle w:val="Normal"/>
        <w:framePr w:w="361" w:hAnchor="page" w:vAnchor="page" w:x="84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4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10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92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726" w:hAnchor="page" w:vAnchor="page" w:x="1856" w:y="3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pt;margin-top:1pt;z-index:-167769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.4pt;margin-top:1pt;z-index:-16776896;width:585.25pt;height:260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5.25pt;margin-top:88.8pt;z-index:-167768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71.55pt;margin-top:1pt;z-index:-16776888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5.25pt;margin-top:1pt;z-index:-16776884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73.8pt;margin-top:88.8pt;z-index:-1677688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94pt;margin-top:1pt;z-index:-16776876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73.8pt;margin-top:1pt;z-index:-16776872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6.8pt;margin-top:28.75pt;z-index:-16776868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8.05pt;margin-top:1pt;z-index:-16776864;width:2.75pt;height:3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90.3pt;margin-top:28.75pt;z-index:-16776860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90.3pt;margin-top:1pt;z-index:-16776856;width:2.75pt;height:3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91.8pt;margin-top:14.5pt;z-index:-1677685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88.05pt;margin-top:31.05pt;z-index:-16776848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90.3pt;margin-top:31.05pt;z-index:-16776844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91.8pt;margin-top:72.3pt;z-index:-16776840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5.25pt;margin-top:130.85pt;z-index:-1677683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71.55pt;margin-top:91.1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5.25pt;margin-top:91.1pt;z-index:-167768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73.8pt;margin-top:130.85pt;z-index:-1677682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94pt;margin-top:91.1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73.8pt;margin-top:91.1pt;z-index:-167768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5.3pt;margin-top:117.35pt;z-index:-1677681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72.9pt;z-index:-1677680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1.55pt;margin-top:133.1pt;z-index:-167768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5.25pt;margin-top:133.1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72.9pt;z-index:-1677679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94pt;margin-top:133.1pt;z-index:-167767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73.8pt;margin-top:133.1pt;z-index:-167767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15.25pt;margin-top:214.95pt;z-index:-1677678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71.55pt;margin-top:175.1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5.25pt;margin-top:175.15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73.8pt;margin-top:214.95pt;z-index:-1677677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94pt;margin-top:175.1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3.8pt;margin-top:175.15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75.3pt;margin-top:201.4pt;z-index:-1677676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5.25pt;margin-top:256.95pt;z-index:-167767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71.55pt;margin-top:217.2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5.25pt;margin-top:217.2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73.8pt;margin-top:256.95pt;z-index:-167767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4pt;margin-top:217.2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73.8pt;margin-top:217.2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75.3pt;margin-top:243.45pt;z-index:-167767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pt;margin-top:273.5pt;z-index:-16776728;width:586pt;height:13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3.3pt;margin-top:524.2pt;z-index:-1677672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3.3pt;margin-top:565.45pt;z-index:-1677672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3.3pt;margin-top:622.5pt;z-index:-1677671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3.3pt;margin-top:663.8pt;z-index:-1677671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3.3pt;margin-top:705.1pt;z-index:-1677670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3.3pt;margin-top:746.4pt;z-index:-1677670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76.3pt;margin-top:160.4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07.45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23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38.95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854.7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64.3pt;margin-top:883.25pt;z-index:-167766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4.3pt;margin-top:899pt;z-index:-167766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4.3pt;margin-top:927.55pt;z-index:-167766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4.3pt;margin-top:956.05pt;z-index:-167766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4.3pt;margin-top:984.55pt;z-index:-1677666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</w:p>
    <w:p>
      <w:pPr>
        <w:pStyle w:val="Normal"/>
        <w:framePr w:w="796" w:hAnchor="page" w:vAnchor="page" w:x="5640" w:y="19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7021" w:y="19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03/26/2026</w:t>
      </w:r>
    </w:p>
    <w:p>
      <w:pPr>
        <w:pStyle w:val="Normal"/>
        <w:framePr w:w="1452" w:hAnchor="page" w:vAnchor="page" w:x="5640" w:y="18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4005" w:hAnchor="page" w:vAnchor="page" w:x="7021" w:y="18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Head of Global Fund Administration</w:t>
      </w:r>
    </w:p>
    <w:p>
      <w:pPr>
        <w:pStyle w:val="Normal"/>
        <w:framePr w:w="1307" w:hAnchor="page" w:vAnchor="page" w:x="5640" w:y="184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542" w:hAnchor="page" w:vAnchor="page" w:x="7021" w:y="184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Ashley Grim</w:t>
      </w:r>
    </w:p>
    <w:p>
      <w:pPr>
        <w:pStyle w:val="Normal"/>
        <w:framePr w:w="3495" w:hAnchor="page" w:vAnchor="page" w:x="3373" w:y="17846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The Vanguard Group</w:t>
      </w:r>
    </w:p>
    <w:p>
      <w:pPr>
        <w:pStyle w:val="Normal"/>
        <w:framePr w:w="4030" w:hAnchor="page" w:vAnchor="page" w:x="1871" w:y="172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11276" w:hAnchor="page" w:vAnchor="page" w:x="1871" w:y="169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 and to the best of my knowledge and belief, I certify that the information set forth in this</w:t>
      </w:r>
    </w:p>
    <w:p>
      <w:pPr>
        <w:pStyle w:val="Normal"/>
        <w:framePr w:w="1875" w:hAnchor="page" w:vAnchor="page" w:x="326" w:y="166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289" w:hAnchor="page" w:vAnchor="page" w:x="1286" w:y="160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§ 240.14a-11.</w:t>
      </w:r>
    </w:p>
    <w:p>
      <w:pPr>
        <w:pStyle w:val="Normal"/>
        <w:framePr w:w="11991" w:hAnchor="page" w:vAnchor="page" w:x="1286" w:y="157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with or as a participant in any transaction having that purpose or effect, other than activities solely in connection with a </w:t>
      </w:r>
    </w:p>
    <w:p>
      <w:pPr>
        <w:pStyle w:val="Normal"/>
        <w:framePr w:w="11979" w:hAnchor="page" w:vAnchor="page" w:x="1286" w:y="155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11981" w:hAnchor="page" w:vAnchor="page" w:x="1286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are held in the ordinary course of business and were not acquired and are not held for the purpose of or with the effect of </w:t>
      </w:r>
    </w:p>
    <w:p>
      <w:pPr>
        <w:pStyle w:val="Normal"/>
        <w:framePr w:w="11982" w:hAnchor="page" w:vAnchor="page" w:x="1286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By signing below I certify that, to the best of my knowledge and belief, the securities referred to above were acquired and </w:t>
      </w:r>
    </w:p>
    <w:p>
      <w:pPr>
        <w:pStyle w:val="Normal"/>
        <w:framePr w:w="2684" w:hAnchor="page" w:vAnchor="page" w:x="398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140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137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134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131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128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124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123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122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1351" w:hAnchor="page" w:vAnchor="page" w:x="1286" w:y="119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sale of, the securities reported herein.No one other person's interest in the securities reported herein is more than 5%.</w:t>
      </w:r>
    </w:p>
    <w:p>
      <w:pPr>
        <w:pStyle w:val="Normal"/>
        <w:framePr w:w="11945" w:hAnchor="page" w:vAnchor="page" w:x="1286" w:y="116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managed accounts, have the right to receive or the power to direct the receipt of dividends from, or the proceeds from the </w:t>
      </w:r>
    </w:p>
    <w:p>
      <w:pPr>
        <w:pStyle w:val="Normal"/>
        <w:framePr w:w="11956" w:hAnchor="page" w:vAnchor="page" w:x="1286" w:y="114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The Vanguard Group, including investment companies registered under the Investment Company Act of 1940 and other </w:t>
      </w:r>
    </w:p>
    <w:p>
      <w:pPr>
        <w:pStyle w:val="Normal"/>
        <w:framePr w:w="4888" w:hAnchor="page" w:vAnchor="page" w:x="1286" w:y="106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pension fund or endowment fund is not required.</w:t>
      </w:r>
    </w:p>
    <w:p>
      <w:pPr>
        <w:pStyle w:val="Normal"/>
        <w:framePr w:w="11890" w:hAnchor="page" w:vAnchor="page" w:x="1286" w:y="103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investment company registered under the Investment Company Act of 1940 or the beneficiaries of employee benefit plan,</w:t>
      </w:r>
    </w:p>
    <w:p>
      <w:pPr>
        <w:pStyle w:val="Normal"/>
        <w:framePr w:w="11890" w:hAnchor="page" w:vAnchor="page" w:x="1286" w:y="101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interest relates to more than 5 percent of the class, such person should be identified. A listing of the shareholders of an</w:t>
      </w:r>
    </w:p>
    <w:p>
      <w:pPr>
        <w:pStyle w:val="Normal"/>
        <w:framePr w:w="11886" w:hAnchor="page" w:vAnchor="page" w:x="1286" w:y="98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proceeds from the sale of, such securities, a statement to that effect should be included in response to this item and, if such</w:t>
      </w:r>
    </w:p>
    <w:p>
      <w:pPr>
        <w:pStyle w:val="Normal"/>
        <w:framePr w:w="11900" w:hAnchor="page" w:vAnchor="page" w:x="1286" w:y="9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any other person is known to have the right to receive or the power to direct the receipt of dividends from, or the</w:t>
      </w:r>
    </w:p>
    <w:p>
      <w:pPr>
        <w:pStyle w:val="Normal"/>
        <w:framePr w:w="7666" w:hAnchor="page" w:vAnchor="page" w:x="452" w:y="93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6135" w:hAnchor="page" w:vAnchor="page" w:x="1526" w:y="89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checked    Ownership of 5 percent or less of a class</w:t>
      </w:r>
    </w:p>
    <w:p>
      <w:pPr>
        <w:pStyle w:val="Normal"/>
        <w:framePr w:w="5439" w:hAnchor="page" w:vAnchor="page" w:x="452" w:y="86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81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361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5947" w:hAnchor="page" w:vAnchor="page" w:x="1286" w:y="65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594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54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361" w:hAnchor="page" w:vAnchor="page" w:x="1286" w:y="48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567" w:hAnchor="page" w:vAnchor="page" w:x="1286" w:y="43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40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40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737" w:hAnchor="page" w:vAnchor="page" w:x="1286" w:y="34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0  % </w:t>
      </w:r>
    </w:p>
    <w:p>
      <w:pPr>
        <w:pStyle w:val="Normal"/>
        <w:framePr w:w="532" w:hAnchor="page" w:vAnchor="page" w:x="643" w:y="33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framePr w:w="361" w:hAnchor="page" w:vAnchor="page" w:x="1286" w:y="26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519" w:hAnchor="page" w:vAnchor="page" w:x="650" w:y="23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21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8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6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6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3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7pt;margin-top:1pt;z-index:-16776660;width:598pt;height:989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130.85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172.15pt;z-index:-16776652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241.95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296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350.05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404.1pt;z-index:-167766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63.3pt;margin-top:448.4pt;z-index:-167766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63.3pt;margin-top:479.9pt;z-index:-16776628;width:531.9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63.3pt;margin-top:569.25pt;z-index:-16776624;width:531.9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63.3pt;margin-top:639.05pt;z-index:-1677662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63.3pt;margin-top:670.55pt;z-index:-1677661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63.3pt;margin-top:702.1pt;z-index:-1677661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63.3pt;margin-top:748.65pt;z-index:-16776608;width:533.4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92.55pt;margin-top:846.2pt;z-index:-16776604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167.65pt;margin-top:891.25pt;z-index:-16776600;width:144.6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64.3pt;margin-top:17.75pt;z-index:-167765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64.3pt;margin-top:59.05pt;z-index:-167765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64.3pt;margin-top:449.4pt;z-index:-167765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styles.xml" Type="http://schemas.openxmlformats.org/officeDocument/2006/relationships/styles"/><Relationship Id="rId159" Target="fontTable.xml" Type="http://schemas.openxmlformats.org/officeDocument/2006/relationships/fontTable"/><Relationship Id="rId16" Target="media/image16.png" Type="http://schemas.openxmlformats.org/officeDocument/2006/relationships/image"/><Relationship Id="rId160" Target="settings.xml" Type="http://schemas.openxmlformats.org/officeDocument/2006/relationships/settings"/><Relationship Id="rId161" Target="webSettings.xml" Type="http://schemas.openxmlformats.org/officeDocument/2006/relationships/webSettings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1063</Words>
  <Characters>5503</Characters>
  <Application>e-iceblue</Application>
  <DocSecurity>0</DocSecurity>
  <Lines>179</Lines>
  <Paragraphs>179</Paragraphs>
  <ScaleCrop>false</ScaleCrop>
  <Company>e-iceblue</Company>
  <LinksUpToDate>false</LinksUpToDate>
  <CharactersWithSpaces>6522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2026-03-26T18:42:36Z</dcterms:created>
  <dc:creator>root</dc:creator>
  <cp:lastModifiedBy>root</cp:lastModifiedBy>
  <dcterms:modified xsi:type="dcterms:W3CDTF">2026-03-26T18:42:36Z</dcterms:modified>
  <cp:revision>1</cp:revision>
</cp:coreProperties>
</file>