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620395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25, 2018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TechnipFMC plc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480" w:type="dxa"/>
        <w:tblCellMar>
          <w:top w:w="0" w:type="dxa"/>
          <w:left w:w="0" w:type="dxa"/>
          <w:bottom w:w="0" w:type="dxa"/>
          <w:right w:w="0" w:type="dxa"/>
        </w:tblCellMar>
      </w:tblPr>
      <w:tr>
        <w:trPr>
          <w:trHeight w:val="239"/>
        </w:trPr>
        <w:tc>
          <w:tcPr>
            <w:tcW w:w="3000" w:type="dxa"/>
            <w:vAlign w:val="bottom"/>
          </w:tcPr>
          <w:p>
            <w:pPr>
              <w:jc w:val="center"/>
              <w:ind w:right="197"/>
              <w:spacing w:after="0"/>
              <w:rPr>
                <w:sz w:val="20"/>
                <w:szCs w:val="20"/>
                <w:color w:val="auto"/>
              </w:rPr>
            </w:pPr>
            <w:r>
              <w:rPr>
                <w:rFonts w:ascii="Arial" w:cs="Arial" w:eastAsia="Arial" w:hAnsi="Arial"/>
                <w:sz w:val="18"/>
                <w:szCs w:val="18"/>
                <w:b w:val="1"/>
                <w:bCs w:val="1"/>
                <w:color w:val="auto"/>
                <w:w w:val="99"/>
              </w:rPr>
              <w:t>England and Wales</w:t>
            </w:r>
          </w:p>
        </w:tc>
        <w:tc>
          <w:tcPr>
            <w:tcW w:w="4600" w:type="dxa"/>
            <w:vAlign w:val="bottom"/>
          </w:tcPr>
          <w:p>
            <w:pPr>
              <w:jc w:val="center"/>
              <w:ind w:right="22"/>
              <w:spacing w:after="0"/>
              <w:rPr>
                <w:sz w:val="20"/>
                <w:szCs w:val="20"/>
                <w:color w:val="auto"/>
              </w:rPr>
            </w:pPr>
            <w:r>
              <w:rPr>
                <w:rFonts w:ascii="Arial" w:cs="Arial" w:eastAsia="Arial" w:hAnsi="Arial"/>
                <w:sz w:val="18"/>
                <w:szCs w:val="18"/>
                <w:b w:val="1"/>
                <w:bCs w:val="1"/>
                <w:color w:val="auto"/>
                <w:w w:val="99"/>
              </w:rPr>
              <w:t>001-37983</w:t>
            </w:r>
          </w:p>
        </w:tc>
        <w:tc>
          <w:tcPr>
            <w:tcW w:w="2620" w:type="dxa"/>
            <w:vAlign w:val="bottom"/>
          </w:tcPr>
          <w:p>
            <w:pPr>
              <w:jc w:val="right"/>
              <w:ind w:right="539"/>
              <w:spacing w:after="0"/>
              <w:rPr>
                <w:sz w:val="20"/>
                <w:szCs w:val="20"/>
                <w:color w:val="auto"/>
              </w:rPr>
            </w:pPr>
            <w:r>
              <w:rPr>
                <w:rFonts w:ascii="Arial" w:cs="Arial" w:eastAsia="Arial" w:hAnsi="Arial"/>
                <w:sz w:val="18"/>
                <w:szCs w:val="18"/>
                <w:b w:val="1"/>
                <w:bCs w:val="1"/>
                <w:color w:val="auto"/>
              </w:rPr>
              <w:t>98-1283037</w:t>
            </w:r>
          </w:p>
        </w:tc>
      </w:tr>
      <w:tr>
        <w:trPr>
          <w:trHeight w:val="272"/>
        </w:trPr>
        <w:tc>
          <w:tcPr>
            <w:tcW w:w="3000" w:type="dxa"/>
            <w:vAlign w:val="bottom"/>
          </w:tcPr>
          <w:p>
            <w:pPr>
              <w:jc w:val="center"/>
              <w:ind w:right="197"/>
              <w:spacing w:after="0"/>
              <w:rPr>
                <w:sz w:val="20"/>
                <w:szCs w:val="20"/>
                <w:color w:val="auto"/>
              </w:rPr>
            </w:pPr>
            <w:r>
              <w:rPr>
                <w:rFonts w:ascii="Arial" w:cs="Arial" w:eastAsia="Arial" w:hAnsi="Arial"/>
                <w:sz w:val="14"/>
                <w:szCs w:val="14"/>
                <w:color w:val="auto"/>
              </w:rPr>
              <w:t>(State or other jurisdiction of incorporation)</w:t>
            </w:r>
          </w:p>
        </w:tc>
        <w:tc>
          <w:tcPr>
            <w:tcW w:w="4600" w:type="dxa"/>
            <w:vAlign w:val="bottom"/>
          </w:tcPr>
          <w:p>
            <w:pPr>
              <w:jc w:val="center"/>
              <w:ind w:right="22"/>
              <w:spacing w:after="0"/>
              <w:rPr>
                <w:sz w:val="20"/>
                <w:szCs w:val="20"/>
                <w:color w:val="auto"/>
              </w:rPr>
            </w:pPr>
            <w:r>
              <w:rPr>
                <w:rFonts w:ascii="Arial" w:cs="Arial" w:eastAsia="Arial" w:hAnsi="Arial"/>
                <w:sz w:val="14"/>
                <w:szCs w:val="14"/>
                <w:color w:val="auto"/>
              </w:rPr>
              <w:t>(Commission File Number)</w:t>
            </w:r>
          </w:p>
        </w:tc>
        <w:tc>
          <w:tcPr>
            <w:tcW w:w="2620" w:type="dxa"/>
            <w:vAlign w:val="bottom"/>
          </w:tcPr>
          <w:p>
            <w:pPr>
              <w:jc w:val="center"/>
              <w:ind w:left="319"/>
              <w:spacing w:after="0"/>
              <w:rPr>
                <w:sz w:val="20"/>
                <w:szCs w:val="20"/>
                <w:color w:val="auto"/>
              </w:rPr>
            </w:pPr>
            <w:r>
              <w:rPr>
                <w:rFonts w:ascii="Arial" w:cs="Arial" w:eastAsia="Arial" w:hAnsi="Arial"/>
                <w:sz w:val="14"/>
                <w:szCs w:val="14"/>
                <w:color w:val="auto"/>
              </w:rPr>
              <w:t>(I.R.S. Employer Identification No.)</w:t>
            </w:r>
          </w:p>
        </w:tc>
      </w:tr>
      <w:tr>
        <w:trPr>
          <w:trHeight w:val="570"/>
        </w:trPr>
        <w:tc>
          <w:tcPr>
            <w:tcW w:w="3000" w:type="dxa"/>
            <w:vAlign w:val="bottom"/>
          </w:tcPr>
          <w:p>
            <w:pPr>
              <w:jc w:val="center"/>
              <w:ind w:right="197"/>
              <w:spacing w:after="0"/>
              <w:rPr>
                <w:sz w:val="20"/>
                <w:szCs w:val="20"/>
                <w:color w:val="auto"/>
              </w:rPr>
            </w:pPr>
            <w:r>
              <w:rPr>
                <w:rFonts w:ascii="Arial" w:cs="Arial" w:eastAsia="Arial" w:hAnsi="Arial"/>
                <w:sz w:val="18"/>
                <w:szCs w:val="18"/>
                <w:b w:val="1"/>
                <w:bCs w:val="1"/>
                <w:color w:val="auto"/>
              </w:rPr>
              <w:t>One St. Paul’s Churchyard</w:t>
            </w:r>
          </w:p>
        </w:tc>
        <w:tc>
          <w:tcPr>
            <w:tcW w:w="46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9"/>
        </w:trPr>
        <w:tc>
          <w:tcPr>
            <w:tcW w:w="3000" w:type="dxa"/>
            <w:vAlign w:val="bottom"/>
          </w:tcPr>
          <w:p>
            <w:pPr>
              <w:jc w:val="center"/>
              <w:ind w:right="197"/>
              <w:spacing w:after="0"/>
              <w:rPr>
                <w:sz w:val="20"/>
                <w:szCs w:val="20"/>
                <w:color w:val="auto"/>
              </w:rPr>
            </w:pPr>
            <w:r>
              <w:rPr>
                <w:rFonts w:ascii="Arial" w:cs="Arial" w:eastAsia="Arial" w:hAnsi="Arial"/>
                <w:sz w:val="18"/>
                <w:szCs w:val="18"/>
                <w:b w:val="1"/>
                <w:bCs w:val="1"/>
                <w:color w:val="auto"/>
              </w:rPr>
              <w:t>London, United Kingdom</w:t>
            </w:r>
          </w:p>
        </w:tc>
        <w:tc>
          <w:tcPr>
            <w:tcW w:w="4600" w:type="dxa"/>
            <w:vAlign w:val="bottom"/>
          </w:tcPr>
          <w:p>
            <w:pPr>
              <w:spacing w:after="0"/>
              <w:rPr>
                <w:sz w:val="20"/>
                <w:szCs w:val="20"/>
                <w:color w:val="auto"/>
              </w:rPr>
            </w:pPr>
          </w:p>
        </w:tc>
        <w:tc>
          <w:tcPr>
            <w:tcW w:w="2620" w:type="dxa"/>
            <w:vAlign w:val="bottom"/>
          </w:tcPr>
          <w:p>
            <w:pPr>
              <w:jc w:val="center"/>
              <w:ind w:left="319"/>
              <w:spacing w:after="0"/>
              <w:rPr>
                <w:sz w:val="20"/>
                <w:szCs w:val="20"/>
                <w:color w:val="auto"/>
              </w:rPr>
            </w:pPr>
            <w:r>
              <w:rPr>
                <w:rFonts w:ascii="Arial" w:cs="Arial" w:eastAsia="Arial" w:hAnsi="Arial"/>
                <w:sz w:val="18"/>
                <w:szCs w:val="18"/>
                <w:b w:val="1"/>
                <w:bCs w:val="1"/>
                <w:color w:val="auto"/>
                <w:w w:val="99"/>
              </w:rPr>
              <w:t>EC4M 8AP</w:t>
            </w:r>
          </w:p>
        </w:tc>
      </w:tr>
      <w:tr>
        <w:trPr>
          <w:trHeight w:val="272"/>
        </w:trPr>
        <w:tc>
          <w:tcPr>
            <w:tcW w:w="3000" w:type="dxa"/>
            <w:vAlign w:val="bottom"/>
          </w:tcPr>
          <w:p>
            <w:pPr>
              <w:jc w:val="center"/>
              <w:ind w:right="217"/>
              <w:spacing w:after="0"/>
              <w:rPr>
                <w:sz w:val="20"/>
                <w:szCs w:val="20"/>
                <w:color w:val="auto"/>
              </w:rPr>
            </w:pPr>
            <w:r>
              <w:rPr>
                <w:rFonts w:ascii="Arial" w:cs="Arial" w:eastAsia="Arial" w:hAnsi="Arial"/>
                <w:sz w:val="14"/>
                <w:szCs w:val="14"/>
                <w:color w:val="auto"/>
              </w:rPr>
              <w:t>(Address of principal executive offices)</w:t>
            </w:r>
          </w:p>
        </w:tc>
        <w:tc>
          <w:tcPr>
            <w:tcW w:w="4600" w:type="dxa"/>
            <w:vAlign w:val="bottom"/>
          </w:tcPr>
          <w:p>
            <w:pPr>
              <w:spacing w:after="0"/>
              <w:rPr>
                <w:sz w:val="23"/>
                <w:szCs w:val="23"/>
                <w:color w:val="auto"/>
              </w:rPr>
            </w:pPr>
          </w:p>
        </w:tc>
        <w:tc>
          <w:tcPr>
            <w:tcW w:w="2620" w:type="dxa"/>
            <w:vAlign w:val="bottom"/>
          </w:tcPr>
          <w:p>
            <w:pPr>
              <w:jc w:val="center"/>
              <w:ind w:left="339"/>
              <w:spacing w:after="0"/>
              <w:rPr>
                <w:sz w:val="20"/>
                <w:szCs w:val="20"/>
                <w:color w:val="auto"/>
              </w:rPr>
            </w:pPr>
            <w:r>
              <w:rPr>
                <w:rFonts w:ascii="Arial" w:cs="Arial" w:eastAsia="Arial" w:hAnsi="Arial"/>
                <w:sz w:val="14"/>
                <w:szCs w:val="14"/>
                <w:color w:val="auto"/>
              </w:rPr>
              <w:t>(Zip Code)</w:t>
            </w:r>
          </w:p>
        </w:tc>
      </w:tr>
      <w:tr>
        <w:trPr>
          <w:trHeight w:val="297"/>
        </w:trPr>
        <w:tc>
          <w:tcPr>
            <w:tcW w:w="3000" w:type="dxa"/>
            <w:vAlign w:val="bottom"/>
          </w:tcPr>
          <w:p>
            <w:pPr>
              <w:spacing w:after="0"/>
              <w:rPr>
                <w:sz w:val="24"/>
                <w:szCs w:val="24"/>
                <w:color w:val="auto"/>
              </w:rPr>
            </w:pPr>
          </w:p>
        </w:tc>
        <w:tc>
          <w:tcPr>
            <w:tcW w:w="4600" w:type="dxa"/>
            <w:vAlign w:val="bottom"/>
          </w:tcPr>
          <w:p>
            <w:pPr>
              <w:jc w:val="center"/>
              <w:ind w:right="62"/>
              <w:spacing w:after="0"/>
              <w:rPr>
                <w:sz w:val="20"/>
                <w:szCs w:val="20"/>
                <w:color w:val="auto"/>
              </w:rPr>
            </w:pPr>
            <w:r>
              <w:rPr>
                <w:rFonts w:ascii="Arial" w:cs="Arial" w:eastAsia="Arial" w:hAnsi="Arial"/>
                <w:sz w:val="14"/>
                <w:szCs w:val="14"/>
                <w:b w:val="1"/>
                <w:bCs w:val="1"/>
                <w:color w:val="auto"/>
              </w:rPr>
              <w:t>+44 203-429-3950</w:t>
            </w:r>
          </w:p>
        </w:tc>
        <w:tc>
          <w:tcPr>
            <w:tcW w:w="2620" w:type="dxa"/>
            <w:vAlign w:val="bottom"/>
          </w:tcPr>
          <w:p>
            <w:pPr>
              <w:spacing w:after="0"/>
              <w:rPr>
                <w:sz w:val="24"/>
                <w:szCs w:val="24"/>
                <w:color w:val="auto"/>
              </w:rPr>
            </w:pPr>
          </w:p>
        </w:tc>
      </w:tr>
      <w:tr>
        <w:trPr>
          <w:trHeight w:val="203"/>
        </w:trPr>
        <w:tc>
          <w:tcPr>
            <w:tcW w:w="3000" w:type="dxa"/>
            <w:vAlign w:val="bottom"/>
          </w:tcPr>
          <w:p>
            <w:pPr>
              <w:spacing w:after="0"/>
              <w:rPr>
                <w:sz w:val="17"/>
                <w:szCs w:val="17"/>
                <w:color w:val="auto"/>
              </w:rPr>
            </w:pPr>
          </w:p>
        </w:tc>
        <w:tc>
          <w:tcPr>
            <w:tcW w:w="4600" w:type="dxa"/>
            <w:vAlign w:val="bottom"/>
          </w:tcPr>
          <w:p>
            <w:pPr>
              <w:jc w:val="center"/>
              <w:ind w:right="62"/>
              <w:spacing w:after="0"/>
              <w:rPr>
                <w:sz w:val="20"/>
                <w:szCs w:val="20"/>
                <w:color w:val="auto"/>
              </w:rPr>
            </w:pPr>
            <w:r>
              <w:rPr>
                <w:rFonts w:ascii="Arial" w:cs="Arial" w:eastAsia="Arial" w:hAnsi="Arial"/>
                <w:sz w:val="14"/>
                <w:szCs w:val="14"/>
                <w:color w:val="auto"/>
              </w:rPr>
              <w:t>(Registrant's telephone number, including area code)</w:t>
            </w:r>
          </w:p>
        </w:tc>
        <w:tc>
          <w:tcPr>
            <w:tcW w:w="2620" w:type="dxa"/>
            <w:vAlign w:val="bottom"/>
          </w:tcPr>
          <w:p>
            <w:pPr>
              <w:spacing w:after="0"/>
              <w:rPr>
                <w:sz w:val="17"/>
                <w:szCs w:val="17"/>
                <w:color w:val="auto"/>
              </w:rPr>
            </w:pPr>
          </w:p>
        </w:tc>
      </w:tr>
      <w:tr>
        <w:trPr>
          <w:trHeight w:val="363"/>
        </w:trPr>
        <w:tc>
          <w:tcPr>
            <w:tcW w:w="3000" w:type="dxa"/>
            <w:vAlign w:val="bottom"/>
          </w:tcPr>
          <w:p>
            <w:pPr>
              <w:spacing w:after="0"/>
              <w:rPr>
                <w:sz w:val="24"/>
                <w:szCs w:val="24"/>
                <w:color w:val="auto"/>
              </w:rPr>
            </w:pPr>
          </w:p>
        </w:tc>
        <w:tc>
          <w:tcPr>
            <w:tcW w:w="4600" w:type="dxa"/>
            <w:vAlign w:val="bottom"/>
          </w:tcPr>
          <w:p>
            <w:pPr>
              <w:jc w:val="center"/>
              <w:ind w:right="62"/>
              <w:spacing w:after="0"/>
              <w:rPr>
                <w:sz w:val="20"/>
                <w:szCs w:val="20"/>
                <w:color w:val="auto"/>
              </w:rPr>
            </w:pPr>
            <w:r>
              <w:rPr>
                <w:rFonts w:ascii="Arial" w:cs="Arial" w:eastAsia="Arial" w:hAnsi="Arial"/>
                <w:sz w:val="18"/>
                <w:szCs w:val="18"/>
                <w:b w:val="1"/>
                <w:bCs w:val="1"/>
                <w:color w:val="auto"/>
                <w:w w:val="99"/>
              </w:rPr>
              <w:t>Not Applicable</w:t>
            </w:r>
          </w:p>
        </w:tc>
        <w:tc>
          <w:tcPr>
            <w:tcW w:w="2620" w:type="dxa"/>
            <w:vAlign w:val="bottom"/>
          </w:tcPr>
          <w:p>
            <w:pPr>
              <w:spacing w:after="0"/>
              <w:rPr>
                <w:sz w:val="24"/>
                <w:szCs w:val="24"/>
                <w:color w:val="auto"/>
              </w:rPr>
            </w:pPr>
          </w:p>
        </w:tc>
      </w:tr>
      <w:tr>
        <w:trPr>
          <w:trHeight w:val="177"/>
        </w:trPr>
        <w:tc>
          <w:tcPr>
            <w:tcW w:w="3000" w:type="dxa"/>
            <w:vAlign w:val="bottom"/>
          </w:tcPr>
          <w:p>
            <w:pPr>
              <w:spacing w:after="0"/>
              <w:rPr>
                <w:sz w:val="15"/>
                <w:szCs w:val="15"/>
                <w:color w:val="auto"/>
              </w:rPr>
            </w:pPr>
          </w:p>
        </w:tc>
        <w:tc>
          <w:tcPr>
            <w:tcW w:w="4600" w:type="dxa"/>
            <w:vAlign w:val="bottom"/>
          </w:tcPr>
          <w:p>
            <w:pPr>
              <w:jc w:val="center"/>
              <w:ind w:right="62"/>
              <w:spacing w:after="0"/>
              <w:rPr>
                <w:sz w:val="20"/>
                <w:szCs w:val="20"/>
                <w:color w:val="auto"/>
              </w:rPr>
            </w:pPr>
            <w:r>
              <w:rPr>
                <w:rFonts w:ascii="Arial" w:cs="Arial" w:eastAsia="Arial" w:hAnsi="Arial"/>
                <w:sz w:val="14"/>
                <w:szCs w:val="14"/>
                <w:color w:val="auto"/>
              </w:rPr>
              <w:t>(Former name or former address, if changed since last report)</w:t>
            </w:r>
          </w:p>
        </w:tc>
        <w:tc>
          <w:tcPr>
            <w:tcW w:w="2620" w:type="dxa"/>
            <w:vAlign w:val="bottom"/>
          </w:tcPr>
          <w:p>
            <w:pPr>
              <w:spacing w:after="0"/>
              <w:rPr>
                <w:sz w:val="15"/>
                <w:szCs w:val="15"/>
                <w:color w:val="auto"/>
              </w:rPr>
            </w:pPr>
          </w:p>
        </w:tc>
      </w:tr>
    </w:tbl>
    <w:p>
      <w:pPr>
        <w:spacing w:after="0" w:line="200"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320"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July 25, 2018, TechnipFMC plc ("TechnipFMC") issued a news release announcing its financial results for the fiscal quarter ended June 30, 2018. A copy of the news release is furnished as Exhibit 99.1 to this report and is incorporated herein by reference.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13"/>
        </w:trPr>
        <w:tc>
          <w:tcPr>
            <w:tcW w:w="130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8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44"/>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Exhibit No.</w:t>
            </w:r>
          </w:p>
        </w:tc>
        <w:tc>
          <w:tcPr>
            <w:tcW w:w="50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Description</w:t>
            </w:r>
          </w:p>
        </w:tc>
        <w:tc>
          <w:tcPr>
            <w:tcW w:w="38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9"/>
              </w:rPr>
              <w:t>News Release issued by TechnipFMC dated July 25, 2018</w:t>
            </w:r>
          </w:p>
        </w:tc>
      </w:tr>
    </w:tbl>
    <w:p>
      <w:pPr>
        <w:sectPr>
          <w:pgSz w:w="11900" w:h="16838" w:orient="portrait"/>
          <w:cols w:equalWidth="0" w:num="1">
            <w:col w:w="11420"/>
          </w:cols>
          <w:pgMar w:left="240" w:top="576"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40" w:type="dxa"/>
            <w:vAlign w:val="bottom"/>
            <w:gridSpan w:val="2"/>
          </w:tcPr>
          <w:p>
            <w:pPr>
              <w:ind w:left="2940"/>
              <w:spacing w:after="0"/>
              <w:rPr>
                <w:sz w:val="20"/>
                <w:szCs w:val="20"/>
                <w:color w:val="auto"/>
              </w:rPr>
            </w:pPr>
            <w:r>
              <w:rPr>
                <w:rFonts w:ascii="Arial" w:cs="Arial" w:eastAsia="Arial" w:hAnsi="Arial"/>
                <w:sz w:val="18"/>
                <w:szCs w:val="18"/>
                <w:b w:val="1"/>
                <w:bCs w:val="1"/>
                <w:color w:val="auto"/>
                <w:w w:val="97"/>
              </w:rPr>
              <w:t>EXHIBIT INDEX</w:t>
            </w:r>
          </w:p>
        </w:tc>
      </w:tr>
      <w:tr>
        <w:trPr>
          <w:trHeight w:val="378"/>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Exhibit No.</w:t>
            </w:r>
          </w:p>
        </w:tc>
        <w:tc>
          <w:tcPr>
            <w:tcW w:w="50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Description</w:t>
            </w:r>
          </w:p>
        </w:tc>
        <w:tc>
          <w:tcPr>
            <w:tcW w:w="4240" w:type="dxa"/>
            <w:vAlign w:val="bottom"/>
            <w:gridSpan w:val="2"/>
          </w:tcPr>
          <w:p>
            <w:pPr>
              <w:spacing w:after="0"/>
              <w:rPr>
                <w:sz w:val="24"/>
                <w:szCs w:val="24"/>
                <w:color w:val="auto"/>
              </w:rPr>
            </w:pPr>
          </w:p>
        </w:tc>
      </w:tr>
      <w:tr>
        <w:trPr>
          <w:trHeight w:val="399"/>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494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News Release issued by TechnipFMC plc dated July 25, 2018</w:t>
              </w:r>
            </w:hyperlink>
          </w:p>
        </w:tc>
        <w:tc>
          <w:tcPr>
            <w:tcW w:w="120" w:type="dxa"/>
            <w:vAlign w:val="bottom"/>
          </w:tcPr>
          <w:p>
            <w:pPr>
              <w:spacing w:after="0"/>
              <w:rPr>
                <w:sz w:val="24"/>
                <w:szCs w:val="24"/>
                <w:color w:val="auto"/>
              </w:rPr>
            </w:pPr>
          </w:p>
        </w:tc>
      </w:tr>
    </w:tbl>
    <w:p>
      <w:pPr>
        <w:sectPr>
          <w:pgSz w:w="11900" w:h="16838" w:orient="portrait"/>
          <w:cols w:equalWidth="0" w:num="1">
            <w:col w:w="10219"/>
          </w:cols>
          <w:pgMar w:left="240" w:top="576"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3353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Dated: July 25, 2018</w:t>
      </w:r>
      <w:r>
        <w:rPr>
          <w:sz w:val="20"/>
          <w:szCs w:val="20"/>
          <w:color w:val="auto"/>
        </w:rPr>
        <w:tab/>
      </w:r>
      <w:r>
        <w:rPr>
          <w:rFonts w:ascii="Arial" w:cs="Arial" w:eastAsia="Arial" w:hAnsi="Arial"/>
          <w:sz w:val="17"/>
          <w:szCs w:val="17"/>
          <w:color w:val="auto"/>
        </w:rPr>
        <w:t>Name: Maryann T. Mannen</w:t>
      </w:r>
    </w:p>
    <w:p>
      <w:pPr>
        <w:spacing w:after="0" w:line="6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00"/>
          </w:cols>
          <w:pgMar w:left="240" w:top="576" w:right="259" w:bottom="1440" w:gutter="0" w:footer="0" w:header="0"/>
        </w:sectPr>
      </w:pPr>
    </w:p>
    <w:bookmarkStart w:id="4" w:name="page5"/>
    <w:bookmarkEnd w:id="4"/>
    <w:p>
      <w:pPr>
        <w:spacing w:after="0"/>
        <w:rPr>
          <w:sz w:val="20"/>
          <w:szCs w:val="20"/>
          <w:color w:val="auto"/>
        </w:rPr>
      </w:pPr>
      <w:r>
        <w:rPr>
          <w:rFonts w:ascii="Arial" w:cs="Arial" w:eastAsia="Arial" w:hAnsi="Arial"/>
          <w:sz w:val="25"/>
          <w:szCs w:val="25"/>
          <w:color w:val="A6A6A6"/>
        </w:rPr>
        <w:drawing>
          <wp:anchor simplePos="0" relativeHeight="251657728" behindDoc="1" locked="0" layoutInCell="0" allowOverlap="1">
            <wp:simplePos x="0" y="0"/>
            <wp:positionH relativeFrom="page">
              <wp:posOffset>157480</wp:posOffset>
            </wp:positionH>
            <wp:positionV relativeFrom="page">
              <wp:posOffset>88900</wp:posOffset>
            </wp:positionV>
            <wp:extent cx="2641600"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t>Press Release</w:t>
      </w:r>
    </w:p>
    <w:p>
      <w:pPr>
        <w:spacing w:after="0" w:line="166" w:lineRule="exact"/>
        <w:rPr>
          <w:sz w:val="20"/>
          <w:szCs w:val="20"/>
          <w:color w:val="auto"/>
        </w:rPr>
      </w:pPr>
    </w:p>
    <w:p>
      <w:pPr>
        <w:spacing w:after="0"/>
        <w:rPr>
          <w:sz w:val="20"/>
          <w:szCs w:val="20"/>
          <w:color w:val="auto"/>
        </w:rPr>
      </w:pPr>
      <w:r>
        <w:rPr>
          <w:rFonts w:ascii="Arial" w:cs="Arial" w:eastAsia="Arial" w:hAnsi="Arial"/>
          <w:sz w:val="29"/>
          <w:szCs w:val="29"/>
          <w:color w:val="auto"/>
        </w:rPr>
        <w:t>TechnipFMC Announces Second Quarter 2018 Results</w:t>
      </w:r>
    </w:p>
    <w:p>
      <w:pPr>
        <w:spacing w:after="0" w:line="14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Net income of $105.7 million and adjusted EBITDA of $377.2 million</w:t>
      </w:r>
    </w:p>
    <w:p>
      <w:pPr>
        <w:spacing w:after="0" w:line="53" w:lineRule="exact"/>
        <w:rPr>
          <w:rFonts w:ascii="Arial" w:cs="Arial" w:eastAsia="Arial" w:hAnsi="Arial"/>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Inbound orders of $4.2 billion; orders exceeded revenue in all segments</w:t>
      </w:r>
    </w:p>
    <w:p>
      <w:pPr>
        <w:spacing w:after="0" w:line="53" w:lineRule="exact"/>
        <w:rPr>
          <w:rFonts w:ascii="Arial" w:cs="Arial" w:eastAsia="Arial" w:hAnsi="Arial"/>
          <w:sz w:val="20"/>
          <w:szCs w:val="20"/>
          <w:color w:val="auto"/>
        </w:rPr>
      </w:pPr>
    </w:p>
    <w:p>
      <w:pPr>
        <w:ind w:left="980" w:hanging="324"/>
        <w:spacing w:after="0"/>
        <w:tabs>
          <w:tab w:leader="none" w:pos="980" w:val="left"/>
        </w:tabs>
        <w:numPr>
          <w:ilvl w:val="1"/>
          <w:numId w:val="1"/>
        </w:numPr>
        <w:rPr>
          <w:rFonts w:ascii="Arial" w:cs="Arial" w:eastAsia="Arial" w:hAnsi="Arial"/>
          <w:sz w:val="20"/>
          <w:szCs w:val="20"/>
          <w:color w:val="auto"/>
        </w:rPr>
      </w:pPr>
      <w:r>
        <w:rPr>
          <w:rFonts w:ascii="Arial" w:cs="Arial" w:eastAsia="Arial" w:hAnsi="Arial"/>
          <w:sz w:val="20"/>
          <w:szCs w:val="20"/>
          <w:b w:val="1"/>
          <w:bCs w:val="1"/>
          <w:color w:val="auto"/>
        </w:rPr>
        <w:t>Subsea: orders $1.5 billion, book-to-bill 1.2x, backlog $6.2 billion</w:t>
      </w:r>
    </w:p>
    <w:p>
      <w:pPr>
        <w:spacing w:after="0" w:line="23" w:lineRule="exact"/>
        <w:rPr>
          <w:rFonts w:ascii="Arial" w:cs="Arial" w:eastAsia="Arial" w:hAnsi="Arial"/>
          <w:sz w:val="20"/>
          <w:szCs w:val="20"/>
          <w:color w:val="auto"/>
        </w:rPr>
      </w:pPr>
    </w:p>
    <w:p>
      <w:pPr>
        <w:ind w:left="980" w:hanging="324"/>
        <w:spacing w:after="0"/>
        <w:tabs>
          <w:tab w:leader="none" w:pos="980" w:val="left"/>
        </w:tabs>
        <w:numPr>
          <w:ilvl w:val="1"/>
          <w:numId w:val="1"/>
        </w:numPr>
        <w:rPr>
          <w:rFonts w:ascii="Arial" w:cs="Arial" w:eastAsia="Arial" w:hAnsi="Arial"/>
          <w:sz w:val="20"/>
          <w:szCs w:val="20"/>
          <w:color w:val="auto"/>
        </w:rPr>
      </w:pPr>
      <w:r>
        <w:rPr>
          <w:rFonts w:ascii="Arial" w:cs="Arial" w:eastAsia="Arial" w:hAnsi="Arial"/>
          <w:sz w:val="20"/>
          <w:szCs w:val="20"/>
          <w:b w:val="1"/>
          <w:bCs w:val="1"/>
          <w:color w:val="auto"/>
        </w:rPr>
        <w:t>Onshore/Offshore: orders $2.3 billion, book-to-bill 1.7x, backlog $8.3 billion</w:t>
      </w:r>
    </w:p>
    <w:p>
      <w:pPr>
        <w:ind w:left="660" w:hanging="328"/>
        <w:spacing w:after="0"/>
        <w:tabs>
          <w:tab w:leader="none" w:pos="66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Onshore/Offshore guidance for 2018 increased</w:t>
      </w:r>
    </w:p>
    <w:p>
      <w:pPr>
        <w:spacing w:after="0" w:line="200" w:lineRule="exact"/>
        <w:rPr>
          <w:sz w:val="20"/>
          <w:szCs w:val="20"/>
          <w:color w:val="auto"/>
        </w:rPr>
      </w:pPr>
    </w:p>
    <w:p>
      <w:pPr>
        <w:spacing w:after="0" w:line="397" w:lineRule="exact"/>
        <w:rPr>
          <w:sz w:val="20"/>
          <w:szCs w:val="20"/>
          <w:color w:val="auto"/>
        </w:rPr>
      </w:pPr>
    </w:p>
    <w:p>
      <w:pPr>
        <w:spacing w:after="0" w:line="272" w:lineRule="auto"/>
        <w:rPr>
          <w:sz w:val="20"/>
          <w:szCs w:val="20"/>
          <w:color w:val="auto"/>
        </w:rPr>
      </w:pPr>
      <w:r>
        <w:rPr>
          <w:rFonts w:ascii="Arial" w:cs="Arial" w:eastAsia="Arial" w:hAnsi="Arial"/>
          <w:sz w:val="20"/>
          <w:szCs w:val="20"/>
          <w:b w:val="1"/>
          <w:bCs w:val="1"/>
          <w:color w:val="auto"/>
        </w:rPr>
        <w:t xml:space="preserve">LONDON, PARIS, HOUSTON, July 25, 2018 - </w:t>
      </w:r>
      <w:r>
        <w:rPr>
          <w:rFonts w:ascii="Arial" w:cs="Arial" w:eastAsia="Arial" w:hAnsi="Arial"/>
          <w:sz w:val="20"/>
          <w:szCs w:val="20"/>
          <w:color w:val="auto"/>
        </w:rPr>
        <w:t>TechnipFMC plc (NYSE: FTI) (Paris: FTI) today reported second quarter 2018</w:t>
      </w:r>
      <w:r>
        <w:rPr>
          <w:rFonts w:ascii="Arial" w:cs="Arial" w:eastAsia="Arial" w:hAnsi="Arial"/>
          <w:sz w:val="20"/>
          <w:szCs w:val="20"/>
          <w:b w:val="1"/>
          <w:bCs w:val="1"/>
          <w:color w:val="auto"/>
        </w:rPr>
        <w:t xml:space="preserve"> </w:t>
      </w:r>
      <w:r>
        <w:rPr>
          <w:rFonts w:ascii="Arial" w:cs="Arial" w:eastAsia="Arial" w:hAnsi="Arial"/>
          <w:sz w:val="20"/>
          <w:szCs w:val="20"/>
          <w:color w:val="auto"/>
        </w:rPr>
        <w:t>results.</w:t>
      </w:r>
    </w:p>
    <w:p>
      <w:pPr>
        <w:spacing w:after="0" w:line="124"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Total Company net income was $105.7 million, or $ 0.23 per diluted share. These results included after-tax charges and credits of $26.1 million, or $0.05 per diluted share as detailed in the financial schedules. Adjusted diluted earnings per share were $0.28.</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pre-tax items impacted the quarter and were not included in the Company’s guidance:</w:t>
      </w:r>
    </w:p>
    <w:p>
      <w:pPr>
        <w:spacing w:after="0" w:line="16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$24.3 million, or $0.04 per diluted share, of foreign exchange losses included in corporate expense; and</w:t>
      </w:r>
    </w:p>
    <w:p>
      <w:pPr>
        <w:ind w:left="660" w:hanging="328"/>
        <w:spacing w:after="0"/>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$49.1 million, or $0.11 per diluted share, of increased liability payable to joint venture partners included in interest expense.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Total Company revenue was $2,960.9 million. Adjusted EBITDA, which excludes charges and credits, was $377.2 million.</w:t>
      </w:r>
    </w:p>
    <w:p>
      <w:pPr>
        <w:spacing w:after="0"/>
        <w:rPr>
          <w:sz w:val="20"/>
          <w:szCs w:val="20"/>
          <w:color w:val="auto"/>
        </w:rPr>
      </w:pPr>
      <w:r>
        <w:rPr>
          <w:rFonts w:ascii="Arial" w:cs="Arial" w:eastAsia="Arial" w:hAnsi="Arial"/>
          <w:sz w:val="20"/>
          <w:szCs w:val="20"/>
          <w:color w:val="auto"/>
        </w:rPr>
        <w:t>Adjusted EBITDA margin was 12.7 percent.</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below and in the financial schedules.</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5960" w:type="dxa"/>
            <w:vAlign w:val="bottom"/>
            <w:tcBorders>
              <w:top w:val="single" w:sz="8" w:color="BFE4FF"/>
              <w:left w:val="single" w:sz="8" w:color="BFE4FF"/>
              <w:right w:val="single" w:sz="8" w:color="BFE4FF"/>
            </w:tcBorders>
          </w:tcPr>
          <w:p>
            <w:pPr>
              <w:spacing w:after="0"/>
              <w:rPr>
                <w:sz w:val="18"/>
                <w:szCs w:val="18"/>
                <w:color w:val="auto"/>
              </w:rPr>
            </w:pPr>
          </w:p>
        </w:tc>
        <w:tc>
          <w:tcPr>
            <w:tcW w:w="1900" w:type="dxa"/>
            <w:vAlign w:val="bottom"/>
            <w:tcBorders>
              <w:top w:val="single" w:sz="8" w:color="BFE4FF"/>
              <w:right w:val="single" w:sz="8" w:color="BFE4FF"/>
            </w:tcBorders>
          </w:tcPr>
          <w:p>
            <w:pPr>
              <w:jc w:val="right"/>
              <w:ind w:right="166"/>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tcBorders>
              <w:top w:val="single" w:sz="8" w:color="BFE4FF"/>
              <w:right w:val="single" w:sz="8" w:color="BFE4FF"/>
            </w:tcBorders>
          </w:tcPr>
          <w:p>
            <w:pPr>
              <w:jc w:val="right"/>
              <w:ind w:right="146"/>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tcBorders>
              <w:top w:val="single" w:sz="8" w:color="BFE4FF"/>
              <w:right w:val="single" w:sz="8" w:color="BFE4FF"/>
            </w:tcBorders>
          </w:tcPr>
          <w:p>
            <w:pPr>
              <w:spacing w:after="0"/>
              <w:rPr>
                <w:sz w:val="18"/>
                <w:szCs w:val="18"/>
                <w:color w:val="auto"/>
              </w:rPr>
            </w:pPr>
          </w:p>
        </w:tc>
      </w:tr>
      <w:tr>
        <w:trPr>
          <w:trHeight w:val="405"/>
        </w:trPr>
        <w:tc>
          <w:tcPr>
            <w:tcW w:w="5960" w:type="dxa"/>
            <w:vAlign w:val="bottom"/>
            <w:tcBorders>
              <w:left w:val="single" w:sz="8" w:color="BFE4FF"/>
              <w:right w:val="single" w:sz="8" w:color="BFE4FF"/>
            </w:tcBorders>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900" w:type="dxa"/>
            <w:vAlign w:val="bottom"/>
            <w:tcBorders>
              <w:right w:val="single" w:sz="8" w:color="BFE4FF"/>
            </w:tcBorders>
          </w:tcPr>
          <w:p>
            <w:pPr>
              <w:jc w:val="right"/>
              <w:ind w:right="406"/>
              <w:spacing w:after="0"/>
              <w:rPr>
                <w:sz w:val="20"/>
                <w:szCs w:val="20"/>
                <w:color w:val="auto"/>
              </w:rPr>
            </w:pPr>
            <w:r>
              <w:rPr>
                <w:rFonts w:ascii="Arial" w:cs="Arial" w:eastAsia="Arial" w:hAnsi="Arial"/>
                <w:sz w:val="14"/>
                <w:szCs w:val="14"/>
                <w:b w:val="1"/>
                <w:bCs w:val="1"/>
                <w:color w:val="auto"/>
              </w:rPr>
              <w:t>June 30, 2018</w:t>
            </w:r>
          </w:p>
        </w:tc>
        <w:tc>
          <w:tcPr>
            <w:tcW w:w="1900" w:type="dxa"/>
            <w:vAlign w:val="bottom"/>
            <w:tcBorders>
              <w:right w:val="single" w:sz="8" w:color="BFE4FF"/>
            </w:tcBorders>
          </w:tcPr>
          <w:p>
            <w:pPr>
              <w:jc w:val="right"/>
              <w:ind w:right="406"/>
              <w:spacing w:after="0"/>
              <w:rPr>
                <w:sz w:val="20"/>
                <w:szCs w:val="20"/>
                <w:color w:val="auto"/>
              </w:rPr>
            </w:pPr>
            <w:r>
              <w:rPr>
                <w:rFonts w:ascii="Arial" w:cs="Arial" w:eastAsia="Arial" w:hAnsi="Arial"/>
                <w:sz w:val="14"/>
                <w:szCs w:val="14"/>
                <w:b w:val="1"/>
                <w:bCs w:val="1"/>
                <w:color w:val="auto"/>
              </w:rPr>
              <w:t>June 30, 2017</w:t>
            </w:r>
          </w:p>
        </w:tc>
        <w:tc>
          <w:tcPr>
            <w:tcW w:w="1660" w:type="dxa"/>
            <w:vAlign w:val="bottom"/>
            <w:tcBorders>
              <w:right w:val="single" w:sz="8" w:color="BFE4FF"/>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181"/>
        </w:trPr>
        <w:tc>
          <w:tcPr>
            <w:tcW w:w="5960" w:type="dxa"/>
            <w:vAlign w:val="bottom"/>
            <w:tcBorders>
              <w:left w:val="single" w:sz="8" w:color="BFE4FF"/>
              <w:bottom w:val="single" w:sz="8" w:color="BFE4FF"/>
              <w:right w:val="single" w:sz="8" w:color="BFE4FF"/>
            </w:tcBorders>
          </w:tcPr>
          <w:p>
            <w:pPr>
              <w:spacing w:after="0"/>
              <w:rPr>
                <w:sz w:val="15"/>
                <w:szCs w:val="15"/>
                <w:color w:val="auto"/>
              </w:rPr>
            </w:pPr>
          </w:p>
        </w:tc>
        <w:tc>
          <w:tcPr>
            <w:tcW w:w="1900" w:type="dxa"/>
            <w:vAlign w:val="bottom"/>
            <w:tcBorders>
              <w:bottom w:val="single" w:sz="8" w:color="BFE4FF"/>
              <w:right w:val="single" w:sz="8" w:color="BFE4FF"/>
            </w:tcBorders>
          </w:tcPr>
          <w:p>
            <w:pPr>
              <w:spacing w:after="0"/>
              <w:rPr>
                <w:sz w:val="15"/>
                <w:szCs w:val="15"/>
                <w:color w:val="auto"/>
              </w:rPr>
            </w:pPr>
          </w:p>
        </w:tc>
        <w:tc>
          <w:tcPr>
            <w:tcW w:w="1900" w:type="dxa"/>
            <w:vAlign w:val="bottom"/>
            <w:tcBorders>
              <w:bottom w:val="single" w:sz="8" w:color="BFE4FF"/>
              <w:right w:val="single" w:sz="8" w:color="BFE4FF"/>
            </w:tcBorders>
          </w:tcPr>
          <w:p>
            <w:pPr>
              <w:spacing w:after="0"/>
              <w:rPr>
                <w:sz w:val="15"/>
                <w:szCs w:val="15"/>
                <w:color w:val="auto"/>
              </w:rPr>
            </w:pPr>
          </w:p>
        </w:tc>
        <w:tc>
          <w:tcPr>
            <w:tcW w:w="1660" w:type="dxa"/>
            <w:vAlign w:val="bottom"/>
            <w:tcBorders>
              <w:bottom w:val="single" w:sz="8" w:color="BFE4FF"/>
              <w:right w:val="single" w:sz="8" w:color="BFE4FF"/>
            </w:tcBorders>
          </w:tcPr>
          <w:p>
            <w:pPr>
              <w:spacing w:after="0"/>
              <w:rPr>
                <w:sz w:val="15"/>
                <w:szCs w:val="15"/>
                <w:color w:val="auto"/>
              </w:rPr>
            </w:pPr>
          </w:p>
        </w:tc>
      </w:tr>
      <w:tr>
        <w:trPr>
          <w:trHeight w:val="266"/>
        </w:trPr>
        <w:tc>
          <w:tcPr>
            <w:tcW w:w="59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$2,960.9</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$3,845.0</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7"/>
              </w:rPr>
              <w:t>(23.0%)</w:t>
            </w:r>
          </w:p>
        </w:tc>
      </w:tr>
      <w:tr>
        <w:trPr>
          <w:trHeight w:val="264"/>
        </w:trPr>
        <w:tc>
          <w:tcPr>
            <w:tcW w:w="59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Net income</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$105.7</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$164.9</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7"/>
              </w:rPr>
              <w:t>(35.9%)</w:t>
            </w:r>
          </w:p>
        </w:tc>
      </w:tr>
      <w:tr>
        <w:trPr>
          <w:trHeight w:val="264"/>
        </w:trPr>
        <w:tc>
          <w:tcPr>
            <w:tcW w:w="59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Diluted EPS</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$0.23</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$0.35</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7"/>
              </w:rPr>
              <w:t>(34.3%)</w:t>
            </w:r>
          </w:p>
        </w:tc>
      </w:tr>
      <w:tr>
        <w:trPr>
          <w:trHeight w:val="322"/>
        </w:trPr>
        <w:tc>
          <w:tcPr>
            <w:tcW w:w="5960" w:type="dxa"/>
            <w:vAlign w:val="bottom"/>
            <w:tcBorders>
              <w:left w:val="single" w:sz="8" w:color="BFE4FF"/>
              <w:bottom w:val="single" w:sz="8" w:color="BFE4FF"/>
              <w:right w:val="single" w:sz="8" w:color="BFE4FF"/>
            </w:tcBorders>
          </w:tcPr>
          <w:p>
            <w:pPr>
              <w:spacing w:after="0"/>
              <w:rPr>
                <w:sz w:val="24"/>
                <w:szCs w:val="24"/>
                <w:color w:val="auto"/>
              </w:rPr>
            </w:pPr>
          </w:p>
        </w:tc>
        <w:tc>
          <w:tcPr>
            <w:tcW w:w="1900" w:type="dxa"/>
            <w:vAlign w:val="bottom"/>
            <w:tcBorders>
              <w:bottom w:val="single" w:sz="8" w:color="BFE4FF"/>
              <w:right w:val="single" w:sz="8" w:color="BFE4FF"/>
            </w:tcBorders>
          </w:tcPr>
          <w:p>
            <w:pPr>
              <w:spacing w:after="0"/>
              <w:rPr>
                <w:sz w:val="24"/>
                <w:szCs w:val="24"/>
                <w:color w:val="auto"/>
              </w:rPr>
            </w:pPr>
          </w:p>
        </w:tc>
        <w:tc>
          <w:tcPr>
            <w:tcW w:w="1900" w:type="dxa"/>
            <w:vAlign w:val="bottom"/>
            <w:tcBorders>
              <w:bottom w:val="single" w:sz="8" w:color="BFE4FF"/>
              <w:right w:val="single" w:sz="8" w:color="BFE4FF"/>
            </w:tcBorders>
          </w:tcPr>
          <w:p>
            <w:pPr>
              <w:spacing w:after="0"/>
              <w:rPr>
                <w:sz w:val="24"/>
                <w:szCs w:val="24"/>
                <w:color w:val="auto"/>
              </w:rPr>
            </w:pPr>
          </w:p>
        </w:tc>
        <w:tc>
          <w:tcPr>
            <w:tcW w:w="1660" w:type="dxa"/>
            <w:vAlign w:val="bottom"/>
            <w:tcBorders>
              <w:bottom w:val="single" w:sz="8" w:color="CCEEFF"/>
              <w:right w:val="single" w:sz="8" w:color="BFE4FF"/>
            </w:tcBorders>
          </w:tcPr>
          <w:p>
            <w:pPr>
              <w:spacing w:after="0"/>
              <w:rPr>
                <w:sz w:val="24"/>
                <w:szCs w:val="24"/>
                <w:color w:val="auto"/>
              </w:rPr>
            </w:pPr>
          </w:p>
        </w:tc>
      </w:tr>
      <w:tr>
        <w:trPr>
          <w:trHeight w:val="259"/>
        </w:trPr>
        <w:tc>
          <w:tcPr>
            <w:tcW w:w="59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$377.2</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$501.3</w:t>
            </w:r>
          </w:p>
        </w:tc>
        <w:tc>
          <w:tcPr>
            <w:tcW w:w="166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7"/>
              </w:rPr>
              <w:t>(24.8%)</w:t>
            </w:r>
          </w:p>
        </w:tc>
      </w:tr>
      <w:tr>
        <w:trPr>
          <w:trHeight w:val="264"/>
        </w:trPr>
        <w:tc>
          <w:tcPr>
            <w:tcW w:w="59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900" w:type="dxa"/>
            <w:vAlign w:val="bottom"/>
            <w:tcBorders>
              <w:bottom w:val="single" w:sz="8" w:color="BFE4FF"/>
              <w:right w:val="single" w:sz="8" w:color="BFE4FF"/>
            </w:tcBorders>
          </w:tcPr>
          <w:p>
            <w:pPr>
              <w:jc w:val="right"/>
              <w:ind w:right="106"/>
              <w:spacing w:after="0"/>
              <w:rPr>
                <w:sz w:val="20"/>
                <w:szCs w:val="20"/>
                <w:color w:val="auto"/>
              </w:rPr>
            </w:pPr>
            <w:r>
              <w:rPr>
                <w:rFonts w:ascii="Arial" w:cs="Arial" w:eastAsia="Arial" w:hAnsi="Arial"/>
                <w:sz w:val="20"/>
                <w:szCs w:val="20"/>
                <w:color w:val="auto"/>
              </w:rPr>
              <w:t>12.7%</w:t>
            </w:r>
          </w:p>
        </w:tc>
        <w:tc>
          <w:tcPr>
            <w:tcW w:w="1900" w:type="dxa"/>
            <w:vAlign w:val="bottom"/>
            <w:tcBorders>
              <w:bottom w:val="single" w:sz="8" w:color="BFE4FF"/>
              <w:right w:val="single" w:sz="8" w:color="BFE4FF"/>
            </w:tcBorders>
          </w:tcPr>
          <w:p>
            <w:pPr>
              <w:jc w:val="right"/>
              <w:ind w:right="86"/>
              <w:spacing w:after="0"/>
              <w:rPr>
                <w:sz w:val="20"/>
                <w:szCs w:val="20"/>
                <w:color w:val="auto"/>
              </w:rPr>
            </w:pPr>
            <w:r>
              <w:rPr>
                <w:rFonts w:ascii="Arial" w:cs="Arial" w:eastAsia="Arial" w:hAnsi="Arial"/>
                <w:sz w:val="20"/>
                <w:szCs w:val="20"/>
                <w:color w:val="auto"/>
              </w:rPr>
              <w:t>13.0%</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8"/>
              </w:rPr>
              <w:t>(30 bps)</w:t>
            </w:r>
          </w:p>
        </w:tc>
      </w:tr>
      <w:tr>
        <w:trPr>
          <w:trHeight w:val="264"/>
        </w:trPr>
        <w:tc>
          <w:tcPr>
            <w:tcW w:w="59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Net income, excluding charges and credits</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$131.8</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$211.9</w:t>
            </w:r>
          </w:p>
        </w:tc>
        <w:tc>
          <w:tcPr>
            <w:tcW w:w="166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7"/>
              </w:rPr>
              <w:t>(37.8%)</w:t>
            </w:r>
          </w:p>
        </w:tc>
      </w:tr>
      <w:tr>
        <w:trPr>
          <w:trHeight w:val="264"/>
        </w:trPr>
        <w:tc>
          <w:tcPr>
            <w:tcW w:w="59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Diluted EPS, excluding charges and credits</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$0.28</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$0.45</w:t>
            </w:r>
          </w:p>
        </w:tc>
        <w:tc>
          <w:tcPr>
            <w:tcW w:w="166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7"/>
              </w:rPr>
              <w:t>(37.8%)</w:t>
            </w:r>
          </w:p>
        </w:tc>
      </w:tr>
      <w:tr>
        <w:trPr>
          <w:trHeight w:val="322"/>
        </w:trPr>
        <w:tc>
          <w:tcPr>
            <w:tcW w:w="5960" w:type="dxa"/>
            <w:vAlign w:val="bottom"/>
            <w:tcBorders>
              <w:left w:val="single" w:sz="8" w:color="BFE4FF"/>
              <w:bottom w:val="single" w:sz="8" w:color="BFE4FF"/>
              <w:right w:val="single" w:sz="8" w:color="BFE4FF"/>
            </w:tcBorders>
          </w:tcPr>
          <w:p>
            <w:pPr>
              <w:spacing w:after="0"/>
              <w:rPr>
                <w:sz w:val="24"/>
                <w:szCs w:val="24"/>
                <w:color w:val="auto"/>
              </w:rPr>
            </w:pPr>
          </w:p>
        </w:tc>
        <w:tc>
          <w:tcPr>
            <w:tcW w:w="1900" w:type="dxa"/>
            <w:vAlign w:val="bottom"/>
            <w:tcBorders>
              <w:bottom w:val="single" w:sz="8" w:color="BFE4FF"/>
              <w:right w:val="single" w:sz="8" w:color="BFE4FF"/>
            </w:tcBorders>
          </w:tcPr>
          <w:p>
            <w:pPr>
              <w:spacing w:after="0"/>
              <w:rPr>
                <w:sz w:val="24"/>
                <w:szCs w:val="24"/>
                <w:color w:val="auto"/>
              </w:rPr>
            </w:pPr>
          </w:p>
        </w:tc>
        <w:tc>
          <w:tcPr>
            <w:tcW w:w="1900" w:type="dxa"/>
            <w:vAlign w:val="bottom"/>
            <w:tcBorders>
              <w:bottom w:val="single" w:sz="8" w:color="BFE4FF"/>
              <w:right w:val="single" w:sz="8" w:color="BFE4FF"/>
            </w:tcBorders>
          </w:tcPr>
          <w:p>
            <w:pPr>
              <w:spacing w:after="0"/>
              <w:rPr>
                <w:sz w:val="24"/>
                <w:szCs w:val="24"/>
                <w:color w:val="auto"/>
              </w:rPr>
            </w:pPr>
          </w:p>
        </w:tc>
        <w:tc>
          <w:tcPr>
            <w:tcW w:w="1660" w:type="dxa"/>
            <w:vAlign w:val="bottom"/>
            <w:tcBorders>
              <w:bottom w:val="single" w:sz="8" w:color="CCEEFF"/>
              <w:right w:val="single" w:sz="8" w:color="BFE4FF"/>
            </w:tcBorders>
          </w:tcPr>
          <w:p>
            <w:pPr>
              <w:spacing w:after="0"/>
              <w:rPr>
                <w:sz w:val="24"/>
                <w:szCs w:val="24"/>
                <w:color w:val="auto"/>
              </w:rPr>
            </w:pPr>
          </w:p>
        </w:tc>
      </w:tr>
      <w:tr>
        <w:trPr>
          <w:trHeight w:val="259"/>
        </w:trPr>
        <w:tc>
          <w:tcPr>
            <w:tcW w:w="59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$4,231.7</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$3,153.0</w:t>
            </w:r>
          </w:p>
        </w:tc>
        <w:tc>
          <w:tcPr>
            <w:tcW w:w="166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34.2%</w:t>
            </w:r>
          </w:p>
        </w:tc>
      </w:tr>
      <w:tr>
        <w:trPr>
          <w:trHeight w:val="264"/>
        </w:trPr>
        <w:tc>
          <w:tcPr>
            <w:tcW w:w="596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$14,871.8</w:t>
            </w:r>
          </w:p>
        </w:tc>
        <w:tc>
          <w:tcPr>
            <w:tcW w:w="1900" w:type="dxa"/>
            <w:vAlign w:val="bottom"/>
            <w:tcBorders>
              <w:bottom w:val="single" w:sz="8" w:color="BFE4FF"/>
              <w:right w:val="single" w:sz="8" w:color="BFE4FF"/>
            </w:tcBorders>
          </w:tcPr>
          <w:p>
            <w:pPr>
              <w:jc w:val="right"/>
              <w:ind w:right="266"/>
              <w:spacing w:after="0"/>
              <w:rPr>
                <w:sz w:val="20"/>
                <w:szCs w:val="20"/>
                <w:color w:val="auto"/>
              </w:rPr>
            </w:pPr>
            <w:r>
              <w:rPr>
                <w:rFonts w:ascii="Arial" w:cs="Arial" w:eastAsia="Arial" w:hAnsi="Arial"/>
                <w:sz w:val="20"/>
                <w:szCs w:val="20"/>
                <w:color w:val="auto"/>
              </w:rPr>
              <w:t>$15,182.9</w:t>
            </w:r>
          </w:p>
        </w:tc>
        <w:tc>
          <w:tcPr>
            <w:tcW w:w="166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(2.0%)</w:t>
            </w:r>
          </w:p>
        </w:tc>
      </w:tr>
    </w:tbl>
    <w:p>
      <w:pPr>
        <w:sectPr>
          <w:pgSz w:w="11900" w:h="16838" w:orient="portrait"/>
          <w:cols w:equalWidth="0" w:num="1">
            <w:col w:w="11420"/>
          </w:cols>
          <w:pgMar w:left="240" w:top="1127" w:right="239" w:bottom="1440" w:gutter="0" w:footer="0" w:header="0"/>
        </w:sectPr>
      </w:pPr>
    </w:p>
    <w:bookmarkStart w:id="5" w:name="page6"/>
    <w:bookmarkEnd w:id="5"/>
    <w:p>
      <w:pPr>
        <w:jc w:val="both"/>
        <w:spacing w:after="0" w:line="24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Doug Pferdehirt, CEO of TechnipFMC, stated, “Our second quarter results reflect strong operational performance across all business segments. The strong sequential recovery in Surface Technologies margin serves as a good example of our execution focus.”</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“Total Company inbound orders in the quarter improved to $4.2 billion - the largest quarterly inbound to date for our Company. This was the second consecutive quarter in which inbound orders exceeded revenues. Total Company backlog increased sequentially to $14.9 billion. Onshore/Offshore delivered the strongest growth, with backlog increasing 30 percent since year-end to $8.3 billion.”</w:t>
      </w:r>
    </w:p>
    <w:p>
      <w:pPr>
        <w:spacing w:after="0" w:line="15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“During the quarter, we successfully delivered the industry’s first full-cycle, integrated EPCI (iEPCI™) project for Shell’s Kaikias development. Our collaborative early engagement significantly simplified field architecture, further enabled by innovative Subsea 2.0™ technology. The single company project team delivered a fast-track installation that achieved production one year ahead of the initial schedule. With these outstanding results, our partner Shell believes Kaikias is the most competitive project in the U.S. Gulf of Mexico.”</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“Kaikias serves as just one example of the rapidly emerging trend towards subsea project integration and next generation technology adoption,” added Pferdehirt. “This approach represents a significant departure from ‘business as usual’ where distinct project scopes are bid independently; TechnipFMC is driving this new business model forward. We are demonstrating to the industry that savings in both cost and time increase as project integration moves higher. These savings increase substantially when combined with early engagement, integrated FEED (iFEED™), and the use of new technologies. As the only single-source provider with all these capabilities, we remain uniquely positioned to lead this market evolution.”</w:t>
      </w:r>
    </w:p>
    <w:p>
      <w:pPr>
        <w:spacing w:after="0" w:line="15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Pferdehirt concluded, “Our second quarter results provide a solid foundation to achieving our full-year financial objectives. Our future opportunities are driven by leverage to the three major energy investment themes of subsea, LNG, and unconventional resources.</w:t>
      </w:r>
    </w:p>
    <w:p>
      <w:pPr>
        <w:spacing w:after="0" w:line="152" w:lineRule="exact"/>
        <w:rPr>
          <w:sz w:val="20"/>
          <w:szCs w:val="20"/>
          <w:color w:val="auto"/>
        </w:rPr>
      </w:pPr>
    </w:p>
    <w:p>
      <w:pPr>
        <w:ind w:left="340" w:hanging="251"/>
        <w:spacing w:after="0" w:line="247" w:lineRule="auto"/>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subsea, we are the industry’s only provider of fully-integrated solutions, with a differentiated suite of advanced technologies and cost-effective solutions.</w:t>
      </w:r>
    </w:p>
    <w:p>
      <w:pPr>
        <w:spacing w:after="0" w:line="147" w:lineRule="exact"/>
        <w:rPr>
          <w:rFonts w:ascii="Arial" w:cs="Arial" w:eastAsia="Arial" w:hAnsi="Arial"/>
          <w:sz w:val="20"/>
          <w:szCs w:val="20"/>
          <w:color w:val="auto"/>
        </w:rPr>
      </w:pPr>
    </w:p>
    <w:p>
      <w:pPr>
        <w:ind w:left="340" w:hanging="251"/>
        <w:spacing w:after="0" w:line="247" w:lineRule="auto"/>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LNG, we are a clear market leader having delivered over 20 percent of global operating capacity, and we are currently executing several of the industry’s key projects and FEEDs.</w:t>
      </w:r>
    </w:p>
    <w:p>
      <w:pPr>
        <w:spacing w:after="0" w:line="147" w:lineRule="exact"/>
        <w:rPr>
          <w:rFonts w:ascii="Arial" w:cs="Arial" w:eastAsia="Arial" w:hAnsi="Arial"/>
          <w:sz w:val="20"/>
          <w:szCs w:val="20"/>
          <w:color w:val="auto"/>
        </w:rPr>
      </w:pPr>
    </w:p>
    <w:p>
      <w:pPr>
        <w:ind w:left="340" w:right="20" w:hanging="251"/>
        <w:spacing w:after="0" w:line="247" w:lineRule="auto"/>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And in unconventional resources, we have leading market positions in products and services that support ongoing efficiency gains for complex well completions.</w:t>
      </w:r>
    </w:p>
    <w:p>
      <w:pPr>
        <w:spacing w:after="0" w:line="148"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color w:val="auto"/>
        </w:rPr>
        <w:t>Through our unique business model, differentiated technologies, and execution capability, we are best positioned to capitalize on the growth of subsea, LNG, and unconventional resources.”</w:t>
      </w:r>
    </w:p>
    <w:p>
      <w:pPr>
        <w:sectPr>
          <w:pgSz w:w="11900" w:h="16838" w:orient="portrait"/>
          <w:cols w:equalWidth="0" w:num="1">
            <w:col w:w="11420"/>
          </w:cols>
          <w:pgMar w:left="240" w:top="1027"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Operational and Financial Highlights - Second Quarter 2018</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below and in the financial schedules.</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5980" w:type="dxa"/>
            <w:vAlign w:val="bottom"/>
            <w:tcBorders>
              <w:top w:val="single" w:sz="8" w:color="BFE4FF"/>
              <w:left w:val="single" w:sz="8" w:color="BFE4FF"/>
              <w:right w:val="single" w:sz="8" w:color="BFE4FF"/>
            </w:tcBorders>
          </w:tcPr>
          <w:p>
            <w:pPr>
              <w:spacing w:after="0"/>
              <w:rPr>
                <w:sz w:val="21"/>
                <w:szCs w:val="21"/>
                <w:color w:val="auto"/>
              </w:rPr>
            </w:pPr>
          </w:p>
        </w:tc>
        <w:tc>
          <w:tcPr>
            <w:tcW w:w="1880" w:type="dxa"/>
            <w:vAlign w:val="bottom"/>
            <w:tcBorders>
              <w:top w:val="single" w:sz="8" w:color="BFE4FF"/>
              <w:right w:val="single" w:sz="8" w:color="BFE4FF"/>
            </w:tcBorders>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tcBorders>
              <w:top w:val="single" w:sz="8" w:color="BFE4FF"/>
              <w:right w:val="single" w:sz="8" w:color="BFE4FF"/>
            </w:tcBorders>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tcBorders>
              <w:top w:val="single" w:sz="8" w:color="BFE4FF"/>
              <w:right w:val="single" w:sz="8" w:color="BFE4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Borders>
              <w:left w:val="single" w:sz="8" w:color="BFE4FF"/>
              <w:right w:val="single" w:sz="8" w:color="BFE4FF"/>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80" w:type="dxa"/>
            <w:vAlign w:val="bottom"/>
            <w:tcBorders>
              <w:right w:val="single" w:sz="8" w:color="BFE4FF"/>
            </w:tcBorders>
          </w:tcPr>
          <w:p>
            <w:pPr>
              <w:jc w:val="right"/>
              <w:ind w:right="388"/>
              <w:spacing w:after="0"/>
              <w:rPr>
                <w:sz w:val="20"/>
                <w:szCs w:val="20"/>
                <w:color w:val="auto"/>
              </w:rPr>
            </w:pPr>
            <w:r>
              <w:rPr>
                <w:rFonts w:ascii="Arial" w:cs="Arial" w:eastAsia="Arial" w:hAnsi="Arial"/>
                <w:sz w:val="14"/>
                <w:szCs w:val="14"/>
                <w:b w:val="1"/>
                <w:bCs w:val="1"/>
                <w:color w:val="auto"/>
              </w:rPr>
              <w:t>June 30, 2018</w:t>
            </w:r>
          </w:p>
        </w:tc>
        <w:tc>
          <w:tcPr>
            <w:tcW w:w="1900" w:type="dxa"/>
            <w:vAlign w:val="bottom"/>
            <w:tcBorders>
              <w:right w:val="single" w:sz="8" w:color="BFE4FF"/>
            </w:tcBorders>
          </w:tcPr>
          <w:p>
            <w:pPr>
              <w:jc w:val="right"/>
              <w:ind w:right="408"/>
              <w:spacing w:after="0"/>
              <w:rPr>
                <w:sz w:val="20"/>
                <w:szCs w:val="20"/>
                <w:color w:val="auto"/>
              </w:rPr>
            </w:pPr>
            <w:r>
              <w:rPr>
                <w:rFonts w:ascii="Arial" w:cs="Arial" w:eastAsia="Arial" w:hAnsi="Arial"/>
                <w:sz w:val="14"/>
                <w:szCs w:val="14"/>
                <w:b w:val="1"/>
                <w:bCs w:val="1"/>
                <w:color w:val="auto"/>
              </w:rPr>
              <w:t>June 30, 2017</w:t>
            </w:r>
          </w:p>
        </w:tc>
        <w:tc>
          <w:tcPr>
            <w:tcW w:w="1660" w:type="dxa"/>
            <w:vAlign w:val="bottom"/>
            <w:tcBorders>
              <w:right w:val="single" w:sz="8" w:color="BFE4FF"/>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1"/>
        </w:trPr>
        <w:tc>
          <w:tcPr>
            <w:tcW w:w="5980" w:type="dxa"/>
            <w:vAlign w:val="bottom"/>
            <w:tcBorders>
              <w:left w:val="single" w:sz="8" w:color="BFE4FF"/>
              <w:right w:val="single" w:sz="8" w:color="BFE4FF"/>
            </w:tcBorders>
            <w:vMerge w:val="continue"/>
          </w:tcPr>
          <w:p>
            <w:pPr>
              <w:spacing w:after="0"/>
              <w:rPr>
                <w:sz w:val="7"/>
                <w:szCs w:val="7"/>
                <w:color w:val="auto"/>
              </w:rPr>
            </w:pPr>
          </w:p>
        </w:tc>
        <w:tc>
          <w:tcPr>
            <w:tcW w:w="1880" w:type="dxa"/>
            <w:vAlign w:val="bottom"/>
            <w:tcBorders>
              <w:right w:val="single" w:sz="8" w:color="BFE4FF"/>
            </w:tcBorders>
          </w:tcPr>
          <w:p>
            <w:pPr>
              <w:spacing w:after="0"/>
              <w:rPr>
                <w:sz w:val="7"/>
                <w:szCs w:val="7"/>
                <w:color w:val="auto"/>
              </w:rPr>
            </w:pPr>
          </w:p>
        </w:tc>
        <w:tc>
          <w:tcPr>
            <w:tcW w:w="1900" w:type="dxa"/>
            <w:vAlign w:val="bottom"/>
            <w:tcBorders>
              <w:right w:val="single" w:sz="8" w:color="BFE4FF"/>
            </w:tcBorders>
          </w:tcPr>
          <w:p>
            <w:pPr>
              <w:spacing w:after="0"/>
              <w:rPr>
                <w:sz w:val="7"/>
                <w:szCs w:val="7"/>
                <w:color w:val="auto"/>
              </w:rPr>
            </w:pPr>
          </w:p>
        </w:tc>
        <w:tc>
          <w:tcPr>
            <w:tcW w:w="1660" w:type="dxa"/>
            <w:vAlign w:val="bottom"/>
            <w:tcBorders>
              <w:right w:val="single" w:sz="8" w:color="BFE4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5980" w:type="dxa"/>
            <w:vAlign w:val="bottom"/>
            <w:tcBorders>
              <w:left w:val="single" w:sz="8" w:color="BFE4FF"/>
              <w:bottom w:val="single" w:sz="8" w:color="BFE4FF"/>
              <w:right w:val="single" w:sz="8" w:color="BFE4FF"/>
            </w:tcBorders>
          </w:tcPr>
          <w:p>
            <w:pPr>
              <w:spacing w:after="0"/>
              <w:rPr>
                <w:sz w:val="9"/>
                <w:szCs w:val="9"/>
                <w:color w:val="auto"/>
              </w:rPr>
            </w:pPr>
          </w:p>
        </w:tc>
        <w:tc>
          <w:tcPr>
            <w:tcW w:w="1880" w:type="dxa"/>
            <w:vAlign w:val="bottom"/>
            <w:tcBorders>
              <w:bottom w:val="single" w:sz="8" w:color="BFE4FF"/>
              <w:right w:val="single" w:sz="8" w:color="BFE4FF"/>
            </w:tcBorders>
          </w:tcPr>
          <w:p>
            <w:pPr>
              <w:spacing w:after="0"/>
              <w:rPr>
                <w:sz w:val="9"/>
                <w:szCs w:val="9"/>
                <w:color w:val="auto"/>
              </w:rPr>
            </w:pPr>
          </w:p>
        </w:tc>
        <w:tc>
          <w:tcPr>
            <w:tcW w:w="1900" w:type="dxa"/>
            <w:vAlign w:val="bottom"/>
            <w:tcBorders>
              <w:bottom w:val="single" w:sz="8" w:color="BFE4FF"/>
              <w:right w:val="single" w:sz="8" w:color="BFE4FF"/>
            </w:tcBorders>
          </w:tcPr>
          <w:p>
            <w:pPr>
              <w:spacing w:after="0"/>
              <w:rPr>
                <w:sz w:val="9"/>
                <w:szCs w:val="9"/>
                <w:color w:val="auto"/>
              </w:rPr>
            </w:pPr>
          </w:p>
        </w:tc>
        <w:tc>
          <w:tcPr>
            <w:tcW w:w="1660" w:type="dxa"/>
            <w:vAlign w:val="bottom"/>
            <w:tcBorders>
              <w:bottom w:val="single" w:sz="8" w:color="BFE4FF"/>
              <w:right w:val="single" w:sz="8" w:color="BFE4FF"/>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9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$1,217.4</w:t>
            </w:r>
          </w:p>
        </w:tc>
        <w:tc>
          <w:tcPr>
            <w:tcW w:w="190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$1,730.3</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7"/>
              </w:rPr>
              <w:t>(29.6%)</w:t>
            </w:r>
          </w:p>
        </w:tc>
        <w:tc>
          <w:tcPr>
            <w:tcW w:w="0" w:type="dxa"/>
            <w:vAlign w:val="bottom"/>
          </w:tcPr>
          <w:p>
            <w:pPr>
              <w:spacing w:after="0"/>
              <w:rPr>
                <w:sz w:val="1"/>
                <w:szCs w:val="1"/>
                <w:color w:val="auto"/>
              </w:rPr>
            </w:pPr>
          </w:p>
        </w:tc>
      </w:tr>
      <w:tr>
        <w:trPr>
          <w:trHeight w:val="264"/>
        </w:trPr>
        <w:tc>
          <w:tcPr>
            <w:tcW w:w="59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$75.9</w:t>
            </w:r>
          </w:p>
        </w:tc>
        <w:tc>
          <w:tcPr>
            <w:tcW w:w="190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$236.1</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7"/>
              </w:rPr>
              <w:t>(67.9%)</w:t>
            </w:r>
          </w:p>
        </w:tc>
        <w:tc>
          <w:tcPr>
            <w:tcW w:w="0" w:type="dxa"/>
            <w:vAlign w:val="bottom"/>
          </w:tcPr>
          <w:p>
            <w:pPr>
              <w:spacing w:after="0"/>
              <w:rPr>
                <w:sz w:val="1"/>
                <w:szCs w:val="1"/>
                <w:color w:val="auto"/>
              </w:rPr>
            </w:pPr>
          </w:p>
        </w:tc>
      </w:tr>
      <w:tr>
        <w:trPr>
          <w:trHeight w:val="264"/>
        </w:trPr>
        <w:tc>
          <w:tcPr>
            <w:tcW w:w="59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$191.2</w:t>
            </w:r>
          </w:p>
        </w:tc>
        <w:tc>
          <w:tcPr>
            <w:tcW w:w="190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$376.7</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7"/>
              </w:rPr>
              <w:t>(49.2%)</w:t>
            </w:r>
          </w:p>
        </w:tc>
        <w:tc>
          <w:tcPr>
            <w:tcW w:w="0" w:type="dxa"/>
            <w:vAlign w:val="bottom"/>
          </w:tcPr>
          <w:p>
            <w:pPr>
              <w:spacing w:after="0"/>
              <w:rPr>
                <w:sz w:val="1"/>
                <w:szCs w:val="1"/>
                <w:color w:val="auto"/>
              </w:rPr>
            </w:pPr>
          </w:p>
        </w:tc>
      </w:tr>
      <w:tr>
        <w:trPr>
          <w:trHeight w:val="264"/>
        </w:trPr>
        <w:tc>
          <w:tcPr>
            <w:tcW w:w="59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880" w:type="dxa"/>
            <w:vAlign w:val="bottom"/>
            <w:tcBorders>
              <w:bottom w:val="single" w:sz="8" w:color="BFE4FF"/>
              <w:right w:val="single" w:sz="8" w:color="BFE4FF"/>
            </w:tcBorders>
          </w:tcPr>
          <w:p>
            <w:pPr>
              <w:jc w:val="right"/>
              <w:ind w:right="108"/>
              <w:spacing w:after="0"/>
              <w:rPr>
                <w:sz w:val="20"/>
                <w:szCs w:val="20"/>
                <w:color w:val="auto"/>
              </w:rPr>
            </w:pPr>
            <w:r>
              <w:rPr>
                <w:rFonts w:ascii="Arial" w:cs="Arial" w:eastAsia="Arial" w:hAnsi="Arial"/>
                <w:sz w:val="20"/>
                <w:szCs w:val="20"/>
                <w:color w:val="auto"/>
              </w:rPr>
              <w:t>15.7%</w:t>
            </w:r>
          </w:p>
        </w:tc>
        <w:tc>
          <w:tcPr>
            <w:tcW w:w="1900" w:type="dxa"/>
            <w:vAlign w:val="bottom"/>
            <w:tcBorders>
              <w:bottom w:val="single" w:sz="8" w:color="BFE4FF"/>
              <w:right w:val="single" w:sz="8" w:color="BFE4FF"/>
            </w:tcBorders>
          </w:tcPr>
          <w:p>
            <w:pPr>
              <w:jc w:val="right"/>
              <w:ind w:right="88"/>
              <w:spacing w:after="0"/>
              <w:rPr>
                <w:sz w:val="20"/>
                <w:szCs w:val="20"/>
                <w:color w:val="auto"/>
              </w:rPr>
            </w:pPr>
            <w:r>
              <w:rPr>
                <w:rFonts w:ascii="Arial" w:cs="Arial" w:eastAsia="Arial" w:hAnsi="Arial"/>
                <w:sz w:val="20"/>
                <w:szCs w:val="20"/>
                <w:color w:val="auto"/>
              </w:rPr>
              <w:t>21.8%</w:t>
            </w:r>
          </w:p>
        </w:tc>
        <w:tc>
          <w:tcPr>
            <w:tcW w:w="166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9"/>
              </w:rPr>
              <w:t>(607 bps)</w:t>
            </w:r>
          </w:p>
        </w:tc>
        <w:tc>
          <w:tcPr>
            <w:tcW w:w="0" w:type="dxa"/>
            <w:vAlign w:val="bottom"/>
          </w:tcPr>
          <w:p>
            <w:pPr>
              <w:spacing w:after="0"/>
              <w:rPr>
                <w:sz w:val="1"/>
                <w:szCs w:val="1"/>
                <w:color w:val="auto"/>
              </w:rPr>
            </w:pPr>
          </w:p>
        </w:tc>
      </w:tr>
      <w:tr>
        <w:trPr>
          <w:trHeight w:val="322"/>
        </w:trPr>
        <w:tc>
          <w:tcPr>
            <w:tcW w:w="5980" w:type="dxa"/>
            <w:vAlign w:val="bottom"/>
            <w:tcBorders>
              <w:left w:val="single" w:sz="8" w:color="BFE4FF"/>
              <w:bottom w:val="single" w:sz="8" w:color="BFE4FF"/>
              <w:right w:val="single" w:sz="8" w:color="BFE4FF"/>
            </w:tcBorders>
          </w:tcPr>
          <w:p>
            <w:pPr>
              <w:spacing w:after="0"/>
              <w:rPr>
                <w:sz w:val="24"/>
                <w:szCs w:val="24"/>
                <w:color w:val="auto"/>
              </w:rPr>
            </w:pPr>
          </w:p>
        </w:tc>
        <w:tc>
          <w:tcPr>
            <w:tcW w:w="1880" w:type="dxa"/>
            <w:vAlign w:val="bottom"/>
            <w:tcBorders>
              <w:bottom w:val="single" w:sz="8" w:color="BFE4FF"/>
              <w:right w:val="single" w:sz="8" w:color="BFE4FF"/>
            </w:tcBorders>
          </w:tcPr>
          <w:p>
            <w:pPr>
              <w:spacing w:after="0"/>
              <w:rPr>
                <w:sz w:val="24"/>
                <w:szCs w:val="24"/>
                <w:color w:val="auto"/>
              </w:rPr>
            </w:pPr>
          </w:p>
        </w:tc>
        <w:tc>
          <w:tcPr>
            <w:tcW w:w="1900" w:type="dxa"/>
            <w:vAlign w:val="bottom"/>
            <w:tcBorders>
              <w:bottom w:val="single" w:sz="8" w:color="BFE4FF"/>
              <w:right w:val="single" w:sz="8" w:color="BFE4FF"/>
            </w:tcBorders>
          </w:tcPr>
          <w:p>
            <w:pPr>
              <w:spacing w:after="0"/>
              <w:rPr>
                <w:sz w:val="24"/>
                <w:szCs w:val="24"/>
                <w:color w:val="auto"/>
              </w:rPr>
            </w:pPr>
          </w:p>
        </w:tc>
        <w:tc>
          <w:tcPr>
            <w:tcW w:w="1660" w:type="dxa"/>
            <w:vAlign w:val="bottom"/>
            <w:tcBorders>
              <w:bottom w:val="single" w:sz="8" w:color="CCEEFF"/>
              <w:right w:val="single" w:sz="8" w:color="BFE4FF"/>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9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$1,516.2</w:t>
            </w:r>
          </w:p>
        </w:tc>
        <w:tc>
          <w:tcPr>
            <w:tcW w:w="190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$1,773.0</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7"/>
              </w:rPr>
              <w:t>(14.5%)</w:t>
            </w:r>
          </w:p>
        </w:tc>
        <w:tc>
          <w:tcPr>
            <w:tcW w:w="0" w:type="dxa"/>
            <w:vAlign w:val="bottom"/>
          </w:tcPr>
          <w:p>
            <w:pPr>
              <w:spacing w:after="0"/>
              <w:rPr>
                <w:sz w:val="1"/>
                <w:szCs w:val="1"/>
                <w:color w:val="auto"/>
              </w:rPr>
            </w:pPr>
          </w:p>
        </w:tc>
      </w:tr>
      <w:tr>
        <w:trPr>
          <w:trHeight w:val="264"/>
        </w:trPr>
        <w:tc>
          <w:tcPr>
            <w:tcW w:w="598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$6,177.0</w:t>
            </w:r>
          </w:p>
        </w:tc>
        <w:tc>
          <w:tcPr>
            <w:tcW w:w="190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$6,186.8</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8"/>
              </w:rPr>
              <w:t>(0.2%)</w:t>
            </w:r>
          </w:p>
        </w:tc>
        <w:tc>
          <w:tcPr>
            <w:tcW w:w="0" w:type="dxa"/>
            <w:vAlign w:val="bottom"/>
          </w:tcPr>
          <w:p>
            <w:pPr>
              <w:spacing w:after="0"/>
              <w:rPr>
                <w:sz w:val="1"/>
                <w:szCs w:val="1"/>
                <w:color w:val="auto"/>
              </w:rPr>
            </w:pPr>
          </w:p>
        </w:tc>
      </w:tr>
    </w:tbl>
    <w:p>
      <w:pPr>
        <w:spacing w:after="0" w:line="3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Subsea reported second quarter revenue of $1,217.4 million. Revenue was down 29.6 percent from the prior year as projects in Asia Pacific, Africa, and North America progressed towards completion. Subsea revenue continues to be negatively impacted by prior-period declines in inbound orders related to the market downturn.</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Subsea reported operating profit of $75.9 million; adjusted EBITDA was $191.2 million with a margin of 15.7 percent. Operating profit declined versus the prior-year quarter primarily due to the anticipated revenue decline, offset in part by merger synergies and other cost reduction activities. Although less significant than the prior-year quarter, the successful conclusion of key project milestones also benefited operating profit in the period. These same factors drove the year-over-year decline in adjusted EBITDA.</w:t>
      </w:r>
    </w:p>
    <w:p>
      <w:pPr>
        <w:spacing w:after="0" w:line="137"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Vessel utilization rate for the second quarter was 71 percent, up from 60 percent in the first quarter and from 67 percent in the prior-year quarter.</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Second Quarter Subsea Highlights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Shell Kaikias (U.S. Gulf of Mexico)</w:t>
      </w:r>
    </w:p>
    <w:p>
      <w:pPr>
        <w:spacing w:after="0" w:line="9" w:lineRule="exact"/>
        <w:rPr>
          <w:rFonts w:ascii="Arial" w:cs="Arial" w:eastAsia="Arial" w:hAnsi="Arial"/>
          <w:sz w:val="20"/>
          <w:szCs w:val="20"/>
          <w:color w:val="auto"/>
        </w:rPr>
      </w:pPr>
    </w:p>
    <w:p>
      <w:pPr>
        <w:ind w:left="660" w:right="20"/>
        <w:spacing w:after="0" w:line="247" w:lineRule="auto"/>
        <w:rPr>
          <w:rFonts w:ascii="Arial" w:cs="Arial" w:eastAsia="Arial" w:hAnsi="Arial"/>
          <w:sz w:val="20"/>
          <w:szCs w:val="20"/>
          <w:color w:val="auto"/>
        </w:rPr>
      </w:pPr>
      <w:r>
        <w:rPr>
          <w:rFonts w:ascii="Arial" w:cs="Arial" w:eastAsia="Arial" w:hAnsi="Arial"/>
          <w:sz w:val="20"/>
          <w:szCs w:val="20"/>
          <w:color w:val="auto"/>
        </w:rPr>
        <w:t>Initial production achieved following completion of our first full-cycle iEPCI™ project. Delivery schedule reduced by one year ahead of the initial schedule.</w:t>
      </w:r>
    </w:p>
    <w:p>
      <w:pPr>
        <w:spacing w:after="0" w:line="137"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Total Kaombo (Angola)</w:t>
      </w:r>
    </w:p>
    <w:p>
      <w:pPr>
        <w:spacing w:after="0" w:line="2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Skandi Africa completed hookup campaign on Kaombo FPSO North in the quarter.</w:t>
      </w:r>
    </w:p>
    <w:p>
      <w:pPr>
        <w:spacing w:after="0" w:line="151"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Mellitah Bahr Essalam (Libya)</w:t>
      </w:r>
    </w:p>
    <w:p>
      <w:pPr>
        <w:spacing w:after="0" w:line="23" w:lineRule="exact"/>
        <w:rPr>
          <w:rFonts w:ascii="Arial" w:cs="Arial" w:eastAsia="Arial" w:hAnsi="Arial"/>
          <w:sz w:val="20"/>
          <w:szCs w:val="20"/>
          <w:color w:val="auto"/>
        </w:rPr>
      </w:pPr>
    </w:p>
    <w:p>
      <w:pPr>
        <w:ind w:left="660"/>
        <w:spacing w:after="0" w:line="247" w:lineRule="auto"/>
        <w:rPr>
          <w:rFonts w:ascii="Arial" w:cs="Arial" w:eastAsia="Arial" w:hAnsi="Arial"/>
          <w:sz w:val="20"/>
          <w:szCs w:val="20"/>
          <w:color w:val="auto"/>
        </w:rPr>
      </w:pPr>
      <w:r>
        <w:rPr>
          <w:rFonts w:ascii="Arial" w:cs="Arial" w:eastAsia="Arial" w:hAnsi="Arial"/>
          <w:sz w:val="20"/>
          <w:szCs w:val="20"/>
          <w:color w:val="auto"/>
        </w:rPr>
        <w:t>Deep Arctic vessel continues to complete tie-in of spools and testing scopes on Phase 1, allowing commissioning to commence.</w:t>
      </w:r>
    </w:p>
    <w:p>
      <w:pPr>
        <w:spacing w:after="0" w:line="137"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Delivery of the flexible lay and construction vessel Skandi Recife (Brazil)</w:t>
      </w:r>
    </w:p>
    <w:p>
      <w:pPr>
        <w:spacing w:after="0" w:line="23" w:lineRule="exact"/>
        <w:rPr>
          <w:rFonts w:ascii="Arial" w:cs="Arial" w:eastAsia="Arial" w:hAnsi="Arial"/>
          <w:sz w:val="20"/>
          <w:szCs w:val="20"/>
          <w:color w:val="auto"/>
        </w:rPr>
      </w:pPr>
    </w:p>
    <w:p>
      <w:pPr>
        <w:ind w:left="660"/>
        <w:spacing w:after="0" w:line="247" w:lineRule="auto"/>
        <w:rPr>
          <w:rFonts w:ascii="Arial" w:cs="Arial" w:eastAsia="Arial" w:hAnsi="Arial"/>
          <w:sz w:val="20"/>
          <w:szCs w:val="20"/>
          <w:color w:val="auto"/>
        </w:rPr>
      </w:pPr>
      <w:r>
        <w:rPr>
          <w:rFonts w:ascii="Arial" w:cs="Arial" w:eastAsia="Arial" w:hAnsi="Arial"/>
          <w:sz w:val="20"/>
          <w:szCs w:val="20"/>
          <w:color w:val="auto"/>
        </w:rPr>
        <w:t>Commenced 8-year charter contract with Petrobras for work in the Campos, Santos and Espírito Santo basins; vessel is owned by a joint venture.</w:t>
      </w:r>
    </w:p>
    <w:p>
      <w:pPr>
        <w:sectPr>
          <w:pgSz w:w="11900" w:h="16838" w:orient="portrait"/>
          <w:cols w:equalWidth="0" w:num="1">
            <w:col w:w="11420"/>
          </w:cols>
          <w:pgMar w:left="240" w:top="355"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Subsea inbound orders for the quarter were $1,516.2 million. The following awards were included in the period:</w:t>
      </w:r>
    </w:p>
    <w:p>
      <w:pPr>
        <w:spacing w:after="0" w:line="13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CNOOC Limited Liuhua Project (China)</w:t>
      </w:r>
    </w:p>
    <w:p>
      <w:pPr>
        <w:spacing w:after="0" w:line="23" w:lineRule="exact"/>
        <w:rPr>
          <w:rFonts w:ascii="Arial" w:cs="Arial" w:eastAsia="Arial" w:hAnsi="Arial"/>
          <w:sz w:val="20"/>
          <w:szCs w:val="20"/>
          <w:color w:val="auto"/>
        </w:rPr>
      </w:pPr>
    </w:p>
    <w:p>
      <w:pPr>
        <w:jc w:val="both"/>
        <w:ind w:left="660" w:right="20"/>
        <w:spacing w:after="0" w:line="243" w:lineRule="auto"/>
        <w:rPr>
          <w:rFonts w:ascii="Arial" w:cs="Arial" w:eastAsia="Arial" w:hAnsi="Arial"/>
          <w:sz w:val="20"/>
          <w:szCs w:val="20"/>
          <w:color w:val="auto"/>
        </w:rPr>
      </w:pPr>
      <w:r>
        <w:rPr>
          <w:rFonts w:ascii="Arial" w:cs="Arial" w:eastAsia="Arial" w:hAnsi="Arial"/>
          <w:sz w:val="20"/>
          <w:szCs w:val="20"/>
          <w:color w:val="auto"/>
        </w:rPr>
        <w:t>Award for the engineering, procurement, and construction (EPC) of subsea equipment, including 26 enhanced horizontal subsea trees as well as wellheads, subsea control systems, manifolds, tie-in and intervention workover control system for the Liuhua 16-2, 20-2, and 21-2 Oilfield Joint Development Project.</w:t>
      </w:r>
    </w:p>
    <w:p>
      <w:pPr>
        <w:spacing w:after="0" w:line="263" w:lineRule="exact"/>
        <w:rPr>
          <w:rFonts w:ascii="Arial" w:cs="Arial" w:eastAsia="Arial" w:hAnsi="Arial"/>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Total E&amp;P Angola Zinia Phase 2 Project (Angola)</w:t>
      </w:r>
    </w:p>
    <w:p>
      <w:pPr>
        <w:spacing w:after="0" w:line="23" w:lineRule="exact"/>
        <w:rPr>
          <w:rFonts w:ascii="Arial" w:cs="Arial" w:eastAsia="Arial" w:hAnsi="Arial"/>
          <w:sz w:val="20"/>
          <w:szCs w:val="20"/>
          <w:color w:val="auto"/>
        </w:rPr>
      </w:pPr>
    </w:p>
    <w:p>
      <w:pPr>
        <w:ind w:left="660" w:right="20"/>
        <w:spacing w:after="0" w:line="247" w:lineRule="auto"/>
        <w:rPr>
          <w:rFonts w:ascii="Arial" w:cs="Arial" w:eastAsia="Arial" w:hAnsi="Arial"/>
          <w:sz w:val="20"/>
          <w:szCs w:val="20"/>
          <w:color w:val="auto"/>
        </w:rPr>
      </w:pPr>
      <w:r>
        <w:rPr>
          <w:rFonts w:ascii="Arial" w:cs="Arial" w:eastAsia="Arial" w:hAnsi="Arial"/>
          <w:sz w:val="20"/>
          <w:szCs w:val="20"/>
          <w:color w:val="auto"/>
        </w:rPr>
        <w:t>Award for the EPC of subsea equipment including 9 subsea trees as well as wellheads, subsea control systems, connection systems and associated equipment.</w:t>
      </w:r>
    </w:p>
    <w:p>
      <w:pPr>
        <w:spacing w:after="0" w:line="191" w:lineRule="exact"/>
        <w:rPr>
          <w:rFonts w:ascii="Arial" w:cs="Arial" w:eastAsia="Arial" w:hAnsi="Arial"/>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Chevron Gorgon Phase 2 Project (Australia)</w:t>
      </w:r>
    </w:p>
    <w:p>
      <w:pPr>
        <w:spacing w:after="0" w:line="23" w:lineRule="exact"/>
        <w:rPr>
          <w:rFonts w:ascii="Arial" w:cs="Arial" w:eastAsia="Arial" w:hAnsi="Arial"/>
          <w:sz w:val="20"/>
          <w:szCs w:val="20"/>
          <w:color w:val="auto"/>
        </w:rPr>
      </w:pPr>
    </w:p>
    <w:p>
      <w:pPr>
        <w:ind w:left="660" w:right="20"/>
        <w:spacing w:after="0" w:line="247" w:lineRule="auto"/>
        <w:rPr>
          <w:rFonts w:ascii="Arial" w:cs="Arial" w:eastAsia="Arial" w:hAnsi="Arial"/>
          <w:sz w:val="20"/>
          <w:szCs w:val="20"/>
          <w:color w:val="auto"/>
        </w:rPr>
      </w:pPr>
      <w:r>
        <w:rPr>
          <w:rFonts w:ascii="Arial" w:cs="Arial" w:eastAsia="Arial" w:hAnsi="Arial"/>
          <w:sz w:val="20"/>
          <w:szCs w:val="20"/>
          <w:color w:val="auto"/>
        </w:rPr>
        <w:t>Award for the project management and engineering, transportation, installation, and pre-commissioning of umbilicals, flying leads, and manifolds. The contract also includes fabrication, transportation, installation and testing of rigid spools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254875" cy="1551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15519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000" w:type="dxa"/>
            <w:vAlign w:val="bottom"/>
          </w:tcPr>
          <w:p>
            <w:pPr>
              <w:ind w:left="40"/>
              <w:spacing w:after="0"/>
              <w:rPr>
                <w:sz w:val="20"/>
                <w:szCs w:val="20"/>
                <w:color w:val="auto"/>
              </w:rPr>
            </w:pPr>
            <w:r>
              <w:rPr>
                <w:rFonts w:ascii="Arial" w:cs="Arial" w:eastAsia="Arial" w:hAnsi="Arial"/>
                <w:sz w:val="20"/>
                <w:szCs w:val="20"/>
                <w:b w:val="1"/>
                <w:bCs w:val="1"/>
                <w:color w:val="auto"/>
              </w:rPr>
              <w:t>Subsea</w:t>
            </w:r>
          </w:p>
        </w:tc>
        <w:tc>
          <w:tcPr>
            <w:tcW w:w="34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6000" w:type="dxa"/>
            <w:vAlign w:val="bottom"/>
          </w:tcPr>
          <w:p>
            <w:pPr>
              <w:ind w:left="40"/>
              <w:spacing w:after="0"/>
              <w:rPr>
                <w:sz w:val="20"/>
                <w:szCs w:val="20"/>
                <w:color w:val="auto"/>
              </w:rPr>
            </w:pPr>
            <w:r>
              <w:rPr>
                <w:rFonts w:ascii="Arial" w:cs="Arial" w:eastAsia="Arial" w:hAnsi="Arial"/>
                <w:sz w:val="20"/>
                <w:szCs w:val="20"/>
                <w:color w:val="auto"/>
              </w:rPr>
              <w:t>Estimated Backlog* Scheduling as of June 30, 2018</w:t>
            </w:r>
          </w:p>
        </w:tc>
        <w:tc>
          <w:tcPr>
            <w:tcW w:w="3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460" w:type="dxa"/>
            <w:vAlign w:val="bottom"/>
            <w:vMerge w:val="restart"/>
          </w:tcPr>
          <w:p>
            <w:pPr>
              <w:jc w:val="right"/>
              <w:ind w:right="83"/>
              <w:spacing w:after="0"/>
              <w:rPr>
                <w:sz w:val="20"/>
                <w:szCs w:val="20"/>
                <w:color w:val="auto"/>
              </w:rPr>
            </w:pPr>
            <w:r>
              <w:rPr>
                <w:rFonts w:ascii="Arial" w:cs="Arial" w:eastAsia="Arial" w:hAnsi="Arial"/>
                <w:sz w:val="18"/>
                <w:szCs w:val="18"/>
                <w:b w:val="1"/>
                <w:bCs w:val="1"/>
                <w:color w:val="auto"/>
              </w:rPr>
              <w:t>Consolidated backlog</w:t>
            </w:r>
          </w:p>
        </w:tc>
        <w:tc>
          <w:tcPr>
            <w:tcW w:w="1980" w:type="dxa"/>
            <w:vAlign w:val="bottom"/>
          </w:tcPr>
          <w:p>
            <w:pPr>
              <w:jc w:val="right"/>
              <w:ind w:right="184"/>
              <w:spacing w:after="0"/>
              <w:rPr>
                <w:sz w:val="20"/>
                <w:szCs w:val="20"/>
                <w:color w:val="auto"/>
              </w:rPr>
            </w:pPr>
            <w:r>
              <w:rPr>
                <w:rFonts w:ascii="Arial" w:cs="Arial" w:eastAsia="Arial" w:hAnsi="Arial"/>
                <w:sz w:val="18"/>
                <w:szCs w:val="18"/>
                <w:b w:val="1"/>
                <w:bCs w:val="1"/>
                <w:color w:val="auto"/>
              </w:rPr>
              <w:t>Non-consolidated</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vMerge w:val="continue"/>
          </w:tcPr>
          <w:p>
            <w:pPr>
              <w:spacing w:after="0"/>
              <w:rPr>
                <w:sz w:val="19"/>
                <w:szCs w:val="19"/>
                <w:color w:val="auto"/>
              </w:rPr>
            </w:pPr>
          </w:p>
        </w:tc>
        <w:tc>
          <w:tcPr>
            <w:tcW w:w="1980" w:type="dxa"/>
            <w:vAlign w:val="bottom"/>
            <w:tcBorders>
              <w:bottom w:val="single" w:sz="8" w:color="CCEEFF"/>
            </w:tcBorders>
          </w:tcPr>
          <w:p>
            <w:pPr>
              <w:jc w:val="right"/>
              <w:ind w:right="524"/>
              <w:spacing w:after="0"/>
              <w:rPr>
                <w:sz w:val="20"/>
                <w:szCs w:val="20"/>
                <w:color w:val="auto"/>
              </w:rPr>
            </w:pPr>
            <w:r>
              <w:rPr>
                <w:rFonts w:ascii="Arial" w:cs="Arial" w:eastAsia="Arial" w:hAnsi="Arial"/>
                <w:sz w:val="18"/>
                <w:szCs w:val="18"/>
                <w:b w:val="1"/>
                <w:bCs w:val="1"/>
                <w:color w:val="auto"/>
              </w:rPr>
              <w:t>backlog**</w:t>
            </w:r>
          </w:p>
        </w:tc>
        <w:tc>
          <w:tcPr>
            <w:tcW w:w="0" w:type="dxa"/>
            <w:vAlign w:val="bottom"/>
          </w:tcPr>
          <w:p>
            <w:pPr>
              <w:spacing w:after="0"/>
              <w:rPr>
                <w:sz w:val="1"/>
                <w:szCs w:val="1"/>
                <w:color w:val="auto"/>
              </w:rPr>
            </w:pPr>
          </w:p>
        </w:tc>
      </w:tr>
      <w:tr>
        <w:trPr>
          <w:trHeight w:val="259"/>
        </w:trPr>
        <w:tc>
          <w:tcPr>
            <w:tcW w:w="6000" w:type="dxa"/>
            <w:vAlign w:val="bottom"/>
            <w:tcBorders>
              <w:bottom w:val="single" w:sz="8" w:color="BFE4FF"/>
            </w:tcBorders>
          </w:tcPr>
          <w:p>
            <w:pPr>
              <w:ind w:left="40"/>
              <w:spacing w:after="0"/>
              <w:rPr>
                <w:sz w:val="20"/>
                <w:szCs w:val="20"/>
                <w:color w:val="auto"/>
              </w:rPr>
            </w:pPr>
            <w:r>
              <w:rPr>
                <w:rFonts w:ascii="Arial" w:cs="Arial" w:eastAsia="Arial" w:hAnsi="Arial"/>
                <w:sz w:val="20"/>
                <w:szCs w:val="20"/>
                <w:b w:val="1"/>
                <w:bCs w:val="1"/>
                <w:color w:val="auto"/>
              </w:rPr>
              <w:t>2018 (6 months)</w:t>
            </w:r>
          </w:p>
        </w:tc>
        <w:tc>
          <w:tcPr>
            <w:tcW w:w="3460" w:type="dxa"/>
            <w:vAlign w:val="bottom"/>
            <w:tcBorders>
              <w:bottom w:val="single" w:sz="8" w:color="BFE4FF"/>
            </w:tcBorders>
          </w:tcPr>
          <w:p>
            <w:pPr>
              <w:jc w:val="right"/>
              <w:ind w:right="83"/>
              <w:spacing w:after="0"/>
              <w:rPr>
                <w:sz w:val="20"/>
                <w:szCs w:val="20"/>
                <w:color w:val="auto"/>
              </w:rPr>
            </w:pPr>
            <w:r>
              <w:rPr>
                <w:rFonts w:ascii="Arial" w:cs="Arial" w:eastAsia="Arial" w:hAnsi="Arial"/>
                <w:sz w:val="20"/>
                <w:szCs w:val="20"/>
                <w:color w:val="auto"/>
              </w:rPr>
              <w:t>$1,883.4</w:t>
            </w:r>
          </w:p>
        </w:tc>
        <w:tc>
          <w:tcPr>
            <w:tcW w:w="1980" w:type="dxa"/>
            <w:vAlign w:val="bottom"/>
            <w:tcBorders>
              <w:bottom w:val="single" w:sz="8" w:color="BFE4FF"/>
            </w:tcBorders>
          </w:tcPr>
          <w:p>
            <w:pPr>
              <w:jc w:val="right"/>
              <w:ind w:right="24"/>
              <w:spacing w:after="0"/>
              <w:rPr>
                <w:sz w:val="20"/>
                <w:szCs w:val="20"/>
                <w:color w:val="auto"/>
              </w:rPr>
            </w:pPr>
            <w:r>
              <w:rPr>
                <w:rFonts w:ascii="Arial" w:cs="Arial" w:eastAsia="Arial" w:hAnsi="Arial"/>
                <w:sz w:val="20"/>
                <w:szCs w:val="20"/>
                <w:color w:val="auto"/>
              </w:rPr>
              <w:t>$78.7</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BFE4FF"/>
            </w:tcBorders>
          </w:tcPr>
          <w:p>
            <w:pPr>
              <w:ind w:left="40"/>
              <w:spacing w:after="0"/>
              <w:rPr>
                <w:sz w:val="20"/>
                <w:szCs w:val="20"/>
                <w:color w:val="auto"/>
              </w:rPr>
            </w:pPr>
            <w:r>
              <w:rPr>
                <w:rFonts w:ascii="Arial" w:cs="Arial" w:eastAsia="Arial" w:hAnsi="Arial"/>
                <w:sz w:val="20"/>
                <w:szCs w:val="20"/>
                <w:b w:val="1"/>
                <w:bCs w:val="1"/>
                <w:color w:val="auto"/>
              </w:rPr>
              <w:t>2019</w:t>
            </w:r>
          </w:p>
        </w:tc>
        <w:tc>
          <w:tcPr>
            <w:tcW w:w="3460" w:type="dxa"/>
            <w:vAlign w:val="bottom"/>
            <w:tcBorders>
              <w:bottom w:val="single" w:sz="8" w:color="BFE4FF"/>
            </w:tcBorders>
          </w:tcPr>
          <w:p>
            <w:pPr>
              <w:jc w:val="right"/>
              <w:ind w:right="83"/>
              <w:spacing w:after="0"/>
              <w:rPr>
                <w:sz w:val="20"/>
                <w:szCs w:val="20"/>
                <w:color w:val="auto"/>
              </w:rPr>
            </w:pPr>
            <w:r>
              <w:rPr>
                <w:rFonts w:ascii="Arial" w:cs="Arial" w:eastAsia="Arial" w:hAnsi="Arial"/>
                <w:sz w:val="20"/>
                <w:szCs w:val="20"/>
                <w:color w:val="auto"/>
              </w:rPr>
              <w:t>$2,286.1</w:t>
            </w:r>
          </w:p>
        </w:tc>
        <w:tc>
          <w:tcPr>
            <w:tcW w:w="1980" w:type="dxa"/>
            <w:vAlign w:val="bottom"/>
            <w:tcBorders>
              <w:bottom w:val="single" w:sz="8" w:color="BFE4FF"/>
            </w:tcBorders>
          </w:tcPr>
          <w:p>
            <w:pPr>
              <w:jc w:val="right"/>
              <w:ind w:right="24"/>
              <w:spacing w:after="0"/>
              <w:rPr>
                <w:sz w:val="20"/>
                <w:szCs w:val="20"/>
                <w:color w:val="auto"/>
              </w:rPr>
            </w:pPr>
            <w:r>
              <w:rPr>
                <w:rFonts w:ascii="Arial" w:cs="Arial" w:eastAsia="Arial" w:hAnsi="Arial"/>
                <w:sz w:val="20"/>
                <w:szCs w:val="20"/>
                <w:color w:val="auto"/>
              </w:rPr>
              <w:t>$167.4</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BFE4FF"/>
            </w:tcBorders>
          </w:tcPr>
          <w:p>
            <w:pPr>
              <w:ind w:left="40"/>
              <w:spacing w:after="0"/>
              <w:rPr>
                <w:sz w:val="20"/>
                <w:szCs w:val="20"/>
                <w:color w:val="auto"/>
              </w:rPr>
            </w:pPr>
            <w:r>
              <w:rPr>
                <w:rFonts w:ascii="Arial" w:cs="Arial" w:eastAsia="Arial" w:hAnsi="Arial"/>
                <w:sz w:val="20"/>
                <w:szCs w:val="20"/>
                <w:b w:val="1"/>
                <w:bCs w:val="1"/>
                <w:color w:val="auto"/>
              </w:rPr>
              <w:t>2020 and beyond</w:t>
            </w:r>
          </w:p>
        </w:tc>
        <w:tc>
          <w:tcPr>
            <w:tcW w:w="3460" w:type="dxa"/>
            <w:vAlign w:val="bottom"/>
            <w:tcBorders>
              <w:bottom w:val="single" w:sz="8" w:color="BFE4FF"/>
            </w:tcBorders>
          </w:tcPr>
          <w:p>
            <w:pPr>
              <w:jc w:val="right"/>
              <w:ind w:right="83"/>
              <w:spacing w:after="0"/>
              <w:rPr>
                <w:sz w:val="20"/>
                <w:szCs w:val="20"/>
                <w:color w:val="auto"/>
              </w:rPr>
            </w:pPr>
            <w:r>
              <w:rPr>
                <w:rFonts w:ascii="Arial" w:cs="Arial" w:eastAsia="Arial" w:hAnsi="Arial"/>
                <w:sz w:val="20"/>
                <w:szCs w:val="20"/>
                <w:color w:val="auto"/>
              </w:rPr>
              <w:t>$2,007.5</w:t>
            </w:r>
          </w:p>
        </w:tc>
        <w:tc>
          <w:tcPr>
            <w:tcW w:w="1980" w:type="dxa"/>
            <w:vAlign w:val="bottom"/>
            <w:tcBorders>
              <w:bottom w:val="single" w:sz="8" w:color="BFE4FF"/>
            </w:tcBorders>
          </w:tcPr>
          <w:p>
            <w:pPr>
              <w:jc w:val="right"/>
              <w:ind w:right="24"/>
              <w:spacing w:after="0"/>
              <w:rPr>
                <w:sz w:val="20"/>
                <w:szCs w:val="20"/>
                <w:color w:val="auto"/>
              </w:rPr>
            </w:pPr>
            <w:r>
              <w:rPr>
                <w:rFonts w:ascii="Arial" w:cs="Arial" w:eastAsia="Arial" w:hAnsi="Arial"/>
                <w:sz w:val="20"/>
                <w:szCs w:val="20"/>
                <w:color w:val="auto"/>
              </w:rPr>
              <w:t>$805.4</w:t>
            </w:r>
          </w:p>
        </w:tc>
        <w:tc>
          <w:tcPr>
            <w:tcW w:w="0" w:type="dxa"/>
            <w:vAlign w:val="bottom"/>
          </w:tcPr>
          <w:p>
            <w:pPr>
              <w:spacing w:after="0"/>
              <w:rPr>
                <w:sz w:val="1"/>
                <w:szCs w:val="1"/>
                <w:color w:val="auto"/>
              </w:rPr>
            </w:pPr>
          </w:p>
        </w:tc>
      </w:tr>
      <w:tr>
        <w:trPr>
          <w:trHeight w:val="259"/>
        </w:trPr>
        <w:tc>
          <w:tcPr>
            <w:tcW w:w="6000" w:type="dxa"/>
            <w:vAlign w:val="bottom"/>
          </w:tcPr>
          <w:p>
            <w:pPr>
              <w:ind w:left="40"/>
              <w:spacing w:after="0"/>
              <w:rPr>
                <w:sz w:val="20"/>
                <w:szCs w:val="20"/>
                <w:color w:val="auto"/>
              </w:rPr>
            </w:pPr>
            <w:r>
              <w:rPr>
                <w:rFonts w:ascii="Arial" w:cs="Arial" w:eastAsia="Arial" w:hAnsi="Arial"/>
                <w:sz w:val="20"/>
                <w:szCs w:val="20"/>
                <w:b w:val="1"/>
                <w:bCs w:val="1"/>
                <w:color w:val="auto"/>
              </w:rPr>
              <w:t>Total</w:t>
            </w:r>
          </w:p>
        </w:tc>
        <w:tc>
          <w:tcPr>
            <w:tcW w:w="3460" w:type="dxa"/>
            <w:vAlign w:val="bottom"/>
          </w:tcPr>
          <w:p>
            <w:pPr>
              <w:jc w:val="right"/>
              <w:ind w:right="83"/>
              <w:spacing w:after="0"/>
              <w:rPr>
                <w:sz w:val="20"/>
                <w:szCs w:val="20"/>
                <w:color w:val="auto"/>
              </w:rPr>
            </w:pPr>
            <w:r>
              <w:rPr>
                <w:rFonts w:ascii="Arial" w:cs="Arial" w:eastAsia="Arial" w:hAnsi="Arial"/>
                <w:sz w:val="20"/>
                <w:szCs w:val="20"/>
                <w:b w:val="1"/>
                <w:bCs w:val="1"/>
                <w:color w:val="auto"/>
              </w:rPr>
              <w:t>$6,177.0</w:t>
            </w:r>
          </w:p>
        </w:tc>
        <w:tc>
          <w:tcPr>
            <w:tcW w:w="1980" w:type="dxa"/>
            <w:vAlign w:val="bottom"/>
          </w:tcPr>
          <w:p>
            <w:pPr>
              <w:jc w:val="right"/>
              <w:ind w:right="24"/>
              <w:spacing w:after="0"/>
              <w:rPr>
                <w:sz w:val="20"/>
                <w:szCs w:val="20"/>
                <w:color w:val="auto"/>
              </w:rPr>
            </w:pPr>
            <w:r>
              <w:rPr>
                <w:rFonts w:ascii="Arial" w:cs="Arial" w:eastAsia="Arial" w:hAnsi="Arial"/>
                <w:sz w:val="20"/>
                <w:szCs w:val="20"/>
                <w:b w:val="1"/>
                <w:bCs w:val="1"/>
                <w:color w:val="auto"/>
              </w:rPr>
              <w:t>$1,051.5</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Backlog does not capture all revenue potential for subsea services.</w:t>
      </w:r>
    </w:p>
    <w:p>
      <w:pPr>
        <w:spacing w:after="0" w:line="27" w:lineRule="exact"/>
        <w:rPr>
          <w:sz w:val="20"/>
          <w:szCs w:val="20"/>
          <w:color w:val="auto"/>
        </w:rPr>
      </w:pPr>
    </w:p>
    <w:p>
      <w:pPr>
        <w:ind w:left="340" w:right="380" w:hanging="332"/>
        <w:spacing w:after="0" w:line="262" w:lineRule="auto"/>
        <w:tabs>
          <w:tab w:leader="none" w:pos="206"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Non-consolidated backlog reflects the proportional share of backlog related to joint ventures that are not consolidated due to our minority ownership position.</w:t>
      </w:r>
    </w:p>
    <w:p>
      <w:pPr>
        <w:sectPr>
          <w:pgSz w:w="11900" w:h="16838" w:orient="portrait"/>
          <w:cols w:equalWidth="0" w:num="1">
            <w:col w:w="11440"/>
          </w:cols>
          <w:pgMar w:left="240" w:top="379" w:right="219" w:bottom="1440" w:gutter="0" w:footer="0" w:header="0"/>
        </w:sectPr>
      </w:pPr>
    </w:p>
    <w:bookmarkStart w:id="8" w:name="page9"/>
    <w:bookmarkEnd w:id="8"/>
    <w:p>
      <w:pPr>
        <w:ind w:left="40"/>
        <w:spacing w:after="0"/>
        <w:rPr>
          <w:sz w:val="20"/>
          <w:szCs w:val="20"/>
          <w:color w:val="auto"/>
        </w:rPr>
      </w:pPr>
      <w:r>
        <w:rPr>
          <w:rFonts w:ascii="Arial" w:cs="Arial" w:eastAsia="Arial" w:hAnsi="Arial"/>
          <w:sz w:val="20"/>
          <w:szCs w:val="20"/>
          <w:b w:val="1"/>
          <w:bCs w:val="1"/>
          <w:color w:val="auto"/>
        </w:rPr>
        <w:t>Onshore/Offshore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below and in the financial schedules.</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6000" w:type="dxa"/>
            <w:vAlign w:val="bottom"/>
            <w:tcBorders>
              <w:top w:val="single" w:sz="8" w:color="BFE4FF"/>
              <w:left w:val="single" w:sz="8" w:color="BFE4FF"/>
              <w:right w:val="single" w:sz="8" w:color="BFE4FF"/>
            </w:tcBorders>
          </w:tcPr>
          <w:p>
            <w:pPr>
              <w:spacing w:after="0"/>
              <w:rPr>
                <w:sz w:val="18"/>
                <w:szCs w:val="18"/>
                <w:color w:val="auto"/>
              </w:rPr>
            </w:pPr>
          </w:p>
        </w:tc>
        <w:tc>
          <w:tcPr>
            <w:tcW w:w="1860" w:type="dxa"/>
            <w:vAlign w:val="bottom"/>
            <w:tcBorders>
              <w:top w:val="single" w:sz="8" w:color="BFE4FF"/>
              <w:right w:val="single" w:sz="8" w:color="BFE4FF"/>
            </w:tcBorders>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tcBorders>
              <w:top w:val="single" w:sz="8" w:color="BFE4FF"/>
              <w:right w:val="single" w:sz="8" w:color="BFE4FF"/>
            </w:tcBorders>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tcBorders>
              <w:top w:val="single" w:sz="8" w:color="BFE4FF"/>
              <w:right w:val="single" w:sz="8" w:color="BFE4FF"/>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0" w:type="dxa"/>
            <w:vAlign w:val="bottom"/>
            <w:tcBorders>
              <w:left w:val="single" w:sz="8" w:color="BFE4FF"/>
              <w:right w:val="single" w:sz="8" w:color="BFE4FF"/>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60" w:type="dxa"/>
            <w:vAlign w:val="bottom"/>
            <w:tcBorders>
              <w:right w:val="single" w:sz="8" w:color="BFE4FF"/>
            </w:tcBorders>
          </w:tcPr>
          <w:p>
            <w:pPr>
              <w:jc w:val="right"/>
              <w:ind w:right="388"/>
              <w:spacing w:after="0"/>
              <w:rPr>
                <w:sz w:val="20"/>
                <w:szCs w:val="20"/>
                <w:color w:val="auto"/>
              </w:rPr>
            </w:pPr>
            <w:r>
              <w:rPr>
                <w:rFonts w:ascii="Arial" w:cs="Arial" w:eastAsia="Arial" w:hAnsi="Arial"/>
                <w:sz w:val="14"/>
                <w:szCs w:val="14"/>
                <w:b w:val="1"/>
                <w:bCs w:val="1"/>
                <w:color w:val="auto"/>
              </w:rPr>
              <w:t>June 30, 2018</w:t>
            </w:r>
          </w:p>
        </w:tc>
        <w:tc>
          <w:tcPr>
            <w:tcW w:w="1920" w:type="dxa"/>
            <w:vAlign w:val="bottom"/>
            <w:tcBorders>
              <w:right w:val="single" w:sz="8" w:color="BFE4FF"/>
            </w:tcBorders>
          </w:tcPr>
          <w:p>
            <w:pPr>
              <w:jc w:val="right"/>
              <w:ind w:right="428"/>
              <w:spacing w:after="0"/>
              <w:rPr>
                <w:sz w:val="20"/>
                <w:szCs w:val="20"/>
                <w:color w:val="auto"/>
              </w:rPr>
            </w:pPr>
            <w:r>
              <w:rPr>
                <w:rFonts w:ascii="Arial" w:cs="Arial" w:eastAsia="Arial" w:hAnsi="Arial"/>
                <w:sz w:val="14"/>
                <w:szCs w:val="14"/>
                <w:b w:val="1"/>
                <w:bCs w:val="1"/>
                <w:color w:val="auto"/>
              </w:rPr>
              <w:t>June 30, 2017</w:t>
            </w:r>
          </w:p>
        </w:tc>
        <w:tc>
          <w:tcPr>
            <w:tcW w:w="1640" w:type="dxa"/>
            <w:vAlign w:val="bottom"/>
            <w:tcBorders>
              <w:right w:val="single" w:sz="8" w:color="BFE4FF"/>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6000" w:type="dxa"/>
            <w:vAlign w:val="bottom"/>
            <w:tcBorders>
              <w:left w:val="single" w:sz="8" w:color="BFE4FF"/>
              <w:bottom w:val="single" w:sz="8" w:color="CCEEFF"/>
              <w:right w:val="single" w:sz="8" w:color="BFE4FF"/>
            </w:tcBorders>
            <w:vMerge w:val="continue"/>
          </w:tcPr>
          <w:p>
            <w:pPr>
              <w:spacing w:after="0"/>
              <w:rPr>
                <w:sz w:val="15"/>
                <w:szCs w:val="15"/>
                <w:color w:val="auto"/>
              </w:rPr>
            </w:pPr>
          </w:p>
        </w:tc>
        <w:tc>
          <w:tcPr>
            <w:tcW w:w="1860" w:type="dxa"/>
            <w:vAlign w:val="bottom"/>
            <w:tcBorders>
              <w:bottom w:val="single" w:sz="8" w:color="CCEEFF"/>
              <w:right w:val="single" w:sz="8" w:color="BFE4FF"/>
            </w:tcBorders>
          </w:tcPr>
          <w:p>
            <w:pPr>
              <w:spacing w:after="0"/>
              <w:rPr>
                <w:sz w:val="15"/>
                <w:szCs w:val="15"/>
                <w:color w:val="auto"/>
              </w:rPr>
            </w:pPr>
          </w:p>
        </w:tc>
        <w:tc>
          <w:tcPr>
            <w:tcW w:w="1920" w:type="dxa"/>
            <w:vAlign w:val="bottom"/>
            <w:tcBorders>
              <w:bottom w:val="single" w:sz="8" w:color="CCEEFF"/>
              <w:right w:val="single" w:sz="8" w:color="BFE4FF"/>
            </w:tcBorders>
          </w:tcPr>
          <w:p>
            <w:pPr>
              <w:spacing w:after="0"/>
              <w:rPr>
                <w:sz w:val="15"/>
                <w:szCs w:val="15"/>
                <w:color w:val="auto"/>
              </w:rPr>
            </w:pPr>
          </w:p>
        </w:tc>
        <w:tc>
          <w:tcPr>
            <w:tcW w:w="1640" w:type="dxa"/>
            <w:vAlign w:val="bottom"/>
            <w:tcBorders>
              <w:bottom w:val="single" w:sz="8" w:color="CCEEFF"/>
              <w:right w:val="single" w:sz="8" w:color="BFE4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6000" w:type="dxa"/>
            <w:vAlign w:val="bottom"/>
            <w:tcBorders>
              <w:left w:val="single" w:sz="8" w:color="BFE4FF"/>
              <w:right w:val="single" w:sz="8" w:color="CCEEFF"/>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860" w:type="dxa"/>
            <w:vAlign w:val="bottom"/>
            <w:tcBorders>
              <w:right w:val="single" w:sz="8" w:color="CCEEFF"/>
            </w:tcBorders>
          </w:tcPr>
          <w:p>
            <w:pPr>
              <w:jc w:val="right"/>
              <w:ind w:right="268"/>
              <w:spacing w:after="0"/>
              <w:rPr>
                <w:sz w:val="20"/>
                <w:szCs w:val="20"/>
                <w:color w:val="auto"/>
              </w:rPr>
            </w:pPr>
            <w:r>
              <w:rPr>
                <w:rFonts w:ascii="Arial" w:cs="Arial" w:eastAsia="Arial" w:hAnsi="Arial"/>
                <w:sz w:val="20"/>
                <w:szCs w:val="20"/>
                <w:color w:val="auto"/>
              </w:rPr>
              <w:t>$1,342.4</w:t>
            </w:r>
          </w:p>
        </w:tc>
        <w:tc>
          <w:tcPr>
            <w:tcW w:w="1920" w:type="dxa"/>
            <w:vAlign w:val="bottom"/>
            <w:tcBorders>
              <w:right w:val="single" w:sz="8" w:color="CCEEFF"/>
            </w:tcBorders>
          </w:tcPr>
          <w:p>
            <w:pPr>
              <w:jc w:val="right"/>
              <w:ind w:right="288"/>
              <w:spacing w:after="0"/>
              <w:rPr>
                <w:sz w:val="20"/>
                <w:szCs w:val="20"/>
                <w:color w:val="auto"/>
              </w:rPr>
            </w:pPr>
            <w:r>
              <w:rPr>
                <w:rFonts w:ascii="Arial" w:cs="Arial" w:eastAsia="Arial" w:hAnsi="Arial"/>
                <w:sz w:val="20"/>
                <w:szCs w:val="20"/>
                <w:color w:val="auto"/>
              </w:rPr>
              <w:t>$1,812.9</w:t>
            </w:r>
          </w:p>
        </w:tc>
        <w:tc>
          <w:tcPr>
            <w:tcW w:w="1640" w:type="dxa"/>
            <w:vAlign w:val="bottom"/>
            <w:tcBorders>
              <w:right w:val="single" w:sz="8" w:color="BFE4FF"/>
            </w:tcBorders>
          </w:tcPr>
          <w:p>
            <w:pPr>
              <w:jc w:val="center"/>
              <w:spacing w:after="0"/>
              <w:rPr>
                <w:sz w:val="20"/>
                <w:szCs w:val="20"/>
                <w:color w:val="auto"/>
              </w:rPr>
            </w:pPr>
            <w:r>
              <w:rPr>
                <w:rFonts w:ascii="Arial" w:cs="Arial" w:eastAsia="Arial" w:hAnsi="Arial"/>
                <w:sz w:val="20"/>
                <w:szCs w:val="20"/>
                <w:color w:val="auto"/>
                <w:w w:val="97"/>
              </w:rPr>
              <w:t>(26.0%)</w:t>
            </w:r>
          </w:p>
        </w:tc>
        <w:tc>
          <w:tcPr>
            <w:tcW w:w="0" w:type="dxa"/>
            <w:vAlign w:val="bottom"/>
          </w:tcPr>
          <w:p>
            <w:pPr>
              <w:spacing w:after="0"/>
              <w:rPr>
                <w:sz w:val="1"/>
                <w:szCs w:val="1"/>
                <w:color w:val="auto"/>
              </w:rPr>
            </w:pPr>
          </w:p>
        </w:tc>
      </w:tr>
      <w:tr>
        <w:trPr>
          <w:trHeight w:val="264"/>
        </w:trPr>
        <w:tc>
          <w:tcPr>
            <w:tcW w:w="6000" w:type="dxa"/>
            <w:vAlign w:val="bottom"/>
            <w:tcBorders>
              <w:top w:val="single" w:sz="8" w:color="BFE4FF"/>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860" w:type="dxa"/>
            <w:vAlign w:val="bottom"/>
            <w:tcBorders>
              <w:top w:val="single" w:sz="8" w:color="BFE4FF"/>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$171.3</w:t>
            </w:r>
          </w:p>
        </w:tc>
        <w:tc>
          <w:tcPr>
            <w:tcW w:w="1920" w:type="dxa"/>
            <w:vAlign w:val="bottom"/>
            <w:tcBorders>
              <w:top w:val="single" w:sz="8" w:color="BFE4FF"/>
              <w:bottom w:val="single" w:sz="8" w:color="BFE4FF"/>
              <w:right w:val="single" w:sz="8" w:color="BFE4FF"/>
            </w:tcBorders>
          </w:tcPr>
          <w:p>
            <w:pPr>
              <w:jc w:val="right"/>
              <w:ind w:right="288"/>
              <w:spacing w:after="0"/>
              <w:rPr>
                <w:sz w:val="20"/>
                <w:szCs w:val="20"/>
                <w:color w:val="auto"/>
              </w:rPr>
            </w:pPr>
            <w:r>
              <w:rPr>
                <w:rFonts w:ascii="Arial" w:cs="Arial" w:eastAsia="Arial" w:hAnsi="Arial"/>
                <w:sz w:val="20"/>
                <w:szCs w:val="20"/>
                <w:color w:val="auto"/>
              </w:rPr>
              <w:t>$204.5</w:t>
            </w:r>
          </w:p>
        </w:tc>
        <w:tc>
          <w:tcPr>
            <w:tcW w:w="1640" w:type="dxa"/>
            <w:vAlign w:val="bottom"/>
            <w:tcBorders>
              <w:top w:val="single" w:sz="8" w:color="CCEEFF"/>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7"/>
              </w:rPr>
              <w:t>(16.2%)</w:t>
            </w:r>
          </w:p>
        </w:tc>
        <w:tc>
          <w:tcPr>
            <w:tcW w:w="0" w:type="dxa"/>
            <w:vAlign w:val="bottom"/>
          </w:tcPr>
          <w:p>
            <w:pPr>
              <w:spacing w:after="0"/>
              <w:rPr>
                <w:sz w:val="1"/>
                <w:szCs w:val="1"/>
                <w:color w:val="auto"/>
              </w:rPr>
            </w:pPr>
          </w:p>
        </w:tc>
      </w:tr>
      <w:tr>
        <w:trPr>
          <w:trHeight w:val="264"/>
        </w:trPr>
        <w:tc>
          <w:tcPr>
            <w:tcW w:w="600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86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$170.9</w:t>
            </w:r>
          </w:p>
        </w:tc>
        <w:tc>
          <w:tcPr>
            <w:tcW w:w="1920" w:type="dxa"/>
            <w:vAlign w:val="bottom"/>
            <w:tcBorders>
              <w:bottom w:val="single" w:sz="8" w:color="BFE4FF"/>
              <w:right w:val="single" w:sz="8" w:color="BFE4FF"/>
            </w:tcBorders>
          </w:tcPr>
          <w:p>
            <w:pPr>
              <w:jc w:val="right"/>
              <w:ind w:right="288"/>
              <w:spacing w:after="0"/>
              <w:rPr>
                <w:sz w:val="20"/>
                <w:szCs w:val="20"/>
                <w:color w:val="auto"/>
              </w:rPr>
            </w:pPr>
            <w:r>
              <w:rPr>
                <w:rFonts w:ascii="Arial" w:cs="Arial" w:eastAsia="Arial" w:hAnsi="Arial"/>
                <w:sz w:val="20"/>
                <w:szCs w:val="20"/>
                <w:color w:val="auto"/>
              </w:rPr>
              <w:t>$187.7</w:t>
            </w:r>
          </w:p>
        </w:tc>
        <w:tc>
          <w:tcPr>
            <w:tcW w:w="164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(9.0%)</w:t>
            </w:r>
          </w:p>
        </w:tc>
        <w:tc>
          <w:tcPr>
            <w:tcW w:w="0" w:type="dxa"/>
            <w:vAlign w:val="bottom"/>
          </w:tcPr>
          <w:p>
            <w:pPr>
              <w:spacing w:after="0"/>
              <w:rPr>
                <w:sz w:val="1"/>
                <w:szCs w:val="1"/>
                <w:color w:val="auto"/>
              </w:rPr>
            </w:pPr>
          </w:p>
        </w:tc>
      </w:tr>
      <w:tr>
        <w:trPr>
          <w:trHeight w:val="264"/>
        </w:trPr>
        <w:tc>
          <w:tcPr>
            <w:tcW w:w="600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860" w:type="dxa"/>
            <w:vAlign w:val="bottom"/>
            <w:tcBorders>
              <w:bottom w:val="single" w:sz="8" w:color="BFE4FF"/>
              <w:right w:val="single" w:sz="8" w:color="BFE4FF"/>
            </w:tcBorders>
          </w:tcPr>
          <w:p>
            <w:pPr>
              <w:jc w:val="right"/>
              <w:ind w:right="108"/>
              <w:spacing w:after="0"/>
              <w:rPr>
                <w:sz w:val="20"/>
                <w:szCs w:val="20"/>
                <w:color w:val="auto"/>
              </w:rPr>
            </w:pPr>
            <w:r>
              <w:rPr>
                <w:rFonts w:ascii="Arial" w:cs="Arial" w:eastAsia="Arial" w:hAnsi="Arial"/>
                <w:sz w:val="20"/>
                <w:szCs w:val="20"/>
                <w:color w:val="auto"/>
              </w:rPr>
              <w:t>12.7%</w:t>
            </w:r>
          </w:p>
        </w:tc>
        <w:tc>
          <w:tcPr>
            <w:tcW w:w="1920" w:type="dxa"/>
            <w:vAlign w:val="bottom"/>
            <w:tcBorders>
              <w:bottom w:val="single" w:sz="8" w:color="BFE4FF"/>
              <w:right w:val="single" w:sz="8" w:color="BFE4FF"/>
            </w:tcBorders>
          </w:tcPr>
          <w:p>
            <w:pPr>
              <w:jc w:val="right"/>
              <w:ind w:right="108"/>
              <w:spacing w:after="0"/>
              <w:rPr>
                <w:sz w:val="20"/>
                <w:szCs w:val="20"/>
                <w:color w:val="auto"/>
              </w:rPr>
            </w:pPr>
            <w:r>
              <w:rPr>
                <w:rFonts w:ascii="Arial" w:cs="Arial" w:eastAsia="Arial" w:hAnsi="Arial"/>
                <w:sz w:val="20"/>
                <w:szCs w:val="20"/>
                <w:color w:val="auto"/>
              </w:rPr>
              <w:t>10.4%</w:t>
            </w:r>
          </w:p>
        </w:tc>
        <w:tc>
          <w:tcPr>
            <w:tcW w:w="164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238 bps</w:t>
            </w:r>
          </w:p>
        </w:tc>
        <w:tc>
          <w:tcPr>
            <w:tcW w:w="0" w:type="dxa"/>
            <w:vAlign w:val="bottom"/>
          </w:tcPr>
          <w:p>
            <w:pPr>
              <w:spacing w:after="0"/>
              <w:rPr>
                <w:sz w:val="1"/>
                <w:szCs w:val="1"/>
                <w:color w:val="auto"/>
              </w:rPr>
            </w:pPr>
          </w:p>
        </w:tc>
      </w:tr>
      <w:tr>
        <w:trPr>
          <w:trHeight w:val="322"/>
        </w:trPr>
        <w:tc>
          <w:tcPr>
            <w:tcW w:w="6000" w:type="dxa"/>
            <w:vAlign w:val="bottom"/>
            <w:tcBorders>
              <w:left w:val="single" w:sz="8" w:color="BFE4FF"/>
              <w:bottom w:val="single" w:sz="8" w:color="BFE4FF"/>
              <w:right w:val="single" w:sz="8" w:color="BFE4FF"/>
            </w:tcBorders>
          </w:tcPr>
          <w:p>
            <w:pPr>
              <w:spacing w:after="0"/>
              <w:rPr>
                <w:sz w:val="24"/>
                <w:szCs w:val="24"/>
                <w:color w:val="auto"/>
              </w:rPr>
            </w:pPr>
          </w:p>
        </w:tc>
        <w:tc>
          <w:tcPr>
            <w:tcW w:w="1860" w:type="dxa"/>
            <w:vAlign w:val="bottom"/>
            <w:tcBorders>
              <w:bottom w:val="single" w:sz="8" w:color="BFE4FF"/>
              <w:right w:val="single" w:sz="8" w:color="BFE4FF"/>
            </w:tcBorders>
          </w:tcPr>
          <w:p>
            <w:pPr>
              <w:spacing w:after="0"/>
              <w:rPr>
                <w:sz w:val="24"/>
                <w:szCs w:val="24"/>
                <w:color w:val="auto"/>
              </w:rPr>
            </w:pPr>
          </w:p>
        </w:tc>
        <w:tc>
          <w:tcPr>
            <w:tcW w:w="1920" w:type="dxa"/>
            <w:vAlign w:val="bottom"/>
            <w:tcBorders>
              <w:bottom w:val="single" w:sz="8" w:color="BFE4FF"/>
              <w:right w:val="single" w:sz="8" w:color="BFE4FF"/>
            </w:tcBorders>
          </w:tcPr>
          <w:p>
            <w:pPr>
              <w:spacing w:after="0"/>
              <w:rPr>
                <w:sz w:val="24"/>
                <w:szCs w:val="24"/>
                <w:color w:val="auto"/>
              </w:rPr>
            </w:pPr>
          </w:p>
        </w:tc>
        <w:tc>
          <w:tcPr>
            <w:tcW w:w="1640" w:type="dxa"/>
            <w:vAlign w:val="bottom"/>
            <w:tcBorders>
              <w:bottom w:val="single" w:sz="8" w:color="CCEEFF"/>
              <w:right w:val="single" w:sz="8" w:color="BFE4FF"/>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00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86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$2,300.8</w:t>
            </w:r>
          </w:p>
        </w:tc>
        <w:tc>
          <w:tcPr>
            <w:tcW w:w="1920" w:type="dxa"/>
            <w:vAlign w:val="bottom"/>
            <w:tcBorders>
              <w:bottom w:val="single" w:sz="8" w:color="BFE4FF"/>
              <w:right w:val="single" w:sz="8" w:color="BFE4FF"/>
            </w:tcBorders>
          </w:tcPr>
          <w:p>
            <w:pPr>
              <w:jc w:val="right"/>
              <w:ind w:right="288"/>
              <w:spacing w:after="0"/>
              <w:rPr>
                <w:sz w:val="20"/>
                <w:szCs w:val="20"/>
                <w:color w:val="auto"/>
              </w:rPr>
            </w:pPr>
            <w:r>
              <w:rPr>
                <w:rFonts w:ascii="Arial" w:cs="Arial" w:eastAsia="Arial" w:hAnsi="Arial"/>
                <w:sz w:val="20"/>
                <w:szCs w:val="20"/>
                <w:color w:val="auto"/>
              </w:rPr>
              <w:t>$1,103.7</w:t>
            </w:r>
          </w:p>
        </w:tc>
        <w:tc>
          <w:tcPr>
            <w:tcW w:w="164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rPr>
              <w:t>108.5%</w:t>
            </w:r>
          </w:p>
        </w:tc>
        <w:tc>
          <w:tcPr>
            <w:tcW w:w="0" w:type="dxa"/>
            <w:vAlign w:val="bottom"/>
          </w:tcPr>
          <w:p>
            <w:pPr>
              <w:spacing w:after="0"/>
              <w:rPr>
                <w:sz w:val="1"/>
                <w:szCs w:val="1"/>
                <w:color w:val="auto"/>
              </w:rPr>
            </w:pPr>
          </w:p>
        </w:tc>
      </w:tr>
      <w:tr>
        <w:trPr>
          <w:trHeight w:val="264"/>
        </w:trPr>
        <w:tc>
          <w:tcPr>
            <w:tcW w:w="600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86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$8,279.5</w:t>
            </w:r>
          </w:p>
        </w:tc>
        <w:tc>
          <w:tcPr>
            <w:tcW w:w="1920" w:type="dxa"/>
            <w:vAlign w:val="bottom"/>
            <w:tcBorders>
              <w:bottom w:val="single" w:sz="8" w:color="BFE4FF"/>
              <w:right w:val="single" w:sz="8" w:color="BFE4FF"/>
            </w:tcBorders>
          </w:tcPr>
          <w:p>
            <w:pPr>
              <w:jc w:val="right"/>
              <w:ind w:right="288"/>
              <w:spacing w:after="0"/>
              <w:rPr>
                <w:sz w:val="20"/>
                <w:szCs w:val="20"/>
                <w:color w:val="auto"/>
              </w:rPr>
            </w:pPr>
            <w:r>
              <w:rPr>
                <w:rFonts w:ascii="Arial" w:cs="Arial" w:eastAsia="Arial" w:hAnsi="Arial"/>
                <w:sz w:val="20"/>
                <w:szCs w:val="20"/>
                <w:color w:val="auto"/>
              </w:rPr>
              <w:t>$8,582.0</w:t>
            </w:r>
          </w:p>
        </w:tc>
        <w:tc>
          <w:tcPr>
            <w:tcW w:w="164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8"/>
              </w:rPr>
              <w:t>(3.5%)</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Onshore/Offshore reported second quarter revenue of $1,342.4 million. Revenue declined 26 percent from the prior-year quarter as we moved closer to completion on major projects, primarily Yamal LNG. This anticipated decline was moderately offset by increased project activity in both the Asia Pacific and Europe, Middle East, India and Africa (EMIA) regions.</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Onshore/Offshore reported operating profit of $171.3 million; adjusted EBITDA was $170.9 million with a margin of 12.7 percent. Operating profit decreased 16.2 percent versus the prior-year quarter due to lower revenue, partially offset by strong project execution across many projects, most notably in both the Asia Pacific and EMIA regions. These same factors drove the year-over-year decrease in adjusted EBITDA; adjusted EBITDA margin increased 238 basis points from the prior-year results.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Second Quarter Onshore/Offshore Highlights</w:t>
      </w:r>
    </w:p>
    <w:p>
      <w:pPr>
        <w:spacing w:after="0" w:line="20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b w:val="1"/>
          <w:bCs w:val="1"/>
          <w:color w:val="auto"/>
        </w:rPr>
        <w:t xml:space="preserve">Yamal LNG </w:t>
      </w:r>
      <w:r>
        <w:rPr>
          <w:rFonts w:ascii="Arial" w:cs="Arial" w:eastAsia="Arial" w:hAnsi="Arial"/>
          <w:sz w:val="18"/>
          <w:szCs w:val="18"/>
          <w:b w:val="1"/>
          <w:bCs w:val="1"/>
          <w:color w:val="auto"/>
        </w:rPr>
        <w:t>(Russia)</w:t>
      </w:r>
    </w:p>
    <w:p>
      <w:pPr>
        <w:spacing w:after="0" w:line="23" w:lineRule="exact"/>
        <w:rPr>
          <w:rFonts w:ascii="Arial" w:cs="Arial" w:eastAsia="Arial" w:hAnsi="Arial"/>
          <w:sz w:val="18"/>
          <w:szCs w:val="18"/>
          <w:color w:val="auto"/>
        </w:rPr>
      </w:pPr>
    </w:p>
    <w:p>
      <w:pPr>
        <w:ind w:left="660"/>
        <w:spacing w:after="0" w:line="247" w:lineRule="auto"/>
        <w:rPr>
          <w:rFonts w:ascii="Arial" w:cs="Arial" w:eastAsia="Arial" w:hAnsi="Arial"/>
          <w:sz w:val="18"/>
          <w:szCs w:val="18"/>
          <w:color w:val="auto"/>
        </w:rPr>
      </w:pPr>
      <w:r>
        <w:rPr>
          <w:rFonts w:ascii="Arial" w:cs="Arial" w:eastAsia="Arial" w:hAnsi="Arial"/>
          <w:sz w:val="20"/>
          <w:szCs w:val="20"/>
          <w:color w:val="auto"/>
        </w:rPr>
        <w:t>Sustained reliability of Train 1, with production in excess of 3 million tons of LNG shipped to date. Commissioning of Train 2 progressing well and nearing completion.</w:t>
      </w:r>
    </w:p>
    <w:p>
      <w:pPr>
        <w:spacing w:after="0" w:line="13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b w:val="1"/>
          <w:bCs w:val="1"/>
          <w:color w:val="auto"/>
        </w:rPr>
        <w:t xml:space="preserve">Petronas Rapid UIO </w:t>
      </w:r>
      <w:r>
        <w:rPr>
          <w:rFonts w:ascii="Arial" w:cs="Arial" w:eastAsia="Arial" w:hAnsi="Arial"/>
          <w:sz w:val="18"/>
          <w:szCs w:val="18"/>
          <w:b w:val="1"/>
          <w:bCs w:val="1"/>
          <w:color w:val="auto"/>
        </w:rPr>
        <w:t>(Malaysia)</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Delivered temporary Demin Plant Generation with installation in progress.</w:t>
      </w:r>
    </w:p>
    <w:p>
      <w:pPr>
        <w:spacing w:after="0" w:line="151" w:lineRule="exact"/>
        <w:rPr>
          <w:rFonts w:ascii="Arial" w:cs="Arial" w:eastAsia="Arial" w:hAnsi="Arial"/>
          <w:sz w:val="18"/>
          <w:szCs w:val="18"/>
          <w:color w:val="auto"/>
        </w:rPr>
      </w:pPr>
    </w:p>
    <w:p>
      <w:pPr>
        <w:ind w:left="660" w:right="7780" w:hanging="328"/>
        <w:spacing w:after="0" w:line="29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9"/>
          <w:szCs w:val="19"/>
          <w:b w:val="1"/>
          <w:bCs w:val="1"/>
          <w:color w:val="auto"/>
        </w:rPr>
        <w:t xml:space="preserve">Equinor Martin Linge </w:t>
      </w:r>
      <w:r>
        <w:rPr>
          <w:rFonts w:ascii="Arial" w:cs="Arial" w:eastAsia="Arial" w:hAnsi="Arial"/>
          <w:sz w:val="17"/>
          <w:szCs w:val="17"/>
          <w:b w:val="1"/>
          <w:bCs w:val="1"/>
          <w:color w:val="auto"/>
        </w:rPr>
        <w:t>(Norway)</w:t>
      </w:r>
      <w:r>
        <w:rPr>
          <w:rFonts w:ascii="Arial" w:cs="Arial" w:eastAsia="Arial" w:hAnsi="Arial"/>
          <w:sz w:val="19"/>
          <w:szCs w:val="19"/>
          <w:b w:val="1"/>
          <w:bCs w:val="1"/>
          <w:color w:val="auto"/>
        </w:rPr>
        <w:t xml:space="preserve"> </w:t>
      </w:r>
      <w:r>
        <w:rPr>
          <w:rFonts w:ascii="Arial" w:cs="Arial" w:eastAsia="Arial" w:hAnsi="Arial"/>
          <w:sz w:val="19"/>
          <w:szCs w:val="19"/>
          <w:color w:val="auto"/>
        </w:rPr>
        <w:t>Offshore campaign started in July.</w:t>
      </w:r>
    </w:p>
    <w:p>
      <w:pPr>
        <w:spacing w:after="0" w:line="114"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Onshore/Offshore inbound orders for the quarter were $2,300.8 million; this included additional reimbursable scope for the Yamal project. The following awards were included in the period:</w:t>
      </w:r>
    </w:p>
    <w:p>
      <w:pPr>
        <w:spacing w:after="0" w:line="200" w:lineRule="exact"/>
        <w:rPr>
          <w:sz w:val="20"/>
          <w:szCs w:val="20"/>
          <w:color w:val="auto"/>
        </w:rPr>
      </w:pPr>
    </w:p>
    <w:p>
      <w:pPr>
        <w:spacing w:after="0" w:line="31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0"/>
          <w:szCs w:val="20"/>
          <w:b w:val="1"/>
          <w:bCs w:val="1"/>
          <w:color w:val="auto"/>
        </w:rPr>
        <w:t xml:space="preserve">Hindustan Urvarak and Rasayan Limited (HURL) Fertilizer Plants </w:t>
      </w:r>
      <w:r>
        <w:rPr>
          <w:rFonts w:ascii="Arial" w:cs="Arial" w:eastAsia="Arial" w:hAnsi="Arial"/>
          <w:sz w:val="18"/>
          <w:szCs w:val="18"/>
          <w:b w:val="1"/>
          <w:bCs w:val="1"/>
          <w:color w:val="auto"/>
        </w:rPr>
        <w:t>(India)</w:t>
      </w:r>
    </w:p>
    <w:p>
      <w:pPr>
        <w:spacing w:after="0" w:line="23" w:lineRule="exact"/>
        <w:rPr>
          <w:rFonts w:ascii="Arial" w:cs="Arial" w:eastAsia="Arial" w:hAnsi="Arial"/>
          <w:sz w:val="18"/>
          <w:szCs w:val="18"/>
          <w:color w:val="auto"/>
        </w:rPr>
      </w:pPr>
    </w:p>
    <w:p>
      <w:pPr>
        <w:jc w:val="both"/>
        <w:ind w:left="660"/>
        <w:spacing w:after="0" w:line="242" w:lineRule="auto"/>
        <w:rPr>
          <w:rFonts w:ascii="Arial" w:cs="Arial" w:eastAsia="Arial" w:hAnsi="Arial"/>
          <w:sz w:val="18"/>
          <w:szCs w:val="18"/>
          <w:color w:val="auto"/>
        </w:rPr>
      </w:pPr>
      <w:r>
        <w:rPr>
          <w:rFonts w:ascii="Arial" w:cs="Arial" w:eastAsia="Arial" w:hAnsi="Arial"/>
          <w:sz w:val="20"/>
          <w:szCs w:val="20"/>
          <w:color w:val="auto"/>
        </w:rPr>
        <w:t>Award for the engineering, procurement, construction, and commissioning (EPCC) contracts for two state-of-the-art, natural gas based fertilizer complexes in Eastern India in consortium with Larsen &amp; Toubro Hydrocarbon Engineering. The consortium, under the leadership of TechnipFMC, is responsible for licensing, engineering, construction, and commissioning.</w:t>
      </w:r>
    </w:p>
    <w:p>
      <w:pPr>
        <w:sectPr>
          <w:pgSz w:w="11900" w:h="16838" w:orient="portrait"/>
          <w:cols w:equalWidth="0" w:num="1">
            <w:col w:w="11420"/>
          </w:cols>
          <w:pgMar w:left="240" w:top="517" w:right="239" w:bottom="1440" w:gutter="0" w:footer="0" w:header="0"/>
        </w:sectPr>
      </w:pPr>
    </w:p>
    <w:bookmarkStart w:id="9" w:name="page10"/>
    <w:bookmarkEnd w:id="9"/>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20"/>
          <w:szCs w:val="20"/>
          <w:b w:val="1"/>
          <w:bCs w:val="1"/>
          <w:color w:val="auto"/>
        </w:rPr>
        <w:t xml:space="preserve">BP Tortue/Ahmeyim Development FPSO </w:t>
      </w:r>
      <w:r>
        <w:rPr>
          <w:rFonts w:ascii="Arial" w:cs="Arial" w:eastAsia="Arial" w:hAnsi="Arial"/>
          <w:sz w:val="18"/>
          <w:szCs w:val="18"/>
          <w:b w:val="1"/>
          <w:bCs w:val="1"/>
          <w:color w:val="auto"/>
        </w:rPr>
        <w:t>(Mauritania and Senegal)</w:t>
      </w:r>
    </w:p>
    <w:p>
      <w:pPr>
        <w:spacing w:after="0" w:line="23" w:lineRule="exact"/>
        <w:rPr>
          <w:rFonts w:ascii="Arial" w:cs="Arial" w:eastAsia="Arial" w:hAnsi="Arial"/>
          <w:sz w:val="18"/>
          <w:szCs w:val="18"/>
          <w:color w:val="auto"/>
        </w:rPr>
      </w:pPr>
    </w:p>
    <w:p>
      <w:pPr>
        <w:jc w:val="both"/>
        <w:ind w:left="660" w:right="20"/>
        <w:spacing w:after="0" w:line="242" w:lineRule="auto"/>
        <w:rPr>
          <w:rFonts w:ascii="Arial" w:cs="Arial" w:eastAsia="Arial" w:hAnsi="Arial"/>
          <w:sz w:val="18"/>
          <w:szCs w:val="18"/>
          <w:color w:val="auto"/>
        </w:rPr>
      </w:pPr>
      <w:r>
        <w:rPr>
          <w:rFonts w:ascii="Arial" w:cs="Arial" w:eastAsia="Arial" w:hAnsi="Arial"/>
          <w:sz w:val="20"/>
          <w:szCs w:val="20"/>
          <w:color w:val="auto"/>
        </w:rPr>
        <w:t>Award for the FEED contract for the floating production storage and offloading (FPSO) unit for the Tortue/Ahmeyim Field Development. TechnipFMC will work on defining the technology and equipment scope. The agreement provides a mechanism to allow a transition of the contract to an engineering, procurement, construction, and installation contract at a later stage.</w:t>
      </w:r>
    </w:p>
    <w:p>
      <w:pPr>
        <w:spacing w:after="0" w:line="7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20"/>
          <w:szCs w:val="20"/>
          <w:b w:val="1"/>
          <w:bCs w:val="1"/>
          <w:color w:val="auto"/>
        </w:rPr>
        <w:t xml:space="preserve">Hindustan Petroleum Corporation Ltd. Hydrogen Generation Unit </w:t>
      </w:r>
      <w:r>
        <w:rPr>
          <w:rFonts w:ascii="Arial" w:cs="Arial" w:eastAsia="Arial" w:hAnsi="Arial"/>
          <w:sz w:val="18"/>
          <w:szCs w:val="18"/>
          <w:b w:val="1"/>
          <w:bCs w:val="1"/>
          <w:color w:val="auto"/>
        </w:rPr>
        <w:t>(India)</w:t>
      </w:r>
    </w:p>
    <w:p>
      <w:pPr>
        <w:spacing w:after="0" w:line="23" w:lineRule="exact"/>
        <w:rPr>
          <w:rFonts w:ascii="Arial" w:cs="Arial" w:eastAsia="Arial" w:hAnsi="Arial"/>
          <w:sz w:val="18"/>
          <w:szCs w:val="18"/>
          <w:color w:val="auto"/>
        </w:rPr>
      </w:pPr>
    </w:p>
    <w:p>
      <w:pPr>
        <w:jc w:val="both"/>
        <w:ind w:left="660" w:right="40"/>
        <w:spacing w:after="0" w:line="243" w:lineRule="auto"/>
        <w:rPr>
          <w:rFonts w:ascii="Arial" w:cs="Arial" w:eastAsia="Arial" w:hAnsi="Arial"/>
          <w:sz w:val="18"/>
          <w:szCs w:val="18"/>
          <w:color w:val="auto"/>
        </w:rPr>
      </w:pPr>
      <w:r>
        <w:rPr>
          <w:rFonts w:ascii="Arial" w:cs="Arial" w:eastAsia="Arial" w:hAnsi="Arial"/>
          <w:sz w:val="20"/>
          <w:szCs w:val="20"/>
          <w:color w:val="auto"/>
        </w:rPr>
        <w:t>Award for the project management, technology licensing, preparation of basic design and engineering package, as well as detailed EPCC, and performance guarantee test run for India’s largest Hydrogen Generation Unit. The project is part of the brownfield expansion for the Visakh Refinery Modernization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254875" cy="1560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156083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320" w:type="dxa"/>
            <w:vAlign w:val="bottom"/>
          </w:tcPr>
          <w:p>
            <w:pPr>
              <w:ind w:left="40"/>
              <w:spacing w:after="0"/>
              <w:rPr>
                <w:sz w:val="20"/>
                <w:szCs w:val="20"/>
                <w:color w:val="auto"/>
              </w:rPr>
            </w:pPr>
            <w:r>
              <w:rPr>
                <w:rFonts w:ascii="Arial" w:cs="Arial" w:eastAsia="Arial" w:hAnsi="Arial"/>
                <w:sz w:val="20"/>
                <w:szCs w:val="20"/>
                <w:b w:val="1"/>
                <w:bCs w:val="1"/>
                <w:color w:val="auto"/>
              </w:rPr>
              <w:t>Onshore/Offshore</w:t>
            </w:r>
          </w:p>
        </w:tc>
        <w:tc>
          <w:tcPr>
            <w:tcW w:w="210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185"/>
        </w:trPr>
        <w:tc>
          <w:tcPr>
            <w:tcW w:w="7320" w:type="dxa"/>
            <w:vAlign w:val="bottom"/>
            <w:tcBorders>
              <w:bottom w:val="single" w:sz="8" w:color="BFE4FF"/>
            </w:tcBorders>
          </w:tcPr>
          <w:p>
            <w:pPr>
              <w:spacing w:after="0"/>
              <w:rPr>
                <w:sz w:val="16"/>
                <w:szCs w:val="16"/>
                <w:color w:val="auto"/>
              </w:rPr>
            </w:pPr>
          </w:p>
        </w:tc>
        <w:tc>
          <w:tcPr>
            <w:tcW w:w="21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54"/>
        </w:trPr>
        <w:tc>
          <w:tcPr>
            <w:tcW w:w="7320" w:type="dxa"/>
            <w:vAlign w:val="bottom"/>
          </w:tcPr>
          <w:p>
            <w:pPr>
              <w:ind w:left="40"/>
              <w:spacing w:after="0"/>
              <w:rPr>
                <w:sz w:val="20"/>
                <w:szCs w:val="20"/>
                <w:color w:val="auto"/>
              </w:rPr>
            </w:pPr>
            <w:r>
              <w:rPr>
                <w:rFonts w:ascii="Arial" w:cs="Arial" w:eastAsia="Arial" w:hAnsi="Arial"/>
                <w:sz w:val="20"/>
                <w:szCs w:val="20"/>
                <w:color w:val="auto"/>
              </w:rPr>
              <w:t>Estimated Backlog Scheduling as of June 30, 2018</w:t>
            </w:r>
          </w:p>
        </w:tc>
        <w:tc>
          <w:tcPr>
            <w:tcW w:w="210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347"/>
        </w:trPr>
        <w:tc>
          <w:tcPr>
            <w:tcW w:w="73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100" w:type="dxa"/>
            <w:vAlign w:val="bottom"/>
          </w:tcPr>
          <w:p>
            <w:pPr>
              <w:jc w:val="right"/>
              <w:ind w:right="341"/>
              <w:spacing w:after="0"/>
              <w:rPr>
                <w:sz w:val="20"/>
                <w:szCs w:val="20"/>
                <w:color w:val="auto"/>
              </w:rPr>
            </w:pPr>
            <w:r>
              <w:rPr>
                <w:rFonts w:ascii="Arial" w:cs="Arial" w:eastAsia="Arial" w:hAnsi="Arial"/>
                <w:sz w:val="20"/>
                <w:szCs w:val="20"/>
                <w:b w:val="1"/>
                <w:bCs w:val="1"/>
                <w:color w:val="auto"/>
              </w:rPr>
              <w:t>Consolidated</w:t>
            </w:r>
          </w:p>
        </w:tc>
        <w:tc>
          <w:tcPr>
            <w:tcW w:w="2020" w:type="dxa"/>
            <w:vAlign w:val="bottom"/>
          </w:tcPr>
          <w:p>
            <w:pPr>
              <w:jc w:val="right"/>
              <w:ind w:right="101"/>
              <w:spacing w:after="0"/>
              <w:rPr>
                <w:sz w:val="20"/>
                <w:szCs w:val="20"/>
                <w:color w:val="auto"/>
              </w:rPr>
            </w:pPr>
            <w:r>
              <w:rPr>
                <w:rFonts w:ascii="Arial" w:cs="Arial" w:eastAsia="Arial" w:hAnsi="Arial"/>
                <w:sz w:val="20"/>
                <w:szCs w:val="20"/>
                <w:b w:val="1"/>
                <w:bCs w:val="1"/>
                <w:color w:val="auto"/>
              </w:rPr>
              <w:t>Non-consolidated</w:t>
            </w:r>
          </w:p>
        </w:tc>
      </w:tr>
      <w:tr>
        <w:trPr>
          <w:trHeight w:val="230"/>
        </w:trPr>
        <w:tc>
          <w:tcPr>
            <w:tcW w:w="73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jc w:val="right"/>
              <w:ind w:right="601"/>
              <w:spacing w:after="0"/>
              <w:rPr>
                <w:sz w:val="20"/>
                <w:szCs w:val="20"/>
                <w:color w:val="auto"/>
              </w:rPr>
            </w:pPr>
            <w:r>
              <w:rPr>
                <w:rFonts w:ascii="Arial" w:cs="Arial" w:eastAsia="Arial" w:hAnsi="Arial"/>
                <w:sz w:val="20"/>
                <w:szCs w:val="20"/>
                <w:b w:val="1"/>
                <w:bCs w:val="1"/>
                <w:color w:val="auto"/>
              </w:rPr>
              <w:t>backlog</w:t>
            </w:r>
          </w:p>
        </w:tc>
        <w:tc>
          <w:tcPr>
            <w:tcW w:w="2020" w:type="dxa"/>
            <w:vAlign w:val="bottom"/>
            <w:tcBorders>
              <w:bottom w:val="single" w:sz="8" w:color="CCEEFF"/>
            </w:tcBorders>
          </w:tcPr>
          <w:p>
            <w:pPr>
              <w:jc w:val="right"/>
              <w:ind w:right="521"/>
              <w:spacing w:after="0"/>
              <w:rPr>
                <w:sz w:val="20"/>
                <w:szCs w:val="20"/>
                <w:color w:val="auto"/>
              </w:rPr>
            </w:pPr>
            <w:r>
              <w:rPr>
                <w:rFonts w:ascii="Arial" w:cs="Arial" w:eastAsia="Arial" w:hAnsi="Arial"/>
                <w:sz w:val="20"/>
                <w:szCs w:val="20"/>
                <w:b w:val="1"/>
                <w:bCs w:val="1"/>
                <w:color w:val="auto"/>
              </w:rPr>
              <w:t>backlog*</w:t>
            </w:r>
          </w:p>
        </w:tc>
      </w:tr>
      <w:tr>
        <w:trPr>
          <w:trHeight w:val="259"/>
        </w:trPr>
        <w:tc>
          <w:tcPr>
            <w:tcW w:w="7320" w:type="dxa"/>
            <w:vAlign w:val="bottom"/>
            <w:tcBorders>
              <w:bottom w:val="single" w:sz="8" w:color="BFE4FF"/>
            </w:tcBorders>
          </w:tcPr>
          <w:p>
            <w:pPr>
              <w:ind w:left="40"/>
              <w:spacing w:after="0"/>
              <w:rPr>
                <w:sz w:val="20"/>
                <w:szCs w:val="20"/>
                <w:color w:val="auto"/>
              </w:rPr>
            </w:pPr>
            <w:r>
              <w:rPr>
                <w:rFonts w:ascii="Arial" w:cs="Arial" w:eastAsia="Arial" w:hAnsi="Arial"/>
                <w:sz w:val="20"/>
                <w:szCs w:val="20"/>
                <w:b w:val="1"/>
                <w:bCs w:val="1"/>
                <w:color w:val="auto"/>
              </w:rPr>
              <w:t>2018 (6 months)</w:t>
            </w:r>
          </w:p>
        </w:tc>
        <w:tc>
          <w:tcPr>
            <w:tcW w:w="2100" w:type="dxa"/>
            <w:vAlign w:val="bottom"/>
            <w:tcBorders>
              <w:bottom w:val="single" w:sz="8" w:color="BFE4FF"/>
            </w:tcBorders>
          </w:tcPr>
          <w:p>
            <w:pPr>
              <w:jc w:val="right"/>
              <w:ind w:right="41"/>
              <w:spacing w:after="0"/>
              <w:rPr>
                <w:sz w:val="20"/>
                <w:szCs w:val="20"/>
                <w:color w:val="auto"/>
              </w:rPr>
            </w:pPr>
            <w:r>
              <w:rPr>
                <w:rFonts w:ascii="Arial" w:cs="Arial" w:eastAsia="Arial" w:hAnsi="Arial"/>
                <w:sz w:val="20"/>
                <w:szCs w:val="20"/>
                <w:color w:val="auto"/>
              </w:rPr>
              <w:t>$2,874.0</w:t>
            </w:r>
          </w:p>
        </w:tc>
        <w:tc>
          <w:tcPr>
            <w:tcW w:w="2020" w:type="dxa"/>
            <w:vAlign w:val="bottom"/>
            <w:tcBorders>
              <w:bottom w:val="single" w:sz="8" w:color="BFE4FF"/>
            </w:tcBorders>
          </w:tcPr>
          <w:p>
            <w:pPr>
              <w:jc w:val="right"/>
              <w:ind w:right="21"/>
              <w:spacing w:after="0"/>
              <w:rPr>
                <w:sz w:val="20"/>
                <w:szCs w:val="20"/>
                <w:color w:val="auto"/>
              </w:rPr>
            </w:pPr>
            <w:r>
              <w:rPr>
                <w:rFonts w:ascii="Arial" w:cs="Arial" w:eastAsia="Arial" w:hAnsi="Arial"/>
                <w:sz w:val="20"/>
                <w:szCs w:val="20"/>
                <w:color w:val="auto"/>
              </w:rPr>
              <w:t>$112.2</w:t>
            </w:r>
          </w:p>
        </w:tc>
      </w:tr>
      <w:tr>
        <w:trPr>
          <w:trHeight w:val="264"/>
        </w:trPr>
        <w:tc>
          <w:tcPr>
            <w:tcW w:w="7320" w:type="dxa"/>
            <w:vAlign w:val="bottom"/>
            <w:tcBorders>
              <w:bottom w:val="single" w:sz="8" w:color="BFE4FF"/>
            </w:tcBorders>
          </w:tcPr>
          <w:p>
            <w:pPr>
              <w:ind w:left="40"/>
              <w:spacing w:after="0"/>
              <w:rPr>
                <w:sz w:val="20"/>
                <w:szCs w:val="20"/>
                <w:color w:val="auto"/>
              </w:rPr>
            </w:pPr>
            <w:r>
              <w:rPr>
                <w:rFonts w:ascii="Arial" w:cs="Arial" w:eastAsia="Arial" w:hAnsi="Arial"/>
                <w:sz w:val="20"/>
                <w:szCs w:val="20"/>
                <w:b w:val="1"/>
                <w:bCs w:val="1"/>
                <w:color w:val="auto"/>
              </w:rPr>
              <w:t>2019</w:t>
            </w:r>
          </w:p>
        </w:tc>
        <w:tc>
          <w:tcPr>
            <w:tcW w:w="2100" w:type="dxa"/>
            <w:vAlign w:val="bottom"/>
            <w:tcBorders>
              <w:bottom w:val="single" w:sz="8" w:color="BFE4FF"/>
            </w:tcBorders>
          </w:tcPr>
          <w:p>
            <w:pPr>
              <w:jc w:val="right"/>
              <w:ind w:right="41"/>
              <w:spacing w:after="0"/>
              <w:rPr>
                <w:sz w:val="20"/>
                <w:szCs w:val="20"/>
                <w:color w:val="auto"/>
              </w:rPr>
            </w:pPr>
            <w:r>
              <w:rPr>
                <w:rFonts w:ascii="Arial" w:cs="Arial" w:eastAsia="Arial" w:hAnsi="Arial"/>
                <w:sz w:val="20"/>
                <w:szCs w:val="20"/>
                <w:color w:val="auto"/>
              </w:rPr>
              <w:t>$3,403.2</w:t>
            </w:r>
          </w:p>
        </w:tc>
        <w:tc>
          <w:tcPr>
            <w:tcW w:w="2020" w:type="dxa"/>
            <w:vAlign w:val="bottom"/>
            <w:tcBorders>
              <w:bottom w:val="single" w:sz="8" w:color="BFE4FF"/>
            </w:tcBorders>
          </w:tcPr>
          <w:p>
            <w:pPr>
              <w:jc w:val="right"/>
              <w:ind w:right="21"/>
              <w:spacing w:after="0"/>
              <w:rPr>
                <w:sz w:val="20"/>
                <w:szCs w:val="20"/>
                <w:color w:val="auto"/>
              </w:rPr>
            </w:pPr>
            <w:r>
              <w:rPr>
                <w:rFonts w:ascii="Arial" w:cs="Arial" w:eastAsia="Arial" w:hAnsi="Arial"/>
                <w:sz w:val="20"/>
                <w:szCs w:val="20"/>
                <w:color w:val="auto"/>
              </w:rPr>
              <w:t>$711.9</w:t>
            </w:r>
          </w:p>
        </w:tc>
      </w:tr>
      <w:tr>
        <w:trPr>
          <w:trHeight w:val="264"/>
        </w:trPr>
        <w:tc>
          <w:tcPr>
            <w:tcW w:w="7320" w:type="dxa"/>
            <w:vAlign w:val="bottom"/>
            <w:tcBorders>
              <w:bottom w:val="single" w:sz="8" w:color="BFE4FF"/>
            </w:tcBorders>
          </w:tcPr>
          <w:p>
            <w:pPr>
              <w:ind w:left="40"/>
              <w:spacing w:after="0"/>
              <w:rPr>
                <w:sz w:val="20"/>
                <w:szCs w:val="20"/>
                <w:color w:val="auto"/>
              </w:rPr>
            </w:pPr>
            <w:r>
              <w:rPr>
                <w:rFonts w:ascii="Arial" w:cs="Arial" w:eastAsia="Arial" w:hAnsi="Arial"/>
                <w:sz w:val="20"/>
                <w:szCs w:val="20"/>
                <w:b w:val="1"/>
                <w:bCs w:val="1"/>
                <w:color w:val="auto"/>
              </w:rPr>
              <w:t>2020 and beyond</w:t>
            </w:r>
          </w:p>
        </w:tc>
        <w:tc>
          <w:tcPr>
            <w:tcW w:w="2100" w:type="dxa"/>
            <w:vAlign w:val="bottom"/>
            <w:tcBorders>
              <w:bottom w:val="single" w:sz="8" w:color="BFE4FF"/>
            </w:tcBorders>
          </w:tcPr>
          <w:p>
            <w:pPr>
              <w:jc w:val="right"/>
              <w:ind w:right="41"/>
              <w:spacing w:after="0"/>
              <w:rPr>
                <w:sz w:val="20"/>
                <w:szCs w:val="20"/>
                <w:color w:val="auto"/>
              </w:rPr>
            </w:pPr>
            <w:r>
              <w:rPr>
                <w:rFonts w:ascii="Arial" w:cs="Arial" w:eastAsia="Arial" w:hAnsi="Arial"/>
                <w:sz w:val="20"/>
                <w:szCs w:val="20"/>
                <w:color w:val="auto"/>
              </w:rPr>
              <w:t>$2,002.3</w:t>
            </w:r>
          </w:p>
        </w:tc>
        <w:tc>
          <w:tcPr>
            <w:tcW w:w="2020" w:type="dxa"/>
            <w:vAlign w:val="bottom"/>
            <w:tcBorders>
              <w:bottom w:val="single" w:sz="8" w:color="BFE4FF"/>
            </w:tcBorders>
          </w:tcPr>
          <w:p>
            <w:pPr>
              <w:jc w:val="right"/>
              <w:ind w:right="21"/>
              <w:spacing w:after="0"/>
              <w:rPr>
                <w:sz w:val="20"/>
                <w:szCs w:val="20"/>
                <w:color w:val="auto"/>
              </w:rPr>
            </w:pPr>
            <w:r>
              <w:rPr>
                <w:rFonts w:ascii="Arial" w:cs="Arial" w:eastAsia="Arial" w:hAnsi="Arial"/>
                <w:sz w:val="20"/>
                <w:szCs w:val="20"/>
                <w:color w:val="auto"/>
              </w:rPr>
              <w:t>$1,181.6</w:t>
            </w:r>
          </w:p>
        </w:tc>
      </w:tr>
      <w:tr>
        <w:trPr>
          <w:trHeight w:val="259"/>
        </w:trPr>
        <w:tc>
          <w:tcPr>
            <w:tcW w:w="7320" w:type="dxa"/>
            <w:vAlign w:val="bottom"/>
          </w:tcPr>
          <w:p>
            <w:pPr>
              <w:ind w:left="40"/>
              <w:spacing w:after="0"/>
              <w:rPr>
                <w:sz w:val="20"/>
                <w:szCs w:val="20"/>
                <w:color w:val="auto"/>
              </w:rPr>
            </w:pPr>
            <w:r>
              <w:rPr>
                <w:rFonts w:ascii="Arial" w:cs="Arial" w:eastAsia="Arial" w:hAnsi="Arial"/>
                <w:sz w:val="20"/>
                <w:szCs w:val="20"/>
                <w:b w:val="1"/>
                <w:bCs w:val="1"/>
                <w:color w:val="auto"/>
              </w:rPr>
              <w:t>Total</w:t>
            </w:r>
          </w:p>
        </w:tc>
        <w:tc>
          <w:tcPr>
            <w:tcW w:w="2100" w:type="dxa"/>
            <w:vAlign w:val="bottom"/>
          </w:tcPr>
          <w:p>
            <w:pPr>
              <w:jc w:val="right"/>
              <w:ind w:right="41"/>
              <w:spacing w:after="0"/>
              <w:rPr>
                <w:sz w:val="20"/>
                <w:szCs w:val="20"/>
                <w:color w:val="auto"/>
              </w:rPr>
            </w:pPr>
            <w:r>
              <w:rPr>
                <w:rFonts w:ascii="Arial" w:cs="Arial" w:eastAsia="Arial" w:hAnsi="Arial"/>
                <w:sz w:val="20"/>
                <w:szCs w:val="20"/>
                <w:b w:val="1"/>
                <w:bCs w:val="1"/>
                <w:color w:val="auto"/>
              </w:rPr>
              <w:t>$8,279.5</w:t>
            </w:r>
          </w:p>
        </w:tc>
        <w:tc>
          <w:tcPr>
            <w:tcW w:w="2020" w:type="dxa"/>
            <w:vAlign w:val="bottom"/>
          </w:tcPr>
          <w:p>
            <w:pPr>
              <w:jc w:val="right"/>
              <w:ind w:right="21"/>
              <w:spacing w:after="0"/>
              <w:rPr>
                <w:sz w:val="20"/>
                <w:szCs w:val="20"/>
                <w:color w:val="auto"/>
              </w:rPr>
            </w:pPr>
            <w:r>
              <w:rPr>
                <w:rFonts w:ascii="Arial" w:cs="Arial" w:eastAsia="Arial" w:hAnsi="Arial"/>
                <w:sz w:val="20"/>
                <w:szCs w:val="20"/>
                <w:b w:val="1"/>
                <w:bCs w:val="1"/>
                <w:color w:val="auto"/>
              </w:rPr>
              <w:t>$2,005.7</w:t>
            </w:r>
          </w:p>
        </w:tc>
      </w:tr>
    </w:tbl>
    <w:p>
      <w:pPr>
        <w:spacing w:after="0" w:line="4" w:lineRule="exact"/>
        <w:rPr>
          <w:sz w:val="20"/>
          <w:szCs w:val="20"/>
          <w:color w:val="auto"/>
        </w:rPr>
      </w:pPr>
    </w:p>
    <w:p>
      <w:pPr>
        <w:ind w:left="340" w:right="580" w:hanging="332"/>
        <w:spacing w:after="0" w:line="282" w:lineRule="auto"/>
        <w:tabs>
          <w:tab w:leader="none" w:pos="136"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ectPr>
          <w:pgSz w:w="11900" w:h="16838" w:orient="portrait"/>
          <w:cols w:equalWidth="0" w:num="1">
            <w:col w:w="11440"/>
          </w:cols>
          <w:pgMar w:left="240" w:top="355" w:right="219" w:bottom="1440" w:gutter="0" w:footer="0" w:header="0"/>
        </w:sectPr>
      </w:pPr>
    </w:p>
    <w:bookmarkStart w:id="10" w:name="page11"/>
    <w:bookmarkEnd w:id="10"/>
    <w:p>
      <w:pPr>
        <w:ind w:left="40"/>
        <w:spacing w:after="0"/>
        <w:rPr>
          <w:sz w:val="20"/>
          <w:szCs w:val="20"/>
          <w:color w:val="auto"/>
        </w:rPr>
      </w:pPr>
      <w:r>
        <w:rPr>
          <w:rFonts w:ascii="Arial" w:cs="Arial" w:eastAsia="Arial" w:hAnsi="Arial"/>
          <w:sz w:val="20"/>
          <w:szCs w:val="20"/>
          <w:b w:val="1"/>
          <w:bCs w:val="1"/>
          <w:color w:val="auto"/>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below and in the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6000" w:type="dxa"/>
            <w:vAlign w:val="bottom"/>
            <w:tcBorders>
              <w:top w:val="single" w:sz="8" w:color="BFE4FF"/>
              <w:left w:val="single" w:sz="8" w:color="BFE4FF"/>
              <w:right w:val="single" w:sz="8" w:color="BFE4FF"/>
            </w:tcBorders>
          </w:tcPr>
          <w:p>
            <w:pPr>
              <w:spacing w:after="0"/>
              <w:rPr>
                <w:sz w:val="18"/>
                <w:szCs w:val="18"/>
                <w:color w:val="auto"/>
              </w:rPr>
            </w:pPr>
          </w:p>
        </w:tc>
        <w:tc>
          <w:tcPr>
            <w:tcW w:w="1880" w:type="dxa"/>
            <w:vAlign w:val="bottom"/>
            <w:tcBorders>
              <w:top w:val="single" w:sz="8" w:color="BFE4FF"/>
              <w:right w:val="single" w:sz="8" w:color="BFE4FF"/>
            </w:tcBorders>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tcBorders>
              <w:top w:val="single" w:sz="8" w:color="BFE4FF"/>
              <w:right w:val="single" w:sz="8" w:color="BFE4FF"/>
            </w:tcBorders>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tcBorders>
              <w:top w:val="single" w:sz="8" w:color="BFE4FF"/>
              <w:right w:val="single" w:sz="8" w:color="BFE4FF"/>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0" w:type="dxa"/>
            <w:vAlign w:val="bottom"/>
            <w:tcBorders>
              <w:left w:val="single" w:sz="8" w:color="BFE4FF"/>
              <w:right w:val="single" w:sz="8" w:color="BFE4FF"/>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80" w:type="dxa"/>
            <w:vAlign w:val="bottom"/>
            <w:tcBorders>
              <w:right w:val="single" w:sz="8" w:color="BFE4FF"/>
            </w:tcBorders>
          </w:tcPr>
          <w:p>
            <w:pPr>
              <w:jc w:val="right"/>
              <w:ind w:right="388"/>
              <w:spacing w:after="0"/>
              <w:rPr>
                <w:sz w:val="20"/>
                <w:szCs w:val="20"/>
                <w:color w:val="auto"/>
              </w:rPr>
            </w:pPr>
            <w:r>
              <w:rPr>
                <w:rFonts w:ascii="Arial" w:cs="Arial" w:eastAsia="Arial" w:hAnsi="Arial"/>
                <w:sz w:val="14"/>
                <w:szCs w:val="14"/>
                <w:b w:val="1"/>
                <w:bCs w:val="1"/>
                <w:color w:val="auto"/>
              </w:rPr>
              <w:t>June 30, 2018</w:t>
            </w:r>
          </w:p>
        </w:tc>
        <w:tc>
          <w:tcPr>
            <w:tcW w:w="1900" w:type="dxa"/>
            <w:vAlign w:val="bottom"/>
            <w:tcBorders>
              <w:right w:val="single" w:sz="8" w:color="BFE4FF"/>
            </w:tcBorders>
          </w:tcPr>
          <w:p>
            <w:pPr>
              <w:jc w:val="right"/>
              <w:ind w:right="408"/>
              <w:spacing w:after="0"/>
              <w:rPr>
                <w:sz w:val="20"/>
                <w:szCs w:val="20"/>
                <w:color w:val="auto"/>
              </w:rPr>
            </w:pPr>
            <w:r>
              <w:rPr>
                <w:rFonts w:ascii="Arial" w:cs="Arial" w:eastAsia="Arial" w:hAnsi="Arial"/>
                <w:sz w:val="14"/>
                <w:szCs w:val="14"/>
                <w:b w:val="1"/>
                <w:bCs w:val="1"/>
                <w:color w:val="auto"/>
              </w:rPr>
              <w:t>June 30, 2017</w:t>
            </w:r>
          </w:p>
        </w:tc>
        <w:tc>
          <w:tcPr>
            <w:tcW w:w="1660" w:type="dxa"/>
            <w:vAlign w:val="bottom"/>
            <w:tcBorders>
              <w:right w:val="single" w:sz="8" w:color="BFE4FF"/>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1"/>
        </w:trPr>
        <w:tc>
          <w:tcPr>
            <w:tcW w:w="6000" w:type="dxa"/>
            <w:vAlign w:val="bottom"/>
            <w:tcBorders>
              <w:left w:val="single" w:sz="8" w:color="BFE4FF"/>
              <w:right w:val="single" w:sz="8" w:color="BFE4FF"/>
            </w:tcBorders>
            <w:vMerge w:val="continue"/>
          </w:tcPr>
          <w:p>
            <w:pPr>
              <w:spacing w:after="0"/>
              <w:rPr>
                <w:sz w:val="7"/>
                <w:szCs w:val="7"/>
                <w:color w:val="auto"/>
              </w:rPr>
            </w:pPr>
          </w:p>
        </w:tc>
        <w:tc>
          <w:tcPr>
            <w:tcW w:w="1880" w:type="dxa"/>
            <w:vAlign w:val="bottom"/>
            <w:tcBorders>
              <w:right w:val="single" w:sz="8" w:color="BFE4FF"/>
            </w:tcBorders>
          </w:tcPr>
          <w:p>
            <w:pPr>
              <w:spacing w:after="0"/>
              <w:rPr>
                <w:sz w:val="7"/>
                <w:szCs w:val="7"/>
                <w:color w:val="auto"/>
              </w:rPr>
            </w:pPr>
          </w:p>
        </w:tc>
        <w:tc>
          <w:tcPr>
            <w:tcW w:w="1900" w:type="dxa"/>
            <w:vAlign w:val="bottom"/>
            <w:tcBorders>
              <w:right w:val="single" w:sz="8" w:color="BFE4FF"/>
            </w:tcBorders>
          </w:tcPr>
          <w:p>
            <w:pPr>
              <w:spacing w:after="0"/>
              <w:rPr>
                <w:sz w:val="7"/>
                <w:szCs w:val="7"/>
                <w:color w:val="auto"/>
              </w:rPr>
            </w:pPr>
          </w:p>
        </w:tc>
        <w:tc>
          <w:tcPr>
            <w:tcW w:w="1660" w:type="dxa"/>
            <w:vAlign w:val="bottom"/>
            <w:tcBorders>
              <w:right w:val="single" w:sz="8" w:color="BFE4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000" w:type="dxa"/>
            <w:vAlign w:val="bottom"/>
            <w:tcBorders>
              <w:left w:val="single" w:sz="8" w:color="BFE4FF"/>
              <w:bottom w:val="single" w:sz="8" w:color="CCEEFF"/>
              <w:right w:val="single" w:sz="8" w:color="BFE4FF"/>
            </w:tcBorders>
          </w:tcPr>
          <w:p>
            <w:pPr>
              <w:spacing w:after="0"/>
              <w:rPr>
                <w:sz w:val="9"/>
                <w:szCs w:val="9"/>
                <w:color w:val="auto"/>
              </w:rPr>
            </w:pPr>
          </w:p>
        </w:tc>
        <w:tc>
          <w:tcPr>
            <w:tcW w:w="1880" w:type="dxa"/>
            <w:vAlign w:val="bottom"/>
            <w:tcBorders>
              <w:bottom w:val="single" w:sz="8" w:color="CCEEFF"/>
              <w:right w:val="single" w:sz="8" w:color="BFE4FF"/>
            </w:tcBorders>
          </w:tcPr>
          <w:p>
            <w:pPr>
              <w:spacing w:after="0"/>
              <w:rPr>
                <w:sz w:val="9"/>
                <w:szCs w:val="9"/>
                <w:color w:val="auto"/>
              </w:rPr>
            </w:pPr>
          </w:p>
        </w:tc>
        <w:tc>
          <w:tcPr>
            <w:tcW w:w="1900" w:type="dxa"/>
            <w:vAlign w:val="bottom"/>
            <w:tcBorders>
              <w:bottom w:val="single" w:sz="8" w:color="CCEEFF"/>
              <w:right w:val="single" w:sz="8" w:color="BFE4FF"/>
            </w:tcBorders>
          </w:tcPr>
          <w:p>
            <w:pPr>
              <w:spacing w:after="0"/>
              <w:rPr>
                <w:sz w:val="9"/>
                <w:szCs w:val="9"/>
                <w:color w:val="auto"/>
              </w:rPr>
            </w:pPr>
          </w:p>
        </w:tc>
        <w:tc>
          <w:tcPr>
            <w:tcW w:w="1660" w:type="dxa"/>
            <w:vAlign w:val="bottom"/>
            <w:tcBorders>
              <w:bottom w:val="single" w:sz="8" w:color="CCEEFF"/>
              <w:right w:val="single" w:sz="8" w:color="BFE4FF"/>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600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$401.1</w:t>
            </w:r>
          </w:p>
        </w:tc>
        <w:tc>
          <w:tcPr>
            <w:tcW w:w="1900" w:type="dxa"/>
            <w:vAlign w:val="bottom"/>
            <w:tcBorders>
              <w:bottom w:val="single" w:sz="8" w:color="BFE4FF"/>
              <w:right w:val="single" w:sz="8" w:color="BFE4FF"/>
            </w:tcBorders>
          </w:tcPr>
          <w:p>
            <w:pPr>
              <w:jc w:val="right"/>
              <w:ind w:right="288"/>
              <w:spacing w:after="0"/>
              <w:rPr>
                <w:sz w:val="20"/>
                <w:szCs w:val="20"/>
                <w:color w:val="auto"/>
              </w:rPr>
            </w:pPr>
            <w:r>
              <w:rPr>
                <w:rFonts w:ascii="Arial" w:cs="Arial" w:eastAsia="Arial" w:hAnsi="Arial"/>
                <w:sz w:val="20"/>
                <w:szCs w:val="20"/>
                <w:color w:val="auto"/>
              </w:rPr>
              <w:t>$300.0</w:t>
            </w:r>
          </w:p>
        </w:tc>
        <w:tc>
          <w:tcPr>
            <w:tcW w:w="1660" w:type="dxa"/>
            <w:vAlign w:val="bottom"/>
            <w:tcBorders>
              <w:bottom w:val="single" w:sz="8" w:color="CCEEFF"/>
              <w:right w:val="single" w:sz="8" w:color="BFE4FF"/>
            </w:tcBorders>
          </w:tcPr>
          <w:p>
            <w:pPr>
              <w:jc w:val="center"/>
              <w:spacing w:after="0"/>
              <w:rPr>
                <w:sz w:val="20"/>
                <w:szCs w:val="20"/>
                <w:color w:val="auto"/>
              </w:rPr>
            </w:pPr>
            <w:r>
              <w:rPr>
                <w:rFonts w:ascii="Arial" w:cs="Arial" w:eastAsia="Arial" w:hAnsi="Arial"/>
                <w:sz w:val="20"/>
                <w:szCs w:val="20"/>
                <w:color w:val="auto"/>
                <w:w w:val="98"/>
              </w:rPr>
              <w:t>33.7%</w:t>
            </w:r>
          </w:p>
        </w:tc>
        <w:tc>
          <w:tcPr>
            <w:tcW w:w="0" w:type="dxa"/>
            <w:vAlign w:val="bottom"/>
          </w:tcPr>
          <w:p>
            <w:pPr>
              <w:spacing w:after="0"/>
              <w:rPr>
                <w:sz w:val="1"/>
                <w:szCs w:val="1"/>
                <w:color w:val="auto"/>
              </w:rPr>
            </w:pPr>
          </w:p>
        </w:tc>
      </w:tr>
      <w:tr>
        <w:trPr>
          <w:trHeight w:val="264"/>
        </w:trPr>
        <w:tc>
          <w:tcPr>
            <w:tcW w:w="600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Operating profit (loss)</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$51.5</w:t>
            </w:r>
          </w:p>
        </w:tc>
        <w:tc>
          <w:tcPr>
            <w:tcW w:w="1900" w:type="dxa"/>
            <w:vAlign w:val="bottom"/>
            <w:tcBorders>
              <w:bottom w:val="single" w:sz="8" w:color="BFE4FF"/>
              <w:right w:val="single" w:sz="8" w:color="BFE4FF"/>
            </w:tcBorders>
          </w:tcPr>
          <w:p>
            <w:pPr>
              <w:jc w:val="right"/>
              <w:ind w:right="208"/>
              <w:spacing w:after="0"/>
              <w:rPr>
                <w:sz w:val="20"/>
                <w:szCs w:val="20"/>
                <w:color w:val="auto"/>
              </w:rPr>
            </w:pPr>
            <w:r>
              <w:rPr>
                <w:rFonts w:ascii="Arial" w:cs="Arial" w:eastAsia="Arial" w:hAnsi="Arial"/>
                <w:sz w:val="20"/>
                <w:szCs w:val="20"/>
                <w:color w:val="auto"/>
              </w:rPr>
              <w:t>($1.0)</w:t>
            </w:r>
          </w:p>
        </w:tc>
        <w:tc>
          <w:tcPr>
            <w:tcW w:w="166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5"/>
              </w:rPr>
              <w:t>n/m</w:t>
            </w:r>
          </w:p>
        </w:tc>
        <w:tc>
          <w:tcPr>
            <w:tcW w:w="0" w:type="dxa"/>
            <w:vAlign w:val="bottom"/>
          </w:tcPr>
          <w:p>
            <w:pPr>
              <w:spacing w:after="0"/>
              <w:rPr>
                <w:sz w:val="1"/>
                <w:szCs w:val="1"/>
                <w:color w:val="auto"/>
              </w:rPr>
            </w:pPr>
          </w:p>
        </w:tc>
      </w:tr>
      <w:tr>
        <w:trPr>
          <w:trHeight w:val="264"/>
        </w:trPr>
        <w:tc>
          <w:tcPr>
            <w:tcW w:w="600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$72.6</w:t>
            </w:r>
          </w:p>
        </w:tc>
        <w:tc>
          <w:tcPr>
            <w:tcW w:w="1900" w:type="dxa"/>
            <w:vAlign w:val="bottom"/>
            <w:tcBorders>
              <w:bottom w:val="single" w:sz="8" w:color="BFE4FF"/>
              <w:right w:val="single" w:sz="8" w:color="BFE4FF"/>
            </w:tcBorders>
          </w:tcPr>
          <w:p>
            <w:pPr>
              <w:jc w:val="right"/>
              <w:ind w:right="288"/>
              <w:spacing w:after="0"/>
              <w:rPr>
                <w:sz w:val="20"/>
                <w:szCs w:val="20"/>
                <w:color w:val="auto"/>
              </w:rPr>
            </w:pPr>
            <w:r>
              <w:rPr>
                <w:rFonts w:ascii="Arial" w:cs="Arial" w:eastAsia="Arial" w:hAnsi="Arial"/>
                <w:sz w:val="20"/>
                <w:szCs w:val="20"/>
                <w:color w:val="auto"/>
              </w:rPr>
              <w:t>$35.9</w:t>
            </w:r>
          </w:p>
        </w:tc>
        <w:tc>
          <w:tcPr>
            <w:tcW w:w="166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rPr>
              <w:t>102.2%</w:t>
            </w:r>
          </w:p>
        </w:tc>
        <w:tc>
          <w:tcPr>
            <w:tcW w:w="0" w:type="dxa"/>
            <w:vAlign w:val="bottom"/>
          </w:tcPr>
          <w:p>
            <w:pPr>
              <w:spacing w:after="0"/>
              <w:rPr>
                <w:sz w:val="1"/>
                <w:szCs w:val="1"/>
                <w:color w:val="auto"/>
              </w:rPr>
            </w:pPr>
          </w:p>
        </w:tc>
      </w:tr>
      <w:tr>
        <w:trPr>
          <w:trHeight w:val="264"/>
        </w:trPr>
        <w:tc>
          <w:tcPr>
            <w:tcW w:w="600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880" w:type="dxa"/>
            <w:vAlign w:val="bottom"/>
            <w:tcBorders>
              <w:bottom w:val="single" w:sz="8" w:color="BFE4FF"/>
              <w:right w:val="single" w:sz="8" w:color="BFE4FF"/>
            </w:tcBorders>
          </w:tcPr>
          <w:p>
            <w:pPr>
              <w:jc w:val="right"/>
              <w:ind w:right="88"/>
              <w:spacing w:after="0"/>
              <w:rPr>
                <w:sz w:val="20"/>
                <w:szCs w:val="20"/>
                <w:color w:val="auto"/>
              </w:rPr>
            </w:pPr>
            <w:r>
              <w:rPr>
                <w:rFonts w:ascii="Arial" w:cs="Arial" w:eastAsia="Arial" w:hAnsi="Arial"/>
                <w:sz w:val="20"/>
                <w:szCs w:val="20"/>
                <w:color w:val="auto"/>
              </w:rPr>
              <w:t>18.1%</w:t>
            </w:r>
          </w:p>
        </w:tc>
        <w:tc>
          <w:tcPr>
            <w:tcW w:w="1900" w:type="dxa"/>
            <w:vAlign w:val="bottom"/>
            <w:tcBorders>
              <w:bottom w:val="single" w:sz="8" w:color="BFE4FF"/>
              <w:right w:val="single" w:sz="8" w:color="BFE4FF"/>
            </w:tcBorders>
          </w:tcPr>
          <w:p>
            <w:pPr>
              <w:jc w:val="right"/>
              <w:ind w:right="108"/>
              <w:spacing w:after="0"/>
              <w:rPr>
                <w:sz w:val="20"/>
                <w:szCs w:val="20"/>
                <w:color w:val="auto"/>
              </w:rPr>
            </w:pPr>
            <w:r>
              <w:rPr>
                <w:rFonts w:ascii="Arial" w:cs="Arial" w:eastAsia="Arial" w:hAnsi="Arial"/>
                <w:sz w:val="20"/>
                <w:szCs w:val="20"/>
                <w:color w:val="auto"/>
              </w:rPr>
              <w:t>12.0%</w:t>
            </w:r>
          </w:p>
        </w:tc>
        <w:tc>
          <w:tcPr>
            <w:tcW w:w="166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613 bps</w:t>
            </w:r>
          </w:p>
        </w:tc>
        <w:tc>
          <w:tcPr>
            <w:tcW w:w="0" w:type="dxa"/>
            <w:vAlign w:val="bottom"/>
          </w:tcPr>
          <w:p>
            <w:pPr>
              <w:spacing w:after="0"/>
              <w:rPr>
                <w:sz w:val="1"/>
                <w:szCs w:val="1"/>
                <w:color w:val="auto"/>
              </w:rPr>
            </w:pPr>
          </w:p>
        </w:tc>
      </w:tr>
      <w:tr>
        <w:trPr>
          <w:trHeight w:val="322"/>
        </w:trPr>
        <w:tc>
          <w:tcPr>
            <w:tcW w:w="6000" w:type="dxa"/>
            <w:vAlign w:val="bottom"/>
            <w:tcBorders>
              <w:left w:val="single" w:sz="8" w:color="BFE4FF"/>
              <w:bottom w:val="single" w:sz="8" w:color="BFE4FF"/>
              <w:right w:val="single" w:sz="8" w:color="BFE4FF"/>
            </w:tcBorders>
          </w:tcPr>
          <w:p>
            <w:pPr>
              <w:spacing w:after="0"/>
              <w:rPr>
                <w:sz w:val="24"/>
                <w:szCs w:val="24"/>
                <w:color w:val="auto"/>
              </w:rPr>
            </w:pPr>
          </w:p>
        </w:tc>
        <w:tc>
          <w:tcPr>
            <w:tcW w:w="1880" w:type="dxa"/>
            <w:vAlign w:val="bottom"/>
            <w:tcBorders>
              <w:bottom w:val="single" w:sz="8" w:color="BFE4FF"/>
              <w:right w:val="single" w:sz="8" w:color="BFE4FF"/>
            </w:tcBorders>
          </w:tcPr>
          <w:p>
            <w:pPr>
              <w:spacing w:after="0"/>
              <w:rPr>
                <w:sz w:val="24"/>
                <w:szCs w:val="24"/>
                <w:color w:val="auto"/>
              </w:rPr>
            </w:pPr>
          </w:p>
        </w:tc>
        <w:tc>
          <w:tcPr>
            <w:tcW w:w="1900" w:type="dxa"/>
            <w:vAlign w:val="bottom"/>
            <w:tcBorders>
              <w:bottom w:val="single" w:sz="8" w:color="BFE4FF"/>
              <w:right w:val="single" w:sz="8" w:color="BFE4FF"/>
            </w:tcBorders>
          </w:tcPr>
          <w:p>
            <w:pPr>
              <w:spacing w:after="0"/>
              <w:rPr>
                <w:sz w:val="24"/>
                <w:szCs w:val="24"/>
                <w:color w:val="auto"/>
              </w:rPr>
            </w:pPr>
          </w:p>
        </w:tc>
        <w:tc>
          <w:tcPr>
            <w:tcW w:w="1660" w:type="dxa"/>
            <w:vAlign w:val="bottom"/>
            <w:tcBorders>
              <w:bottom w:val="single" w:sz="8" w:color="BFE4FF"/>
              <w:right w:val="single" w:sz="8" w:color="BFE4FF"/>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00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$414.7</w:t>
            </w:r>
          </w:p>
        </w:tc>
        <w:tc>
          <w:tcPr>
            <w:tcW w:w="1900" w:type="dxa"/>
            <w:vAlign w:val="bottom"/>
            <w:tcBorders>
              <w:bottom w:val="single" w:sz="8" w:color="BFE4FF"/>
              <w:right w:val="single" w:sz="8" w:color="BFE4FF"/>
            </w:tcBorders>
          </w:tcPr>
          <w:p>
            <w:pPr>
              <w:jc w:val="right"/>
              <w:ind w:right="288"/>
              <w:spacing w:after="0"/>
              <w:rPr>
                <w:sz w:val="20"/>
                <w:szCs w:val="20"/>
                <w:color w:val="auto"/>
              </w:rPr>
            </w:pPr>
            <w:r>
              <w:rPr>
                <w:rFonts w:ascii="Arial" w:cs="Arial" w:eastAsia="Arial" w:hAnsi="Arial"/>
                <w:sz w:val="20"/>
                <w:szCs w:val="20"/>
                <w:color w:val="auto"/>
              </w:rPr>
              <w:t>$276.3</w:t>
            </w:r>
          </w:p>
        </w:tc>
        <w:tc>
          <w:tcPr>
            <w:tcW w:w="166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8"/>
              </w:rPr>
              <w:t>50.1%</w:t>
            </w:r>
          </w:p>
        </w:tc>
        <w:tc>
          <w:tcPr>
            <w:tcW w:w="0" w:type="dxa"/>
            <w:vAlign w:val="bottom"/>
          </w:tcPr>
          <w:p>
            <w:pPr>
              <w:spacing w:after="0"/>
              <w:rPr>
                <w:sz w:val="1"/>
                <w:szCs w:val="1"/>
                <w:color w:val="auto"/>
              </w:rPr>
            </w:pPr>
          </w:p>
        </w:tc>
      </w:tr>
      <w:tr>
        <w:trPr>
          <w:trHeight w:val="264"/>
        </w:trPr>
        <w:tc>
          <w:tcPr>
            <w:tcW w:w="6000" w:type="dxa"/>
            <w:vAlign w:val="bottom"/>
            <w:tcBorders>
              <w:left w:val="single" w:sz="8" w:color="BFE4FF"/>
              <w:bottom w:val="single" w:sz="8" w:color="BFE4FF"/>
              <w:right w:val="single" w:sz="8" w:color="BFE4FF"/>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880" w:type="dxa"/>
            <w:vAlign w:val="bottom"/>
            <w:tcBorders>
              <w:bottom w:val="single" w:sz="8" w:color="BFE4FF"/>
              <w:right w:val="single" w:sz="8" w:color="BFE4FF"/>
            </w:tcBorders>
          </w:tcPr>
          <w:p>
            <w:pPr>
              <w:jc w:val="right"/>
              <w:ind w:right="268"/>
              <w:spacing w:after="0"/>
              <w:rPr>
                <w:sz w:val="20"/>
                <w:szCs w:val="20"/>
                <w:color w:val="auto"/>
              </w:rPr>
            </w:pPr>
            <w:r>
              <w:rPr>
                <w:rFonts w:ascii="Arial" w:cs="Arial" w:eastAsia="Arial" w:hAnsi="Arial"/>
                <w:sz w:val="20"/>
                <w:szCs w:val="20"/>
                <w:color w:val="auto"/>
              </w:rPr>
              <w:t>$415.3</w:t>
            </w:r>
          </w:p>
        </w:tc>
        <w:tc>
          <w:tcPr>
            <w:tcW w:w="1900" w:type="dxa"/>
            <w:vAlign w:val="bottom"/>
            <w:tcBorders>
              <w:bottom w:val="single" w:sz="8" w:color="BFE4FF"/>
              <w:right w:val="single" w:sz="8" w:color="BFE4FF"/>
            </w:tcBorders>
          </w:tcPr>
          <w:p>
            <w:pPr>
              <w:jc w:val="right"/>
              <w:ind w:right="288"/>
              <w:spacing w:after="0"/>
              <w:rPr>
                <w:sz w:val="20"/>
                <w:szCs w:val="20"/>
                <w:color w:val="auto"/>
              </w:rPr>
            </w:pPr>
            <w:r>
              <w:rPr>
                <w:rFonts w:ascii="Arial" w:cs="Arial" w:eastAsia="Arial" w:hAnsi="Arial"/>
                <w:sz w:val="20"/>
                <w:szCs w:val="20"/>
                <w:color w:val="auto"/>
              </w:rPr>
              <w:t>$414.1</w:t>
            </w:r>
          </w:p>
        </w:tc>
        <w:tc>
          <w:tcPr>
            <w:tcW w:w="1660" w:type="dxa"/>
            <w:vAlign w:val="bottom"/>
            <w:tcBorders>
              <w:bottom w:val="single" w:sz="8" w:color="BFE4FF"/>
              <w:right w:val="single" w:sz="8" w:color="BFE4FF"/>
            </w:tcBorders>
          </w:tcPr>
          <w:p>
            <w:pPr>
              <w:jc w:val="center"/>
              <w:spacing w:after="0"/>
              <w:rPr>
                <w:sz w:val="20"/>
                <w:szCs w:val="20"/>
                <w:color w:val="auto"/>
              </w:rPr>
            </w:pPr>
            <w:r>
              <w:rPr>
                <w:rFonts w:ascii="Arial" w:cs="Arial" w:eastAsia="Arial" w:hAnsi="Arial"/>
                <w:sz w:val="20"/>
                <w:szCs w:val="20"/>
                <w:color w:val="auto"/>
                <w:w w:val="96"/>
              </w:rPr>
              <w:t>0.3%</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9"/>
          <w:szCs w:val="19"/>
          <w:color w:val="auto"/>
        </w:rPr>
        <w:t>Surface Technologies reported second quarter revenue of $401.1 million. Revenue increased 33.7 percent from the prior-year quarter, driven primarily by increased activity in the North American market. The solid growth in North America reflected increased demand for hydraulic fracturing services, wellhead systems, and pressure control equipment and services. International revenues also increased versus the prior-year quarter, although at a more moderate pace, driven by Europe, Russia, and Asia.</w:t>
      </w:r>
    </w:p>
    <w:p>
      <w:pPr>
        <w:spacing w:after="0" w:line="137"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Surface Technologies reported operating profit of $51.5 million; adjusted EBITDA was $72.6 million Operating profit improved significantly versus the prior-year quarter due to higher volume in North America and an improved cost structure. International pricing pressures continued through the quarter. These same factors drove the significant year-over-year improvement in adjusted EBITDA; adjusted EBITDA margin of 18.1 percent increased 613 basis points from the prior-year results.</w:t>
      </w:r>
    </w:p>
    <w:p>
      <w:pPr>
        <w:spacing w:after="0" w:line="14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Inbound orders for the quarter of $414.7 million increased by 50.1 percent over the prior year. Backlog was $415.3 million. Given the short-cycle nature of the business, most orders are quickly converted into sales revenue; longer contracts are typically converted within twelve months.</w:t>
      </w:r>
    </w:p>
    <w:p>
      <w:pPr>
        <w:sectPr>
          <w:pgSz w:w="11900" w:h="16838" w:orient="portrait"/>
          <w:cols w:equalWidth="0" w:num="1">
            <w:col w:w="11440"/>
          </w:cols>
          <w:pgMar w:left="240" w:top="517" w:right="21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Corporate Items</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Corporate expense in the second quarter was $73.0 million; this included $24.3 million of foreign exchange losses. Excluding charges and credits of $14.1 million associated with the merger as well as restructuring and other severance charges, corporate expense was $58.9 million.</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Net interest expense was $50.9 million in the quarter, which included an increase in the liability payable to joint venture partners of $49.1 million.</w:t>
      </w:r>
    </w:p>
    <w:p>
      <w:pPr>
        <w:spacing w:after="0" w:line="14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Company recorded a tax provision during the second quarter of $64.7 million. Excluding the impact of discrete items, the effective tax rate in the quarter was 31.0 percent.</w:t>
      </w:r>
    </w:p>
    <w:p>
      <w:pPr>
        <w:spacing w:after="0" w:line="14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Total depreciation and amortization for the second quarter was $138.7 million, including depreciation and amortization related to purchase price accounting for the merger of $22.3 million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Capital expenditures were $81.6 million during the second quarter.</w:t>
      </w:r>
    </w:p>
    <w:p>
      <w:pPr>
        <w:spacing w:after="0" w:line="16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Company repurchased 4.7 million shares during the quarter for total consideration of $149.4 million. Since inception of the repurchase program in October 2017, the Company has repurchased 9.8 million shares for total consideration of $300.5 million. The Company remains committed to repurchasing the full authorization of up to $500 million in ordinary shares no later than the end of 2018.</w:t>
      </w:r>
    </w:p>
    <w:p>
      <w:pPr>
        <w:sectPr>
          <w:pgSz w:w="11900" w:h="16838" w:orient="portrait"/>
          <w:cols w:equalWidth="0" w:num="1">
            <w:col w:w="11420"/>
          </w:cols>
          <w:pgMar w:left="240" w:top="747" w:right="2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Guidance</w:t>
      </w:r>
      <w:r>
        <w:rPr>
          <w:rFonts w:ascii="Arial" w:cs="Arial" w:eastAsia="Arial" w:hAnsi="Arial"/>
          <w:sz w:val="25"/>
          <w:szCs w:val="25"/>
          <w:b w:val="1"/>
          <w:bCs w:val="1"/>
          <w:color w:val="auto"/>
          <w:vertAlign w:val="superscript"/>
        </w:rPr>
        <w:t>1</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Updates to the Company’s full-year guidance for 2018 are provided below and included in the revised table:</w:t>
      </w:r>
    </w:p>
    <w:p>
      <w:pPr>
        <w:spacing w:after="0" w:line="162" w:lineRule="exact"/>
        <w:rPr>
          <w:sz w:val="20"/>
          <w:szCs w:val="20"/>
          <w:color w:val="auto"/>
        </w:rPr>
      </w:pPr>
    </w:p>
    <w:p>
      <w:pPr>
        <w:ind w:left="660" w:hanging="328"/>
        <w:spacing w:after="0" w:line="24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20"/>
          <w:szCs w:val="20"/>
          <w:color w:val="auto"/>
        </w:rPr>
        <w:t>Onshore/Offshore revenue in a range of $5.6 - 5.9 billion; revenue has been increased from the previous guidance range of $5.3 - 5.7 billion.</w:t>
      </w:r>
    </w:p>
    <w:p>
      <w:pPr>
        <w:spacing w:after="0" w:line="147" w:lineRule="exact"/>
        <w:rPr>
          <w:rFonts w:ascii="Arial" w:cs="Arial" w:eastAsia="Arial" w:hAnsi="Arial"/>
          <w:sz w:val="18"/>
          <w:szCs w:val="18"/>
          <w:color w:val="auto"/>
        </w:rPr>
      </w:pPr>
    </w:p>
    <w:p>
      <w:pPr>
        <w:ind w:left="660" w:hanging="328"/>
        <w:spacing w:after="0" w:line="247" w:lineRule="auto"/>
        <w:tabs>
          <w:tab w:leader="none" w:pos="6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Onshore/Offshore EBITDA margin of at least 12% (excluding charges and credits); EBITDA margin guidance has been increased from the previous guidance of at least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25487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188595"/>
                    </a:xfrm>
                    <a:prstGeom prst="rect">
                      <a:avLst/>
                    </a:prstGeom>
                    <a:noFill/>
                  </pic:spPr>
                </pic:pic>
              </a:graphicData>
            </a:graphic>
          </wp:anchor>
        </w:drawing>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xml:space="preserve">2018 Guidance </w:t>
      </w:r>
      <w:r>
        <w:rPr>
          <w:rFonts w:ascii="Arial" w:cs="Arial" w:eastAsia="Arial" w:hAnsi="Arial"/>
          <w:sz w:val="20"/>
          <w:szCs w:val="20"/>
          <w:i w:val="1"/>
          <w:iCs w:val="1"/>
          <w:color w:val="auto"/>
        </w:rPr>
        <w:t>*</w:t>
      </w:r>
      <w:r>
        <w:rPr>
          <w:rFonts w:ascii="Arial" w:cs="Arial" w:eastAsia="Arial" w:hAnsi="Arial"/>
          <w:sz w:val="14"/>
          <w:szCs w:val="14"/>
          <w:i w:val="1"/>
          <w:iCs w:val="1"/>
          <w:color w:val="auto"/>
        </w:rPr>
        <w:t>Updated July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54875" cy="1037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1037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p>
      <w:pPr>
        <w:spacing w:after="0" w:line="391"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FFFFFF"/>
        </w:rPr>
        <w:t>Subsea</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20"/>
          <w:szCs w:val="20"/>
          <w:color w:val="auto"/>
        </w:rPr>
        <w:t>Revenue in a range of $5.0 - 5.3 billion</w:t>
      </w:r>
    </w:p>
    <w:p>
      <w:pPr>
        <w:spacing w:after="0" w:line="175" w:lineRule="exact"/>
        <w:rPr>
          <w:sz w:val="20"/>
          <w:szCs w:val="20"/>
          <w:color w:val="auto"/>
        </w:rPr>
      </w:pPr>
    </w:p>
    <w:p>
      <w:pPr>
        <w:jc w:val="both"/>
        <w:ind w:left="40"/>
        <w:spacing w:after="0" w:line="231" w:lineRule="auto"/>
        <w:rPr>
          <w:sz w:val="20"/>
          <w:szCs w:val="20"/>
          <w:color w:val="auto"/>
        </w:rPr>
      </w:pPr>
      <w:r>
        <w:rPr>
          <w:rFonts w:ascii="Arial" w:cs="Arial" w:eastAsia="Arial" w:hAnsi="Arial"/>
          <w:sz w:val="20"/>
          <w:szCs w:val="20"/>
          <w:color w:val="auto"/>
        </w:rPr>
        <w:t>EBITDA margin at least 14% (excluding amortization related impact of purchase price accounting, and other charges and credits)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left="-39"/>
        <w:spacing w:after="0"/>
        <w:rPr>
          <w:sz w:val="20"/>
          <w:szCs w:val="20"/>
          <w:color w:val="auto"/>
        </w:rPr>
      </w:pPr>
      <w:r>
        <w:rPr>
          <w:rFonts w:ascii="Arial" w:cs="Arial" w:eastAsia="Arial" w:hAnsi="Arial"/>
          <w:sz w:val="20"/>
          <w:szCs w:val="20"/>
          <w:b w:val="1"/>
          <w:bCs w:val="1"/>
          <w:color w:val="FFFFFF"/>
        </w:rPr>
        <w:t>Onshore/Offshore</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Revenue in a range of $5.6 - 5.9 billion*</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EBITDA margin at least 12%* (excluding amortization related impact of purchase price accounting, and other charges and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220345</wp:posOffset>
            </wp:positionV>
            <wp:extent cx="7254875" cy="2049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049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FFFF"/>
        </w:rPr>
        <w:t>Surface Technologies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Revenue in a range of $1.5 - 1.6 billion</w:t>
      </w:r>
    </w:p>
    <w:p>
      <w:pPr>
        <w:spacing w:after="0" w:line="175"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color w:val="auto"/>
        </w:rPr>
        <w:t>EBITDA margin at least 17.5% (excluding amortization related impact of purchase price accounting, and other charges and credits)</w:t>
      </w:r>
    </w:p>
    <w:p>
      <w:pPr>
        <w:spacing w:after="0" w:line="200" w:lineRule="exact"/>
        <w:rPr>
          <w:sz w:val="20"/>
          <w:szCs w:val="20"/>
          <w:color w:val="auto"/>
        </w:rPr>
      </w:pPr>
    </w:p>
    <w:p>
      <w:pPr>
        <w:sectPr>
          <w:pgSz w:w="11900" w:h="16838" w:orient="portrait"/>
          <w:cols w:equalWidth="0" w:num="3">
            <w:col w:w="3580" w:space="360"/>
            <w:col w:w="3560" w:space="320"/>
            <w:col w:w="3600"/>
          </w:cols>
          <w:pgMar w:left="240" w:top="355" w:right="23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FFFFFF"/>
        </w:rPr>
        <w:t>TechnipFMC</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Corporate expense, net </w:t>
      </w:r>
      <w:r>
        <w:rPr>
          <w:rFonts w:ascii="Arial" w:cs="Arial" w:eastAsia="Arial" w:hAnsi="Arial"/>
          <w:sz w:val="20"/>
          <w:szCs w:val="20"/>
          <w:color w:val="auto"/>
        </w:rPr>
        <w:t>$40 - 45 million per quarter (excluding the impact of foreign currency fluctuations)</w:t>
      </w:r>
    </w:p>
    <w:p>
      <w:pPr>
        <w:spacing w:after="0" w:line="216" w:lineRule="exact"/>
        <w:rPr>
          <w:sz w:val="20"/>
          <w:szCs w:val="20"/>
          <w:color w:val="auto"/>
        </w:rPr>
      </w:pPr>
    </w:p>
    <w:p>
      <w:pPr>
        <w:ind w:left="40" w:right="40"/>
        <w:spacing w:after="0" w:line="258" w:lineRule="auto"/>
        <w:rPr>
          <w:sz w:val="20"/>
          <w:szCs w:val="20"/>
          <w:color w:val="auto"/>
        </w:rPr>
      </w:pPr>
      <w:r>
        <w:rPr>
          <w:rFonts w:ascii="Arial" w:cs="Arial" w:eastAsia="Arial" w:hAnsi="Arial"/>
          <w:sz w:val="20"/>
          <w:szCs w:val="20"/>
          <w:b w:val="1"/>
          <w:bCs w:val="1"/>
          <w:color w:val="auto"/>
        </w:rPr>
        <w:t xml:space="preserve">Net interest expense </w:t>
      </w:r>
      <w:r>
        <w:rPr>
          <w:rFonts w:ascii="Arial" w:cs="Arial" w:eastAsia="Arial" w:hAnsi="Arial"/>
          <w:sz w:val="20"/>
          <w:szCs w:val="20"/>
          <w:color w:val="auto"/>
        </w:rPr>
        <w:t>approximately $20 - 22 million per quarter (excluding the impact of revaluation of partners’ redeemable</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liability)</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Tax rate </w:t>
      </w:r>
      <w:r>
        <w:rPr>
          <w:rFonts w:ascii="Arial" w:cs="Arial" w:eastAsia="Arial" w:hAnsi="Arial"/>
          <w:sz w:val="20"/>
          <w:szCs w:val="20"/>
          <w:color w:val="auto"/>
        </w:rPr>
        <w:t>28 - 32% for the full year (excluding the impact of discrete items)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Capital expenditures </w:t>
      </w:r>
      <w:r>
        <w:rPr>
          <w:rFonts w:ascii="Arial" w:cs="Arial" w:eastAsia="Arial" w:hAnsi="Arial"/>
          <w:sz w:val="20"/>
          <w:szCs w:val="20"/>
          <w:color w:val="auto"/>
        </w:rPr>
        <w:t>approximately $300 million for the full year</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Merger integration and restructuring costs </w:t>
      </w:r>
      <w:r>
        <w:rPr>
          <w:rFonts w:ascii="Arial" w:cs="Arial" w:eastAsia="Arial" w:hAnsi="Arial"/>
          <w:sz w:val="20"/>
          <w:szCs w:val="20"/>
          <w:color w:val="auto"/>
        </w:rPr>
        <w:t>approximately $100 million for the full year</w:t>
      </w:r>
    </w:p>
    <w:p>
      <w:pPr>
        <w:spacing w:after="0" w:line="216" w:lineRule="exact"/>
        <w:rPr>
          <w:sz w:val="20"/>
          <w:szCs w:val="20"/>
          <w:color w:val="auto"/>
        </w:rPr>
      </w:pPr>
    </w:p>
    <w:p>
      <w:pPr>
        <w:ind w:left="40" w:right="20"/>
        <w:spacing w:after="0" w:line="258" w:lineRule="auto"/>
        <w:rPr>
          <w:sz w:val="20"/>
          <w:szCs w:val="20"/>
          <w:color w:val="auto"/>
        </w:rPr>
      </w:pPr>
      <w:r>
        <w:rPr>
          <w:rFonts w:ascii="Arial" w:cs="Arial" w:eastAsia="Arial" w:hAnsi="Arial"/>
          <w:sz w:val="20"/>
          <w:szCs w:val="20"/>
          <w:b w:val="1"/>
          <w:bCs w:val="1"/>
          <w:color w:val="auto"/>
        </w:rPr>
        <w:t xml:space="preserve">Cost synergies </w:t>
      </w:r>
      <w:r>
        <w:rPr>
          <w:rFonts w:ascii="Arial" w:cs="Arial" w:eastAsia="Arial" w:hAnsi="Arial"/>
          <w:sz w:val="20"/>
          <w:szCs w:val="20"/>
          <w:color w:val="auto"/>
        </w:rPr>
        <w:t>$450 million annual savings ($200 million exit run-rate 12/31/17, $400 million exit run-rate 12/31/18, $450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exit run-rate 12/31/19)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2470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8"/>
        <w:spacing w:after="0" w:line="230" w:lineRule="auto"/>
        <w:tabs>
          <w:tab w:leader="none" w:pos="135"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Our guidance measures adjusted EBITDA margin, corporate expense, net (excluding the impact of foreign currency fluctuations), net interest expense excluding the impact of revaluation of partners’ redeemable financial liability, and tax rate (excluding the impact of discrete items) are non-GAAP financial measures. We are unable to provide a reconciliation to comparable GAAP financial measures on a forward-looking basis without unreasonable effort because of the unpredictability of the individual components of the most directly comparable GAAP financial measure and the variability of items excluded from each such measure. Such information may have a significant, and potentially unpredictable, impact on our future financial results.</w:t>
      </w:r>
    </w:p>
    <w:p>
      <w:pPr>
        <w:sectPr>
          <w:pgSz w:w="11900" w:h="16838" w:orient="portrait"/>
          <w:cols w:equalWidth="0" w:num="1">
            <w:col w:w="11420"/>
          </w:cols>
          <w:pgMar w:left="240" w:top="355"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Teleconference</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Company will host a teleconference on Thursday, July 26, 2018 to discuss the second quarter 2018 financial results. The call will begin at 1 p.m. London time (8 a.m. New York time). Dial-in information and an accompanying presentation can be found at </w:t>
      </w:r>
      <w:r>
        <w:rPr>
          <w:rFonts w:ascii="Arial" w:cs="Arial" w:eastAsia="Arial" w:hAnsi="Arial"/>
          <w:sz w:val="20"/>
          <w:szCs w:val="20"/>
          <w:u w:val="single" w:color="auto"/>
          <w:color w:val="0000FF"/>
        </w:rPr>
        <w:t>www.technipfmc.com</w:t>
      </w:r>
      <w:r>
        <w:rPr>
          <w:rFonts w:ascii="Arial" w:cs="Arial" w:eastAsia="Arial" w:hAnsi="Arial"/>
          <w:sz w:val="20"/>
          <w:szCs w:val="20"/>
          <w:color w:val="000000"/>
        </w:rPr>
        <w:t>.</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Webcast access will also be available on our website prior to the start of the call. An archived audio replay will be available after the event at the same website address. In the event of a disruption of service or technical difficulty during the call, information will be posted on our website.</w:t>
      </w:r>
    </w:p>
    <w:p>
      <w:pPr>
        <w:sectPr>
          <w:pgSz w:w="11900" w:h="16838" w:orient="portrait"/>
          <w:cols w:equalWidth="0" w:num="1">
            <w:col w:w="11420"/>
          </w:cols>
          <w:pgMar w:left="240" w:top="747" w:right="2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20"/>
          <w:szCs w:val="20"/>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166" w:lineRule="exact"/>
        <w:rPr>
          <w:sz w:val="20"/>
          <w:szCs w:val="20"/>
          <w:color w:val="auto"/>
        </w:rPr>
      </w:pPr>
    </w:p>
    <w:p>
      <w:pPr>
        <w:ind w:right="580"/>
        <w:spacing w:after="0" w:line="294" w:lineRule="auto"/>
        <w:rPr>
          <w:sz w:val="20"/>
          <w:szCs w:val="20"/>
          <w:color w:val="auto"/>
        </w:rPr>
      </w:pPr>
      <w:r>
        <w:rPr>
          <w:rFonts w:ascii="Arial" w:cs="Arial" w:eastAsia="Arial" w:hAnsi="Arial"/>
          <w:sz w:val="19"/>
          <w:szCs w:val="19"/>
          <w:i w:val="1"/>
          <w:iCs w:val="1"/>
          <w:color w:val="808080"/>
        </w:rPr>
        <w:t>TechnipFMC is a global leader in subsea, onshore/offshore, and surface projects. With our proprietary technologies and production systems, integrated expertise, and comprehensive solutions, we are transforming our clients’ project economics.</w:t>
      </w:r>
    </w:p>
    <w:p>
      <w:pPr>
        <w:spacing w:after="0" w:line="86" w:lineRule="exact"/>
        <w:rPr>
          <w:sz w:val="20"/>
          <w:szCs w:val="20"/>
          <w:color w:val="auto"/>
        </w:rPr>
      </w:pPr>
    </w:p>
    <w:p>
      <w:pPr>
        <w:spacing w:after="0" w:line="253" w:lineRule="auto"/>
        <w:rPr>
          <w:sz w:val="20"/>
          <w:szCs w:val="20"/>
          <w:color w:val="auto"/>
        </w:rPr>
      </w:pPr>
      <w:r>
        <w:rPr>
          <w:rFonts w:ascii="Arial" w:cs="Arial" w:eastAsia="Arial" w:hAnsi="Arial"/>
          <w:sz w:val="20"/>
          <w:szCs w:val="20"/>
          <w:i w:val="1"/>
          <w:iCs w:val="1"/>
          <w:color w:val="808080"/>
        </w:rPr>
        <w:t>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124" w:lineRule="exact"/>
        <w:rPr>
          <w:sz w:val="20"/>
          <w:szCs w:val="20"/>
          <w:color w:val="auto"/>
        </w:rPr>
      </w:pPr>
    </w:p>
    <w:p>
      <w:pPr>
        <w:ind w:right="500"/>
        <w:spacing w:after="0" w:line="267" w:lineRule="auto"/>
        <w:rPr>
          <w:sz w:val="20"/>
          <w:szCs w:val="20"/>
          <w:color w:val="auto"/>
        </w:rPr>
      </w:pPr>
      <w:r>
        <w:rPr>
          <w:rFonts w:ascii="Arial" w:cs="Arial" w:eastAsia="Arial" w:hAnsi="Arial"/>
          <w:sz w:val="20"/>
          <w:szCs w:val="20"/>
          <w:i w:val="1"/>
          <w:iCs w:val="1"/>
          <w:color w:val="808080"/>
        </w:rPr>
        <w:t>Each of our more than 37,000 employees is driven by a steady commitment to clients and a culture of purposeful innovation, challenging industry conventions, and rethinking how the best results are achieved.</w:t>
      </w:r>
    </w:p>
    <w:p>
      <w:pPr>
        <w:spacing w:after="0" w:line="110"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i w:val="1"/>
          <w:iCs w:val="1"/>
          <w:color w:val="808080"/>
        </w:rPr>
        <w:t>To learn more about us and how we are enhancing the performance of the world’s energy industry, go to TechnipFMC.com and follow us on Twitter @TechnipFMC.</w:t>
      </w:r>
    </w:p>
    <w:p>
      <w:pPr>
        <w:spacing w:after="0" w:line="1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808080"/>
        </w:rPr>
        <w:t>This communication contains “forward-looking statements” as defined in Section 27A of the United States Securities Act of 1933, as amended, and Section 21E of the United States Securities Exchange Act of 1934, as amended. Words such as “believe,” “expect,” “anticipate,” “plan,” “intend,” “foresee,” “should,” “would,” “could,” “may,” “estimate,” “outlook” and similar expressions are intended to identify forward-looking statements, which are generally not historical in nature. Such forward-looking statements involve significant risks, uncertainties and assumptions that could cause actual results to differ materially from our historical experience and our present expectations or projections, including the following known material factors:</w:t>
      </w:r>
    </w:p>
    <w:p>
      <w:pPr>
        <w:spacing w:after="0" w:line="142" w:lineRule="exact"/>
        <w:rPr>
          <w:sz w:val="20"/>
          <w:szCs w:val="20"/>
          <w:color w:val="auto"/>
        </w:rPr>
      </w:pPr>
    </w:p>
    <w:p>
      <w:pPr>
        <w:ind w:left="660" w:hanging="328"/>
        <w:spacing w:after="0" w:line="26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the remedial measures to address our material weaknesses could be insufficient or additional issues relating to disclosure controls and procedures or internal control over financial reporting could be identified;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unanticipated changes relating to competitive factors in our industry;</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demand for our products and services, which is affected by changes in the price of, and demand for, crude oil and natural gas in domestic and international markets;</w:t>
      </w:r>
    </w:p>
    <w:p>
      <w:pPr>
        <w:ind w:left="660" w:right="28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our ability to develop and implement new technologies and services, as well as our ability to protect and maintain critical intellectual property assets;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potential liabilities arising out of the installation or use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cost overruns related to our fixed price contracts or asset construction projects that may affect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our ability to timely deliver our backlog and its effect on our future sales, profitability, and our relationships with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our reliance on subcontractors, suppliers and joint venture partners in the performance of our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our ability to hire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piracy risks for our maritime employees and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the potential impacts of seasonal and weather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the cumulative loss of major contracts or alliances;</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U.S. and international laws and regulations, including environmental laws and regulations, that may increase our costs, limit the demand for our products and services or restrict our operations;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disruptions in the political, regulatory, economic and social conditions of the countries in which we conduct business;</w:t>
      </w:r>
    </w:p>
    <w:p>
      <w:pPr>
        <w:spacing w:after="0" w:line="9" w:lineRule="exact"/>
        <w:rPr>
          <w:rFonts w:ascii="Arial" w:cs="Arial" w:eastAsia="Arial" w:hAnsi="Arial"/>
          <w:sz w:val="18"/>
          <w:szCs w:val="18"/>
          <w:color w:val="auto"/>
        </w:rPr>
      </w:pPr>
    </w:p>
    <w:p>
      <w:pPr>
        <w:ind w:left="660" w:right="7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risks associated with The Depository Trust Company and Euroclear for clearance services for shares traded on the NYSE and Euronext Paris, respectively;</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results of the United Kingdom’s referendum on withdrawal from the European Union;</w:t>
      </w:r>
    </w:p>
    <w:p>
      <w:pPr>
        <w:spacing w:after="0" w:line="9" w:lineRule="exact"/>
        <w:rPr>
          <w:rFonts w:ascii="Arial" w:cs="Arial" w:eastAsia="Arial" w:hAnsi="Arial"/>
          <w:sz w:val="18"/>
          <w:szCs w:val="18"/>
          <w:color w:val="auto"/>
        </w:rPr>
      </w:pPr>
    </w:p>
    <w:p>
      <w:pPr>
        <w:ind w:left="660" w:right="60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808080"/>
        </w:rPr>
        <w:t>risks associated with being an English public limited company, including the need for court approval of “distributable profits” and stockholder approval of certain capital structure decisions;</w:t>
      </w:r>
    </w:p>
    <w:p>
      <w:pPr>
        <w:sectPr>
          <w:pgSz w:w="11900" w:h="16838" w:orient="portrait"/>
          <w:cols w:equalWidth="0" w:num="1">
            <w:col w:w="11380"/>
          </w:cols>
          <w:pgMar w:left="240" w:top="355" w:right="279" w:bottom="1440" w:gutter="0" w:footer="0" w:header="0"/>
        </w:sectPr>
      </w:pPr>
    </w:p>
    <w:bookmarkStart w:id="15" w:name="page16"/>
    <w:bookmarkEnd w:id="15"/>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our ability to pay dividends or repurchase shares in accordance with our announced capital allocation plan;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compliance with covenants under our debt instruments and conditions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downgrade in the ratings of our debt could restrict our ability to access the debt capital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the outcome of uninsured claims and litigation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the risks of currency exchange rate fluctuations associated with our international operations;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unanticipated merger-related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failure of our information technology infrastructure or any significant breach of security, including related to cyber attacks;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risks associated with tax liabilities, changes in U.S. federal or international tax laws or interpretations to which they are subject; and</w:t>
      </w:r>
    </w:p>
    <w:p>
      <w:pPr>
        <w:spacing w:after="0" w:line="9"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such other risk factors set forth in our filings with the United States Securities and Exchange Commission and in our filings with the Autorité des marchés financiers or the U.K. Financial Conduct Authority.</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4280" w:type="dxa"/>
            <w:vAlign w:val="bottom"/>
            <w:gridSpan w:val="4"/>
          </w:tcPr>
          <w:p>
            <w:pPr>
              <w:spacing w:after="0"/>
              <w:rPr>
                <w:sz w:val="20"/>
                <w:szCs w:val="20"/>
                <w:color w:val="auto"/>
              </w:rPr>
            </w:pPr>
            <w:r>
              <w:rPr>
                <w:rFonts w:ascii="Arial" w:cs="Arial" w:eastAsia="Arial" w:hAnsi="Arial"/>
                <w:sz w:val="20"/>
                <w:szCs w:val="20"/>
                <w:b w:val="1"/>
                <w:bCs w:val="1"/>
                <w:color w:val="auto"/>
              </w:rPr>
              <w:t>Investor relations</w:t>
            </w:r>
          </w:p>
        </w:tc>
        <w:tc>
          <w:tcPr>
            <w:tcW w:w="4860" w:type="dxa"/>
            <w:vAlign w:val="bottom"/>
            <w:gridSpan w:val="4"/>
          </w:tcPr>
          <w:p>
            <w:pPr>
              <w:ind w:left="1140"/>
              <w:spacing w:after="0"/>
              <w:rPr>
                <w:sz w:val="20"/>
                <w:szCs w:val="20"/>
                <w:color w:val="auto"/>
              </w:rPr>
            </w:pPr>
            <w:r>
              <w:rPr>
                <w:rFonts w:ascii="Arial" w:cs="Arial" w:eastAsia="Arial" w:hAnsi="Arial"/>
                <w:sz w:val="20"/>
                <w:szCs w:val="20"/>
                <w:b w:val="1"/>
                <w:bCs w:val="1"/>
                <w:color w:val="auto"/>
              </w:rPr>
              <w:t>Media relations</w:t>
            </w:r>
          </w:p>
        </w:tc>
      </w:tr>
      <w:tr>
        <w:trPr>
          <w:trHeight w:val="810"/>
        </w:trPr>
        <w:tc>
          <w:tcPr>
            <w:tcW w:w="4280" w:type="dxa"/>
            <w:vAlign w:val="bottom"/>
            <w:gridSpan w:val="4"/>
          </w:tcPr>
          <w:p>
            <w:pPr>
              <w:spacing w:after="0"/>
              <w:rPr>
                <w:sz w:val="20"/>
                <w:szCs w:val="20"/>
                <w:color w:val="auto"/>
              </w:rPr>
            </w:pPr>
            <w:r>
              <w:rPr>
                <w:rFonts w:ascii="Arial" w:cs="Arial" w:eastAsia="Arial" w:hAnsi="Arial"/>
                <w:sz w:val="20"/>
                <w:szCs w:val="20"/>
                <w:color w:val="auto"/>
              </w:rPr>
              <w:t>Matt Seinsheimer</w:t>
            </w:r>
          </w:p>
        </w:tc>
        <w:tc>
          <w:tcPr>
            <w:tcW w:w="4860" w:type="dxa"/>
            <w:vAlign w:val="bottom"/>
            <w:gridSpan w:val="4"/>
          </w:tcPr>
          <w:p>
            <w:pPr>
              <w:ind w:left="1140"/>
              <w:spacing w:after="0"/>
              <w:rPr>
                <w:sz w:val="20"/>
                <w:szCs w:val="20"/>
                <w:color w:val="auto"/>
              </w:rPr>
            </w:pPr>
            <w:r>
              <w:rPr>
                <w:rFonts w:ascii="Arial" w:cs="Arial" w:eastAsia="Arial" w:hAnsi="Arial"/>
                <w:sz w:val="20"/>
                <w:szCs w:val="20"/>
                <w:color w:val="auto"/>
              </w:rPr>
              <w:t>Christophe Bélorgeot</w:t>
            </w:r>
          </w:p>
        </w:tc>
      </w:tr>
      <w:tr>
        <w:trPr>
          <w:trHeight w:val="378"/>
        </w:trPr>
        <w:tc>
          <w:tcPr>
            <w:tcW w:w="4280" w:type="dxa"/>
            <w:vAlign w:val="bottom"/>
            <w:gridSpan w:val="4"/>
          </w:tcPr>
          <w:p>
            <w:pPr>
              <w:spacing w:after="0"/>
              <w:rPr>
                <w:sz w:val="20"/>
                <w:szCs w:val="20"/>
                <w:color w:val="auto"/>
              </w:rPr>
            </w:pPr>
            <w:r>
              <w:rPr>
                <w:rFonts w:ascii="Arial" w:cs="Arial" w:eastAsia="Arial" w:hAnsi="Arial"/>
                <w:sz w:val="20"/>
                <w:szCs w:val="20"/>
                <w:color w:val="auto"/>
              </w:rPr>
              <w:t>Vice President Investor Relations</w:t>
            </w:r>
          </w:p>
        </w:tc>
        <w:tc>
          <w:tcPr>
            <w:tcW w:w="4860" w:type="dxa"/>
            <w:vAlign w:val="bottom"/>
            <w:gridSpan w:val="4"/>
          </w:tcPr>
          <w:p>
            <w:pPr>
              <w:ind w:left="1140"/>
              <w:spacing w:after="0"/>
              <w:rPr>
                <w:sz w:val="20"/>
                <w:szCs w:val="20"/>
                <w:color w:val="auto"/>
              </w:rPr>
            </w:pPr>
            <w:r>
              <w:rPr>
                <w:rFonts w:ascii="Arial" w:cs="Arial" w:eastAsia="Arial" w:hAnsi="Arial"/>
                <w:sz w:val="20"/>
                <w:szCs w:val="20"/>
                <w:color w:val="auto"/>
                <w:w w:val="97"/>
              </w:rPr>
              <w:t>Vice President Corporate Communications</w:t>
            </w:r>
          </w:p>
        </w:tc>
      </w:tr>
      <w:tr>
        <w:trPr>
          <w:trHeight w:val="378"/>
        </w:trPr>
        <w:tc>
          <w:tcPr>
            <w:tcW w:w="4280" w:type="dxa"/>
            <w:vAlign w:val="bottom"/>
            <w:gridSpan w:val="4"/>
          </w:tcPr>
          <w:p>
            <w:pPr>
              <w:spacing w:after="0"/>
              <w:rPr>
                <w:sz w:val="20"/>
                <w:szCs w:val="20"/>
                <w:color w:val="auto"/>
              </w:rPr>
            </w:pPr>
            <w:r>
              <w:rPr>
                <w:rFonts w:ascii="Arial" w:cs="Arial" w:eastAsia="Arial" w:hAnsi="Arial"/>
                <w:sz w:val="20"/>
                <w:szCs w:val="20"/>
                <w:color w:val="auto"/>
              </w:rPr>
              <w:t>Tel: +1 281 260 3665</w:t>
            </w:r>
          </w:p>
        </w:tc>
        <w:tc>
          <w:tcPr>
            <w:tcW w:w="4860" w:type="dxa"/>
            <w:vAlign w:val="bottom"/>
            <w:gridSpan w:val="4"/>
          </w:tcPr>
          <w:p>
            <w:pPr>
              <w:ind w:left="1140"/>
              <w:spacing w:after="0"/>
              <w:rPr>
                <w:sz w:val="20"/>
                <w:szCs w:val="20"/>
                <w:color w:val="auto"/>
              </w:rPr>
            </w:pPr>
            <w:r>
              <w:rPr>
                <w:rFonts w:ascii="Arial" w:cs="Arial" w:eastAsia="Arial" w:hAnsi="Arial"/>
                <w:sz w:val="20"/>
                <w:szCs w:val="20"/>
                <w:color w:val="auto"/>
              </w:rPr>
              <w:t>Tel: +33 1 47 78 39 92</w:t>
            </w:r>
          </w:p>
        </w:tc>
      </w:tr>
      <w:tr>
        <w:trPr>
          <w:trHeight w:val="334"/>
        </w:trPr>
        <w:tc>
          <w:tcPr>
            <w:tcW w:w="4280" w:type="dxa"/>
            <w:vAlign w:val="bottom"/>
            <w:gridSpan w:val="4"/>
          </w:tcPr>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Matt Seinsheimer</w:t>
            </w:r>
          </w:p>
        </w:tc>
        <w:tc>
          <w:tcPr>
            <w:tcW w:w="4860" w:type="dxa"/>
            <w:vAlign w:val="bottom"/>
            <w:gridSpan w:val="4"/>
          </w:tcPr>
          <w:p>
            <w:pPr>
              <w:ind w:left="114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Christophe Belorgeot</w:t>
            </w:r>
          </w:p>
        </w:tc>
      </w:tr>
      <w:tr>
        <w:trPr>
          <w:trHeight w:val="20"/>
        </w:trPr>
        <w:tc>
          <w:tcPr>
            <w:tcW w:w="6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781"/>
        </w:trPr>
        <w:tc>
          <w:tcPr>
            <w:tcW w:w="4280" w:type="dxa"/>
            <w:vAlign w:val="bottom"/>
            <w:gridSpan w:val="4"/>
          </w:tcPr>
          <w:p>
            <w:pPr>
              <w:spacing w:after="0"/>
              <w:rPr>
                <w:sz w:val="20"/>
                <w:szCs w:val="20"/>
                <w:color w:val="auto"/>
              </w:rPr>
            </w:pPr>
            <w:r>
              <w:rPr>
                <w:rFonts w:ascii="Arial" w:cs="Arial" w:eastAsia="Arial" w:hAnsi="Arial"/>
                <w:sz w:val="20"/>
                <w:szCs w:val="20"/>
                <w:color w:val="auto"/>
              </w:rPr>
              <w:t>Phillip Lindsay</w:t>
            </w:r>
          </w:p>
        </w:tc>
        <w:tc>
          <w:tcPr>
            <w:tcW w:w="4860" w:type="dxa"/>
            <w:vAlign w:val="bottom"/>
            <w:gridSpan w:val="4"/>
          </w:tcPr>
          <w:p>
            <w:pPr>
              <w:ind w:left="1140"/>
              <w:spacing w:after="0"/>
              <w:rPr>
                <w:sz w:val="20"/>
                <w:szCs w:val="20"/>
                <w:color w:val="auto"/>
              </w:rPr>
            </w:pPr>
            <w:r>
              <w:rPr>
                <w:rFonts w:ascii="Arial" w:cs="Arial" w:eastAsia="Arial" w:hAnsi="Arial"/>
                <w:sz w:val="20"/>
                <w:szCs w:val="20"/>
                <w:color w:val="auto"/>
              </w:rPr>
              <w:t>Delphine Nayral</w:t>
            </w:r>
          </w:p>
        </w:tc>
      </w:tr>
      <w:tr>
        <w:trPr>
          <w:trHeight w:val="378"/>
        </w:trPr>
        <w:tc>
          <w:tcPr>
            <w:tcW w:w="4280" w:type="dxa"/>
            <w:vAlign w:val="bottom"/>
            <w:gridSpan w:val="4"/>
          </w:tcPr>
          <w:p>
            <w:pPr>
              <w:spacing w:after="0"/>
              <w:rPr>
                <w:sz w:val="20"/>
                <w:szCs w:val="20"/>
                <w:color w:val="auto"/>
              </w:rPr>
            </w:pPr>
            <w:r>
              <w:rPr>
                <w:rFonts w:ascii="Arial" w:cs="Arial" w:eastAsia="Arial" w:hAnsi="Arial"/>
                <w:sz w:val="20"/>
                <w:szCs w:val="20"/>
                <w:color w:val="auto"/>
              </w:rPr>
              <w:t>Director Investor Relations (Europe)</w:t>
            </w:r>
          </w:p>
        </w:tc>
        <w:tc>
          <w:tcPr>
            <w:tcW w:w="4860" w:type="dxa"/>
            <w:vAlign w:val="bottom"/>
            <w:gridSpan w:val="4"/>
          </w:tcPr>
          <w:p>
            <w:pPr>
              <w:ind w:left="1140"/>
              <w:spacing w:after="0"/>
              <w:rPr>
                <w:sz w:val="20"/>
                <w:szCs w:val="20"/>
                <w:color w:val="auto"/>
              </w:rPr>
            </w:pPr>
            <w:r>
              <w:rPr>
                <w:rFonts w:ascii="Arial" w:cs="Arial" w:eastAsia="Arial" w:hAnsi="Arial"/>
                <w:sz w:val="20"/>
                <w:szCs w:val="20"/>
                <w:color w:val="auto"/>
              </w:rPr>
              <w:t>Senior Manager Public Relations</w:t>
            </w:r>
          </w:p>
        </w:tc>
      </w:tr>
      <w:tr>
        <w:trPr>
          <w:trHeight w:val="378"/>
        </w:trPr>
        <w:tc>
          <w:tcPr>
            <w:tcW w:w="4280" w:type="dxa"/>
            <w:vAlign w:val="bottom"/>
            <w:gridSpan w:val="4"/>
          </w:tcPr>
          <w:p>
            <w:pPr>
              <w:spacing w:after="0"/>
              <w:rPr>
                <w:sz w:val="20"/>
                <w:szCs w:val="20"/>
                <w:color w:val="auto"/>
              </w:rPr>
            </w:pPr>
            <w:r>
              <w:rPr>
                <w:rFonts w:ascii="Arial" w:cs="Arial" w:eastAsia="Arial" w:hAnsi="Arial"/>
                <w:sz w:val="20"/>
                <w:szCs w:val="20"/>
                <w:color w:val="auto"/>
              </w:rPr>
              <w:t>Tel: +44 (0) 20 3429 3929</w:t>
            </w:r>
          </w:p>
        </w:tc>
        <w:tc>
          <w:tcPr>
            <w:tcW w:w="4860" w:type="dxa"/>
            <w:vAlign w:val="bottom"/>
            <w:gridSpan w:val="4"/>
          </w:tcPr>
          <w:p>
            <w:pPr>
              <w:ind w:left="1140"/>
              <w:spacing w:after="0"/>
              <w:rPr>
                <w:sz w:val="20"/>
                <w:szCs w:val="20"/>
                <w:color w:val="auto"/>
              </w:rPr>
            </w:pPr>
            <w:r>
              <w:rPr>
                <w:rFonts w:ascii="Arial" w:cs="Arial" w:eastAsia="Arial" w:hAnsi="Arial"/>
                <w:sz w:val="20"/>
                <w:szCs w:val="20"/>
                <w:color w:val="auto"/>
              </w:rPr>
              <w:t>Tel: +33 1 47 78 34 83</w:t>
            </w:r>
          </w:p>
        </w:tc>
      </w:tr>
      <w:tr>
        <w:trPr>
          <w:trHeight w:val="334"/>
        </w:trPr>
        <w:tc>
          <w:tcPr>
            <w:tcW w:w="4280" w:type="dxa"/>
            <w:vAlign w:val="bottom"/>
            <w:gridSpan w:val="4"/>
          </w:tcPr>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Phillip Lindsay</w:t>
            </w:r>
          </w:p>
        </w:tc>
        <w:tc>
          <w:tcPr>
            <w:tcW w:w="4860" w:type="dxa"/>
            <w:vAlign w:val="bottom"/>
            <w:gridSpan w:val="4"/>
          </w:tcPr>
          <w:p>
            <w:pPr>
              <w:ind w:left="114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Delphine Nayral</w:t>
            </w:r>
          </w:p>
        </w:tc>
      </w:tr>
      <w:tr>
        <w:trPr>
          <w:trHeight w:val="20"/>
        </w:trPr>
        <w:tc>
          <w:tcPr>
            <w:tcW w:w="6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16" w:name="page17"/>
    <w:bookmarkEnd w:id="16"/>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641600" cy="523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u w:val="single" w:color="auto"/>
          <w:color w:val="auto"/>
        </w:rPr>
        <w:t>TECHNIPFMC plc AND CONSOLIDATED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GAAP FINANCIAL STATEMENTS</w:t>
      </w:r>
    </w:p>
    <w:p>
      <w:pPr>
        <w:spacing w:after="0" w:line="39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U.S. GAAP financial statements for TechnipFMC plc and consolidated subsidiaries are provided on the following pages. The financial results reflect the following information:</w:t>
      </w:r>
    </w:p>
    <w:p>
      <w:pPr>
        <w:spacing w:after="0" w:line="148" w:lineRule="exact"/>
        <w:rPr>
          <w:sz w:val="20"/>
          <w:szCs w:val="20"/>
          <w:color w:val="auto"/>
        </w:rPr>
      </w:pPr>
    </w:p>
    <w:p>
      <w:pPr>
        <w:ind w:left="660" w:hanging="328"/>
        <w:spacing w:after="0" w:line="247"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On January 16, 2017, TechnipFMC was created by the business combination of Technip S.A. (Technip) and FMC Technologies, Inc. (FMC Technologies).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Therefore, the results for the three and six months ended June 30, 2017:</w:t>
      </w:r>
    </w:p>
    <w:p>
      <w:pPr>
        <w:spacing w:after="0" w:line="16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Include the results of Technip for the full period;</w:t>
      </w:r>
    </w:p>
    <w:p>
      <w:pPr>
        <w:jc w:val="both"/>
        <w:ind w:left="660" w:hanging="328"/>
        <w:spacing w:after="0" w:line="243"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Include the results of FMC Technologies for the period January 17 to June 30, 2017; revenue of $112.9 million during the period from January 1 to January 16, 2017 were excluded, of which approximately 70 percent was reported in Subsea and the remainder in Surface Technologies.</w:t>
      </w:r>
    </w:p>
    <w:p>
      <w:pPr>
        <w:spacing w:after="0" w:line="39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When referencing these financial statements, adjusted EBITDA is also used to describe EBITDA excluding amortization related to the impact of purchase price accounting and other charges and credits.</w:t>
      </w:r>
    </w:p>
    <w:p>
      <w:pPr>
        <w:sectPr>
          <w:pgSz w:w="11900" w:h="16838" w:orient="portrait"/>
          <w:cols w:equalWidth="0" w:num="1">
            <w:col w:w="11420"/>
          </w:cols>
          <w:pgMar w:left="240" w:top="1440" w:right="239" w:bottom="1440" w:gutter="0" w:footer="0" w:header="0"/>
        </w:sectPr>
      </w:pPr>
    </w:p>
    <w:bookmarkStart w:id="17" w:name="page18"/>
    <w:bookmarkEnd w:id="17"/>
    <w:p>
      <w:pPr>
        <w:jc w:val="center"/>
        <w:ind w:right="4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STATEMENTS OF INCOME </w:t>
      </w:r>
      <w:r>
        <w:rPr>
          <w:rFonts w:ascii="Arial" w:cs="Arial" w:eastAsia="Arial" w:hAnsi="Arial"/>
          <w:sz w:val="18"/>
          <w:szCs w:val="18"/>
          <w:b w:val="1"/>
          <w:bCs w:val="1"/>
          <w:color w:val="auto"/>
        </w:rPr>
        <w:t>(In millions,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gridSpan w:val="5"/>
          </w:tcPr>
          <w:p>
            <w:pPr>
              <w:ind w:left="380"/>
              <w:spacing w:after="0"/>
              <w:rPr>
                <w:sz w:val="20"/>
                <w:szCs w:val="20"/>
                <w:color w:val="auto"/>
              </w:rPr>
            </w:pPr>
            <w:r>
              <w:rPr>
                <w:rFonts w:ascii="Arial" w:cs="Arial" w:eastAsia="Arial" w:hAnsi="Arial"/>
                <w:sz w:val="18"/>
                <w:szCs w:val="18"/>
                <w:b w:val="1"/>
                <w:bCs w:val="1"/>
                <w:color w:val="auto"/>
              </w:rPr>
              <w:t>(Unaudited)</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0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444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2,960.9</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3,845.0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6,086.1</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7,233.0</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2,777.6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3,490.1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5,663.5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6,832.3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486"/>
        </w:trPr>
        <w:tc>
          <w:tcPr>
            <w:tcW w:w="44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440" w:type="dxa"/>
            <w:vAlign w:val="bottom"/>
          </w:tcPr>
          <w:p>
            <w:pPr>
              <w:spacing w:after="0"/>
              <w:rPr>
                <w:sz w:val="20"/>
                <w:szCs w:val="20"/>
                <w:color w:val="auto"/>
              </w:rPr>
            </w:pPr>
            <w:r>
              <w:rPr>
                <w:rFonts w:ascii="Arial" w:cs="Arial" w:eastAsia="Arial" w:hAnsi="Arial"/>
                <w:sz w:val="18"/>
                <w:szCs w:val="18"/>
                <w:color w:val="auto"/>
              </w:rPr>
              <w:t>Income before net interest expense and income taxes</w:t>
            </w:r>
          </w:p>
        </w:tc>
        <w:tc>
          <w:tcPr>
            <w:tcW w:w="2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453.8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4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44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w w:val="99"/>
              </w:rPr>
              <w:t>Net loss (income) attributable to noncontrolling interests</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4440" w:type="dxa"/>
            <w:vAlign w:val="bottom"/>
          </w:tcPr>
          <w:p>
            <w:pPr>
              <w:spacing w:after="0"/>
              <w:rPr>
                <w:sz w:val="20"/>
                <w:szCs w:val="20"/>
                <w:color w:val="auto"/>
              </w:rPr>
            </w:pPr>
            <w:r>
              <w:rPr>
                <w:rFonts w:ascii="Arial" w:cs="Arial" w:eastAsia="Arial" w:hAnsi="Arial"/>
                <w:sz w:val="18"/>
                <w:szCs w:val="18"/>
                <w:color w:val="auto"/>
              </w:rPr>
              <w:t>Net income attributable to TechnipFMC plc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Earnings per share attributable to TechnipFMC plc:</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70"/>
        </w:trPr>
        <w:tc>
          <w:tcPr>
            <w:tcW w:w="44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554"/>
        </w:trPr>
        <w:tc>
          <w:tcPr>
            <w:tcW w:w="44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70"/>
        </w:trPr>
        <w:tc>
          <w:tcPr>
            <w:tcW w:w="44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468.4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554"/>
        </w:trPr>
        <w:tc>
          <w:tcPr>
            <w:tcW w:w="444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9140"/>
          </w:cols>
          <w:pgMar w:left="1400" w:top="526" w:right="1359" w:bottom="1440" w:gutter="0" w:footer="0" w:header="0"/>
        </w:sectPr>
      </w:pPr>
    </w:p>
    <w:bookmarkStart w:id="18" w:name="page19"/>
    <w:bookmarkEnd w:id="18"/>
    <w:p>
      <w:pPr>
        <w:jc w:val="center"/>
        <w:ind w:right="-651"/>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651"/>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ind w:right="-651"/>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1152"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gridSpan w:val="5"/>
          </w:tcPr>
          <w:p>
            <w:pPr>
              <w:ind w:left="380"/>
              <w:spacing w:after="0"/>
              <w:rPr>
                <w:sz w:val="20"/>
                <w:szCs w:val="20"/>
                <w:color w:val="auto"/>
              </w:rPr>
            </w:pPr>
            <w:r>
              <w:rPr>
                <w:rFonts w:ascii="Arial" w:cs="Arial" w:eastAsia="Arial" w:hAnsi="Arial"/>
                <w:sz w:val="18"/>
                <w:szCs w:val="18"/>
                <w:b w:val="1"/>
                <w:bCs w:val="1"/>
                <w:color w:val="auto"/>
              </w:rPr>
              <w:t>(Unaudited)</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0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7"/>
        </w:trPr>
        <w:tc>
          <w:tcPr>
            <w:tcW w:w="44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44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Subsea</w:t>
            </w:r>
          </w:p>
        </w:tc>
        <w:tc>
          <w:tcPr>
            <w:tcW w:w="3780" w:type="dxa"/>
            <w:vAlign w:val="bottom"/>
            <w:gridSpan w:val="4"/>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1,217.4</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1,730.3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2,397.6</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3,107.0</w:t>
            </w:r>
          </w:p>
        </w:tc>
        <w:tc>
          <w:tcPr>
            <w:tcW w:w="0" w:type="dxa"/>
            <w:vAlign w:val="bottom"/>
          </w:tcPr>
          <w:p>
            <w:pPr>
              <w:spacing w:after="0"/>
              <w:rPr>
                <w:sz w:val="1"/>
                <w:szCs w:val="1"/>
                <w:color w:val="auto"/>
              </w:rPr>
            </w:pPr>
          </w:p>
        </w:tc>
      </w:tr>
      <w:tr>
        <w:trPr>
          <w:trHeight w:val="270"/>
        </w:trPr>
        <w:tc>
          <w:tcPr>
            <w:tcW w:w="4440" w:type="dxa"/>
            <w:vAlign w:val="bottom"/>
            <w:gridSpan w:val="5"/>
          </w:tcPr>
          <w:p>
            <w:pPr>
              <w:spacing w:after="0"/>
              <w:rPr>
                <w:sz w:val="20"/>
                <w:szCs w:val="20"/>
                <w:color w:val="auto"/>
              </w:rPr>
            </w:pPr>
            <w:r>
              <w:rPr>
                <w:rFonts w:ascii="Arial" w:cs="Arial" w:eastAsia="Arial" w:hAnsi="Arial"/>
                <w:sz w:val="18"/>
                <w:szCs w:val="18"/>
                <w:color w:val="auto"/>
              </w:rPr>
              <w:t>Onshore/Offshore</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1,342.4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1,812.9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2,915.8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3,576.9</w:t>
            </w:r>
          </w:p>
        </w:tc>
        <w:tc>
          <w:tcPr>
            <w:tcW w:w="0" w:type="dxa"/>
            <w:vAlign w:val="bottom"/>
          </w:tcPr>
          <w:p>
            <w:pPr>
              <w:spacing w:after="0"/>
              <w:rPr>
                <w:sz w:val="1"/>
                <w:szCs w:val="1"/>
                <w:color w:val="auto"/>
              </w:rPr>
            </w:pPr>
          </w:p>
        </w:tc>
      </w:tr>
      <w:tr>
        <w:trPr>
          <w:trHeight w:val="270"/>
        </w:trPr>
        <w:tc>
          <w:tcPr>
            <w:tcW w:w="444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401.1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772.7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70"/>
        </w:trPr>
        <w:tc>
          <w:tcPr>
            <w:tcW w:w="4440" w:type="dxa"/>
            <w:vAlign w:val="bottom"/>
            <w:gridSpan w:val="5"/>
          </w:tcPr>
          <w:p>
            <w:pPr>
              <w:spacing w:after="0"/>
              <w:rPr>
                <w:sz w:val="20"/>
                <w:szCs w:val="20"/>
                <w:color w:val="auto"/>
              </w:rPr>
            </w:pPr>
            <w:r>
              <w:rPr>
                <w:rFonts w:ascii="Arial" w:cs="Arial" w:eastAsia="Arial" w:hAnsi="Arial"/>
                <w:sz w:val="18"/>
                <w:szCs w:val="18"/>
                <w:color w:val="auto"/>
              </w:rPr>
              <w:t>Other revenue</w:t>
            </w:r>
          </w:p>
        </w:tc>
        <w:tc>
          <w:tcPr>
            <w:tcW w:w="22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2,960.9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3,845.0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6,086.1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7,233.0</w:t>
            </w:r>
          </w:p>
        </w:tc>
        <w:tc>
          <w:tcPr>
            <w:tcW w:w="0" w:type="dxa"/>
            <w:vAlign w:val="bottom"/>
          </w:tcPr>
          <w:p>
            <w:pPr>
              <w:spacing w:after="0"/>
              <w:rPr>
                <w:sz w:val="1"/>
                <w:szCs w:val="1"/>
                <w:color w:val="auto"/>
              </w:rPr>
            </w:pPr>
          </w:p>
        </w:tc>
      </w:tr>
      <w:tr>
        <w:trPr>
          <w:trHeight w:val="27"/>
        </w:trPr>
        <w:tc>
          <w:tcPr>
            <w:tcW w:w="21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87"/>
              </w:rPr>
              <w:t>Income before income taxes</w:t>
            </w:r>
          </w:p>
        </w:tc>
        <w:tc>
          <w:tcPr>
            <w:tcW w:w="2300" w:type="dxa"/>
            <w:vAlign w:val="bottom"/>
            <w:gridSpan w:val="2"/>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40" w:type="dxa"/>
            <w:vAlign w:val="bottom"/>
            <w:gridSpan w:val="3"/>
            <w:vMerge w:val="continue"/>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2140" w:type="dxa"/>
            <w:vAlign w:val="bottom"/>
            <w:tcBorders>
              <w:bottom w:val="single" w:sz="8" w:color="auto"/>
            </w:tcBorders>
            <w:gridSpan w:val="3"/>
            <w:vMerge w:val="continue"/>
          </w:tcPr>
          <w:p>
            <w:pPr>
              <w:spacing w:after="0"/>
              <w:rPr>
                <w:sz w:val="24"/>
                <w:szCs w:val="24"/>
                <w:color w:val="auto"/>
              </w:rPr>
            </w:pPr>
          </w:p>
        </w:tc>
        <w:tc>
          <w:tcPr>
            <w:tcW w:w="23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4440" w:type="dxa"/>
            <w:vAlign w:val="bottom"/>
            <w:gridSpan w:val="5"/>
          </w:tcPr>
          <w:p>
            <w:pPr>
              <w:spacing w:after="0"/>
              <w:rPr>
                <w:sz w:val="20"/>
                <w:szCs w:val="20"/>
                <w:color w:val="auto"/>
              </w:rPr>
            </w:pPr>
            <w:r>
              <w:rPr>
                <w:rFonts w:ascii="Arial" w:cs="Arial" w:eastAsia="Arial" w:hAnsi="Arial"/>
                <w:sz w:val="18"/>
                <w:szCs w:val="18"/>
                <w:color w:val="auto"/>
              </w:rPr>
              <w:t>Segment operating profit (loss)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2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Subsea</w:t>
            </w:r>
          </w:p>
        </w:tc>
        <w:tc>
          <w:tcPr>
            <w:tcW w:w="2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70"/>
        </w:trPr>
        <w:tc>
          <w:tcPr>
            <w:tcW w:w="4440" w:type="dxa"/>
            <w:vAlign w:val="bottom"/>
            <w:gridSpan w:val="5"/>
          </w:tcPr>
          <w:p>
            <w:pPr>
              <w:spacing w:after="0"/>
              <w:rPr>
                <w:sz w:val="20"/>
                <w:szCs w:val="20"/>
                <w:color w:val="auto"/>
              </w:rPr>
            </w:pPr>
            <w:r>
              <w:rPr>
                <w:rFonts w:ascii="Arial" w:cs="Arial" w:eastAsia="Arial" w:hAnsi="Arial"/>
                <w:sz w:val="18"/>
                <w:szCs w:val="18"/>
                <w:color w:val="auto"/>
              </w:rPr>
              <w:t>Onshore/Offshore</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70"/>
        </w:trPr>
        <w:tc>
          <w:tcPr>
            <w:tcW w:w="444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gridSpan w:val="5"/>
          </w:tcPr>
          <w:p>
            <w:pPr>
              <w:spacing w:after="0"/>
              <w:rPr>
                <w:sz w:val="20"/>
                <w:szCs w:val="20"/>
                <w:color w:val="auto"/>
              </w:rPr>
            </w:pPr>
            <w:r>
              <w:rPr>
                <w:rFonts w:ascii="Arial" w:cs="Arial" w:eastAsia="Arial" w:hAnsi="Arial"/>
                <w:sz w:val="18"/>
                <w:szCs w:val="18"/>
                <w:color w:val="auto"/>
              </w:rPr>
              <w:t>Total segment operating profit</w:t>
            </w: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618.0</w:t>
            </w:r>
          </w:p>
        </w:tc>
        <w:tc>
          <w:tcPr>
            <w:tcW w:w="0" w:type="dxa"/>
            <w:vAlign w:val="bottom"/>
          </w:tcPr>
          <w:p>
            <w:pPr>
              <w:spacing w:after="0"/>
              <w:rPr>
                <w:sz w:val="1"/>
                <w:szCs w:val="1"/>
                <w:color w:val="auto"/>
              </w:rPr>
            </w:pPr>
          </w:p>
        </w:tc>
      </w:tr>
      <w:tr>
        <w:trPr>
          <w:trHeight w:val="27"/>
        </w:trPr>
        <w:tc>
          <w:tcPr>
            <w:tcW w:w="1160" w:type="dxa"/>
            <w:vAlign w:val="bottom"/>
            <w:gridSpan w:val="2"/>
            <w:vMerge w:val="restart"/>
          </w:tcPr>
          <w:p>
            <w:pPr>
              <w:spacing w:after="0"/>
              <w:rPr>
                <w:sz w:val="20"/>
                <w:szCs w:val="20"/>
                <w:color w:val="auto"/>
              </w:rPr>
            </w:pPr>
            <w:r>
              <w:rPr>
                <w:rFonts w:ascii="Arial" w:cs="Arial" w:eastAsia="Arial" w:hAnsi="Arial"/>
                <w:sz w:val="18"/>
                <w:szCs w:val="18"/>
                <w:color w:val="auto"/>
                <w:w w:val="88"/>
              </w:rPr>
              <w:t>Corporate items</w:t>
            </w:r>
          </w:p>
        </w:tc>
        <w:tc>
          <w:tcPr>
            <w:tcW w:w="3280" w:type="dxa"/>
            <w:vAlign w:val="bottom"/>
            <w:gridSpan w:val="3"/>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5"/>
        </w:trPr>
        <w:tc>
          <w:tcPr>
            <w:tcW w:w="1160" w:type="dxa"/>
            <w:vAlign w:val="bottom"/>
            <w:tcBorders>
              <w:bottom w:val="single" w:sz="8" w:color="auto"/>
            </w:tcBorders>
            <w:gridSpan w:val="2"/>
            <w:vMerge w:val="continue"/>
          </w:tcPr>
          <w:p>
            <w:pPr>
              <w:spacing w:after="0"/>
              <w:rPr>
                <w:sz w:val="24"/>
                <w:szCs w:val="24"/>
                <w:color w:val="auto"/>
              </w:rPr>
            </w:pPr>
          </w:p>
        </w:tc>
        <w:tc>
          <w:tcPr>
            <w:tcW w:w="32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40" w:type="dxa"/>
            <w:vAlign w:val="bottom"/>
            <w:gridSpan w:val="5"/>
          </w:tcPr>
          <w:p>
            <w:pPr>
              <w:spacing w:after="0"/>
              <w:rPr>
                <w:sz w:val="20"/>
                <w:szCs w:val="20"/>
                <w:color w:val="auto"/>
              </w:rPr>
            </w:pPr>
            <w:r>
              <w:rPr>
                <w:rFonts w:ascii="Arial" w:cs="Arial" w:eastAsia="Arial" w:hAnsi="Arial"/>
                <w:sz w:val="18"/>
                <w:szCs w:val="18"/>
                <w:color w:val="auto"/>
              </w:rPr>
              <w:t>Corporate expense, net (1)</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70"/>
        </w:trPr>
        <w:tc>
          <w:tcPr>
            <w:tcW w:w="4440" w:type="dxa"/>
            <w:vAlign w:val="bottom"/>
            <w:gridSpan w:val="5"/>
          </w:tcPr>
          <w:p>
            <w:pPr>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gridSpan w:val="5"/>
          </w:tcPr>
          <w:p>
            <w:pPr>
              <w:spacing w:after="0"/>
              <w:rPr>
                <w:sz w:val="20"/>
                <w:szCs w:val="20"/>
                <w:color w:val="auto"/>
              </w:rPr>
            </w:pPr>
            <w:r>
              <w:rPr>
                <w:rFonts w:ascii="Arial" w:cs="Arial" w:eastAsia="Arial" w:hAnsi="Arial"/>
                <w:sz w:val="18"/>
                <w:szCs w:val="18"/>
                <w:color w:val="auto"/>
              </w:rPr>
              <w:t>Total corporate items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1"/>
        </w:trPr>
        <w:tc>
          <w:tcPr>
            <w:tcW w:w="4440" w:type="dxa"/>
            <w:vAlign w:val="bottom"/>
            <w:gridSpan w:val="5"/>
          </w:tcPr>
          <w:p>
            <w:pPr>
              <w:spacing w:after="0"/>
              <w:rPr>
                <w:sz w:val="20"/>
                <w:szCs w:val="20"/>
                <w:color w:val="auto"/>
              </w:rPr>
            </w:pPr>
            <w:r>
              <w:rPr>
                <w:rFonts w:ascii="Arial" w:cs="Arial" w:eastAsia="Arial" w:hAnsi="Arial"/>
                <w:sz w:val="18"/>
                <w:szCs w:val="18"/>
                <w:color w:val="auto"/>
              </w:rPr>
              <w:t>Net Income before income taxes (2)</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32" w:hanging="332"/>
        <w:spacing w:after="0" w:line="277" w:lineRule="auto"/>
        <w:tabs>
          <w:tab w:leader="none" w:pos="3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Corporate expense, net primarily includes corporate staff expenses, stock-based compensation expenses, other employee benefits, certain foreign exchange gains and losses, and merger-related transaction expenses.</w:t>
      </w:r>
    </w:p>
    <w:p>
      <w:pPr>
        <w:spacing w:after="0" w:line="116" w:lineRule="exact"/>
        <w:rPr>
          <w:rFonts w:ascii="Arial" w:cs="Arial" w:eastAsia="Arial" w:hAnsi="Arial"/>
          <w:sz w:val="18"/>
          <w:szCs w:val="18"/>
          <w:color w:val="auto"/>
        </w:rPr>
      </w:pPr>
    </w:p>
    <w:p>
      <w:pPr>
        <w:ind w:left="332" w:hanging="332"/>
        <w:spacing w:after="0"/>
        <w:tabs>
          <w:tab w:leader="none" w:pos="3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amounts attributable to noncontrolling interests.</w:t>
      </w:r>
    </w:p>
    <w:p>
      <w:pPr>
        <w:sectPr>
          <w:pgSz w:w="11900" w:h="16838" w:orient="portrait"/>
          <w:cols w:equalWidth="0" w:num="1">
            <w:col w:w="10772"/>
          </w:cols>
          <w:pgMar w:left="248" w:top="526" w:right="879" w:bottom="1440" w:gutter="0" w:footer="0" w:header="0"/>
        </w:sectPr>
      </w:pPr>
    </w:p>
    <w:bookmarkStart w:id="19" w:name="page20"/>
    <w:bookmarkEnd w:id="19"/>
    <w:p>
      <w:pPr>
        <w:jc w:val="center"/>
        <w:ind w:right="-1091"/>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1091"/>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ind w:right="-1091"/>
        <w:spacing w:after="0"/>
        <w:rPr>
          <w:sz w:val="20"/>
          <w:szCs w:val="20"/>
          <w:color w:val="auto"/>
        </w:rPr>
      </w:pPr>
      <w:r>
        <w:rPr>
          <w:rFonts w:ascii="Arial" w:cs="Arial" w:eastAsia="Arial" w:hAnsi="Arial"/>
          <w:sz w:val="18"/>
          <w:szCs w:val="18"/>
          <w:b w:val="1"/>
          <w:bCs w:val="1"/>
          <w:color w:val="auto"/>
        </w:rPr>
        <w:t>(In millions, unaudited)</w:t>
      </w:r>
    </w:p>
    <w:p>
      <w:pPr>
        <w:spacing w:after="0" w:line="369" w:lineRule="exact"/>
        <w:rPr>
          <w:sz w:val="20"/>
          <w:szCs w:val="20"/>
          <w:color w:val="auto"/>
        </w:rPr>
      </w:pPr>
    </w:p>
    <w:tbl>
      <w:tblPr>
        <w:tblLayout w:type="fixed"/>
        <w:tblInd w:w="1152"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0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Inbound Orders (1)</w:t>
            </w:r>
          </w:p>
        </w:tc>
        <w:tc>
          <w:tcPr>
            <w:tcW w:w="22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19"/>
                <w:szCs w:val="19"/>
                <w:color w:val="auto"/>
              </w:rPr>
            </w:pPr>
          </w:p>
        </w:tc>
      </w:tr>
      <w:tr>
        <w:trPr>
          <w:trHeight w:val="48"/>
        </w:trPr>
        <w:tc>
          <w:tcPr>
            <w:tcW w:w="1520" w:type="dxa"/>
            <w:vAlign w:val="bottom"/>
            <w:tcBorders>
              <w:top w:val="single" w:sz="8" w:color="auto"/>
            </w:tcBorders>
          </w:tcPr>
          <w:p>
            <w:pPr>
              <w:spacing w:after="0"/>
              <w:rPr>
                <w:sz w:val="4"/>
                <w:szCs w:val="4"/>
                <w:color w:val="auto"/>
              </w:rPr>
            </w:pPr>
          </w:p>
        </w:tc>
        <w:tc>
          <w:tcPr>
            <w:tcW w:w="30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37"/>
        </w:trPr>
        <w:tc>
          <w:tcPr>
            <w:tcW w:w="15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1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520"/>
        </w:trPr>
        <w:tc>
          <w:tcPr>
            <w:tcW w:w="4540" w:type="dxa"/>
            <w:vAlign w:val="bottom"/>
            <w:gridSpan w:val="2"/>
          </w:tcPr>
          <w:p>
            <w:pPr>
              <w:spacing w:after="0"/>
              <w:rPr>
                <w:sz w:val="20"/>
                <w:szCs w:val="20"/>
                <w:color w:val="auto"/>
              </w:rPr>
            </w:pPr>
            <w:r>
              <w:rPr>
                <w:rFonts w:ascii="Arial" w:cs="Arial" w:eastAsia="Arial" w:hAnsi="Arial"/>
                <w:sz w:val="18"/>
                <w:szCs w:val="18"/>
                <w:color w:val="auto"/>
              </w:rPr>
              <w:t>Subsea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1,516.2</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1,773.0</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2,744.0</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2,439.0</w:t>
            </w:r>
          </w:p>
        </w:tc>
      </w:tr>
      <w:tr>
        <w:trPr>
          <w:trHeight w:val="270"/>
        </w:trPr>
        <w:tc>
          <w:tcPr>
            <w:tcW w:w="4540" w:type="dxa"/>
            <w:vAlign w:val="bottom"/>
            <w:gridSpan w:val="2"/>
          </w:tcPr>
          <w:p>
            <w:pPr>
              <w:spacing w:after="0"/>
              <w:rPr>
                <w:sz w:val="20"/>
                <w:szCs w:val="20"/>
                <w:color w:val="auto"/>
              </w:rPr>
            </w:pPr>
            <w:r>
              <w:rPr>
                <w:rFonts w:ascii="Arial" w:cs="Arial" w:eastAsia="Arial" w:hAnsi="Arial"/>
                <w:sz w:val="18"/>
                <w:szCs w:val="18"/>
                <w:color w:val="auto"/>
              </w:rPr>
              <w:t>Onshore/Offshore</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4,150.4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1,785.7</w:t>
            </w:r>
          </w:p>
        </w:tc>
      </w:tr>
      <w:tr>
        <w:trPr>
          <w:trHeight w:val="270"/>
        </w:trPr>
        <w:tc>
          <w:tcPr>
            <w:tcW w:w="454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824.3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517.8</w:t>
            </w:r>
          </w:p>
        </w:tc>
      </w:tr>
      <w:tr>
        <w:trPr>
          <w:trHeight w:val="27"/>
        </w:trPr>
        <w:tc>
          <w:tcPr>
            <w:tcW w:w="1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4540" w:type="dxa"/>
            <w:vAlign w:val="bottom"/>
            <w:gridSpan w:val="2"/>
          </w:tcPr>
          <w:p>
            <w:pPr>
              <w:spacing w:after="0"/>
              <w:rPr>
                <w:sz w:val="20"/>
                <w:szCs w:val="20"/>
                <w:color w:val="auto"/>
              </w:rPr>
            </w:pPr>
            <w:r>
              <w:rPr>
                <w:rFonts w:ascii="Arial" w:cs="Arial" w:eastAsia="Arial" w:hAnsi="Arial"/>
                <w:sz w:val="18"/>
                <w:szCs w:val="18"/>
                <w:color w:val="auto"/>
              </w:rPr>
              <w:t>Total inbound orders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3,153.0</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7,718.7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4,742.5</w:t>
            </w:r>
          </w:p>
        </w:tc>
      </w:tr>
      <w:tr>
        <w:trPr>
          <w:trHeight w:val="20"/>
        </w:trPr>
        <w:tc>
          <w:tcPr>
            <w:tcW w:w="15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47" w:lineRule="exact"/>
        <w:rPr>
          <w:sz w:val="20"/>
          <w:szCs w:val="20"/>
          <w:color w:val="auto"/>
        </w:rPr>
      </w:pPr>
    </w:p>
    <w:tbl>
      <w:tblPr>
        <w:tblLayout w:type="fixed"/>
        <w:tblInd w:w="1132" w:type="dxa"/>
        <w:tblCellMar>
          <w:top w:w="0" w:type="dxa"/>
          <w:left w:w="0" w:type="dxa"/>
          <w:bottom w:w="0" w:type="dxa"/>
          <w:right w:w="0" w:type="dxa"/>
        </w:tblCellMar>
      </w:tblPr>
      <w:tr>
        <w:trPr>
          <w:trHeight w:val="207"/>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Order Backlog (2)</w:t>
            </w:r>
          </w:p>
        </w:tc>
        <w:tc>
          <w:tcPr>
            <w:tcW w:w="2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17"/>
                <w:szCs w:val="17"/>
                <w:color w:val="auto"/>
              </w:rPr>
            </w:pPr>
          </w:p>
        </w:tc>
      </w:tr>
      <w:tr>
        <w:trPr>
          <w:trHeight w:val="48"/>
        </w:trPr>
        <w:tc>
          <w:tcPr>
            <w:tcW w:w="1400" w:type="dxa"/>
            <w:vAlign w:val="bottom"/>
            <w:tcBorders>
              <w:top w:val="single" w:sz="8" w:color="auto"/>
            </w:tcBorders>
          </w:tcPr>
          <w:p>
            <w:pPr>
              <w:spacing w:after="0"/>
              <w:rPr>
                <w:sz w:val="4"/>
                <w:szCs w:val="4"/>
                <w:color w:val="auto"/>
              </w:rPr>
            </w:pPr>
          </w:p>
        </w:tc>
        <w:tc>
          <w:tcPr>
            <w:tcW w:w="55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37"/>
        </w:trPr>
        <w:tc>
          <w:tcPr>
            <w:tcW w:w="14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14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520"/>
        </w:trPr>
        <w:tc>
          <w:tcPr>
            <w:tcW w:w="6940" w:type="dxa"/>
            <w:vAlign w:val="bottom"/>
            <w:gridSpan w:val="2"/>
          </w:tcPr>
          <w:p>
            <w:pPr>
              <w:spacing w:after="0"/>
              <w:rPr>
                <w:sz w:val="20"/>
                <w:szCs w:val="20"/>
                <w:color w:val="auto"/>
              </w:rPr>
            </w:pPr>
            <w:r>
              <w:rPr>
                <w:rFonts w:ascii="Arial" w:cs="Arial" w:eastAsia="Arial" w:hAnsi="Arial"/>
                <w:sz w:val="18"/>
                <w:szCs w:val="18"/>
                <w:color w:val="auto"/>
              </w:rPr>
              <w:t>Subsea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6,177.0</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6,186.8</w:t>
            </w:r>
          </w:p>
        </w:tc>
      </w:tr>
      <w:tr>
        <w:trPr>
          <w:trHeight w:val="270"/>
        </w:trPr>
        <w:tc>
          <w:tcPr>
            <w:tcW w:w="6940" w:type="dxa"/>
            <w:vAlign w:val="bottom"/>
            <w:gridSpan w:val="2"/>
          </w:tcPr>
          <w:p>
            <w:pPr>
              <w:spacing w:after="0"/>
              <w:rPr>
                <w:sz w:val="20"/>
                <w:szCs w:val="20"/>
                <w:color w:val="auto"/>
              </w:rPr>
            </w:pPr>
            <w:r>
              <w:rPr>
                <w:rFonts w:ascii="Arial" w:cs="Arial" w:eastAsia="Arial" w:hAnsi="Arial"/>
                <w:sz w:val="18"/>
                <w:szCs w:val="18"/>
                <w:color w:val="auto"/>
              </w:rPr>
              <w:t>Onshore/Offshore</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8,279.5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8,582.0</w:t>
            </w:r>
          </w:p>
        </w:tc>
      </w:tr>
      <w:tr>
        <w:trPr>
          <w:trHeight w:val="270"/>
        </w:trPr>
        <w:tc>
          <w:tcPr>
            <w:tcW w:w="694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414.1</w:t>
            </w:r>
          </w:p>
        </w:tc>
      </w:tr>
      <w:tr>
        <w:trPr>
          <w:trHeight w:val="27"/>
        </w:trPr>
        <w:tc>
          <w:tcPr>
            <w:tcW w:w="14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6940" w:type="dxa"/>
            <w:vAlign w:val="bottom"/>
            <w:gridSpan w:val="2"/>
          </w:tcPr>
          <w:p>
            <w:pPr>
              <w:spacing w:after="0"/>
              <w:rPr>
                <w:sz w:val="20"/>
                <w:szCs w:val="20"/>
                <w:color w:val="auto"/>
              </w:rPr>
            </w:pPr>
            <w:r>
              <w:rPr>
                <w:rFonts w:ascii="Arial" w:cs="Arial" w:eastAsia="Arial" w:hAnsi="Arial"/>
                <w:sz w:val="18"/>
                <w:szCs w:val="18"/>
                <w:color w:val="auto"/>
              </w:rPr>
              <w:t>Total order backlog</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14,871.8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15,182.9</w:t>
            </w:r>
          </w:p>
        </w:tc>
      </w:tr>
      <w:tr>
        <w:trPr>
          <w:trHeight w:val="20"/>
        </w:trPr>
        <w:tc>
          <w:tcPr>
            <w:tcW w:w="14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32" w:hanging="332"/>
        <w:spacing w:after="0"/>
        <w:tabs>
          <w:tab w:leader="none" w:pos="3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Inbound orders represent the estimated sales value of confirmed customer orders received during the reporting period.</w:t>
      </w:r>
    </w:p>
    <w:p>
      <w:pPr>
        <w:spacing w:after="0" w:line="171" w:lineRule="exact"/>
        <w:rPr>
          <w:rFonts w:ascii="Arial" w:cs="Arial" w:eastAsia="Arial" w:hAnsi="Arial"/>
          <w:sz w:val="18"/>
          <w:szCs w:val="18"/>
          <w:color w:val="auto"/>
        </w:rPr>
      </w:pPr>
    </w:p>
    <w:p>
      <w:pPr>
        <w:ind w:left="332" w:hanging="332"/>
        <w:spacing w:after="0"/>
        <w:tabs>
          <w:tab w:leader="none" w:pos="3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Order backlog is calculated as the estimated sales value of unfilled, confirmed customer orders at the reporting date.</w:t>
      </w:r>
    </w:p>
    <w:p>
      <w:pPr>
        <w:sectPr>
          <w:pgSz w:w="11900" w:h="16838" w:orient="portrait"/>
          <w:cols w:equalWidth="0" w:num="1">
            <w:col w:w="10312"/>
          </w:cols>
          <w:pgMar w:left="248" w:top="526" w:right="1339" w:bottom="1440" w:gutter="0" w:footer="0" w:header="0"/>
        </w:sectPr>
      </w:pPr>
    </w:p>
    <w:bookmarkStart w:id="20" w:name="page21"/>
    <w:bookmarkEnd w:id="20"/>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BALANCE SHEETS </w:t>
      </w:r>
      <w:r>
        <w:rPr>
          <w:rFonts w:ascii="Arial" w:cs="Arial" w:eastAsia="Arial" w:hAnsi="Arial"/>
          <w:sz w:val="18"/>
          <w:szCs w:val="18"/>
          <w:b w:val="1"/>
          <w:bCs w:val="1"/>
          <w:color w:val="auto"/>
        </w:rPr>
        <w:t>(In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820" w:type="dxa"/>
            <w:vAlign w:val="bottom"/>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218"/>
        </w:trPr>
        <w:tc>
          <w:tcPr>
            <w:tcW w:w="6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6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520"/>
        </w:trPr>
        <w:tc>
          <w:tcPr>
            <w:tcW w:w="6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5,555.4</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6,737.4</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Trade receivables, net</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2,198.6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1,484.4</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Contract assets</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1,412.9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1,755.5</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1,085.6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987.0</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1,589.0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2,012.8</w:t>
            </w:r>
          </w:p>
        </w:tc>
      </w:tr>
      <w:tr>
        <w:trPr>
          <w:trHeight w:val="27"/>
        </w:trPr>
        <w:tc>
          <w:tcPr>
            <w:tcW w:w="6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11,841.5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12,977.1</w:t>
            </w:r>
          </w:p>
        </w:tc>
      </w:tr>
      <w:tr>
        <w:trPr>
          <w:trHeight w:val="554"/>
        </w:trPr>
        <w:tc>
          <w:tcPr>
            <w:tcW w:w="65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3,697.8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3,871.5</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9,009.8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8,929.8</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1,253.8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1,333.8</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1,255.6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1,151.5</w:t>
            </w:r>
          </w:p>
        </w:tc>
      </w:tr>
      <w:tr>
        <w:trPr>
          <w:trHeight w:val="27"/>
        </w:trPr>
        <w:tc>
          <w:tcPr>
            <w:tcW w:w="6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58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27,058.5</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28,263.7</w:t>
            </w:r>
          </w:p>
        </w:tc>
      </w:tr>
      <w:tr>
        <w:trPr>
          <w:trHeight w:val="20"/>
        </w:trPr>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514"/>
        </w:trPr>
        <w:tc>
          <w:tcPr>
            <w:tcW w:w="658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Accounts payable, trade</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2,924.6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3,958.7</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3,973.3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3,314.2</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2,181.3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2,479.4</w:t>
            </w:r>
          </w:p>
        </w:tc>
      </w:tr>
      <w:tr>
        <w:trPr>
          <w:trHeight w:val="27"/>
        </w:trPr>
        <w:tc>
          <w:tcPr>
            <w:tcW w:w="6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9,157.7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9,829.4</w:t>
            </w:r>
          </w:p>
        </w:tc>
      </w:tr>
      <w:tr>
        <w:trPr>
          <w:trHeight w:val="554"/>
        </w:trPr>
        <w:tc>
          <w:tcPr>
            <w:tcW w:w="65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3,787.5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3,777.9</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1,065.7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1,247.0</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TechnipFMC plc stockholders’ equity</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12,985.5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13,387.9</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6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5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27,058.5</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28,263.7</w:t>
            </w:r>
          </w:p>
        </w:tc>
      </w:tr>
      <w:tr>
        <w:trPr>
          <w:trHeight w:val="20"/>
        </w:trPr>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180"/>
          </w:cols>
          <w:pgMar w:left="1380" w:top="526" w:right="1339" w:bottom="1440" w:gutter="0" w:footer="0" w:header="0"/>
        </w:sectPr>
      </w:pPr>
    </w:p>
    <w:bookmarkStart w:id="21" w:name="page22"/>
    <w:bookmarkEnd w:id="21"/>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STATEMENTS OF CASH FLOWS </w:t>
      </w:r>
      <w:r>
        <w:rPr>
          <w:rFonts w:ascii="Arial" w:cs="Arial" w:eastAsia="Arial" w:hAnsi="Arial"/>
          <w:sz w:val="18"/>
          <w:szCs w:val="18"/>
          <w:b w:val="1"/>
          <w:bCs w:val="1"/>
          <w:color w:val="auto"/>
        </w:rPr>
        <w:t>(In millions)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w w:val="94"/>
              </w:rPr>
              <w:t>(Unaudited)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4"/>
          </w:tcPr>
          <w:p>
            <w:pPr>
              <w:jc w:val="center"/>
              <w:ind w:right="179"/>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3"/>
          </w:tcPr>
          <w:p>
            <w:pPr>
              <w:jc w:val="center"/>
              <w:ind w:left="519"/>
              <w:spacing w:after="0"/>
              <w:rPr>
                <w:sz w:val="20"/>
                <w:szCs w:val="20"/>
                <w:color w:val="auto"/>
              </w:rPr>
            </w:pPr>
            <w:r>
              <w:rPr>
                <w:rFonts w:ascii="Arial" w:cs="Arial" w:eastAsia="Arial" w:hAnsi="Arial"/>
                <w:sz w:val="16"/>
                <w:szCs w:val="16"/>
                <w:b w:val="1"/>
                <w:bCs w:val="1"/>
                <w:color w:val="auto"/>
                <w:w w:val="90"/>
              </w:rPr>
              <w:t>June 30,</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520" w:type="dxa"/>
            <w:vAlign w:val="bottom"/>
            <w:vMerge w:val="restart"/>
          </w:tcPr>
          <w:p>
            <w:pPr>
              <w:spacing w:after="0"/>
              <w:rPr>
                <w:sz w:val="20"/>
                <w:szCs w:val="20"/>
                <w:color w:val="auto"/>
              </w:rPr>
            </w:pPr>
            <w:r>
              <w:rPr>
                <w:rFonts w:ascii="Arial" w:cs="Arial" w:eastAsia="Arial" w:hAnsi="Arial"/>
                <w:sz w:val="16"/>
                <w:szCs w:val="16"/>
                <w:color w:val="auto"/>
              </w:rPr>
              <w:t>Cash provided (required) by operating activities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6"/>
                <w:szCs w:val="16"/>
                <w:color w:val="auto"/>
                <w:w w:val="99"/>
              </w:rPr>
              <w:t>Adjustments to reconcile net income (loss) to cash provided (required) by operating activities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179.6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183.3</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127.4</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Employee benefit plan and share-based compensation costs</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Deferred income tax provision (benefit), net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Unrealized loss (gain) on derivative instruments and foreign exchange</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Impairments</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Income from equity affiliates, net of dividends received</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Trade receivables, net and contract assets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715.1</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Inventories, net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Accounts payable, trade</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(912.1)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(245.3)</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Contract liabilities</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308.1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(376.2)</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Income taxes payable (receivable), net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Other assets and liabilities, net</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(281.4)</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20"/>
                <w:szCs w:val="20"/>
                <w:color w:val="auto"/>
              </w:rPr>
            </w:pPr>
            <w:r>
              <w:rPr>
                <w:rFonts w:ascii="Arial" w:cs="Arial" w:eastAsia="Arial" w:hAnsi="Arial"/>
                <w:sz w:val="16"/>
                <w:szCs w:val="16"/>
                <w:color w:val="auto"/>
              </w:rPr>
              <w:t>Cash provided (required) by operating activities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294.3</w:t>
            </w:r>
          </w:p>
        </w:tc>
        <w:tc>
          <w:tcPr>
            <w:tcW w:w="0" w:type="dxa"/>
            <w:vAlign w:val="bottom"/>
          </w:tcPr>
          <w:p>
            <w:pPr>
              <w:spacing w:after="0"/>
              <w:rPr>
                <w:sz w:val="1"/>
                <w:szCs w:val="1"/>
                <w:color w:val="auto"/>
              </w:rPr>
            </w:pPr>
          </w:p>
        </w:tc>
      </w:tr>
      <w:tr>
        <w:trPr>
          <w:trHeight w:val="33"/>
        </w:trPr>
        <w:tc>
          <w:tcPr>
            <w:tcW w:w="6520" w:type="dxa"/>
            <w:vAlign w:val="bottom"/>
            <w:vMerge w:val="restart"/>
          </w:tcPr>
          <w:p>
            <w:pPr>
              <w:spacing w:after="0"/>
              <w:rPr>
                <w:sz w:val="20"/>
                <w:szCs w:val="20"/>
                <w:color w:val="auto"/>
              </w:rPr>
            </w:pPr>
            <w:r>
              <w:rPr>
                <w:rFonts w:ascii="Arial" w:cs="Arial" w:eastAsia="Arial" w:hAnsi="Arial"/>
                <w:sz w:val="16"/>
                <w:szCs w:val="16"/>
                <w:color w:val="auto"/>
              </w:rPr>
              <w:t>Cash provided (required) by investing activities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6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Cash acquired in merger of FMC Technologies, Inc. and Technip S.A.</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1,479.2</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Acquisitions, net of cash acquired</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Cash divested from deconsolidation</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Proceeds from sale of assets</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20"/>
                <w:szCs w:val="20"/>
                <w:color w:val="auto"/>
              </w:rPr>
            </w:pPr>
            <w:r>
              <w:rPr>
                <w:rFonts w:ascii="Arial" w:cs="Arial" w:eastAsia="Arial" w:hAnsi="Arial"/>
                <w:sz w:val="16"/>
                <w:szCs w:val="16"/>
                <w:color w:val="auto"/>
              </w:rPr>
              <w:t>Cash provided (required) by investing activities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1,386.8</w:t>
            </w:r>
          </w:p>
        </w:tc>
        <w:tc>
          <w:tcPr>
            <w:tcW w:w="0" w:type="dxa"/>
            <w:vAlign w:val="bottom"/>
          </w:tcPr>
          <w:p>
            <w:pPr>
              <w:spacing w:after="0"/>
              <w:rPr>
                <w:sz w:val="1"/>
                <w:szCs w:val="1"/>
                <w:color w:val="auto"/>
              </w:rPr>
            </w:pPr>
          </w:p>
        </w:tc>
      </w:tr>
      <w:tr>
        <w:trPr>
          <w:trHeight w:val="33"/>
        </w:trPr>
        <w:tc>
          <w:tcPr>
            <w:tcW w:w="6520" w:type="dxa"/>
            <w:vAlign w:val="bottom"/>
            <w:vMerge w:val="restart"/>
          </w:tcPr>
          <w:p>
            <w:pPr>
              <w:spacing w:after="0"/>
              <w:rPr>
                <w:sz w:val="20"/>
                <w:szCs w:val="20"/>
                <w:color w:val="auto"/>
              </w:rPr>
            </w:pPr>
            <w:r>
              <w:rPr>
                <w:rFonts w:ascii="Arial" w:cs="Arial" w:eastAsia="Arial" w:hAnsi="Arial"/>
                <w:sz w:val="16"/>
                <w:szCs w:val="16"/>
                <w:color w:val="auto"/>
              </w:rPr>
              <w:t>Cash required by financing activities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6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Net increase (decrease) in short-term debt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Net increase (decrease) in commercial paper</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Repayments of long-term debt</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(554.6)</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Payments related to taxes withheld on share-based compensation</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Purchase of treasury stock</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(226.3)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Dividends paid</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Settlements of mandatorily redeemable financial liability</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20"/>
                <w:szCs w:val="20"/>
                <w:color w:val="auto"/>
              </w:rPr>
            </w:pPr>
            <w:r>
              <w:rPr>
                <w:rFonts w:ascii="Arial" w:cs="Arial" w:eastAsia="Arial" w:hAnsi="Arial"/>
                <w:sz w:val="16"/>
                <w:szCs w:val="16"/>
                <w:color w:val="auto"/>
              </w:rPr>
              <w:t>Cash required by financing activities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(785.2)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ind w:left="360"/>
              <w:spacing w:after="0"/>
              <w:rPr>
                <w:sz w:val="20"/>
                <w:szCs w:val="20"/>
                <w:color w:val="auto"/>
              </w:rPr>
            </w:pPr>
            <w:r>
              <w:rPr>
                <w:rFonts w:ascii="Arial" w:cs="Arial" w:eastAsia="Arial" w:hAnsi="Arial"/>
                <w:sz w:val="16"/>
                <w:szCs w:val="16"/>
                <w:color w:val="auto"/>
              </w:rPr>
              <w:t>Effect of changes in foreign exchange rates on cash and cash equivalents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ind w:left="360"/>
              <w:spacing w:after="0"/>
              <w:rPr>
                <w:sz w:val="20"/>
                <w:szCs w:val="20"/>
                <w:color w:val="auto"/>
              </w:rPr>
            </w:pPr>
            <w:r>
              <w:rPr>
                <w:rFonts w:ascii="Arial" w:cs="Arial" w:eastAsia="Arial" w:hAnsi="Arial"/>
                <w:sz w:val="16"/>
                <w:szCs w:val="16"/>
                <w:color w:val="auto"/>
              </w:rPr>
              <w:t>Increase (decrease) in cash and cash equivalents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909.8</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6,737.4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6,269.3</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5,555.4</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7,179.1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220"/>
          </w:cols>
          <w:pgMar w:left="1360" w:top="526" w:right="1319" w:bottom="1440" w:gutter="0" w:footer="0" w:header="0"/>
        </w:sectPr>
      </w:pPr>
    </w:p>
    <w:bookmarkStart w:id="22" w:name="page23"/>
    <w:bookmarkEnd w:id="22"/>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641600" cy="523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u w:val="single" w:color="auto"/>
          <w:color w:val="auto"/>
        </w:rPr>
        <w:t>TECHNIPFMC plc AND CONSOLIDATED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200" w:lineRule="exact"/>
        <w:rPr>
          <w:sz w:val="20"/>
          <w:szCs w:val="20"/>
          <w:color w:val="auto"/>
        </w:rPr>
      </w:pPr>
    </w:p>
    <w:p>
      <w:pPr>
        <w:spacing w:after="0" w:line="20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Reconciliation of U.S. GAAP to non-GAAP financial measures for TechnipFMC plc and consolidated subsidiaries are provided on the following pages. The financial results reflect the following information:</w:t>
      </w:r>
    </w:p>
    <w:p>
      <w:pPr>
        <w:spacing w:after="0" w:line="161" w:lineRule="exact"/>
        <w:rPr>
          <w:sz w:val="20"/>
          <w:szCs w:val="20"/>
          <w:color w:val="auto"/>
        </w:rPr>
      </w:pPr>
    </w:p>
    <w:p>
      <w:pPr>
        <w:ind w:left="660" w:hanging="328"/>
        <w:spacing w:after="0" w:line="247"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On January 16, 2017, TechnipFMC was created by the business combination of Technip S.A. (Technip) and FMC Technologies, Inc. (FMC Technologies).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The Non-GAAP results for the three and six months ended June 30, 2017:</w:t>
      </w:r>
    </w:p>
    <w:p>
      <w:pPr>
        <w:spacing w:after="0" w:line="17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Include the results of Technip for the full period;</w:t>
      </w:r>
    </w:p>
    <w:p>
      <w:pPr>
        <w:jc w:val="both"/>
        <w:ind w:left="660" w:hanging="328"/>
        <w:spacing w:after="0" w:line="243"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Include the results of FMC Technologies for the period January 17 to June 30, 2017; revenue of $112.9 million during the period from January 1 to January 16, 2017 were excluded, of which approximately 70 percent was reported in Subsea and the remainder in Surface Technologies.</w:t>
      </w:r>
    </w:p>
    <w:p>
      <w:pPr>
        <w:spacing w:after="0" w:line="39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When referencing these financial statements, adjusted EBITDA is also used to describe EBITDA excluding amortization related to the impact of purchase price accounting and other charges and credits.</w:t>
      </w:r>
    </w:p>
    <w:p>
      <w:pPr>
        <w:sectPr>
          <w:pgSz w:w="11900" w:h="16838" w:orient="portrait"/>
          <w:cols w:equalWidth="0" w:num="1">
            <w:col w:w="11420"/>
          </w:cols>
          <w:pgMar w:left="240" w:top="1440" w:right="239" w:bottom="1440" w:gutter="0" w:footer="0" w:header="0"/>
        </w:sectPr>
      </w:pPr>
    </w:p>
    <w:bookmarkStart w:id="23" w:name="page24"/>
    <w:bookmarkEnd w:id="23"/>
    <w:p>
      <w:pPr>
        <w:jc w:val="center"/>
        <w:ind w:left="260" w:right="274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Charges and Credits</w:t>
      </w:r>
    </w:p>
    <w:p>
      <w:pPr>
        <w:spacing w:after="0" w:line="17"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In addition to financial results determined in accordance with U.S. generally accepted accounting principles (GAAP), the second quarter 2018 Earnings Release also includes non-GAAP financial measures (as defined in Item 10 of Regulation S-K of the Securities Exchange Act of 1934, as amended) and describes performance on a year-over-year basis against 2017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213360</wp:posOffset>
            </wp:positionV>
            <wp:extent cx="47510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left="1700"/>
        <w:spacing w:after="0"/>
        <w:rPr>
          <w:sz w:val="20"/>
          <w:szCs w:val="20"/>
          <w:color w:val="auto"/>
        </w:rPr>
      </w:pPr>
      <w:r>
        <w:rPr>
          <w:rFonts w:ascii="Arial" w:cs="Arial" w:eastAsia="Arial" w:hAnsi="Arial"/>
          <w:sz w:val="13"/>
          <w:szCs w:val="13"/>
          <w:b w:val="1"/>
          <w:bCs w:val="1"/>
          <w:color w:val="auto"/>
        </w:rPr>
        <w:t>Three Months Ended</w:t>
      </w:r>
    </w:p>
    <w:p>
      <w:pPr>
        <w:spacing w:after="0" w:line="40" w:lineRule="exact"/>
        <w:rPr>
          <w:sz w:val="20"/>
          <w:szCs w:val="20"/>
          <w:color w:val="auto"/>
        </w:rPr>
      </w:pPr>
    </w:p>
    <w:p>
      <w:pPr>
        <w:jc w:val="center"/>
        <w:ind w:left="1700"/>
        <w:spacing w:after="0"/>
        <w:rPr>
          <w:sz w:val="20"/>
          <w:szCs w:val="20"/>
          <w:color w:val="auto"/>
        </w:rPr>
      </w:pPr>
      <w:r>
        <w:rPr>
          <w:rFonts w:ascii="Arial" w:cs="Arial" w:eastAsia="Arial" w:hAnsi="Arial"/>
          <w:sz w:val="13"/>
          <w:szCs w:val="13"/>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71120</wp:posOffset>
            </wp:positionV>
            <wp:extent cx="47510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00"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Earnings before</w:t>
            </w:r>
          </w:p>
        </w:tc>
      </w:tr>
      <w:tr>
        <w:trPr>
          <w:trHeight w:val="135"/>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Income before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net interest</w:t>
            </w:r>
          </w:p>
        </w:tc>
      </w:tr>
      <w:tr>
        <w:trPr>
          <w:trHeight w:val="135"/>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3"/>
              </w:rPr>
              <w:t>expense, income</w:t>
            </w:r>
          </w:p>
        </w:tc>
      </w:tr>
      <w:tr>
        <w:trPr>
          <w:trHeight w:val="135"/>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Net income</w:t>
            </w:r>
          </w:p>
        </w:tc>
        <w:tc>
          <w:tcPr>
            <w:tcW w:w="11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Net loss (income)</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expense and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taxes,</w:t>
            </w:r>
          </w:p>
        </w:tc>
      </w:tr>
      <w:tr>
        <w:trPr>
          <w:trHeight w:val="135"/>
        </w:trPr>
        <w:tc>
          <w:tcPr>
            <w:tcW w:w="1620" w:type="dxa"/>
            <w:vAlign w:val="bottom"/>
          </w:tcPr>
          <w:p>
            <w:pPr>
              <w:spacing w:after="0"/>
              <w:rPr>
                <w:sz w:val="11"/>
                <w:szCs w:val="11"/>
                <w:color w:val="auto"/>
              </w:rPr>
            </w:pPr>
          </w:p>
        </w:tc>
        <w:tc>
          <w:tcPr>
            <w:tcW w:w="10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income taxes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depreciation and</w:t>
            </w:r>
          </w:p>
        </w:tc>
      </w:tr>
      <w:tr>
        <w:trPr>
          <w:trHeight w:val="135"/>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TechnipFMC</w:t>
            </w:r>
          </w:p>
        </w:tc>
        <w:tc>
          <w:tcPr>
            <w:tcW w:w="10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noncontrolling</w:t>
            </w:r>
          </w:p>
        </w:tc>
        <w:tc>
          <w:tcPr>
            <w:tcW w:w="8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Provision for</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Net interest</w:t>
            </w: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(Operating</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120" w:type="dxa"/>
            <w:vAlign w:val="bottom"/>
          </w:tcPr>
          <w:p>
            <w:pPr>
              <w:spacing w:after="0"/>
              <w:rPr>
                <w:sz w:val="11"/>
                <w:szCs w:val="11"/>
                <w:color w:val="auto"/>
              </w:rPr>
            </w:pPr>
          </w:p>
        </w:tc>
        <w:tc>
          <w:tcPr>
            <w:tcW w:w="8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7"/>
              </w:rPr>
              <w:t>amortization</w:t>
            </w:r>
          </w:p>
        </w:tc>
      </w:tr>
      <w:tr>
        <w:trPr>
          <w:trHeight w:val="174"/>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plc</w:t>
            </w:r>
          </w:p>
        </w:tc>
        <w:tc>
          <w:tcPr>
            <w:tcW w:w="1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interests</w:t>
            </w:r>
          </w:p>
        </w:tc>
        <w:tc>
          <w:tcPr>
            <w:tcW w:w="8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taxes</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expense</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profit)</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amortization</w:t>
            </w:r>
          </w:p>
        </w:tc>
        <w:tc>
          <w:tcPr>
            <w:tcW w:w="120" w:type="dxa"/>
            <w:vAlign w:val="bottom"/>
          </w:tcPr>
          <w:p>
            <w:pPr>
              <w:spacing w:after="0"/>
              <w:rPr>
                <w:sz w:val="15"/>
                <w:szCs w:val="15"/>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98"/>
              </w:rPr>
              <w:t>(EBITDA)</w:t>
            </w:r>
          </w:p>
        </w:tc>
      </w:tr>
      <w:tr>
        <w:trPr>
          <w:trHeight w:val="241"/>
        </w:trPr>
        <w:tc>
          <w:tcPr>
            <w:tcW w:w="1620" w:type="dxa"/>
            <w:vAlign w:val="bottom"/>
          </w:tcPr>
          <w:p>
            <w:pPr>
              <w:spacing w:after="0"/>
              <w:rPr>
                <w:sz w:val="20"/>
                <w:szCs w:val="20"/>
                <w:color w:val="auto"/>
              </w:rPr>
            </w:pPr>
            <w:r>
              <w:rPr>
                <w:rFonts w:ascii="Arial" w:cs="Arial" w:eastAsia="Arial" w:hAnsi="Arial"/>
                <w:sz w:val="13"/>
                <w:szCs w:val="13"/>
                <w:color w:val="auto"/>
                <w:w w:val="95"/>
              </w:rPr>
              <w:t>TechnipFMC plc, as reported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105.7</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64.7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(50.9)</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225.7</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138.7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364.4</w:t>
            </w:r>
          </w:p>
        </w:tc>
      </w:tr>
      <w:tr>
        <w:trPr>
          <w:trHeight w:val="486"/>
        </w:trPr>
        <w:tc>
          <w:tcPr>
            <w:tcW w:w="1620" w:type="dxa"/>
            <w:vAlign w:val="bottom"/>
          </w:tcPr>
          <w:p>
            <w:pPr>
              <w:spacing w:after="0"/>
              <w:rPr>
                <w:sz w:val="20"/>
                <w:szCs w:val="20"/>
                <w:color w:val="auto"/>
              </w:rPr>
            </w:pPr>
            <w:r>
              <w:rPr>
                <w:rFonts w:ascii="Arial" w:cs="Arial" w:eastAsia="Arial" w:hAnsi="Arial"/>
                <w:sz w:val="13"/>
                <w:szCs w:val="13"/>
                <w:color w:val="auto"/>
              </w:rPr>
              <w:t>Charges and (credits):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4"/>
        </w:trPr>
        <w:tc>
          <w:tcPr>
            <w:tcW w:w="1620" w:type="dxa"/>
            <w:vAlign w:val="bottom"/>
          </w:tcPr>
          <w:p>
            <w:pPr>
              <w:ind w:left="240"/>
              <w:spacing w:after="0"/>
              <w:rPr>
                <w:sz w:val="20"/>
                <w:szCs w:val="20"/>
                <w:color w:val="auto"/>
              </w:rPr>
            </w:pPr>
            <w:r>
              <w:rPr>
                <w:rFonts w:ascii="Arial" w:cs="Arial" w:eastAsia="Arial" w:hAnsi="Arial"/>
                <w:sz w:val="13"/>
                <w:szCs w:val="13"/>
                <w:color w:val="auto"/>
              </w:rPr>
              <w:t>Impairment and other</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0"/>
        </w:trPr>
        <w:tc>
          <w:tcPr>
            <w:tcW w:w="1620" w:type="dxa"/>
            <w:vAlign w:val="bottom"/>
          </w:tcPr>
          <w:p>
            <w:pPr>
              <w:ind w:left="240"/>
              <w:spacing w:after="0"/>
              <w:rPr>
                <w:sz w:val="20"/>
                <w:szCs w:val="20"/>
                <w:color w:val="auto"/>
              </w:rPr>
            </w:pPr>
            <w:r>
              <w:rPr>
                <w:rFonts w:ascii="Arial" w:cs="Arial" w:eastAsia="Arial" w:hAnsi="Arial"/>
                <w:sz w:val="13"/>
                <w:szCs w:val="13"/>
                <w:color w:val="auto"/>
              </w:rPr>
              <w:t>charges</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9.5</w:t>
            </w:r>
          </w:p>
        </w:tc>
      </w:tr>
      <w:tr>
        <w:trPr>
          <w:trHeight w:val="164"/>
        </w:trPr>
        <w:tc>
          <w:tcPr>
            <w:tcW w:w="1620" w:type="dxa"/>
            <w:vAlign w:val="bottom"/>
          </w:tcPr>
          <w:p>
            <w:pPr>
              <w:ind w:left="240"/>
              <w:spacing w:after="0"/>
              <w:rPr>
                <w:sz w:val="20"/>
                <w:szCs w:val="20"/>
                <w:color w:val="auto"/>
              </w:rPr>
            </w:pPr>
            <w:r>
              <w:rPr>
                <w:rFonts w:ascii="Arial" w:cs="Arial" w:eastAsia="Arial" w:hAnsi="Arial"/>
                <w:sz w:val="13"/>
                <w:szCs w:val="13"/>
                <w:color w:val="auto"/>
              </w:rPr>
              <w:t>Restructuring and other</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0"/>
        </w:trPr>
        <w:tc>
          <w:tcPr>
            <w:tcW w:w="162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1.9</w:t>
            </w:r>
          </w:p>
        </w:tc>
      </w:tr>
      <w:tr>
        <w:trPr>
          <w:trHeight w:val="164"/>
        </w:trPr>
        <w:tc>
          <w:tcPr>
            <w:tcW w:w="1620" w:type="dxa"/>
            <w:vAlign w:val="bottom"/>
          </w:tcPr>
          <w:p>
            <w:pPr>
              <w:ind w:left="240"/>
              <w:spacing w:after="0"/>
              <w:rPr>
                <w:sz w:val="20"/>
                <w:szCs w:val="20"/>
                <w:color w:val="auto"/>
              </w:rPr>
            </w:pPr>
            <w:r>
              <w:rPr>
                <w:rFonts w:ascii="Arial" w:cs="Arial" w:eastAsia="Arial" w:hAnsi="Arial"/>
                <w:sz w:val="13"/>
                <w:szCs w:val="13"/>
                <w:color w:val="auto"/>
              </w:rPr>
              <w:t>Business combination</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35"/>
        </w:trPr>
        <w:tc>
          <w:tcPr>
            <w:tcW w:w="1620" w:type="dxa"/>
            <w:vAlign w:val="bottom"/>
          </w:tcPr>
          <w:p>
            <w:pPr>
              <w:ind w:left="240"/>
              <w:spacing w:after="0" w:line="135" w:lineRule="exact"/>
              <w:rPr>
                <w:sz w:val="20"/>
                <w:szCs w:val="20"/>
                <w:color w:val="auto"/>
              </w:rPr>
            </w:pPr>
            <w:r>
              <w:rPr>
                <w:rFonts w:ascii="Arial" w:cs="Arial" w:eastAsia="Arial" w:hAnsi="Arial"/>
                <w:sz w:val="13"/>
                <w:szCs w:val="13"/>
                <w:color w:val="auto"/>
                <w:w w:val="88"/>
              </w:rPr>
              <w:t>transaction and integration</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0"/>
        </w:trPr>
        <w:tc>
          <w:tcPr>
            <w:tcW w:w="1620" w:type="dxa"/>
            <w:vAlign w:val="bottom"/>
          </w:tcPr>
          <w:p>
            <w:pPr>
              <w:ind w:left="240"/>
              <w:spacing w:after="0"/>
              <w:rPr>
                <w:sz w:val="20"/>
                <w:szCs w:val="20"/>
                <w:color w:val="auto"/>
              </w:rPr>
            </w:pPr>
            <w:r>
              <w:rPr>
                <w:rFonts w:ascii="Arial" w:cs="Arial" w:eastAsia="Arial" w:hAnsi="Arial"/>
                <w:sz w:val="13"/>
                <w:szCs w:val="13"/>
                <w:color w:val="auto"/>
              </w:rPr>
              <w:t>costs</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9.0</w:t>
            </w:r>
          </w:p>
        </w:tc>
      </w:tr>
      <w:tr>
        <w:trPr>
          <w:trHeight w:val="164"/>
        </w:trPr>
        <w:tc>
          <w:tcPr>
            <w:tcW w:w="1620" w:type="dxa"/>
            <w:vAlign w:val="bottom"/>
          </w:tcPr>
          <w:p>
            <w:pPr>
              <w:ind w:left="240"/>
              <w:spacing w:after="0"/>
              <w:rPr>
                <w:sz w:val="20"/>
                <w:szCs w:val="20"/>
                <w:color w:val="auto"/>
              </w:rPr>
            </w:pPr>
            <w:r>
              <w:rPr>
                <w:rFonts w:ascii="Arial" w:cs="Arial" w:eastAsia="Arial" w:hAnsi="Arial"/>
                <w:sz w:val="13"/>
                <w:szCs w:val="13"/>
                <w:color w:val="auto"/>
                <w:w w:val="88"/>
              </w:rPr>
              <w:t>Purchase price accounting</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620" w:type="dxa"/>
            <w:vAlign w:val="bottom"/>
          </w:tcPr>
          <w:p>
            <w:pPr>
              <w:ind w:left="240"/>
              <w:spacing w:after="0"/>
              <w:rPr>
                <w:sz w:val="20"/>
                <w:szCs w:val="20"/>
                <w:color w:val="auto"/>
              </w:rPr>
            </w:pPr>
            <w:r>
              <w:rPr>
                <w:rFonts w:ascii="Arial" w:cs="Arial" w:eastAsia="Arial" w:hAnsi="Arial"/>
                <w:sz w:val="13"/>
                <w:szCs w:val="13"/>
                <w:color w:val="auto"/>
              </w:rPr>
              <w:t>adjustment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242"/>
        </w:trPr>
        <w:tc>
          <w:tcPr>
            <w:tcW w:w="1620" w:type="dxa"/>
            <w:vAlign w:val="bottom"/>
          </w:tcPr>
          <w:p>
            <w:pPr>
              <w:spacing w:after="0"/>
              <w:rPr>
                <w:sz w:val="20"/>
                <w:szCs w:val="20"/>
                <w:color w:val="auto"/>
              </w:rPr>
            </w:pPr>
            <w:r>
              <w:rPr>
                <w:rFonts w:ascii="Arial" w:cs="Arial" w:eastAsia="Arial" w:hAnsi="Arial"/>
                <w:sz w:val="13"/>
                <w:szCs w:val="13"/>
                <w:color w:val="auto"/>
                <w:w w:val="98"/>
              </w:rPr>
              <w:t>Adjusted financial measures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131.8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(50.9)</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260.8</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116.4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377.2</w:t>
            </w:r>
          </w:p>
        </w:tc>
      </w:tr>
      <w:tr>
        <w:trPr>
          <w:trHeight w:val="20"/>
        </w:trPr>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497205</wp:posOffset>
            </wp:positionV>
            <wp:extent cx="47853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85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640"/>
        <w:spacing w:after="0"/>
        <w:rPr>
          <w:sz w:val="20"/>
          <w:szCs w:val="20"/>
          <w:color w:val="auto"/>
        </w:rPr>
      </w:pPr>
      <w:r>
        <w:rPr>
          <w:rFonts w:ascii="Arial" w:cs="Arial" w:eastAsia="Arial" w:hAnsi="Arial"/>
          <w:sz w:val="13"/>
          <w:szCs w:val="13"/>
          <w:b w:val="1"/>
          <w:bCs w:val="1"/>
          <w:color w:val="auto"/>
        </w:rPr>
        <w:t>Three Months Ended</w:t>
      </w:r>
    </w:p>
    <w:p>
      <w:pPr>
        <w:spacing w:after="0" w:line="40" w:lineRule="exact"/>
        <w:rPr>
          <w:sz w:val="20"/>
          <w:szCs w:val="20"/>
          <w:color w:val="auto"/>
        </w:rPr>
      </w:pPr>
    </w:p>
    <w:p>
      <w:pPr>
        <w:jc w:val="center"/>
        <w:ind w:left="1640"/>
        <w:spacing w:after="0"/>
        <w:rPr>
          <w:sz w:val="20"/>
          <w:szCs w:val="20"/>
          <w:color w:val="auto"/>
        </w:rPr>
      </w:pPr>
      <w:r>
        <w:rPr>
          <w:rFonts w:ascii="Arial" w:cs="Arial" w:eastAsia="Arial" w:hAnsi="Arial"/>
          <w:sz w:val="13"/>
          <w:szCs w:val="13"/>
          <w:b w:val="1"/>
          <w:bCs w:val="1"/>
          <w:color w:val="auto"/>
        </w:rPr>
        <w:t>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71120</wp:posOffset>
            </wp:positionV>
            <wp:extent cx="47853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85360" cy="8890"/>
                    </a:xfrm>
                    <a:prstGeom prst="rect">
                      <a:avLst/>
                    </a:prstGeom>
                    <a:noFill/>
                  </pic:spPr>
                </pic:pic>
              </a:graphicData>
            </a:graphic>
          </wp:anchor>
        </w:drawing>
      </w:r>
    </w:p>
    <w:p>
      <w:pPr>
        <w:spacing w:after="0" w:line="100"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Earnings before</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net interest</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2"/>
              </w:rPr>
              <w:t>expense, income</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Net loss (income)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Income before net</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1"/>
              </w:rPr>
              <w:t>taxes,</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Net income</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1"/>
              </w:rPr>
              <w:t>interest expense</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Depreciation</w:t>
            </w: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depreciation and</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noncontrolling</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Provision for</w:t>
            </w: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Net interest</w:t>
            </w: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and income taxes</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8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0"/>
              </w:rPr>
              <w:t>amortization</w:t>
            </w:r>
          </w:p>
        </w:tc>
      </w:tr>
      <w:tr>
        <w:trPr>
          <w:trHeight w:val="174"/>
        </w:trPr>
        <w:tc>
          <w:tcPr>
            <w:tcW w:w="1560" w:type="dxa"/>
            <w:vAlign w:val="bottom"/>
          </w:tcPr>
          <w:p>
            <w:pPr>
              <w:spacing w:after="0"/>
              <w:rPr>
                <w:sz w:val="15"/>
                <w:szCs w:val="15"/>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TechnipFMC plc</w:t>
            </w:r>
          </w:p>
        </w:tc>
        <w:tc>
          <w:tcPr>
            <w:tcW w:w="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taxes</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0"/>
              </w:rPr>
              <w:t>expense</w:t>
            </w:r>
          </w:p>
        </w:tc>
        <w:tc>
          <w:tcPr>
            <w:tcW w:w="11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(Operating profit)</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amortization</w:t>
            </w:r>
          </w:p>
        </w:tc>
        <w:tc>
          <w:tcPr>
            <w:tcW w:w="10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Arial" w:cs="Arial" w:eastAsia="Arial" w:hAnsi="Arial"/>
                <w:sz w:val="13"/>
                <w:szCs w:val="13"/>
                <w:b w:val="1"/>
                <w:bCs w:val="1"/>
                <w:color w:val="auto"/>
              </w:rPr>
              <w:t>(EBITDA)</w:t>
            </w:r>
          </w:p>
        </w:tc>
      </w:tr>
      <w:tr>
        <w:trPr>
          <w:trHeight w:val="241"/>
        </w:trPr>
        <w:tc>
          <w:tcPr>
            <w:tcW w:w="1560" w:type="dxa"/>
            <w:vAlign w:val="bottom"/>
          </w:tcPr>
          <w:p>
            <w:pPr>
              <w:spacing w:after="0"/>
              <w:rPr>
                <w:sz w:val="20"/>
                <w:szCs w:val="20"/>
                <w:color w:val="auto"/>
              </w:rPr>
            </w:pPr>
            <w:r>
              <w:rPr>
                <w:rFonts w:ascii="Arial" w:cs="Arial" w:eastAsia="Arial" w:hAnsi="Arial"/>
                <w:sz w:val="13"/>
                <w:szCs w:val="13"/>
                <w:color w:val="auto"/>
                <w:w w:val="91"/>
              </w:rPr>
              <w:t>TechnipFMC plc, as reported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164.9</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86.2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(72.1)</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317.3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159.5</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476.8</w:t>
            </w:r>
          </w:p>
        </w:tc>
      </w:tr>
      <w:tr>
        <w:trPr>
          <w:trHeight w:val="486"/>
        </w:trPr>
        <w:tc>
          <w:tcPr>
            <w:tcW w:w="1560" w:type="dxa"/>
            <w:vAlign w:val="bottom"/>
          </w:tcPr>
          <w:p>
            <w:pPr>
              <w:spacing w:after="0"/>
              <w:rPr>
                <w:sz w:val="20"/>
                <w:szCs w:val="20"/>
                <w:color w:val="auto"/>
              </w:rPr>
            </w:pPr>
            <w:r>
              <w:rPr>
                <w:rFonts w:ascii="Arial" w:cs="Arial" w:eastAsia="Arial" w:hAnsi="Arial"/>
                <w:sz w:val="13"/>
                <w:szCs w:val="13"/>
                <w:color w:val="auto"/>
              </w:rPr>
              <w:t>Charges and (credits):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rPr>
              <w:t>Impairment and other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0"/>
        </w:trPr>
        <w:tc>
          <w:tcPr>
            <w:tcW w:w="1560" w:type="dxa"/>
            <w:vAlign w:val="bottom"/>
          </w:tcPr>
          <w:p>
            <w:pPr>
              <w:ind w:left="240"/>
              <w:spacing w:after="0"/>
              <w:rPr>
                <w:sz w:val="20"/>
                <w:szCs w:val="20"/>
                <w:color w:val="auto"/>
              </w:rPr>
            </w:pPr>
            <w:r>
              <w:rPr>
                <w:rFonts w:ascii="Arial" w:cs="Arial" w:eastAsia="Arial" w:hAnsi="Arial"/>
                <w:sz w:val="13"/>
                <w:szCs w:val="13"/>
                <w:color w:val="auto"/>
              </w:rPr>
              <w:t>charges</w:t>
            </w:r>
          </w:p>
        </w:tc>
        <w:tc>
          <w:tcPr>
            <w:tcW w:w="100" w:type="dxa"/>
            <w:vAlign w:val="bottom"/>
          </w:tcPr>
          <w:p>
            <w:pPr>
              <w:spacing w:after="0"/>
              <w:rPr>
                <w:sz w:val="13"/>
                <w:szCs w:val="1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0.4</w:t>
            </w: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w w:val="95"/>
              </w:rPr>
              <w:t>Restructuring and other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0"/>
        </w:trPr>
        <w:tc>
          <w:tcPr>
            <w:tcW w:w="156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(12.7)</w:t>
            </w: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rPr>
              <w:t>Business combination</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5"/>
        </w:trPr>
        <w:tc>
          <w:tcPr>
            <w:tcW w:w="1560" w:type="dxa"/>
            <w:vAlign w:val="bottom"/>
          </w:tcPr>
          <w:p>
            <w:pPr>
              <w:ind w:left="240"/>
              <w:spacing w:after="0" w:line="135" w:lineRule="exact"/>
              <w:rPr>
                <w:sz w:val="20"/>
                <w:szCs w:val="20"/>
                <w:color w:val="auto"/>
              </w:rPr>
            </w:pPr>
            <w:r>
              <w:rPr>
                <w:rFonts w:ascii="Arial" w:cs="Arial" w:eastAsia="Arial" w:hAnsi="Arial"/>
                <w:sz w:val="13"/>
                <w:szCs w:val="13"/>
                <w:color w:val="auto"/>
              </w:rPr>
              <w:t>transaction and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0"/>
        </w:trPr>
        <w:tc>
          <w:tcPr>
            <w:tcW w:w="1560" w:type="dxa"/>
            <w:vAlign w:val="bottom"/>
          </w:tcPr>
          <w:p>
            <w:pPr>
              <w:ind w:left="24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3"/>
                <w:szCs w:val="1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15.2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23.3</w:t>
            </w: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rPr>
              <w:t>Change in accounting</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0"/>
        </w:trPr>
        <w:tc>
          <w:tcPr>
            <w:tcW w:w="1560" w:type="dxa"/>
            <w:vAlign w:val="bottom"/>
          </w:tcPr>
          <w:p>
            <w:pPr>
              <w:ind w:left="240"/>
              <w:spacing w:after="0"/>
              <w:rPr>
                <w:sz w:val="20"/>
                <w:szCs w:val="20"/>
                <w:color w:val="auto"/>
              </w:rPr>
            </w:pPr>
            <w:r>
              <w:rPr>
                <w:rFonts w:ascii="Arial" w:cs="Arial" w:eastAsia="Arial" w:hAnsi="Arial"/>
                <w:sz w:val="13"/>
                <w:szCs w:val="13"/>
                <w:color w:val="auto"/>
              </w:rPr>
              <w:t>estimate</w:t>
            </w:r>
          </w:p>
        </w:tc>
        <w:tc>
          <w:tcPr>
            <w:tcW w:w="100" w:type="dxa"/>
            <w:vAlign w:val="bottom"/>
          </w:tcPr>
          <w:p>
            <w:pPr>
              <w:spacing w:after="0"/>
              <w:rPr>
                <w:sz w:val="13"/>
                <w:szCs w:val="1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16.0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21.9</w:t>
            </w: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rPr>
              <w:t>Purchase price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1560" w:type="dxa"/>
            <w:vAlign w:val="bottom"/>
          </w:tcPr>
          <w:p>
            <w:pPr>
              <w:ind w:left="240"/>
              <w:spacing w:after="0"/>
              <w:rPr>
                <w:sz w:val="20"/>
                <w:szCs w:val="20"/>
                <w:color w:val="auto"/>
              </w:rPr>
            </w:pPr>
            <w:r>
              <w:rPr>
                <w:rFonts w:ascii="Arial" w:cs="Arial" w:eastAsia="Arial" w:hAnsi="Arial"/>
                <w:sz w:val="13"/>
                <w:szCs w:val="13"/>
                <w:color w:val="auto"/>
                <w:w w:val="99"/>
              </w:rPr>
              <w:t>accounting adjustment</w:t>
            </w:r>
          </w:p>
        </w:tc>
        <w:tc>
          <w:tcPr>
            <w:tcW w:w="10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23.4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242"/>
        </w:trPr>
        <w:tc>
          <w:tcPr>
            <w:tcW w:w="1560" w:type="dxa"/>
            <w:vAlign w:val="bottom"/>
          </w:tcPr>
          <w:p>
            <w:pPr>
              <w:spacing w:after="0"/>
              <w:rPr>
                <w:sz w:val="20"/>
                <w:szCs w:val="20"/>
                <w:color w:val="auto"/>
              </w:rPr>
            </w:pPr>
            <w:r>
              <w:rPr>
                <w:rFonts w:ascii="Arial" w:cs="Arial" w:eastAsia="Arial" w:hAnsi="Arial"/>
                <w:sz w:val="13"/>
                <w:szCs w:val="13"/>
                <w:color w:val="auto"/>
                <w:w w:val="94"/>
              </w:rPr>
              <w:t>Adjusted financial measures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211.9</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104.1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(72.1)</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382.2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119.1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501.3</w:t>
            </w:r>
          </w:p>
        </w:tc>
      </w:tr>
      <w:tr>
        <w:trPr>
          <w:trHeight w:val="20"/>
        </w:trPr>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526" w:right="259" w:bottom="1440" w:gutter="0" w:footer="0" w:header="0"/>
        </w:sectPr>
      </w:pPr>
    </w:p>
    <w:bookmarkStart w:id="24" w:name="page25"/>
    <w:bookmarkEnd w:id="24"/>
    <w:p>
      <w:pPr>
        <w:jc w:val="center"/>
        <w:ind w:left="260" w:right="274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Charges and Credits</w:t>
      </w:r>
    </w:p>
    <w:p>
      <w:pPr>
        <w:spacing w:after="0" w:line="17"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In addition to financial results determined in accordance with U.S. generally accepted accounting principles (GAAP), the second quarter 2018 Earnings Release also includes non-GAAP financial measures (as defined in Item 10 of Regulation S-K of the Securities Exchange Act of 1934, as amended) and describes performance on a year-over-year basis against 2017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213360</wp:posOffset>
            </wp:positionV>
            <wp:extent cx="4725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left="1740"/>
        <w:spacing w:after="0"/>
        <w:rPr>
          <w:sz w:val="20"/>
          <w:szCs w:val="20"/>
          <w:color w:val="auto"/>
        </w:rPr>
      </w:pPr>
      <w:r>
        <w:rPr>
          <w:rFonts w:ascii="Arial" w:cs="Arial" w:eastAsia="Arial" w:hAnsi="Arial"/>
          <w:sz w:val="13"/>
          <w:szCs w:val="13"/>
          <w:b w:val="1"/>
          <w:bCs w:val="1"/>
          <w:color w:val="auto"/>
        </w:rPr>
        <w:t>Six Months Ended</w:t>
      </w:r>
    </w:p>
    <w:p>
      <w:pPr>
        <w:spacing w:after="0" w:line="40" w:lineRule="exact"/>
        <w:rPr>
          <w:sz w:val="20"/>
          <w:szCs w:val="20"/>
          <w:color w:val="auto"/>
        </w:rPr>
      </w:pPr>
    </w:p>
    <w:p>
      <w:pPr>
        <w:jc w:val="center"/>
        <w:ind w:left="1740"/>
        <w:spacing w:after="0"/>
        <w:rPr>
          <w:sz w:val="20"/>
          <w:szCs w:val="20"/>
          <w:color w:val="auto"/>
        </w:rPr>
      </w:pPr>
      <w:r>
        <w:rPr>
          <w:rFonts w:ascii="Arial" w:cs="Arial" w:eastAsia="Arial" w:hAnsi="Arial"/>
          <w:sz w:val="13"/>
          <w:szCs w:val="13"/>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71120</wp:posOffset>
            </wp:positionV>
            <wp:extent cx="47250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00"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Earnings before</w:t>
            </w:r>
          </w:p>
        </w:tc>
      </w:tr>
      <w:tr>
        <w:trPr>
          <w:trHeight w:val="135"/>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net interest</w:t>
            </w:r>
          </w:p>
        </w:tc>
      </w:tr>
      <w:tr>
        <w:trPr>
          <w:trHeight w:val="135"/>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Income before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78"/>
              </w:rPr>
              <w:t>expense,</w:t>
            </w:r>
          </w:p>
        </w:tc>
      </w:tr>
      <w:tr>
        <w:trPr>
          <w:trHeight w:val="135"/>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3"/>
              </w:rPr>
              <w:t>income taxes,</w:t>
            </w:r>
          </w:p>
        </w:tc>
      </w:tr>
      <w:tr>
        <w:trPr>
          <w:trHeight w:val="135"/>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Net income</w:t>
            </w:r>
          </w:p>
        </w:tc>
        <w:tc>
          <w:tcPr>
            <w:tcW w:w="8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Net loss (income)</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expense and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depreciation</w:t>
            </w:r>
          </w:p>
        </w:tc>
      </w:tr>
      <w:tr>
        <w:trPr>
          <w:trHeight w:val="135"/>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income taxes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and</w:t>
            </w:r>
          </w:p>
        </w:tc>
      </w:tr>
      <w:tr>
        <w:trPr>
          <w:trHeight w:val="135"/>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TechnipFMC</w:t>
            </w:r>
          </w:p>
        </w:tc>
        <w:tc>
          <w:tcPr>
            <w:tcW w:w="8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noncontrolling</w:t>
            </w:r>
          </w:p>
        </w:tc>
        <w:tc>
          <w:tcPr>
            <w:tcW w:w="8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Provision for</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Net interest</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(Operating</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amortization</w:t>
            </w:r>
          </w:p>
        </w:tc>
      </w:tr>
      <w:tr>
        <w:trPr>
          <w:trHeight w:val="174"/>
        </w:trPr>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plc</w:t>
            </w:r>
          </w:p>
        </w:tc>
        <w:tc>
          <w:tcPr>
            <w:tcW w:w="8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interests</w:t>
            </w:r>
          </w:p>
        </w:tc>
        <w:tc>
          <w:tcPr>
            <w:tcW w:w="8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taxes</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expense</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profit)</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5"/>
                <w:szCs w:val="15"/>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(EBITDA)</w:t>
            </w:r>
          </w:p>
        </w:tc>
      </w:tr>
      <w:tr>
        <w:trPr>
          <w:trHeight w:val="241"/>
        </w:trPr>
        <w:tc>
          <w:tcPr>
            <w:tcW w:w="1660" w:type="dxa"/>
            <w:vAlign w:val="bottom"/>
          </w:tcPr>
          <w:p>
            <w:pPr>
              <w:spacing w:after="0"/>
              <w:rPr>
                <w:sz w:val="20"/>
                <w:szCs w:val="20"/>
                <w:color w:val="auto"/>
              </w:rPr>
            </w:pPr>
            <w:r>
              <w:rPr>
                <w:rFonts w:ascii="Arial" w:cs="Arial" w:eastAsia="Arial" w:hAnsi="Arial"/>
                <w:sz w:val="13"/>
                <w:szCs w:val="13"/>
                <w:color w:val="auto"/>
                <w:w w:val="97"/>
              </w:rPr>
              <w:t>TechnipFMC plc, as reported</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200.8</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114.0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(138.3)</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453.8</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270.5</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724.3</w:t>
            </w:r>
          </w:p>
        </w:tc>
      </w:tr>
      <w:tr>
        <w:trPr>
          <w:trHeight w:val="486"/>
        </w:trPr>
        <w:tc>
          <w:tcPr>
            <w:tcW w:w="1660" w:type="dxa"/>
            <w:vAlign w:val="bottom"/>
          </w:tcPr>
          <w:p>
            <w:pPr>
              <w:spacing w:after="0"/>
              <w:rPr>
                <w:sz w:val="20"/>
                <w:szCs w:val="20"/>
                <w:color w:val="auto"/>
              </w:rPr>
            </w:pPr>
            <w:r>
              <w:rPr>
                <w:rFonts w:ascii="Arial" w:cs="Arial" w:eastAsia="Arial" w:hAnsi="Arial"/>
                <w:sz w:val="13"/>
                <w:szCs w:val="13"/>
                <w:color w:val="auto"/>
              </w:rPr>
              <w:t>Charges and (credits):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1660" w:type="dxa"/>
            <w:vAlign w:val="bottom"/>
          </w:tcPr>
          <w:p>
            <w:pPr>
              <w:ind w:left="240"/>
              <w:spacing w:after="0"/>
              <w:rPr>
                <w:sz w:val="20"/>
                <w:szCs w:val="20"/>
                <w:color w:val="auto"/>
              </w:rPr>
            </w:pPr>
            <w:r>
              <w:rPr>
                <w:rFonts w:ascii="Arial" w:cs="Arial" w:eastAsia="Arial" w:hAnsi="Arial"/>
                <w:sz w:val="13"/>
                <w:szCs w:val="13"/>
                <w:color w:val="auto"/>
              </w:rPr>
              <w:t>Impairment and other</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1660" w:type="dxa"/>
            <w:vAlign w:val="bottom"/>
          </w:tcPr>
          <w:p>
            <w:pPr>
              <w:ind w:left="240"/>
              <w:spacing w:after="0"/>
              <w:rPr>
                <w:sz w:val="20"/>
                <w:szCs w:val="20"/>
                <w:color w:val="auto"/>
              </w:rPr>
            </w:pPr>
            <w:r>
              <w:rPr>
                <w:rFonts w:ascii="Arial" w:cs="Arial" w:eastAsia="Arial" w:hAnsi="Arial"/>
                <w:sz w:val="13"/>
                <w:szCs w:val="13"/>
                <w:color w:val="auto"/>
              </w:rPr>
              <w:t>charges</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12.5</w:t>
            </w:r>
          </w:p>
        </w:tc>
      </w:tr>
      <w:tr>
        <w:trPr>
          <w:trHeight w:val="164"/>
        </w:trPr>
        <w:tc>
          <w:tcPr>
            <w:tcW w:w="1660" w:type="dxa"/>
            <w:vAlign w:val="bottom"/>
          </w:tcPr>
          <w:p>
            <w:pPr>
              <w:ind w:left="240"/>
              <w:spacing w:after="0"/>
              <w:rPr>
                <w:sz w:val="20"/>
                <w:szCs w:val="20"/>
                <w:color w:val="auto"/>
              </w:rPr>
            </w:pPr>
            <w:r>
              <w:rPr>
                <w:rFonts w:ascii="Arial" w:cs="Arial" w:eastAsia="Arial" w:hAnsi="Arial"/>
                <w:sz w:val="13"/>
                <w:szCs w:val="13"/>
                <w:color w:val="auto"/>
              </w:rPr>
              <w:t>Restructuring and other</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166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10.4</w:t>
            </w:r>
          </w:p>
        </w:tc>
      </w:tr>
      <w:tr>
        <w:trPr>
          <w:trHeight w:val="164"/>
        </w:trPr>
        <w:tc>
          <w:tcPr>
            <w:tcW w:w="1660" w:type="dxa"/>
            <w:vAlign w:val="bottom"/>
          </w:tcPr>
          <w:p>
            <w:pPr>
              <w:ind w:left="240"/>
              <w:spacing w:after="0"/>
              <w:rPr>
                <w:sz w:val="20"/>
                <w:szCs w:val="20"/>
                <w:color w:val="auto"/>
              </w:rPr>
            </w:pPr>
            <w:r>
              <w:rPr>
                <w:rFonts w:ascii="Arial" w:cs="Arial" w:eastAsia="Arial" w:hAnsi="Arial"/>
                <w:sz w:val="13"/>
                <w:szCs w:val="13"/>
                <w:color w:val="auto"/>
              </w:rPr>
              <w:t>Business combination</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35"/>
        </w:trPr>
        <w:tc>
          <w:tcPr>
            <w:tcW w:w="1660" w:type="dxa"/>
            <w:vAlign w:val="bottom"/>
          </w:tcPr>
          <w:p>
            <w:pPr>
              <w:ind w:left="240"/>
              <w:spacing w:after="0" w:line="135" w:lineRule="exact"/>
              <w:rPr>
                <w:sz w:val="20"/>
                <w:szCs w:val="20"/>
                <w:color w:val="auto"/>
              </w:rPr>
            </w:pPr>
            <w:r>
              <w:rPr>
                <w:rFonts w:ascii="Arial" w:cs="Arial" w:eastAsia="Arial" w:hAnsi="Arial"/>
                <w:sz w:val="13"/>
                <w:szCs w:val="13"/>
                <w:color w:val="auto"/>
                <w:w w:val="91"/>
              </w:rPr>
              <w:t>transaction and integration</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0"/>
        </w:trPr>
        <w:tc>
          <w:tcPr>
            <w:tcW w:w="1660" w:type="dxa"/>
            <w:vAlign w:val="bottom"/>
          </w:tcPr>
          <w:p>
            <w:pPr>
              <w:ind w:left="240"/>
              <w:spacing w:after="0"/>
              <w:rPr>
                <w:sz w:val="20"/>
                <w:szCs w:val="20"/>
                <w:color w:val="auto"/>
              </w:rPr>
            </w:pPr>
            <w:r>
              <w:rPr>
                <w:rFonts w:ascii="Arial" w:cs="Arial" w:eastAsia="Arial" w:hAnsi="Arial"/>
                <w:sz w:val="13"/>
                <w:szCs w:val="13"/>
                <w:color w:val="auto"/>
              </w:rPr>
              <w:t>costs</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14.6</w:t>
            </w:r>
          </w:p>
        </w:tc>
      </w:tr>
      <w:tr>
        <w:trPr>
          <w:trHeight w:val="164"/>
        </w:trPr>
        <w:tc>
          <w:tcPr>
            <w:tcW w:w="1660" w:type="dxa"/>
            <w:vAlign w:val="bottom"/>
          </w:tcPr>
          <w:p>
            <w:pPr>
              <w:ind w:left="240"/>
              <w:spacing w:after="0"/>
              <w:rPr>
                <w:sz w:val="20"/>
                <w:szCs w:val="20"/>
                <w:color w:val="auto"/>
              </w:rPr>
            </w:pPr>
            <w:r>
              <w:rPr>
                <w:rFonts w:ascii="Arial" w:cs="Arial" w:eastAsia="Arial" w:hAnsi="Arial"/>
                <w:sz w:val="13"/>
                <w:szCs w:val="13"/>
                <w:color w:val="auto"/>
                <w:w w:val="91"/>
              </w:rPr>
              <w:t>Purchase price accounting</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1660" w:type="dxa"/>
            <w:vAlign w:val="bottom"/>
          </w:tcPr>
          <w:p>
            <w:pPr>
              <w:ind w:left="240"/>
              <w:spacing w:after="0"/>
              <w:rPr>
                <w:sz w:val="20"/>
                <w:szCs w:val="20"/>
                <w:color w:val="auto"/>
              </w:rPr>
            </w:pPr>
            <w:r>
              <w:rPr>
                <w:rFonts w:ascii="Arial" w:cs="Arial" w:eastAsia="Arial" w:hAnsi="Arial"/>
                <w:sz w:val="13"/>
                <w:szCs w:val="13"/>
                <w:color w:val="auto"/>
              </w:rPr>
              <w:t>adjustment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242"/>
        </w:trPr>
        <w:tc>
          <w:tcPr>
            <w:tcW w:w="1660" w:type="dxa"/>
            <w:vAlign w:val="bottom"/>
          </w:tcPr>
          <w:p>
            <w:pPr>
              <w:spacing w:after="0"/>
              <w:rPr>
                <w:sz w:val="20"/>
                <w:szCs w:val="20"/>
                <w:color w:val="auto"/>
              </w:rPr>
            </w:pPr>
            <w:r>
              <w:rPr>
                <w:rFonts w:ascii="Arial" w:cs="Arial" w:eastAsia="Arial" w:hAnsi="Arial"/>
                <w:sz w:val="13"/>
                <w:szCs w:val="13"/>
                <w:color w:val="auto"/>
              </w:rPr>
              <w:t>Adjusted financial measures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263.3</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135.0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(138.3)</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537.3</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226.5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763.8</w:t>
            </w:r>
          </w:p>
        </w:tc>
      </w:tr>
      <w:tr>
        <w:trPr>
          <w:trHeight w:val="20"/>
        </w:trPr>
        <w:tc>
          <w:tcPr>
            <w:tcW w:w="1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497205</wp:posOffset>
            </wp:positionV>
            <wp:extent cx="47853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85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640"/>
        <w:spacing w:after="0"/>
        <w:rPr>
          <w:sz w:val="20"/>
          <w:szCs w:val="20"/>
          <w:color w:val="auto"/>
        </w:rPr>
      </w:pPr>
      <w:r>
        <w:rPr>
          <w:rFonts w:ascii="Arial" w:cs="Arial" w:eastAsia="Arial" w:hAnsi="Arial"/>
          <w:sz w:val="13"/>
          <w:szCs w:val="13"/>
          <w:b w:val="1"/>
          <w:bCs w:val="1"/>
          <w:color w:val="auto"/>
        </w:rPr>
        <w:t>Six Months Ended</w:t>
      </w:r>
    </w:p>
    <w:p>
      <w:pPr>
        <w:spacing w:after="0" w:line="40" w:lineRule="exact"/>
        <w:rPr>
          <w:sz w:val="20"/>
          <w:szCs w:val="20"/>
          <w:color w:val="auto"/>
        </w:rPr>
      </w:pPr>
    </w:p>
    <w:p>
      <w:pPr>
        <w:jc w:val="center"/>
        <w:ind w:left="1640"/>
        <w:spacing w:after="0"/>
        <w:rPr>
          <w:sz w:val="20"/>
          <w:szCs w:val="20"/>
          <w:color w:val="auto"/>
        </w:rPr>
      </w:pPr>
      <w:r>
        <w:rPr>
          <w:rFonts w:ascii="Arial" w:cs="Arial" w:eastAsia="Arial" w:hAnsi="Arial"/>
          <w:sz w:val="13"/>
          <w:szCs w:val="13"/>
          <w:b w:val="1"/>
          <w:bCs w:val="1"/>
          <w:color w:val="auto"/>
        </w:rPr>
        <w:t>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71120</wp:posOffset>
            </wp:positionV>
            <wp:extent cx="47853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85360" cy="8890"/>
                    </a:xfrm>
                    <a:prstGeom prst="rect">
                      <a:avLst/>
                    </a:prstGeom>
                    <a:noFill/>
                  </pic:spPr>
                </pic:pic>
              </a:graphicData>
            </a:graphic>
          </wp:anchor>
        </w:drawing>
      </w:r>
    </w:p>
    <w:p>
      <w:pPr>
        <w:spacing w:after="0" w:line="100"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Earnings before</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net interest</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2"/>
              </w:rPr>
              <w:t>expense, income</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Net loss (income)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Income before net</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1"/>
              </w:rPr>
              <w:t>taxes,</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Net income</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1"/>
              </w:rPr>
              <w:t>interest expense</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Depreciation</w:t>
            </w: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depreciation and</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noncontrolling</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Provision for</w:t>
            </w: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Net interest</w:t>
            </w: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and income taxes</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8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0"/>
              </w:rPr>
              <w:t>amortization</w:t>
            </w:r>
          </w:p>
        </w:tc>
      </w:tr>
      <w:tr>
        <w:trPr>
          <w:trHeight w:val="174"/>
        </w:trPr>
        <w:tc>
          <w:tcPr>
            <w:tcW w:w="1560" w:type="dxa"/>
            <w:vAlign w:val="bottom"/>
          </w:tcPr>
          <w:p>
            <w:pPr>
              <w:spacing w:after="0"/>
              <w:rPr>
                <w:sz w:val="15"/>
                <w:szCs w:val="15"/>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TechnipFMC plc</w:t>
            </w:r>
          </w:p>
        </w:tc>
        <w:tc>
          <w:tcPr>
            <w:tcW w:w="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taxes</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0"/>
              </w:rPr>
              <w:t>expense</w:t>
            </w:r>
          </w:p>
        </w:tc>
        <w:tc>
          <w:tcPr>
            <w:tcW w:w="11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(Operating profit)</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amortization</w:t>
            </w:r>
          </w:p>
        </w:tc>
        <w:tc>
          <w:tcPr>
            <w:tcW w:w="10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Arial" w:cs="Arial" w:eastAsia="Arial" w:hAnsi="Arial"/>
                <w:sz w:val="13"/>
                <w:szCs w:val="13"/>
                <w:b w:val="1"/>
                <w:bCs w:val="1"/>
                <w:color w:val="auto"/>
              </w:rPr>
              <w:t>(EBITDA)</w:t>
            </w:r>
          </w:p>
        </w:tc>
      </w:tr>
      <w:tr>
        <w:trPr>
          <w:trHeight w:val="241"/>
        </w:trPr>
        <w:tc>
          <w:tcPr>
            <w:tcW w:w="1560" w:type="dxa"/>
            <w:vAlign w:val="bottom"/>
          </w:tcPr>
          <w:p>
            <w:pPr>
              <w:spacing w:after="0"/>
              <w:rPr>
                <w:sz w:val="20"/>
                <w:szCs w:val="20"/>
                <w:color w:val="auto"/>
              </w:rPr>
            </w:pPr>
            <w:r>
              <w:rPr>
                <w:rFonts w:ascii="Arial" w:cs="Arial" w:eastAsia="Arial" w:hAnsi="Arial"/>
                <w:sz w:val="13"/>
                <w:szCs w:val="13"/>
                <w:color w:val="auto"/>
                <w:w w:val="91"/>
              </w:rPr>
              <w:t>TechnipFMC plc, as reported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146.2</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138.0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(154.2)</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436.0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310.7</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746.7</w:t>
            </w:r>
          </w:p>
        </w:tc>
      </w:tr>
      <w:tr>
        <w:trPr>
          <w:trHeight w:val="486"/>
        </w:trPr>
        <w:tc>
          <w:tcPr>
            <w:tcW w:w="1560" w:type="dxa"/>
            <w:vAlign w:val="bottom"/>
          </w:tcPr>
          <w:p>
            <w:pPr>
              <w:spacing w:after="0"/>
              <w:rPr>
                <w:sz w:val="20"/>
                <w:szCs w:val="20"/>
                <w:color w:val="auto"/>
              </w:rPr>
            </w:pPr>
            <w:r>
              <w:rPr>
                <w:rFonts w:ascii="Arial" w:cs="Arial" w:eastAsia="Arial" w:hAnsi="Arial"/>
                <w:sz w:val="13"/>
                <w:szCs w:val="13"/>
                <w:color w:val="auto"/>
              </w:rPr>
              <w:t>Charges and (credits):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rPr>
              <w:t>Impairment and other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0"/>
        </w:trPr>
        <w:tc>
          <w:tcPr>
            <w:tcW w:w="1560" w:type="dxa"/>
            <w:vAlign w:val="bottom"/>
          </w:tcPr>
          <w:p>
            <w:pPr>
              <w:ind w:left="240"/>
              <w:spacing w:after="0"/>
              <w:rPr>
                <w:sz w:val="20"/>
                <w:szCs w:val="20"/>
                <w:color w:val="auto"/>
              </w:rPr>
            </w:pPr>
            <w:r>
              <w:rPr>
                <w:rFonts w:ascii="Arial" w:cs="Arial" w:eastAsia="Arial" w:hAnsi="Arial"/>
                <w:sz w:val="13"/>
                <w:szCs w:val="13"/>
                <w:color w:val="auto"/>
              </w:rPr>
              <w:t>charges</w:t>
            </w:r>
          </w:p>
        </w:tc>
        <w:tc>
          <w:tcPr>
            <w:tcW w:w="100" w:type="dxa"/>
            <w:vAlign w:val="bottom"/>
          </w:tcPr>
          <w:p>
            <w:pPr>
              <w:spacing w:after="0"/>
              <w:rPr>
                <w:sz w:val="13"/>
                <w:szCs w:val="1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0.8</w:t>
            </w: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w w:val="95"/>
              </w:rPr>
              <w:t>Restructuring and other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0"/>
        </w:trPr>
        <w:tc>
          <w:tcPr>
            <w:tcW w:w="156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rPr>
              <w:t>Business combination</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5"/>
        </w:trPr>
        <w:tc>
          <w:tcPr>
            <w:tcW w:w="1560" w:type="dxa"/>
            <w:vAlign w:val="bottom"/>
          </w:tcPr>
          <w:p>
            <w:pPr>
              <w:ind w:left="240"/>
              <w:spacing w:after="0" w:line="135" w:lineRule="exact"/>
              <w:rPr>
                <w:sz w:val="20"/>
                <w:szCs w:val="20"/>
                <w:color w:val="auto"/>
              </w:rPr>
            </w:pPr>
            <w:r>
              <w:rPr>
                <w:rFonts w:ascii="Arial" w:cs="Arial" w:eastAsia="Arial" w:hAnsi="Arial"/>
                <w:sz w:val="13"/>
                <w:szCs w:val="13"/>
                <w:color w:val="auto"/>
              </w:rPr>
              <w:t>transaction and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0"/>
        </w:trPr>
        <w:tc>
          <w:tcPr>
            <w:tcW w:w="1560" w:type="dxa"/>
            <w:vAlign w:val="bottom"/>
          </w:tcPr>
          <w:p>
            <w:pPr>
              <w:ind w:left="24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3"/>
                <w:szCs w:val="1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54.0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78.0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78.0</w:t>
            </w: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rPr>
              <w:t>Change in accounting</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0"/>
        </w:trPr>
        <w:tc>
          <w:tcPr>
            <w:tcW w:w="1560" w:type="dxa"/>
            <w:vAlign w:val="bottom"/>
          </w:tcPr>
          <w:p>
            <w:pPr>
              <w:ind w:left="240"/>
              <w:spacing w:after="0"/>
              <w:rPr>
                <w:sz w:val="20"/>
                <w:szCs w:val="20"/>
                <w:color w:val="auto"/>
              </w:rPr>
            </w:pPr>
            <w:r>
              <w:rPr>
                <w:rFonts w:ascii="Arial" w:cs="Arial" w:eastAsia="Arial" w:hAnsi="Arial"/>
                <w:sz w:val="13"/>
                <w:szCs w:val="13"/>
                <w:color w:val="auto"/>
              </w:rPr>
              <w:t>estimate</w:t>
            </w:r>
          </w:p>
        </w:tc>
        <w:tc>
          <w:tcPr>
            <w:tcW w:w="100" w:type="dxa"/>
            <w:vAlign w:val="bottom"/>
          </w:tcPr>
          <w:p>
            <w:pPr>
              <w:spacing w:after="0"/>
              <w:rPr>
                <w:sz w:val="13"/>
                <w:szCs w:val="1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16.0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21.9</w:t>
            </w: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rPr>
              <w:t>Purchase price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1560" w:type="dxa"/>
            <w:vAlign w:val="bottom"/>
          </w:tcPr>
          <w:p>
            <w:pPr>
              <w:ind w:left="240"/>
              <w:spacing w:after="0"/>
              <w:rPr>
                <w:sz w:val="20"/>
                <w:szCs w:val="20"/>
                <w:color w:val="auto"/>
              </w:rPr>
            </w:pPr>
            <w:r>
              <w:rPr>
                <w:rFonts w:ascii="Arial" w:cs="Arial" w:eastAsia="Arial" w:hAnsi="Arial"/>
                <w:sz w:val="13"/>
                <w:szCs w:val="13"/>
                <w:color w:val="auto"/>
                <w:w w:val="99"/>
              </w:rPr>
              <w:t>accounting adjustment</w:t>
            </w:r>
          </w:p>
        </w:tc>
        <w:tc>
          <w:tcPr>
            <w:tcW w:w="10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117.9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161.1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77.8</w:t>
            </w:r>
          </w:p>
        </w:tc>
      </w:tr>
      <w:tr>
        <w:trPr>
          <w:trHeight w:val="242"/>
        </w:trPr>
        <w:tc>
          <w:tcPr>
            <w:tcW w:w="1560" w:type="dxa"/>
            <w:vAlign w:val="bottom"/>
          </w:tcPr>
          <w:p>
            <w:pPr>
              <w:spacing w:after="0"/>
              <w:rPr>
                <w:sz w:val="20"/>
                <w:szCs w:val="20"/>
                <w:color w:val="auto"/>
              </w:rPr>
            </w:pPr>
            <w:r>
              <w:rPr>
                <w:rFonts w:ascii="Arial" w:cs="Arial" w:eastAsia="Arial" w:hAnsi="Arial"/>
                <w:sz w:val="13"/>
                <w:szCs w:val="13"/>
                <w:color w:val="auto"/>
                <w:w w:val="94"/>
              </w:rPr>
              <w:t>Adjusted financial measures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333.3</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209.6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(153.9)</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694.4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227.4</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921.8</w:t>
            </w:r>
          </w:p>
        </w:tc>
      </w:tr>
      <w:tr>
        <w:trPr>
          <w:trHeight w:val="20"/>
        </w:trPr>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526" w:right="259" w:bottom="1440" w:gutter="0" w:footer="0" w:header="0"/>
        </w:sectPr>
      </w:pPr>
    </w:p>
    <w:bookmarkStart w:id="25" w:name="page26"/>
    <w:bookmarkEnd w:id="25"/>
    <w:p>
      <w:pPr>
        <w:jc w:val="center"/>
        <w:ind w:left="340" w:right="26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except per share amounts)</w:t>
      </w:r>
    </w:p>
    <w:p>
      <w:pPr>
        <w:spacing w:after="0" w:line="338" w:lineRule="exact"/>
        <w:rPr>
          <w:sz w:val="20"/>
          <w:szCs w:val="20"/>
          <w:color w:val="auto"/>
        </w:rPr>
      </w:pPr>
    </w:p>
    <w:tbl>
      <w:tblPr>
        <w:tblLayout w:type="fixed"/>
        <w:tblInd w:w="1152"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gridSpan w:val="5"/>
          </w:tcPr>
          <w:p>
            <w:pPr>
              <w:ind w:left="360"/>
              <w:spacing w:after="0"/>
              <w:rPr>
                <w:sz w:val="20"/>
                <w:szCs w:val="20"/>
                <w:color w:val="auto"/>
              </w:rPr>
            </w:pPr>
            <w:r>
              <w:rPr>
                <w:rFonts w:ascii="Arial" w:cs="Arial" w:eastAsia="Arial" w:hAnsi="Arial"/>
                <w:sz w:val="18"/>
                <w:szCs w:val="18"/>
                <w:b w:val="1"/>
                <w:bCs w:val="1"/>
                <w:color w:val="auto"/>
              </w:rPr>
              <w:t>(Unaudited)</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0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7"/>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(after-tax)</w:t>
            </w: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460" w:type="dxa"/>
            <w:vAlign w:val="bottom"/>
            <w:gridSpan w:val="2"/>
          </w:tcPr>
          <w:p>
            <w:pPr>
              <w:spacing w:after="0"/>
              <w:rPr>
                <w:sz w:val="20"/>
                <w:szCs w:val="20"/>
                <w:color w:val="auto"/>
              </w:rPr>
            </w:pPr>
            <w:r>
              <w:rPr>
                <w:rFonts w:ascii="Arial" w:cs="Arial" w:eastAsia="Arial" w:hAnsi="Arial"/>
                <w:sz w:val="18"/>
                <w:szCs w:val="18"/>
                <w:color w:val="auto"/>
              </w:rPr>
              <w:t>Net income (loss) attributable to TechnipFMC plc, as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reported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513"/>
        </w:trPr>
        <w:tc>
          <w:tcPr>
            <w:tcW w:w="4460" w:type="dxa"/>
            <w:vAlign w:val="bottom"/>
            <w:gridSpan w:val="2"/>
          </w:tcPr>
          <w:p>
            <w:pPr>
              <w:spacing w:after="0"/>
              <w:rPr>
                <w:sz w:val="20"/>
                <w:szCs w:val="20"/>
                <w:color w:val="auto"/>
              </w:rPr>
            </w:pPr>
            <w:r>
              <w:rPr>
                <w:rFonts w:ascii="Arial" w:cs="Arial" w:eastAsia="Arial" w:hAnsi="Arial"/>
                <w:sz w:val="18"/>
                <w:szCs w:val="18"/>
                <w:color w:val="auto"/>
              </w:rPr>
              <w:t>Charges and (credits):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60" w:type="dxa"/>
            <w:vAlign w:val="bottom"/>
            <w:gridSpan w:val="2"/>
          </w:tcPr>
          <w:p>
            <w:pPr>
              <w:spacing w:after="0"/>
              <w:rPr>
                <w:sz w:val="20"/>
                <w:szCs w:val="20"/>
                <w:color w:val="auto"/>
              </w:rPr>
            </w:pPr>
            <w:r>
              <w:rPr>
                <w:rFonts w:ascii="Arial" w:cs="Arial" w:eastAsia="Arial" w:hAnsi="Arial"/>
                <w:sz w:val="18"/>
                <w:szCs w:val="18"/>
                <w:color w:val="auto"/>
              </w:rPr>
              <w:t>Impairment and other charges (1)</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rPr>
              <w:t>Restructuring and other severance charges (2)</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w w:val="95"/>
              </w:rPr>
              <w:t>Business combination transaction and integration costs (3)</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rPr>
              <w:t>Change in accounting estimate (4)</w:t>
            </w:r>
          </w:p>
        </w:tc>
        <w:tc>
          <w:tcPr>
            <w:tcW w:w="22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rPr>
              <w:t>Purchase price accounting adjustments (5)</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4460" w:type="dxa"/>
            <w:vAlign w:val="bottom"/>
            <w:gridSpan w:val="2"/>
          </w:tcPr>
          <w:p>
            <w:pPr>
              <w:spacing w:after="0"/>
              <w:rPr>
                <w:sz w:val="20"/>
                <w:szCs w:val="20"/>
                <w:color w:val="auto"/>
              </w:rPr>
            </w:pPr>
            <w:r>
              <w:rPr>
                <w:rFonts w:ascii="Arial" w:cs="Arial" w:eastAsia="Arial" w:hAnsi="Arial"/>
                <w:sz w:val="18"/>
                <w:szCs w:val="18"/>
                <w:color w:val="auto"/>
              </w:rPr>
              <w:t>Adjusted net income attributable to TechnipFMC plc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w w:val="94"/>
              </w:rPr>
              <w:t>Earnings (loss) per diluted EPS attributable to TechnipFMC</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44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plc, as reported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554"/>
        </w:trPr>
        <w:tc>
          <w:tcPr>
            <w:tcW w:w="4460" w:type="dxa"/>
            <w:vAlign w:val="bottom"/>
            <w:gridSpan w:val="2"/>
          </w:tcPr>
          <w:p>
            <w:pPr>
              <w:spacing w:after="0"/>
              <w:rPr>
                <w:sz w:val="20"/>
                <w:szCs w:val="20"/>
                <w:color w:val="auto"/>
              </w:rPr>
            </w:pPr>
            <w:r>
              <w:rPr>
                <w:rFonts w:ascii="Arial" w:cs="Arial" w:eastAsia="Arial" w:hAnsi="Arial"/>
                <w:sz w:val="18"/>
                <w:szCs w:val="18"/>
                <w:color w:val="auto"/>
              </w:rPr>
              <w:t>Adjusted diluted EPS attributable to TechnipFMC plc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32" w:right="40" w:hanging="332"/>
        <w:spacing w:after="0" w:line="277" w:lineRule="auto"/>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effect of $3 million and nil during the three months ended June 30, 2018 and 2017, respectively, and $3 million and nil during the six months ended June 30, 2018 and 2017, respectively.</w:t>
      </w:r>
    </w:p>
    <w:p>
      <w:pPr>
        <w:spacing w:after="0" w:line="116"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effect of $1 million and $(5) million during the three months ended June 30, 2018 and 2017, respectively, and $3 million and $(2) million during the six months ended June 30, 2018 and 2017, respectively.</w:t>
      </w:r>
    </w:p>
    <w:p>
      <w:pPr>
        <w:spacing w:after="0" w:line="116" w:lineRule="exact"/>
        <w:rPr>
          <w:rFonts w:ascii="Arial" w:cs="Arial" w:eastAsia="Arial" w:hAnsi="Arial"/>
          <w:sz w:val="18"/>
          <w:szCs w:val="18"/>
          <w:color w:val="auto"/>
        </w:rPr>
      </w:pPr>
    </w:p>
    <w:p>
      <w:pPr>
        <w:ind w:left="332" w:right="140" w:hanging="332"/>
        <w:spacing w:after="0" w:line="277" w:lineRule="auto"/>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effect of $3 million and $8 million during the three months ended June 30, 2018 and 2017, respectively, and $4 million and $24 million during the six months ended June 30, 2018 and 2017, respectively.</w:t>
      </w:r>
    </w:p>
    <w:p>
      <w:pPr>
        <w:spacing w:after="0" w:line="116" w:lineRule="exact"/>
        <w:rPr>
          <w:rFonts w:ascii="Arial" w:cs="Arial" w:eastAsia="Arial" w:hAnsi="Arial"/>
          <w:sz w:val="18"/>
          <w:szCs w:val="18"/>
          <w:color w:val="auto"/>
        </w:rPr>
      </w:pPr>
    </w:p>
    <w:p>
      <w:pPr>
        <w:ind w:left="332" w:right="40" w:hanging="332"/>
        <w:spacing w:after="0" w:line="277" w:lineRule="auto"/>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effect of nil and $6 million during the three months ended June 30, 2018 and 2017, respectively, and nil and $6 million during the six months ended June 30, 2018 and 2017, respectively.</w:t>
      </w:r>
    </w:p>
    <w:p>
      <w:pPr>
        <w:spacing w:after="0" w:line="116" w:lineRule="exact"/>
        <w:rPr>
          <w:rFonts w:ascii="Arial" w:cs="Arial" w:eastAsia="Arial" w:hAnsi="Arial"/>
          <w:sz w:val="18"/>
          <w:szCs w:val="18"/>
          <w:color w:val="auto"/>
        </w:rPr>
      </w:pPr>
    </w:p>
    <w:p>
      <w:pPr>
        <w:ind w:left="332" w:right="60" w:hanging="332"/>
        <w:spacing w:after="0" w:line="277" w:lineRule="auto"/>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effect of $3 million and $9 million during the three months ended June 30, 2018 and 2017, respectively, and $11 million and $44 million during the six months ended June 30, 2018 and 2017, respectively.</w:t>
      </w:r>
    </w:p>
    <w:p>
      <w:pPr>
        <w:sectPr>
          <w:pgSz w:w="11900" w:h="16838" w:orient="portrait"/>
          <w:cols w:equalWidth="0" w:num="1">
            <w:col w:w="11312"/>
          </w:cols>
          <w:pgMar w:left="248" w:top="526" w:right="339" w:bottom="1440" w:gutter="0" w:footer="0" w:header="0"/>
        </w:sectPr>
      </w:pPr>
    </w:p>
    <w:bookmarkStart w:id="26" w:name="page27"/>
    <w:bookmarkEnd w:id="26"/>
    <w:p>
      <w:pPr>
        <w:jc w:val="center"/>
        <w:ind w:right="4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2449830</wp:posOffset>
            </wp:positionH>
            <wp:positionV relativeFrom="paragraph">
              <wp:posOffset>209550</wp:posOffset>
            </wp:positionV>
            <wp:extent cx="3353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gridSpan w:val="5"/>
          </w:tcPr>
          <w:p>
            <w:pPr>
              <w:jc w:val="center"/>
              <w:ind w:left="568"/>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Subsea</w:t>
            </w:r>
          </w:p>
        </w:tc>
        <w:tc>
          <w:tcPr>
            <w:tcW w:w="100" w:type="dxa"/>
            <w:vAlign w:val="bottom"/>
            <w:vMerge w:val="restart"/>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Onshore/Offshore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Surface</w:t>
            </w:r>
          </w:p>
        </w:tc>
        <w:tc>
          <w:tcPr>
            <w:tcW w:w="10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1,217.4</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1,342.4</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401.1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2,960.9</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Operating profit, as reported (pre-tax)</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171.3</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(73.0)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Charges and (credits):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6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69"/>
        </w:trPr>
        <w:tc>
          <w:tcPr>
            <w:tcW w:w="3860" w:type="dxa"/>
            <w:vAlign w:val="bottom"/>
          </w:tcPr>
          <w:p>
            <w:pPr>
              <w:ind w:left="240"/>
              <w:spacing w:after="0"/>
              <w:rPr>
                <w:sz w:val="20"/>
                <w:szCs w:val="20"/>
                <w:color w:val="auto"/>
              </w:rPr>
            </w:pPr>
            <w:r>
              <w:rPr>
                <w:rFonts w:ascii="Arial" w:cs="Arial" w:eastAsia="Arial" w:hAnsi="Arial"/>
                <w:sz w:val="14"/>
                <w:szCs w:val="14"/>
                <w:color w:val="auto"/>
                <w:w w:val="99"/>
              </w:rPr>
              <w:t>Purchase price accounting adjustments - non-amortization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240"/>
              <w:spacing w:after="0"/>
              <w:rPr>
                <w:sz w:val="20"/>
                <w:szCs w:val="20"/>
                <w:color w:val="auto"/>
              </w:rPr>
            </w:pPr>
            <w:r>
              <w:rPr>
                <w:rFonts w:ascii="Arial" w:cs="Arial" w:eastAsia="Arial" w:hAnsi="Arial"/>
                <w:sz w:val="14"/>
                <w:szCs w:val="14"/>
                <w:color w:val="auto"/>
              </w:rPr>
              <w:t>related</w:t>
            </w:r>
          </w:p>
        </w:tc>
        <w:tc>
          <w:tcPr>
            <w:tcW w:w="16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76"/>
        </w:trPr>
        <w:tc>
          <w:tcPr>
            <w:tcW w:w="3860" w:type="dxa"/>
            <w:vAlign w:val="bottom"/>
          </w:tcPr>
          <w:p>
            <w:pPr>
              <w:ind w:left="240"/>
              <w:spacing w:after="0"/>
              <w:rPr>
                <w:sz w:val="20"/>
                <w:szCs w:val="20"/>
                <w:color w:val="auto"/>
              </w:rPr>
            </w:pPr>
            <w:r>
              <w:rPr>
                <w:rFonts w:ascii="Arial" w:cs="Arial" w:eastAsia="Arial" w:hAnsi="Arial"/>
                <w:sz w:val="14"/>
                <w:szCs w:val="14"/>
                <w:color w:val="auto"/>
                <w:w w:val="94"/>
              </w:rPr>
              <w:t>Purchase price accounting adjustments - amortization related</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44"/>
        </w:trPr>
        <w:tc>
          <w:tcPr>
            <w:tcW w:w="386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60" w:type="dxa"/>
            <w:vAlign w:val="bottom"/>
          </w:tcPr>
          <w:p>
            <w:pPr>
              <w:spacing w:after="0"/>
              <w:rPr>
                <w:sz w:val="21"/>
                <w:szCs w:val="21"/>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28"/>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0"/>
                <w:szCs w:val="20"/>
                <w:color w:val="auto"/>
              </w:rPr>
            </w:pPr>
            <w:r>
              <w:rPr>
                <w:rFonts w:ascii="Arial" w:cs="Arial" w:eastAsia="Arial" w:hAnsi="Arial"/>
                <w:sz w:val="14"/>
                <w:szCs w:val="14"/>
                <w:color w:val="auto"/>
              </w:rPr>
              <w:t>Adjusted Operating profit</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100.7</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162.2</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260.8</w:t>
            </w:r>
          </w:p>
        </w:tc>
        <w:tc>
          <w:tcPr>
            <w:tcW w:w="0" w:type="dxa"/>
            <w:vAlign w:val="bottom"/>
          </w:tcPr>
          <w:p>
            <w:pPr>
              <w:spacing w:after="0"/>
              <w:rPr>
                <w:sz w:val="1"/>
                <w:szCs w:val="1"/>
                <w:color w:val="auto"/>
              </w:rPr>
            </w:pPr>
          </w:p>
        </w:tc>
      </w:tr>
      <w:tr>
        <w:trPr>
          <w:trHeight w:val="474"/>
        </w:trPr>
        <w:tc>
          <w:tcPr>
            <w:tcW w:w="386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228"/>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4"/>
                <w:szCs w:val="14"/>
                <w:color w:val="auto"/>
              </w:rPr>
              <w:t>Adjusted EBITDA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191.2</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170.9</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377.2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86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Adjusted EBITDA margin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504825</wp:posOffset>
            </wp:positionV>
            <wp:extent cx="3378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5"/>
          </w:tcPr>
          <w:p>
            <w:pPr>
              <w:jc w:val="center"/>
              <w:ind w:left="568"/>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2"/>
              </w:rPr>
              <w:t>June 30, 2017</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Subsea</w:t>
            </w:r>
          </w:p>
        </w:tc>
        <w:tc>
          <w:tcPr>
            <w:tcW w:w="100" w:type="dxa"/>
            <w:vAlign w:val="bottom"/>
            <w:vMerge w:val="restart"/>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Onshore/Offshore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Surface</w:t>
            </w:r>
          </w:p>
        </w:tc>
        <w:tc>
          <w:tcPr>
            <w:tcW w:w="10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820" w:type="dxa"/>
            <w:vAlign w:val="bottom"/>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1,730.3</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1,812.9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3,845.0</w:t>
            </w:r>
          </w:p>
        </w:tc>
        <w:tc>
          <w:tcPr>
            <w:tcW w:w="0" w:type="dxa"/>
            <w:vAlign w:val="bottom"/>
          </w:tcPr>
          <w:p>
            <w:pPr>
              <w:spacing w:after="0"/>
              <w:rPr>
                <w:sz w:val="1"/>
                <w:szCs w:val="1"/>
                <w:color w:val="auto"/>
              </w:rPr>
            </w:pPr>
          </w:p>
        </w:tc>
      </w:tr>
      <w:tr>
        <w:trPr>
          <w:trHeight w:val="486"/>
        </w:trPr>
        <w:tc>
          <w:tcPr>
            <w:tcW w:w="3820" w:type="dxa"/>
            <w:vAlign w:val="bottom"/>
          </w:tcPr>
          <w:p>
            <w:pPr>
              <w:spacing w:after="0"/>
              <w:rPr>
                <w:sz w:val="20"/>
                <w:szCs w:val="20"/>
                <w:color w:val="auto"/>
              </w:rPr>
            </w:pPr>
            <w:r>
              <w:rPr>
                <w:rFonts w:ascii="Arial" w:cs="Arial" w:eastAsia="Arial" w:hAnsi="Arial"/>
                <w:sz w:val="14"/>
                <w:szCs w:val="14"/>
                <w:color w:val="auto"/>
              </w:rPr>
              <w:t>Operating profit, as reported (pre-tax)</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236.1</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204.5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(122.3)</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317.3</w:t>
            </w:r>
          </w:p>
        </w:tc>
        <w:tc>
          <w:tcPr>
            <w:tcW w:w="0" w:type="dxa"/>
            <w:vAlign w:val="bottom"/>
          </w:tcPr>
          <w:p>
            <w:pPr>
              <w:spacing w:after="0"/>
              <w:rPr>
                <w:sz w:val="1"/>
                <w:szCs w:val="1"/>
                <w:color w:val="auto"/>
              </w:rPr>
            </w:pPr>
          </w:p>
        </w:tc>
      </w:tr>
      <w:tr>
        <w:trPr>
          <w:trHeight w:val="486"/>
        </w:trPr>
        <w:tc>
          <w:tcPr>
            <w:tcW w:w="3820" w:type="dxa"/>
            <w:vAlign w:val="bottom"/>
          </w:tcPr>
          <w:p>
            <w:pPr>
              <w:spacing w:after="0"/>
              <w:rPr>
                <w:sz w:val="20"/>
                <w:szCs w:val="20"/>
                <w:color w:val="auto"/>
              </w:rPr>
            </w:pPr>
            <w:r>
              <w:rPr>
                <w:rFonts w:ascii="Arial" w:cs="Arial" w:eastAsia="Arial" w:hAnsi="Arial"/>
                <w:sz w:val="14"/>
                <w:szCs w:val="14"/>
                <w:color w:val="auto"/>
              </w:rPr>
              <w:t>Charges and (credits):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0"/>
        </w:trPr>
        <w:tc>
          <w:tcPr>
            <w:tcW w:w="382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70"/>
        </w:trPr>
        <w:tc>
          <w:tcPr>
            <w:tcW w:w="382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70"/>
        </w:trPr>
        <w:tc>
          <w:tcPr>
            <w:tcW w:w="3820" w:type="dxa"/>
            <w:vAlign w:val="bottom"/>
          </w:tcPr>
          <w:p>
            <w:pPr>
              <w:ind w:left="240"/>
              <w:spacing w:after="0"/>
              <w:rPr>
                <w:sz w:val="20"/>
                <w:szCs w:val="20"/>
                <w:color w:val="auto"/>
              </w:rPr>
            </w:pPr>
            <w:r>
              <w:rPr>
                <w:rFonts w:ascii="Arial" w:cs="Arial" w:eastAsia="Arial" w:hAnsi="Arial"/>
                <w:sz w:val="14"/>
                <w:szCs w:val="14"/>
                <w:color w:val="auto"/>
              </w:rPr>
              <w:t>Change in accounting estimate</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69"/>
        </w:trPr>
        <w:tc>
          <w:tcPr>
            <w:tcW w:w="3820" w:type="dxa"/>
            <w:vAlign w:val="bottom"/>
          </w:tcPr>
          <w:p>
            <w:pPr>
              <w:ind w:left="240"/>
              <w:spacing w:after="0"/>
              <w:rPr>
                <w:sz w:val="20"/>
                <w:szCs w:val="20"/>
                <w:color w:val="auto"/>
              </w:rPr>
            </w:pPr>
            <w:r>
              <w:rPr>
                <w:rFonts w:ascii="Arial" w:cs="Arial" w:eastAsia="Arial" w:hAnsi="Arial"/>
                <w:sz w:val="14"/>
                <w:szCs w:val="14"/>
                <w:color w:val="auto"/>
                <w:w w:val="98"/>
              </w:rPr>
              <w:t>Purchase price accounting adjustments - non-amortization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240"/>
              <w:spacing w:after="0"/>
              <w:rPr>
                <w:sz w:val="20"/>
                <w:szCs w:val="20"/>
                <w:color w:val="auto"/>
              </w:rPr>
            </w:pPr>
            <w:r>
              <w:rPr>
                <w:rFonts w:ascii="Arial" w:cs="Arial" w:eastAsia="Arial" w:hAnsi="Arial"/>
                <w:sz w:val="14"/>
                <w:szCs w:val="14"/>
                <w:color w:val="auto"/>
              </w:rPr>
              <w:t>related</w:t>
            </w:r>
          </w:p>
        </w:tc>
        <w:tc>
          <w:tcPr>
            <w:tcW w:w="16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76"/>
        </w:trPr>
        <w:tc>
          <w:tcPr>
            <w:tcW w:w="3820" w:type="dxa"/>
            <w:vAlign w:val="bottom"/>
          </w:tcPr>
          <w:p>
            <w:pPr>
              <w:ind w:left="240"/>
              <w:spacing w:after="0"/>
              <w:rPr>
                <w:sz w:val="20"/>
                <w:szCs w:val="20"/>
                <w:color w:val="auto"/>
              </w:rPr>
            </w:pPr>
            <w:r>
              <w:rPr>
                <w:rFonts w:ascii="Arial" w:cs="Arial" w:eastAsia="Arial" w:hAnsi="Arial"/>
                <w:sz w:val="14"/>
                <w:szCs w:val="14"/>
                <w:color w:val="auto"/>
                <w:w w:val="93"/>
              </w:rPr>
              <w:t>Purchase price accounting adjustments - amortization related</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44"/>
        </w:trPr>
        <w:tc>
          <w:tcPr>
            <w:tcW w:w="382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60" w:type="dxa"/>
            <w:vAlign w:val="bottom"/>
          </w:tcPr>
          <w:p>
            <w:pPr>
              <w:spacing w:after="0"/>
              <w:rPr>
                <w:sz w:val="21"/>
                <w:szCs w:val="21"/>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228"/>
        </w:trPr>
        <w:tc>
          <w:tcPr>
            <w:tcW w:w="3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20" w:type="dxa"/>
            <w:vAlign w:val="bottom"/>
          </w:tcPr>
          <w:p>
            <w:pPr>
              <w:spacing w:after="0"/>
              <w:rPr>
                <w:sz w:val="20"/>
                <w:szCs w:val="20"/>
                <w:color w:val="auto"/>
              </w:rPr>
            </w:pPr>
            <w:r>
              <w:rPr>
                <w:rFonts w:ascii="Arial" w:cs="Arial" w:eastAsia="Arial" w:hAnsi="Arial"/>
                <w:sz w:val="14"/>
                <w:szCs w:val="14"/>
                <w:color w:val="auto"/>
              </w:rPr>
              <w:t>Adjusted Operating profit</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282.4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176.8</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382.2</w:t>
            </w:r>
          </w:p>
        </w:tc>
        <w:tc>
          <w:tcPr>
            <w:tcW w:w="0" w:type="dxa"/>
            <w:vAlign w:val="bottom"/>
          </w:tcPr>
          <w:p>
            <w:pPr>
              <w:spacing w:after="0"/>
              <w:rPr>
                <w:sz w:val="1"/>
                <w:szCs w:val="1"/>
                <w:color w:val="auto"/>
              </w:rPr>
            </w:pPr>
          </w:p>
        </w:tc>
      </w:tr>
      <w:tr>
        <w:trPr>
          <w:trHeight w:val="474"/>
        </w:trPr>
        <w:tc>
          <w:tcPr>
            <w:tcW w:w="382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119.1</w:t>
            </w:r>
          </w:p>
        </w:tc>
        <w:tc>
          <w:tcPr>
            <w:tcW w:w="0" w:type="dxa"/>
            <w:vAlign w:val="bottom"/>
          </w:tcPr>
          <w:p>
            <w:pPr>
              <w:spacing w:after="0"/>
              <w:rPr>
                <w:sz w:val="1"/>
                <w:szCs w:val="1"/>
                <w:color w:val="auto"/>
              </w:rPr>
            </w:pPr>
          </w:p>
        </w:tc>
      </w:tr>
      <w:tr>
        <w:trPr>
          <w:trHeight w:val="228"/>
        </w:trPr>
        <w:tc>
          <w:tcPr>
            <w:tcW w:w="3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4"/>
                <w:szCs w:val="14"/>
                <w:color w:val="auto"/>
              </w:rPr>
              <w:t>Adjusted EBITDA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376.7</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187.7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501.3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82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-0.3 %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486"/>
        </w:trPr>
        <w:tc>
          <w:tcPr>
            <w:tcW w:w="382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40"/>
          </w:cols>
          <w:pgMar w:left="1400" w:top="526" w:right="1359" w:bottom="96" w:gutter="0" w:footer="0" w:header="0"/>
        </w:sectPr>
      </w:pPr>
    </w:p>
    <w:p>
      <w:pPr>
        <w:spacing w:after="0" w:line="104" w:lineRule="exact"/>
        <w:rPr>
          <w:sz w:val="20"/>
          <w:szCs w:val="20"/>
          <w:color w:val="auto"/>
        </w:rPr>
      </w:pPr>
    </w:p>
    <w:p>
      <w:pPr>
        <w:spacing w:after="0"/>
        <w:tabs>
          <w:tab w:leader="none" w:pos="4300" w:val="left"/>
          <w:tab w:leader="none" w:pos="5460" w:val="left"/>
          <w:tab w:leader="none" w:pos="6640" w:val="left"/>
          <w:tab w:leader="none" w:pos="8720" w:val="left"/>
        </w:tabs>
        <w:rPr>
          <w:sz w:val="20"/>
          <w:szCs w:val="20"/>
          <w:color w:val="auto"/>
        </w:rPr>
      </w:pPr>
      <w:r>
        <w:rPr>
          <w:rFonts w:ascii="Arial" w:cs="Arial" w:eastAsia="Arial" w:hAnsi="Arial"/>
          <w:sz w:val="14"/>
          <w:szCs w:val="14"/>
          <w:color w:val="auto"/>
        </w:rPr>
        <w:t>Adjusted EBITDA margin</w:t>
      </w:r>
      <w:r>
        <w:rPr>
          <w:sz w:val="20"/>
          <w:szCs w:val="20"/>
          <w:color w:val="auto"/>
        </w:rPr>
        <w:tab/>
      </w:r>
      <w:r>
        <w:rPr>
          <w:rFonts w:ascii="Arial" w:cs="Arial" w:eastAsia="Arial" w:hAnsi="Arial"/>
          <w:sz w:val="14"/>
          <w:szCs w:val="14"/>
          <w:color w:val="auto"/>
        </w:rPr>
        <w:t>21.8%</w:t>
      </w:r>
      <w:r>
        <w:rPr>
          <w:sz w:val="20"/>
          <w:szCs w:val="20"/>
          <w:color w:val="auto"/>
        </w:rPr>
        <w:tab/>
      </w: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12.0 %</w:t>
      </w:r>
      <w:r>
        <w:rPr>
          <w:sz w:val="20"/>
          <w:szCs w:val="20"/>
          <w:color w:val="auto"/>
        </w:rPr>
        <w:tab/>
      </w:r>
      <w:r>
        <w:rPr>
          <w:rFonts w:ascii="Arial" w:cs="Arial" w:eastAsia="Arial" w:hAnsi="Arial"/>
          <w:sz w:val="12"/>
          <w:szCs w:val="12"/>
          <w:color w:val="auto"/>
        </w:rPr>
        <w:t>13.0%</w:t>
      </w:r>
    </w:p>
    <w:p>
      <w:pPr>
        <w:sectPr>
          <w:pgSz w:w="11900" w:h="16838" w:orient="portrait"/>
          <w:cols w:equalWidth="0" w:num="1">
            <w:col w:w="9140"/>
          </w:cols>
          <w:pgMar w:left="1400" w:top="526" w:right="1359" w:bottom="96" w:gutter="0" w:footer="0" w:header="0"/>
          <w:type w:val="continuous"/>
        </w:sectPr>
      </w:pPr>
    </w:p>
    <w:bookmarkStart w:id="27" w:name="page28"/>
    <w:bookmarkEnd w:id="27"/>
    <w:p>
      <w:pPr>
        <w:spacing w:after="0"/>
        <w:tabs>
          <w:tab w:leader="none" w:pos="4300" w:val="left"/>
          <w:tab w:leader="none" w:pos="5460" w:val="left"/>
          <w:tab w:leader="none" w:pos="6640" w:val="left"/>
          <w:tab w:leader="none" w:pos="8720" w:val="left"/>
        </w:tabs>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jc w:val="center"/>
        <w:ind w:right="4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2449830</wp:posOffset>
            </wp:positionH>
            <wp:positionV relativeFrom="paragraph">
              <wp:posOffset>209550</wp:posOffset>
            </wp:positionV>
            <wp:extent cx="33534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gridSpan w:val="5"/>
          </w:tcPr>
          <w:p>
            <w:pPr>
              <w:jc w:val="center"/>
              <w:ind w:left="568"/>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Subsea</w:t>
            </w:r>
          </w:p>
        </w:tc>
        <w:tc>
          <w:tcPr>
            <w:tcW w:w="100" w:type="dxa"/>
            <w:vAlign w:val="bottom"/>
            <w:vMerge w:val="restart"/>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Onshore/Offshore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Surface</w:t>
            </w:r>
          </w:p>
        </w:tc>
        <w:tc>
          <w:tcPr>
            <w:tcW w:w="10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2,397.6</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2,915.8</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772.7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6,086.1</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Operating profit, as reported (pre-tax)</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374.2</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(132.8)</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453.8</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Charges and (credits):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6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69"/>
        </w:trPr>
        <w:tc>
          <w:tcPr>
            <w:tcW w:w="3860" w:type="dxa"/>
            <w:vAlign w:val="bottom"/>
          </w:tcPr>
          <w:p>
            <w:pPr>
              <w:ind w:left="240"/>
              <w:spacing w:after="0"/>
              <w:rPr>
                <w:sz w:val="20"/>
                <w:szCs w:val="20"/>
                <w:color w:val="auto"/>
              </w:rPr>
            </w:pPr>
            <w:r>
              <w:rPr>
                <w:rFonts w:ascii="Arial" w:cs="Arial" w:eastAsia="Arial" w:hAnsi="Arial"/>
                <w:sz w:val="14"/>
                <w:szCs w:val="14"/>
                <w:color w:val="auto"/>
                <w:w w:val="99"/>
              </w:rPr>
              <w:t>Purchase price accounting adjustments - non-amortization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240"/>
              <w:spacing w:after="0"/>
              <w:rPr>
                <w:sz w:val="20"/>
                <w:szCs w:val="20"/>
                <w:color w:val="auto"/>
              </w:rPr>
            </w:pPr>
            <w:r>
              <w:rPr>
                <w:rFonts w:ascii="Arial" w:cs="Arial" w:eastAsia="Arial" w:hAnsi="Arial"/>
                <w:sz w:val="14"/>
                <w:szCs w:val="14"/>
                <w:color w:val="auto"/>
              </w:rPr>
              <w:t>related</w:t>
            </w:r>
          </w:p>
        </w:tc>
        <w:tc>
          <w:tcPr>
            <w:tcW w:w="16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3860" w:type="dxa"/>
            <w:vAlign w:val="bottom"/>
          </w:tcPr>
          <w:p>
            <w:pPr>
              <w:ind w:left="240"/>
              <w:spacing w:after="0"/>
              <w:rPr>
                <w:sz w:val="20"/>
                <w:szCs w:val="20"/>
                <w:color w:val="auto"/>
              </w:rPr>
            </w:pPr>
            <w:r>
              <w:rPr>
                <w:rFonts w:ascii="Arial" w:cs="Arial" w:eastAsia="Arial" w:hAnsi="Arial"/>
                <w:sz w:val="14"/>
                <w:szCs w:val="14"/>
                <w:color w:val="auto"/>
                <w:w w:val="94"/>
              </w:rPr>
              <w:t>Purchase price accounting adjustments - amortization related</w:t>
            </w:r>
          </w:p>
        </w:tc>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44"/>
        </w:trPr>
        <w:tc>
          <w:tcPr>
            <w:tcW w:w="386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83.5</w:t>
            </w:r>
          </w:p>
        </w:tc>
        <w:tc>
          <w:tcPr>
            <w:tcW w:w="0" w:type="dxa"/>
            <w:vAlign w:val="bottom"/>
          </w:tcPr>
          <w:p>
            <w:pPr>
              <w:spacing w:after="0"/>
              <w:rPr>
                <w:sz w:val="1"/>
                <w:szCs w:val="1"/>
                <w:color w:val="auto"/>
              </w:rPr>
            </w:pPr>
          </w:p>
        </w:tc>
      </w:tr>
      <w:tr>
        <w:trPr>
          <w:trHeight w:val="228"/>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0"/>
                <w:szCs w:val="20"/>
                <w:color w:val="auto"/>
              </w:rPr>
            </w:pPr>
            <w:r>
              <w:rPr>
                <w:rFonts w:ascii="Arial" w:cs="Arial" w:eastAsia="Arial" w:hAnsi="Arial"/>
                <w:sz w:val="14"/>
                <w:szCs w:val="14"/>
                <w:color w:val="auto"/>
              </w:rPr>
              <w:t>Adjusted Operating profit</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186.1</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368.6</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93.3</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537.3</w:t>
            </w:r>
          </w:p>
        </w:tc>
        <w:tc>
          <w:tcPr>
            <w:tcW w:w="0" w:type="dxa"/>
            <w:vAlign w:val="bottom"/>
          </w:tcPr>
          <w:p>
            <w:pPr>
              <w:spacing w:after="0"/>
              <w:rPr>
                <w:sz w:val="1"/>
                <w:szCs w:val="1"/>
                <w:color w:val="auto"/>
              </w:rPr>
            </w:pPr>
          </w:p>
        </w:tc>
      </w:tr>
      <w:tr>
        <w:trPr>
          <w:trHeight w:val="474"/>
        </w:trPr>
        <w:tc>
          <w:tcPr>
            <w:tcW w:w="386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177.1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226.5</w:t>
            </w:r>
          </w:p>
        </w:tc>
        <w:tc>
          <w:tcPr>
            <w:tcW w:w="0" w:type="dxa"/>
            <w:vAlign w:val="bottom"/>
          </w:tcPr>
          <w:p>
            <w:pPr>
              <w:spacing w:after="0"/>
              <w:rPr>
                <w:sz w:val="1"/>
                <w:szCs w:val="1"/>
                <w:color w:val="auto"/>
              </w:rPr>
            </w:pPr>
          </w:p>
        </w:tc>
      </w:tr>
      <w:tr>
        <w:trPr>
          <w:trHeight w:val="228"/>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4"/>
                <w:szCs w:val="14"/>
                <w:color w:val="auto"/>
              </w:rPr>
              <w:t>Adjusted EBITDA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363.2</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385.9</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122.9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763.8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86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0"/>
                <w:szCs w:val="20"/>
                <w:color w:val="auto"/>
              </w:rPr>
            </w:pPr>
            <w:r>
              <w:rPr>
                <w:rFonts w:ascii="Arial" w:cs="Arial" w:eastAsia="Arial" w:hAnsi="Arial"/>
                <w:sz w:val="14"/>
                <w:szCs w:val="14"/>
                <w:color w:val="auto"/>
              </w:rPr>
              <w:t>Adjusted EBITDA margin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504825</wp:posOffset>
            </wp:positionV>
            <wp:extent cx="3378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5"/>
          </w:tcPr>
          <w:p>
            <w:pPr>
              <w:jc w:val="center"/>
              <w:ind w:left="568"/>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2"/>
              </w:rPr>
              <w:t>June 30, 2017</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Subsea</w:t>
            </w:r>
          </w:p>
        </w:tc>
        <w:tc>
          <w:tcPr>
            <w:tcW w:w="100" w:type="dxa"/>
            <w:vAlign w:val="bottom"/>
            <w:vMerge w:val="restart"/>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Onshore/Offshore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Surface</w:t>
            </w:r>
          </w:p>
        </w:tc>
        <w:tc>
          <w:tcPr>
            <w:tcW w:w="10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820" w:type="dxa"/>
            <w:vAlign w:val="bottom"/>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3,107.0</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3,576.9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548.4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7,233.0</w:t>
            </w:r>
          </w:p>
        </w:tc>
        <w:tc>
          <w:tcPr>
            <w:tcW w:w="0" w:type="dxa"/>
            <w:vAlign w:val="bottom"/>
          </w:tcPr>
          <w:p>
            <w:pPr>
              <w:spacing w:after="0"/>
              <w:rPr>
                <w:sz w:val="1"/>
                <w:szCs w:val="1"/>
                <w:color w:val="auto"/>
              </w:rPr>
            </w:pPr>
          </w:p>
        </w:tc>
      </w:tr>
      <w:tr>
        <w:trPr>
          <w:trHeight w:val="486"/>
        </w:trPr>
        <w:tc>
          <w:tcPr>
            <w:tcW w:w="3820" w:type="dxa"/>
            <w:vAlign w:val="bottom"/>
          </w:tcPr>
          <w:p>
            <w:pPr>
              <w:spacing w:after="0"/>
              <w:rPr>
                <w:sz w:val="20"/>
                <w:szCs w:val="20"/>
                <w:color w:val="auto"/>
              </w:rPr>
            </w:pPr>
            <w:r>
              <w:rPr>
                <w:rFonts w:ascii="Arial" w:cs="Arial" w:eastAsia="Arial" w:hAnsi="Arial"/>
                <w:sz w:val="14"/>
                <w:szCs w:val="14"/>
                <w:color w:val="auto"/>
              </w:rPr>
              <w:t>Operating profit, as reported (pre-tax)</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290.3</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347.3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(182.0)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436.0</w:t>
            </w:r>
          </w:p>
        </w:tc>
        <w:tc>
          <w:tcPr>
            <w:tcW w:w="0" w:type="dxa"/>
            <w:vAlign w:val="bottom"/>
          </w:tcPr>
          <w:p>
            <w:pPr>
              <w:spacing w:after="0"/>
              <w:rPr>
                <w:sz w:val="1"/>
                <w:szCs w:val="1"/>
                <w:color w:val="auto"/>
              </w:rPr>
            </w:pPr>
          </w:p>
        </w:tc>
      </w:tr>
      <w:tr>
        <w:trPr>
          <w:trHeight w:val="486"/>
        </w:trPr>
        <w:tc>
          <w:tcPr>
            <w:tcW w:w="3820" w:type="dxa"/>
            <w:vAlign w:val="bottom"/>
          </w:tcPr>
          <w:p>
            <w:pPr>
              <w:spacing w:after="0"/>
              <w:rPr>
                <w:sz w:val="20"/>
                <w:szCs w:val="20"/>
                <w:color w:val="auto"/>
              </w:rPr>
            </w:pPr>
            <w:r>
              <w:rPr>
                <w:rFonts w:ascii="Arial" w:cs="Arial" w:eastAsia="Arial" w:hAnsi="Arial"/>
                <w:sz w:val="14"/>
                <w:szCs w:val="14"/>
                <w:color w:val="auto"/>
              </w:rPr>
              <w:t>Charges and (credits):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70"/>
        </w:trPr>
        <w:tc>
          <w:tcPr>
            <w:tcW w:w="382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0"/>
        </w:trPr>
        <w:tc>
          <w:tcPr>
            <w:tcW w:w="382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270"/>
        </w:trPr>
        <w:tc>
          <w:tcPr>
            <w:tcW w:w="3820" w:type="dxa"/>
            <w:vAlign w:val="bottom"/>
          </w:tcPr>
          <w:p>
            <w:pPr>
              <w:ind w:left="240"/>
              <w:spacing w:after="0"/>
              <w:rPr>
                <w:sz w:val="20"/>
                <w:szCs w:val="20"/>
                <w:color w:val="auto"/>
              </w:rPr>
            </w:pPr>
            <w:r>
              <w:rPr>
                <w:rFonts w:ascii="Arial" w:cs="Arial" w:eastAsia="Arial" w:hAnsi="Arial"/>
                <w:sz w:val="14"/>
                <w:szCs w:val="14"/>
                <w:color w:val="auto"/>
              </w:rPr>
              <w:t>Change in accounting estimate</w:t>
            </w:r>
          </w:p>
        </w:tc>
        <w:tc>
          <w:tcPr>
            <w:tcW w:w="16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69"/>
        </w:trPr>
        <w:tc>
          <w:tcPr>
            <w:tcW w:w="3820" w:type="dxa"/>
            <w:vAlign w:val="bottom"/>
          </w:tcPr>
          <w:p>
            <w:pPr>
              <w:ind w:left="240"/>
              <w:spacing w:after="0"/>
              <w:rPr>
                <w:sz w:val="20"/>
                <w:szCs w:val="20"/>
                <w:color w:val="auto"/>
              </w:rPr>
            </w:pPr>
            <w:r>
              <w:rPr>
                <w:rFonts w:ascii="Arial" w:cs="Arial" w:eastAsia="Arial" w:hAnsi="Arial"/>
                <w:sz w:val="14"/>
                <w:szCs w:val="14"/>
                <w:color w:val="auto"/>
                <w:w w:val="98"/>
              </w:rPr>
              <w:t>Purchase price accounting adjustments - non-amortization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240"/>
              <w:spacing w:after="0"/>
              <w:rPr>
                <w:sz w:val="20"/>
                <w:szCs w:val="20"/>
                <w:color w:val="auto"/>
              </w:rPr>
            </w:pPr>
            <w:r>
              <w:rPr>
                <w:rFonts w:ascii="Arial" w:cs="Arial" w:eastAsia="Arial" w:hAnsi="Arial"/>
                <w:sz w:val="14"/>
                <w:szCs w:val="14"/>
                <w:color w:val="auto"/>
              </w:rPr>
              <w:t>related</w:t>
            </w:r>
          </w:p>
        </w:tc>
        <w:tc>
          <w:tcPr>
            <w:tcW w:w="16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276"/>
        </w:trPr>
        <w:tc>
          <w:tcPr>
            <w:tcW w:w="3820" w:type="dxa"/>
            <w:vAlign w:val="bottom"/>
          </w:tcPr>
          <w:p>
            <w:pPr>
              <w:ind w:left="240"/>
              <w:spacing w:after="0"/>
              <w:rPr>
                <w:sz w:val="20"/>
                <w:szCs w:val="20"/>
                <w:color w:val="auto"/>
              </w:rPr>
            </w:pPr>
            <w:r>
              <w:rPr>
                <w:rFonts w:ascii="Arial" w:cs="Arial" w:eastAsia="Arial" w:hAnsi="Arial"/>
                <w:sz w:val="14"/>
                <w:szCs w:val="14"/>
                <w:color w:val="auto"/>
                <w:w w:val="93"/>
              </w:rPr>
              <w:t>Purchase price accounting adjustments - amortization related</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44"/>
        </w:trPr>
        <w:tc>
          <w:tcPr>
            <w:tcW w:w="382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60" w:type="dxa"/>
            <w:vAlign w:val="bottom"/>
          </w:tcPr>
          <w:p>
            <w:pPr>
              <w:spacing w:after="0"/>
              <w:rPr>
                <w:sz w:val="21"/>
                <w:szCs w:val="21"/>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143.5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228"/>
        </w:trPr>
        <w:tc>
          <w:tcPr>
            <w:tcW w:w="3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20" w:type="dxa"/>
            <w:vAlign w:val="bottom"/>
          </w:tcPr>
          <w:p>
            <w:pPr>
              <w:spacing w:after="0"/>
              <w:rPr>
                <w:sz w:val="20"/>
                <w:szCs w:val="20"/>
                <w:color w:val="auto"/>
              </w:rPr>
            </w:pPr>
            <w:r>
              <w:rPr>
                <w:rFonts w:ascii="Arial" w:cs="Arial" w:eastAsia="Arial" w:hAnsi="Arial"/>
                <w:sz w:val="14"/>
                <w:szCs w:val="14"/>
                <w:color w:val="auto"/>
              </w:rPr>
              <w:t>Adjusted Operating profit</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433.8</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319.3</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694.4</w:t>
            </w:r>
          </w:p>
        </w:tc>
        <w:tc>
          <w:tcPr>
            <w:tcW w:w="0" w:type="dxa"/>
            <w:vAlign w:val="bottom"/>
          </w:tcPr>
          <w:p>
            <w:pPr>
              <w:spacing w:after="0"/>
              <w:rPr>
                <w:sz w:val="1"/>
                <w:szCs w:val="1"/>
                <w:color w:val="auto"/>
              </w:rPr>
            </w:pPr>
          </w:p>
        </w:tc>
      </w:tr>
      <w:tr>
        <w:trPr>
          <w:trHeight w:val="474"/>
        </w:trPr>
        <w:tc>
          <w:tcPr>
            <w:tcW w:w="382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181.5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227.4</w:t>
            </w:r>
          </w:p>
        </w:tc>
        <w:tc>
          <w:tcPr>
            <w:tcW w:w="0" w:type="dxa"/>
            <w:vAlign w:val="bottom"/>
          </w:tcPr>
          <w:p>
            <w:pPr>
              <w:spacing w:after="0"/>
              <w:rPr>
                <w:sz w:val="1"/>
                <w:szCs w:val="1"/>
                <w:color w:val="auto"/>
              </w:rPr>
            </w:pPr>
          </w:p>
        </w:tc>
      </w:tr>
      <w:tr>
        <w:trPr>
          <w:trHeight w:val="228"/>
        </w:trPr>
        <w:tc>
          <w:tcPr>
            <w:tcW w:w="3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4"/>
                <w:szCs w:val="14"/>
                <w:color w:val="auto"/>
              </w:rPr>
              <w:t>Adjusted EBITDA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615.3</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339.9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921.8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82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486"/>
        </w:trPr>
        <w:tc>
          <w:tcPr>
            <w:tcW w:w="382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40"/>
          </w:cols>
          <w:pgMar w:left="1400" w:top="526" w:right="1359" w:bottom="96" w:gutter="0" w:footer="0" w:header="0"/>
        </w:sectPr>
      </w:pPr>
    </w:p>
    <w:p>
      <w:pPr>
        <w:spacing w:after="0" w:line="104" w:lineRule="exact"/>
        <w:rPr>
          <w:sz w:val="20"/>
          <w:szCs w:val="20"/>
          <w:color w:val="auto"/>
        </w:rPr>
      </w:pPr>
    </w:p>
    <w:p>
      <w:pPr>
        <w:spacing w:after="0"/>
        <w:tabs>
          <w:tab w:leader="none" w:pos="4300" w:val="left"/>
          <w:tab w:leader="none" w:pos="5520" w:val="left"/>
          <w:tab w:leader="none" w:pos="6640" w:val="left"/>
          <w:tab w:leader="none" w:pos="8720" w:val="left"/>
        </w:tabs>
        <w:rPr>
          <w:sz w:val="20"/>
          <w:szCs w:val="20"/>
          <w:color w:val="auto"/>
        </w:rPr>
      </w:pPr>
      <w:r>
        <w:rPr>
          <w:rFonts w:ascii="Arial" w:cs="Arial" w:eastAsia="Arial" w:hAnsi="Arial"/>
          <w:sz w:val="14"/>
          <w:szCs w:val="14"/>
          <w:color w:val="auto"/>
        </w:rPr>
        <w:t>Adjusted EBITDA margin</w:t>
      </w:r>
      <w:r>
        <w:rPr>
          <w:sz w:val="20"/>
          <w:szCs w:val="20"/>
          <w:color w:val="auto"/>
        </w:rPr>
        <w:tab/>
      </w:r>
      <w:r>
        <w:rPr>
          <w:rFonts w:ascii="Arial" w:cs="Arial" w:eastAsia="Arial" w:hAnsi="Arial"/>
          <w:sz w:val="14"/>
          <w:szCs w:val="14"/>
          <w:color w:val="auto"/>
        </w:rPr>
        <w:t>19.8%</w:t>
      </w:r>
      <w:r>
        <w:rPr>
          <w:sz w:val="20"/>
          <w:szCs w:val="20"/>
          <w:color w:val="auto"/>
        </w:rPr>
        <w:tab/>
      </w:r>
      <w:r>
        <w:rPr>
          <w:rFonts w:ascii="Arial" w:cs="Arial" w:eastAsia="Arial" w:hAnsi="Arial"/>
          <w:sz w:val="14"/>
          <w:szCs w:val="14"/>
          <w:color w:val="auto"/>
        </w:rPr>
        <w:t>9.5%</w:t>
      </w:r>
      <w:r>
        <w:rPr>
          <w:sz w:val="20"/>
          <w:szCs w:val="20"/>
          <w:color w:val="auto"/>
        </w:rPr>
        <w:tab/>
      </w:r>
      <w:r>
        <w:rPr>
          <w:rFonts w:ascii="Arial" w:cs="Arial" w:eastAsia="Arial" w:hAnsi="Arial"/>
          <w:sz w:val="14"/>
          <w:szCs w:val="14"/>
          <w:color w:val="auto"/>
        </w:rPr>
        <w:t>13.1 %</w:t>
      </w:r>
      <w:r>
        <w:rPr>
          <w:sz w:val="20"/>
          <w:szCs w:val="20"/>
          <w:color w:val="auto"/>
        </w:rPr>
        <w:tab/>
      </w:r>
      <w:r>
        <w:rPr>
          <w:rFonts w:ascii="Arial" w:cs="Arial" w:eastAsia="Arial" w:hAnsi="Arial"/>
          <w:sz w:val="12"/>
          <w:szCs w:val="12"/>
          <w:color w:val="auto"/>
        </w:rPr>
        <w:t>12.7%</w:t>
      </w:r>
    </w:p>
    <w:p>
      <w:pPr>
        <w:sectPr>
          <w:pgSz w:w="11900" w:h="16838" w:orient="portrait"/>
          <w:cols w:equalWidth="0" w:num="1">
            <w:col w:w="9140"/>
          </w:cols>
          <w:pgMar w:left="1400" w:top="526" w:right="1359" w:bottom="96" w:gutter="0" w:footer="0" w:header="0"/>
          <w:type w:val="continuous"/>
        </w:sectPr>
      </w:pPr>
    </w:p>
    <w:bookmarkStart w:id="29" w:name="page30"/>
    <w:bookmarkEnd w:id="29"/>
    <w:p>
      <w:pPr>
        <w:spacing w:after="0"/>
        <w:tabs>
          <w:tab w:leader="none" w:pos="4300" w:val="left"/>
          <w:tab w:leader="none" w:pos="5520" w:val="left"/>
          <w:tab w:leader="none" w:pos="6640" w:val="left"/>
          <w:tab w:leader="none" w:pos="8720" w:val="left"/>
        </w:tabs>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center"/>
        <w:ind w:left="440" w:right="25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6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6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20"/>
        </w:trPr>
        <w:tc>
          <w:tcPr>
            <w:tcW w:w="6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5,555.4</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6,737.4</w:t>
            </w: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(3,777.9)</w:t>
            </w:r>
          </w:p>
        </w:tc>
      </w:tr>
      <w:tr>
        <w:trPr>
          <w:trHeight w:val="27"/>
        </w:trPr>
        <w:tc>
          <w:tcPr>
            <w:tcW w:w="6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500" w:type="dxa"/>
            <w:vAlign w:val="bottom"/>
          </w:tcPr>
          <w:p>
            <w:pPr>
              <w:spacing w:after="0"/>
              <w:rPr>
                <w:sz w:val="20"/>
                <w:szCs w:val="20"/>
                <w:color w:val="auto"/>
              </w:rPr>
            </w:pPr>
            <w:r>
              <w:rPr>
                <w:rFonts w:ascii="Arial" w:cs="Arial" w:eastAsia="Arial" w:hAnsi="Arial"/>
                <w:sz w:val="18"/>
                <w:szCs w:val="18"/>
                <w:color w:val="auto"/>
              </w:rPr>
              <w:t>Net cash</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1,689.4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2,882.4</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Net cash (debt) is a non-GAAP financial measure reflecting cash and cash equivalents, net of debt. Management uses this non-GAAP financial measure to evaluate TechnipFMC's capital structure and financial leverage. Management believes net cash (debt) is a meaningful financial measure that may also assist investors in understanding TechnipFMC's financial condition and underlying trends in its capital structure.</w:t>
      </w:r>
    </w:p>
    <w:sectPr>
      <w:pgSz w:w="11900" w:h="16838" w:orient="portrait"/>
      <w:cols w:equalWidth="0" w:num="1">
        <w:col w:w="11220"/>
      </w:cols>
      <w:pgMar w:left="240" w:top="52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2019-12-28T21:15:56Z</dcterms:created>
  <dcterms:modified xsi:type="dcterms:W3CDTF">2019-12-28T21:15:56Z</dcterms:modified>
</cp:coreProperties>
</file>