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732155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24, 2021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38"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3220" w:type="dxa"/>
            <w:vAlign w:val="bottom"/>
          </w:tcPr>
          <w:p>
            <w:pPr>
              <w:jc w:val="center"/>
              <w:ind w:right="421"/>
              <w:spacing w:after="0"/>
              <w:rPr>
                <w:sz w:val="20"/>
                <w:szCs w:val="20"/>
                <w:color w:val="auto"/>
              </w:rPr>
            </w:pPr>
            <w:r>
              <w:rPr>
                <w:rFonts w:ascii="Arial" w:cs="Arial" w:eastAsia="Arial" w:hAnsi="Arial"/>
                <w:sz w:val="18"/>
                <w:szCs w:val="18"/>
                <w:b w:val="1"/>
                <w:bCs w:val="1"/>
                <w:color w:val="auto"/>
              </w:rPr>
              <w:t>United Kingdom</w:t>
            </w:r>
          </w:p>
        </w:tc>
        <w:tc>
          <w:tcPr>
            <w:tcW w:w="3680" w:type="dxa"/>
            <w:vAlign w:val="bottom"/>
          </w:tcPr>
          <w:p>
            <w:pPr>
              <w:jc w:val="right"/>
              <w:ind w:right="1221"/>
              <w:spacing w:after="0"/>
              <w:rPr>
                <w:sz w:val="20"/>
                <w:szCs w:val="20"/>
                <w:color w:val="auto"/>
              </w:rPr>
            </w:pPr>
            <w:r>
              <w:rPr>
                <w:rFonts w:ascii="Arial" w:cs="Arial" w:eastAsia="Arial" w:hAnsi="Arial"/>
                <w:sz w:val="18"/>
                <w:szCs w:val="18"/>
                <w:b w:val="1"/>
                <w:bCs w:val="1"/>
                <w:color w:val="auto"/>
              </w:rPr>
              <w:t>001-37983</w:t>
            </w:r>
          </w:p>
        </w:tc>
        <w:tc>
          <w:tcPr>
            <w:tcW w:w="3200" w:type="dxa"/>
            <w:vAlign w:val="bottom"/>
          </w:tcPr>
          <w:p>
            <w:pPr>
              <w:jc w:val="center"/>
              <w:ind w:left="922"/>
              <w:spacing w:after="0"/>
              <w:rPr>
                <w:sz w:val="20"/>
                <w:szCs w:val="20"/>
                <w:color w:val="auto"/>
              </w:rPr>
            </w:pPr>
            <w:r>
              <w:rPr>
                <w:rFonts w:ascii="Arial" w:cs="Arial" w:eastAsia="Arial" w:hAnsi="Arial"/>
                <w:sz w:val="18"/>
                <w:szCs w:val="18"/>
                <w:b w:val="1"/>
                <w:bCs w:val="1"/>
                <w:color w:val="auto"/>
                <w:w w:val="99"/>
              </w:rPr>
              <w:t>98-1283037</w:t>
            </w:r>
          </w:p>
        </w:tc>
      </w:tr>
      <w:tr>
        <w:trPr>
          <w:trHeight w:val="190"/>
        </w:trPr>
        <w:tc>
          <w:tcPr>
            <w:tcW w:w="3220" w:type="dxa"/>
            <w:vAlign w:val="bottom"/>
          </w:tcPr>
          <w:p>
            <w:pPr>
              <w:jc w:val="center"/>
              <w:ind w:right="421"/>
              <w:spacing w:after="0"/>
              <w:rPr>
                <w:sz w:val="20"/>
                <w:szCs w:val="20"/>
                <w:color w:val="auto"/>
              </w:rPr>
            </w:pPr>
            <w:r>
              <w:rPr>
                <w:rFonts w:ascii="Arial" w:cs="Arial" w:eastAsia="Arial" w:hAnsi="Arial"/>
                <w:sz w:val="14"/>
                <w:szCs w:val="14"/>
                <w:color w:val="auto"/>
              </w:rPr>
              <w:t>(State or other jurisdiction of incorporation)</w:t>
            </w: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(Commission File Number)</w:t>
            </w:r>
          </w:p>
        </w:tc>
        <w:tc>
          <w:tcPr>
            <w:tcW w:w="3200" w:type="dxa"/>
            <w:vAlign w:val="bottom"/>
          </w:tcPr>
          <w:p>
            <w:pPr>
              <w:jc w:val="center"/>
              <w:ind w:left="922"/>
              <w:spacing w:after="0"/>
              <w:rPr>
                <w:sz w:val="20"/>
                <w:szCs w:val="20"/>
                <w:color w:val="auto"/>
              </w:rPr>
            </w:pPr>
            <w:r>
              <w:rPr>
                <w:rFonts w:ascii="Arial" w:cs="Arial" w:eastAsia="Arial" w:hAnsi="Arial"/>
                <w:sz w:val="14"/>
                <w:szCs w:val="14"/>
                <w:color w:val="auto"/>
              </w:rPr>
              <w:t>(I.R.S. Employer Identification No.)</w:t>
            </w:r>
          </w:p>
        </w:tc>
      </w:tr>
      <w:tr>
        <w:trPr>
          <w:trHeight w:val="705"/>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One St. Paul’s Churchyard</w:t>
            </w:r>
          </w:p>
        </w:tc>
        <w:tc>
          <w:tcPr>
            <w:tcW w:w="36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9"/>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London</w:t>
            </w:r>
          </w:p>
        </w:tc>
        <w:tc>
          <w:tcPr>
            <w:tcW w:w="36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39"/>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United Kingdom</w:t>
            </w:r>
          </w:p>
        </w:tc>
        <w:tc>
          <w:tcPr>
            <w:tcW w:w="3680" w:type="dxa"/>
            <w:vAlign w:val="bottom"/>
          </w:tcPr>
          <w:p>
            <w:pPr>
              <w:spacing w:after="0"/>
              <w:rPr>
                <w:sz w:val="20"/>
                <w:szCs w:val="20"/>
                <w:color w:val="auto"/>
              </w:rPr>
            </w:pPr>
          </w:p>
        </w:tc>
        <w:tc>
          <w:tcPr>
            <w:tcW w:w="3200" w:type="dxa"/>
            <w:vAlign w:val="bottom"/>
          </w:tcPr>
          <w:p>
            <w:pPr>
              <w:jc w:val="center"/>
              <w:ind w:left="902"/>
              <w:spacing w:after="0"/>
              <w:rPr>
                <w:sz w:val="20"/>
                <w:szCs w:val="20"/>
                <w:color w:val="auto"/>
              </w:rPr>
            </w:pPr>
            <w:r>
              <w:rPr>
                <w:rFonts w:ascii="Arial" w:cs="Arial" w:eastAsia="Arial" w:hAnsi="Arial"/>
                <w:sz w:val="18"/>
                <w:szCs w:val="18"/>
                <w:b w:val="1"/>
                <w:bCs w:val="1"/>
                <w:color w:val="auto"/>
                <w:w w:val="99"/>
              </w:rPr>
              <w:t>EC4M 8AP</w:t>
            </w:r>
          </w:p>
        </w:tc>
      </w:tr>
      <w:tr>
        <w:trPr>
          <w:trHeight w:val="190"/>
        </w:trPr>
        <w:tc>
          <w:tcPr>
            <w:tcW w:w="3220" w:type="dxa"/>
            <w:vAlign w:val="bottom"/>
          </w:tcPr>
          <w:p>
            <w:pPr>
              <w:jc w:val="center"/>
              <w:ind w:right="401"/>
              <w:spacing w:after="0"/>
              <w:rPr>
                <w:sz w:val="20"/>
                <w:szCs w:val="20"/>
                <w:color w:val="auto"/>
              </w:rPr>
            </w:pPr>
            <w:r>
              <w:rPr>
                <w:rFonts w:ascii="Arial" w:cs="Arial" w:eastAsia="Arial" w:hAnsi="Arial"/>
                <w:sz w:val="14"/>
                <w:szCs w:val="14"/>
                <w:color w:val="auto"/>
              </w:rPr>
              <w:t>(Address of principal executive offices)</w:t>
            </w:r>
          </w:p>
        </w:tc>
        <w:tc>
          <w:tcPr>
            <w:tcW w:w="3680" w:type="dxa"/>
            <w:vAlign w:val="bottom"/>
          </w:tcPr>
          <w:p>
            <w:pPr>
              <w:spacing w:after="0"/>
              <w:rPr>
                <w:sz w:val="16"/>
                <w:szCs w:val="16"/>
                <w:color w:val="auto"/>
              </w:rPr>
            </w:pPr>
          </w:p>
        </w:tc>
        <w:tc>
          <w:tcPr>
            <w:tcW w:w="3200" w:type="dxa"/>
            <w:vAlign w:val="bottom"/>
          </w:tcPr>
          <w:p>
            <w:pPr>
              <w:jc w:val="center"/>
              <w:ind w:left="882"/>
              <w:spacing w:after="0"/>
              <w:rPr>
                <w:sz w:val="20"/>
                <w:szCs w:val="20"/>
                <w:color w:val="auto"/>
              </w:rPr>
            </w:pPr>
            <w:r>
              <w:rPr>
                <w:rFonts w:ascii="Arial" w:cs="Arial" w:eastAsia="Arial" w:hAnsi="Arial"/>
                <w:sz w:val="14"/>
                <w:szCs w:val="14"/>
                <w:color w:val="auto"/>
              </w:rPr>
              <w:t>(Zip Code)</w:t>
            </w:r>
          </w:p>
        </w:tc>
      </w:tr>
      <w:tr>
        <w:trPr>
          <w:trHeight w:val="377"/>
        </w:trPr>
        <w:tc>
          <w:tcPr>
            <w:tcW w:w="3220" w:type="dxa"/>
            <w:vAlign w:val="bottom"/>
          </w:tcPr>
          <w:p>
            <w:pPr>
              <w:spacing w:after="0"/>
              <w:rPr>
                <w:sz w:val="24"/>
                <w:szCs w:val="24"/>
                <w:color w:val="auto"/>
              </w:rPr>
            </w:pPr>
          </w:p>
        </w:tc>
        <w:tc>
          <w:tcPr>
            <w:tcW w:w="3680" w:type="dxa"/>
            <w:vAlign w:val="bottom"/>
          </w:tcPr>
          <w:p>
            <w:pPr>
              <w:jc w:val="right"/>
              <w:ind w:right="901"/>
              <w:spacing w:after="0"/>
              <w:rPr>
                <w:sz w:val="20"/>
                <w:szCs w:val="20"/>
                <w:color w:val="auto"/>
              </w:rPr>
            </w:pPr>
            <w:r>
              <w:rPr>
                <w:rFonts w:ascii="Arial" w:cs="Arial" w:eastAsia="Arial" w:hAnsi="Arial"/>
                <w:sz w:val="18"/>
                <w:szCs w:val="18"/>
                <w:b w:val="1"/>
                <w:bCs w:val="1"/>
                <w:color w:val="auto"/>
              </w:rPr>
              <w:t>+44 203-429-3950</w:t>
            </w:r>
          </w:p>
        </w:tc>
        <w:tc>
          <w:tcPr>
            <w:tcW w:w="3200" w:type="dxa"/>
            <w:vAlign w:val="bottom"/>
          </w:tcPr>
          <w:p>
            <w:pPr>
              <w:spacing w:after="0"/>
              <w:rPr>
                <w:sz w:val="24"/>
                <w:szCs w:val="24"/>
                <w:color w:val="auto"/>
              </w:rPr>
            </w:pPr>
          </w:p>
        </w:tc>
      </w:tr>
      <w:tr>
        <w:trPr>
          <w:trHeight w:val="218"/>
        </w:trPr>
        <w:tc>
          <w:tcPr>
            <w:tcW w:w="3220" w:type="dxa"/>
            <w:vAlign w:val="bottom"/>
          </w:tcPr>
          <w:p>
            <w:pPr>
              <w:spacing w:after="0"/>
              <w:rPr>
                <w:sz w:val="18"/>
                <w:szCs w:val="18"/>
                <w:color w:val="auto"/>
              </w:rPr>
            </w:pP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(Registrant's telephone number, including area code)</w:t>
            </w:r>
          </w:p>
        </w:tc>
        <w:tc>
          <w:tcPr>
            <w:tcW w:w="3200" w:type="dxa"/>
            <w:vAlign w:val="bottom"/>
          </w:tcPr>
          <w:p>
            <w:pPr>
              <w:spacing w:after="0"/>
              <w:rPr>
                <w:sz w:val="18"/>
                <w:szCs w:val="18"/>
                <w:color w:val="auto"/>
              </w:rPr>
            </w:pPr>
          </w:p>
        </w:tc>
      </w:tr>
      <w:tr>
        <w:trPr>
          <w:trHeight w:val="444"/>
        </w:trPr>
        <w:tc>
          <w:tcPr>
            <w:tcW w:w="3220" w:type="dxa"/>
            <w:vAlign w:val="bottom"/>
          </w:tcPr>
          <w:p>
            <w:pPr>
              <w:spacing w:after="0"/>
              <w:rPr>
                <w:sz w:val="24"/>
                <w:szCs w:val="24"/>
                <w:color w:val="auto"/>
              </w:rPr>
            </w:pPr>
          </w:p>
        </w:tc>
        <w:tc>
          <w:tcPr>
            <w:tcW w:w="3680" w:type="dxa"/>
            <w:vAlign w:val="bottom"/>
          </w:tcPr>
          <w:p>
            <w:pPr>
              <w:jc w:val="center"/>
              <w:ind w:left="181"/>
              <w:spacing w:after="0"/>
              <w:rPr>
                <w:sz w:val="20"/>
                <w:szCs w:val="20"/>
                <w:color w:val="auto"/>
              </w:rPr>
            </w:pPr>
            <w:r>
              <w:rPr>
                <w:rFonts w:ascii="Arial" w:cs="Arial" w:eastAsia="Arial" w:hAnsi="Arial"/>
                <w:sz w:val="18"/>
                <w:szCs w:val="18"/>
                <w:b w:val="1"/>
                <w:bCs w:val="1"/>
                <w:color w:val="auto"/>
                <w:w w:val="99"/>
              </w:rPr>
              <w:t>Not Applicable</w:t>
            </w:r>
          </w:p>
        </w:tc>
        <w:tc>
          <w:tcPr>
            <w:tcW w:w="3200" w:type="dxa"/>
            <w:vAlign w:val="bottom"/>
          </w:tcPr>
          <w:p>
            <w:pPr>
              <w:spacing w:after="0"/>
              <w:rPr>
                <w:sz w:val="24"/>
                <w:szCs w:val="24"/>
                <w:color w:val="auto"/>
              </w:rPr>
            </w:pPr>
          </w:p>
        </w:tc>
      </w:tr>
      <w:tr>
        <w:trPr>
          <w:trHeight w:val="153"/>
        </w:trPr>
        <w:tc>
          <w:tcPr>
            <w:tcW w:w="3220" w:type="dxa"/>
            <w:vAlign w:val="bottom"/>
          </w:tcPr>
          <w:p>
            <w:pPr>
              <w:spacing w:after="0"/>
              <w:rPr>
                <w:sz w:val="13"/>
                <w:szCs w:val="13"/>
                <w:color w:val="auto"/>
              </w:rPr>
            </w:pPr>
          </w:p>
        </w:tc>
        <w:tc>
          <w:tcPr>
            <w:tcW w:w="6880" w:type="dxa"/>
            <w:vAlign w:val="bottom"/>
            <w:gridSpan w:val="2"/>
          </w:tcPr>
          <w:p>
            <w:pPr>
              <w:jc w:val="center"/>
              <w:ind w:right="2862"/>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r>
      <w:tr>
        <w:trPr>
          <w:trHeight w:val="172"/>
        </w:trPr>
        <w:tc>
          <w:tcPr>
            <w:tcW w:w="10100" w:type="dxa"/>
            <w:vAlign w:val="bottom"/>
            <w:gridSpan w:val="3"/>
          </w:tcPr>
          <w:p>
            <w:pPr>
              <w:jc w:val="right"/>
              <w:ind w:right="2682"/>
              <w:spacing w:after="0"/>
              <w:rPr>
                <w:sz w:val="20"/>
                <w:szCs w:val="20"/>
                <w:color w:val="auto"/>
              </w:rPr>
            </w:pPr>
            <w:r>
              <w:rPr>
                <w:rFonts w:ascii="Arial" w:cs="Arial" w:eastAsia="Arial" w:hAnsi="Arial"/>
                <w:sz w:val="14"/>
                <w:szCs w:val="14"/>
                <w:color w:val="auto"/>
              </w:rPr>
              <w:t>______________________________________________________</w:t>
            </w:r>
          </w:p>
        </w:tc>
      </w:tr>
      <w:tr>
        <w:trPr>
          <w:trHeight w:val="296"/>
        </w:trPr>
        <w:tc>
          <w:tcPr>
            <w:tcW w:w="1010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90"/>
        </w:trPr>
        <w:tc>
          <w:tcPr>
            <w:tcW w:w="3220" w:type="dxa"/>
            <w:vAlign w:val="bottom"/>
          </w:tcPr>
          <w:p>
            <w:pPr>
              <w:jc w:val="center"/>
              <w:ind w:left="381"/>
              <w:spacing w:after="0"/>
              <w:rPr>
                <w:sz w:val="20"/>
                <w:szCs w:val="20"/>
                <w:color w:val="auto"/>
              </w:rPr>
            </w:pPr>
            <w:r>
              <w:rPr>
                <w:rFonts w:ascii="Arial" w:cs="Arial" w:eastAsia="Arial" w:hAnsi="Arial"/>
                <w:sz w:val="14"/>
                <w:szCs w:val="14"/>
                <w:b w:val="1"/>
                <w:bCs w:val="1"/>
                <w:color w:val="auto"/>
              </w:rPr>
              <w:t>Title of Each Class</w:t>
            </w:r>
          </w:p>
        </w:tc>
        <w:tc>
          <w:tcPr>
            <w:tcW w:w="3680" w:type="dxa"/>
            <w:vAlign w:val="bottom"/>
          </w:tcPr>
          <w:p>
            <w:pPr>
              <w:jc w:val="center"/>
              <w:ind w:left="161"/>
              <w:spacing w:after="0"/>
              <w:rPr>
                <w:sz w:val="20"/>
                <w:szCs w:val="20"/>
                <w:color w:val="auto"/>
              </w:rPr>
            </w:pPr>
            <w:r>
              <w:rPr>
                <w:rFonts w:ascii="Arial" w:cs="Arial" w:eastAsia="Arial" w:hAnsi="Arial"/>
                <w:sz w:val="14"/>
                <w:szCs w:val="14"/>
                <w:b w:val="1"/>
                <w:bCs w:val="1"/>
                <w:color w:val="auto"/>
              </w:rPr>
              <w:t>Trading Symbol</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220" w:type="dxa"/>
            <w:vAlign w:val="bottom"/>
          </w:tcPr>
          <w:p>
            <w:pPr>
              <w:jc w:val="center"/>
              <w:ind w:left="401"/>
              <w:spacing w:after="0"/>
              <w:rPr>
                <w:sz w:val="20"/>
                <w:szCs w:val="20"/>
                <w:color w:val="auto"/>
              </w:rPr>
            </w:pPr>
            <w:r>
              <w:rPr>
                <w:rFonts w:ascii="Arial" w:cs="Arial" w:eastAsia="Arial" w:hAnsi="Arial"/>
                <w:sz w:val="14"/>
                <w:szCs w:val="14"/>
                <w:color w:val="auto"/>
              </w:rPr>
              <w:t>Ordinary shares, $1.00 par value per share</w:t>
            </w:r>
          </w:p>
        </w:tc>
        <w:tc>
          <w:tcPr>
            <w:tcW w:w="3680" w:type="dxa"/>
            <w:vAlign w:val="bottom"/>
          </w:tcPr>
          <w:p>
            <w:pPr>
              <w:jc w:val="center"/>
              <w:ind w:left="141"/>
              <w:spacing w:after="0"/>
              <w:rPr>
                <w:sz w:val="20"/>
                <w:szCs w:val="20"/>
                <w:color w:val="auto"/>
              </w:rPr>
            </w:pPr>
            <w:r>
              <w:rPr>
                <w:rFonts w:ascii="Arial" w:cs="Arial" w:eastAsia="Arial" w:hAnsi="Arial"/>
                <w:sz w:val="14"/>
                <w:szCs w:val="14"/>
                <w:color w:val="auto"/>
              </w:rPr>
              <w:t>FTI</w:t>
            </w:r>
          </w:p>
        </w:tc>
        <w:tc>
          <w:tcPr>
            <w:tcW w:w="32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79"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2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February 24, 2021, TechnipFMC plc (the "Company") issued a news release announcing its financial results for the fiscal quarter ended December 31, 2020. A copy of the news release is furnished as Exhibit 99.1 to this report and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News Release issued by the Company dated February 24, 2021</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60" w:type="dxa"/>
            <w:vAlign w:val="bottom"/>
            <w:gridSpan w:val="2"/>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499"/>
        </w:trPr>
        <w:tc>
          <w:tcPr>
            <w:tcW w:w="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223"/>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36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News Release issued by the Company dated February 24, 2021</w:t>
              </w:r>
            </w:hyperlink>
          </w:p>
        </w:tc>
      </w:tr>
      <w:tr>
        <w:trPr>
          <w:trHeight w:val="229"/>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993"/>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6350</wp:posOffset>
            </wp:positionV>
            <wp:extent cx="407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800" w:val="left"/>
          <w:tab w:leader="none" w:pos="3980" w:val="left"/>
        </w:tabs>
        <w:rPr>
          <w:sz w:val="20"/>
          <w:szCs w:val="20"/>
          <w:color w:val="auto"/>
        </w:rPr>
      </w:pPr>
      <w:r>
        <w:rPr>
          <w:rFonts w:ascii="Arial" w:cs="Arial" w:eastAsia="Arial" w:hAnsi="Arial"/>
          <w:sz w:val="18"/>
          <w:szCs w:val="18"/>
          <w:color w:val="auto"/>
        </w:rPr>
        <w:t>Dated:</w:t>
        <w:tab/>
        <w:t>February 24, 2021</w:t>
      </w:r>
      <w:r>
        <w:rPr>
          <w:sz w:val="20"/>
          <w:szCs w:val="20"/>
          <w:color w:val="auto"/>
        </w:rPr>
        <w:tab/>
      </w:r>
      <w:r>
        <w:rPr>
          <w:rFonts w:ascii="Arial" w:cs="Arial" w:eastAsia="Arial" w:hAnsi="Arial"/>
          <w:sz w:val="17"/>
          <w:szCs w:val="17"/>
          <w:color w:val="auto"/>
        </w:rPr>
        <w:t>Name: Alf Melin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6"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Press Release</w:t>
      </w: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Fourth Quarter 2020 Results</w:t>
      </w:r>
    </w:p>
    <w:p>
      <w:pPr>
        <w:spacing w:after="0" w:line="33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Full year 2020</w:t>
      </w:r>
    </w:p>
    <w:p>
      <w:pPr>
        <w:spacing w:after="0" w:line="23" w:lineRule="exact"/>
        <w:rPr>
          <w:sz w:val="20"/>
          <w:szCs w:val="20"/>
          <w:color w:val="auto"/>
        </w:rPr>
      </w:pP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Cash flow from operations of $657 million; free cash flow of $365 million</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All segments achieved financial guidance</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Total Company inbound orders of $10.1 billion; Subsea orders of $4 billion</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Resilient backlog of $21.4 billion; Subsea backlog of $6.9 billion</w:t>
      </w: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Fourth quarter 2020</w:t>
      </w:r>
    </w:p>
    <w:p>
      <w:pPr>
        <w:ind w:left="400" w:hanging="230"/>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GAAP diluted loss per share was $0.09</w:t>
      </w:r>
    </w:p>
    <w:p>
      <w:pPr>
        <w:ind w:left="640" w:hanging="227"/>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total after-tax charges, net of credits, of $0.14 per diluted share</w:t>
      </w:r>
    </w:p>
    <w:p>
      <w:pPr>
        <w:ind w:left="400" w:hanging="230"/>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diluted earnings per share, excluding charges and credits, was $0.05</w:t>
      </w:r>
    </w:p>
    <w:p>
      <w:pPr>
        <w:ind w:left="640" w:hanging="227"/>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expense resulting from increased liability to joint venture partners of $0.12 per diluted share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80"/>
        <w:spacing w:after="0" w:line="271" w:lineRule="auto"/>
        <w:rPr>
          <w:sz w:val="20"/>
          <w:szCs w:val="20"/>
          <w:color w:val="auto"/>
        </w:rPr>
      </w:pPr>
      <w:r>
        <w:rPr>
          <w:rFonts w:ascii="Arial" w:cs="Arial" w:eastAsia="Arial" w:hAnsi="Arial"/>
          <w:sz w:val="20"/>
          <w:szCs w:val="20"/>
          <w:b w:val="1"/>
          <w:bCs w:val="1"/>
          <w:color w:val="auto"/>
        </w:rPr>
        <w:t xml:space="preserve">LONDON, PARIS, HOUSTON, February 24, 2021 - </w:t>
      </w:r>
      <w:r>
        <w:rPr>
          <w:rFonts w:ascii="Arial" w:cs="Arial" w:eastAsia="Arial" w:hAnsi="Arial"/>
          <w:sz w:val="20"/>
          <w:szCs w:val="20"/>
          <w:color w:val="auto"/>
        </w:rPr>
        <w:t>TechnipFMC plc (NYSE: FTI) (Paris: FTI) today reported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2020 results.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Fourth Quarter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December 31,</w:t>
            </w:r>
          </w:p>
        </w:tc>
        <w:tc>
          <w:tcPr>
            <w:tcW w:w="192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00" w:type="dxa"/>
            <w:vAlign w:val="bottom"/>
            <w:tcBorders>
              <w:bottom w:val="single" w:sz="8" w:color="B8CCE4"/>
              <w:right w:val="single" w:sz="8" w:color="B8CCE4"/>
            </w:tcBorders>
          </w:tcPr>
          <w:p>
            <w:pPr>
              <w:jc w:val="right"/>
              <w:ind w:right="706"/>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bottom w:val="single" w:sz="8" w:color="B8CCE4"/>
              <w:right w:val="single" w:sz="8" w:color="B8CCE4"/>
            </w:tcBorders>
          </w:tcPr>
          <w:p>
            <w:pPr>
              <w:jc w:val="right"/>
              <w:ind w:right="726"/>
              <w:spacing w:after="0"/>
              <w:rPr>
                <w:sz w:val="20"/>
                <w:szCs w:val="20"/>
                <w:color w:val="auto"/>
              </w:rPr>
            </w:pPr>
            <w:r>
              <w:rPr>
                <w:rFonts w:ascii="Arial" w:cs="Arial" w:eastAsia="Arial" w:hAnsi="Arial"/>
                <w:sz w:val="14"/>
                <w:szCs w:val="14"/>
                <w:b w:val="1"/>
                <w:bCs w:val="1"/>
                <w:color w:val="auto"/>
              </w:rPr>
              <w:t>2019</w:t>
            </w:r>
          </w:p>
        </w:tc>
        <w:tc>
          <w:tcPr>
            <w:tcW w:w="176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$3,426.1</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$3,726.8</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(8.1%)</w:t>
            </w: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$(39.3)</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$(2,414.0)</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(loss)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$(0.09)</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$(5.40)</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50"/>
        </w:trPr>
        <w:tc>
          <w:tcPr>
            <w:tcW w:w="56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92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$300.8</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$404.4</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(25.6%)</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8.8 %</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10.9 %</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(210 bps)</w:t>
            </w: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$23.4</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55.0%</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$0.05</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$0.03</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66.7%</w:t>
            </w:r>
          </w:p>
        </w:tc>
        <w:tc>
          <w:tcPr>
            <w:tcW w:w="0" w:type="dxa"/>
            <w:vAlign w:val="bottom"/>
          </w:tcPr>
          <w:p>
            <w:pPr>
              <w:spacing w:after="0"/>
              <w:rPr>
                <w:sz w:val="1"/>
                <w:szCs w:val="1"/>
                <w:color w:val="auto"/>
              </w:rPr>
            </w:pPr>
          </w:p>
        </w:tc>
      </w:tr>
      <w:tr>
        <w:trPr>
          <w:trHeight w:val="250"/>
        </w:trPr>
        <w:tc>
          <w:tcPr>
            <w:tcW w:w="56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92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$4,204.5</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$2,718.4</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54.7%</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$21,388.2</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$24,251.1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in the fourth quarter was $3,426.1 million. Net loss attributable to TechnipFMC plc was $39.3 million, or $0.09 per diluted share. These results included after-tax charges and credits totaling $62.7 million of expense, or $0.14 per diluted share. Adjusted net income was $23.4 million, or $0.05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 of 30</w:t>
      </w:r>
    </w:p>
    <w:p>
      <w:pPr>
        <w:sectPr>
          <w:pgSz w:w="11900" w:h="16838" w:orient="portrait"/>
          <w:cols w:equalWidth="0" w:num="1">
            <w:col w:w="11260"/>
          </w:cols>
          <w:pgMar w:left="320" w:top="1431" w:right="31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Adjusted results for the current period included all direct COVID-19 expenses and operational impacts related to the pandemic.</w:t>
      </w:r>
    </w:p>
    <w:p>
      <w:pPr>
        <w:spacing w:after="0"/>
        <w:rPr>
          <w:sz w:val="20"/>
          <w:szCs w:val="20"/>
          <w:color w:val="auto"/>
        </w:rPr>
      </w:pPr>
      <w:r>
        <w:rPr>
          <w:rFonts w:ascii="Arial" w:cs="Arial" w:eastAsia="Arial" w:hAnsi="Arial"/>
          <w:sz w:val="20"/>
          <w:szCs w:val="20"/>
          <w:color w:val="auto"/>
        </w:rPr>
        <w:t>Direct COVID-19 expenses were excluded from adjusted results in previous quarters in 2020.</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Adjusted EBITDA, which excludes pre-tax charges and credits, was $300.8 million and included a foreign exchange loss of $2.6 million; adjusted EBITDA margin was 8.8 percent (Exhibit 10).</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2020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Full Year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Twelve Months Ended</w:t>
            </w:r>
          </w:p>
        </w:tc>
        <w:tc>
          <w:tcPr>
            <w:tcW w:w="190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December 31,</w:t>
            </w:r>
          </w:p>
        </w:tc>
        <w:tc>
          <w:tcPr>
            <w:tcW w:w="192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00" w:type="dxa"/>
            <w:vAlign w:val="bottom"/>
            <w:tcBorders>
              <w:bottom w:val="single" w:sz="8" w:color="B8CCE4"/>
              <w:right w:val="single" w:sz="8" w:color="B8CCE4"/>
            </w:tcBorders>
          </w:tcPr>
          <w:p>
            <w:pPr>
              <w:jc w:val="right"/>
              <w:ind w:right="706"/>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bottom w:val="single" w:sz="8" w:color="B8CCE4"/>
              <w:right w:val="single" w:sz="8" w:color="B8CCE4"/>
            </w:tcBorders>
          </w:tcPr>
          <w:p>
            <w:pPr>
              <w:jc w:val="right"/>
              <w:ind w:right="726"/>
              <w:spacing w:after="0"/>
              <w:rPr>
                <w:sz w:val="20"/>
                <w:szCs w:val="20"/>
                <w:color w:val="auto"/>
              </w:rPr>
            </w:pPr>
            <w:r>
              <w:rPr>
                <w:rFonts w:ascii="Arial" w:cs="Arial" w:eastAsia="Arial" w:hAnsi="Arial"/>
                <w:sz w:val="14"/>
                <w:szCs w:val="14"/>
                <w:b w:val="1"/>
                <w:bCs w:val="1"/>
                <w:color w:val="auto"/>
              </w:rPr>
              <w:t>2019</w:t>
            </w:r>
          </w:p>
        </w:tc>
        <w:tc>
          <w:tcPr>
            <w:tcW w:w="176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$13,050.6</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$13,409.1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(2.7%)</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$(3,287.6)</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$(2,415.2)</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(loss)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$(7.33)</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$(5.39)</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50"/>
        </w:trPr>
        <w:tc>
          <w:tcPr>
            <w:tcW w:w="56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92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$1,083.3</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$1,529.4</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(29.2%)</w:t>
            </w: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8.3 %</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11.4 %</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(310 bps)</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$89.3</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$330.5</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(73.0%)</w:t>
            </w: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$0.20</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$0.74</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(73.0%)</w:t>
            </w:r>
          </w:p>
        </w:tc>
        <w:tc>
          <w:tcPr>
            <w:tcW w:w="0" w:type="dxa"/>
            <w:vAlign w:val="bottom"/>
          </w:tcPr>
          <w:p>
            <w:pPr>
              <w:spacing w:after="0"/>
              <w:rPr>
                <w:sz w:val="1"/>
                <w:szCs w:val="1"/>
                <w:color w:val="auto"/>
              </w:rPr>
            </w:pPr>
          </w:p>
        </w:tc>
      </w:tr>
      <w:tr>
        <w:trPr>
          <w:trHeight w:val="250"/>
        </w:trPr>
        <w:tc>
          <w:tcPr>
            <w:tcW w:w="56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92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$10,065.5</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$22,693.0</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(55.6%)</w:t>
            </w:r>
          </w:p>
        </w:tc>
        <w:tc>
          <w:tcPr>
            <w:tcW w:w="0" w:type="dxa"/>
            <w:vAlign w:val="bottom"/>
          </w:tcPr>
          <w:p>
            <w:pPr>
              <w:spacing w:after="0"/>
              <w:rPr>
                <w:sz w:val="1"/>
                <w:szCs w:val="1"/>
                <w:color w:val="auto"/>
              </w:rPr>
            </w:pPr>
          </w:p>
        </w:tc>
      </w:tr>
      <w:tr>
        <w:trPr>
          <w:trHeight w:val="236"/>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$21,388.2</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$24,251.1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(11.8%)</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for the full year was $13,050.6 million. Net loss attributable to TechnipFMC plc was $3,287.6 million, or $7.33 per diluted share. These results included after-tax charges and credits totaling $3,376.9 million of expense, or $7.53 per diluted share. Adjusted net income was $89.3 million, or $0.20 per diluted share.</w:t>
      </w:r>
    </w:p>
    <w:p>
      <w:pPr>
        <w:spacing w:after="0" w:line="17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Adjusted EBITDA, which excludes pre-tax charges and credits, was $1,083.3 million and included a foreign exchange loss of $28.8 million; adjusted EBITDA margin was 8.3 percent (Exhibit 11).</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Separation update</w:t>
      </w:r>
    </w:p>
    <w:p>
      <w:pPr>
        <w:spacing w:after="0" w:line="91"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Throughout 2020, we continued our work to separate TechnipFMC into two industry-leading, pure-play companies, with the transaction now completed through the partial spin-off of Technip Energies on February 16, 2021.</w:t>
      </w:r>
    </w:p>
    <w:p>
      <w:pPr>
        <w:spacing w:after="0" w:line="177"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TechnipFMC shareholders received, as a dividend, one share of Technip Energies N.V. common stock for every five shares of TechnipFMC common stock held at the close of business on the record date. Technip Energies is now an independent public company. Its ordinary shares are traded under the ticker symbol “TE” on the Euronext Paris Exchange and its Level 1 American Depositary Receipts (ADRs) trade over-the-counter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 of 30</w:t>
      </w:r>
    </w:p>
    <w:p>
      <w:pPr>
        <w:sectPr>
          <w:pgSz w:w="11900" w:h="16838" w:orient="portrait"/>
          <w:cols w:equalWidth="0" w:num="1">
            <w:col w:w="11260"/>
          </w:cols>
          <w:pgMar w:left="320" w:top="1431" w:right="319" w:bottom="1440" w:gutter="0" w:footer="0" w:header="0"/>
        </w:sectPr>
      </w:pPr>
    </w:p>
    <w:bookmarkStart w:id="6" w:name="page7"/>
    <w:bookmarkEnd w:id="6"/>
    <w:p>
      <w:pPr>
        <w:jc w:val="both"/>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Doug Pferdehirt, Chairman and CEO of TechnipFMC, stated, “Our success has always been the result of the tireless efforts and unwavering commitment of the women and men of TechnipFMC. Their accomplishments in 2020 were nothing short of exceptional given the hardship and difficulties that occurred across the globe.”</w:t>
      </w:r>
    </w:p>
    <w:p>
      <w:pPr>
        <w:spacing w:after="0" w:line="9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efforts to address COVID-19 challenges have been recognized by our clients. Working together, we found solutions that helped mitigate many of the obstacles we faced and allowed projects to move forward safely. This collaboration allowed us to protect our backlog and remain focused on project execution, enabling us to deliver strong performance and achieve our financial guidance across all segments.”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added, “Throughout 2020, we delivered several notable achievements with regard to our business transformation. We progressed on our plan to separate into two independent, industry-leading pure-play companies, completing the transaction on February 16 of this year. We achieved targeted cost savings of more than $350 million well ahead of schedule. We provided a comprehensive overview of our ESG efforts, including new initiatives to be realized through 2023 and a commitment to deliver a 50 percent reduction in Scope 1 and 2 equivalent emissions by 2030. And as part of our efforts to drive sustainable change, we introduced key elements of our digital transformation, including Subsea Studio™ and iComplete™, which will improve project economics, enhance performance and reduce emissions.”</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continued, “In Surface Technologies, we expect growth in international activity to drive full-year segment revenue higher in 2021. While we anticipate revenue in North America to be flat to down modestly, we expect strong customer adoption of our iComplete™ ecosystem to drive growth in our completions revenue. We remain levered to the more resilient international markets where we expect to source approximately 65 percent of our full year revenue.”</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Subsea, our outlook reflects renewed operator confidence given the improved economic outlook, lower market volatility and higher oil price. For the current year, we anticipate Brazil will be the most active region of the world for new project orders, with growth also coming from the North Sea, Asia Pacific and Africa. We remain very confident that inbound orders for 2021 will exceed the $4 billion achieved in 2020. We are also experiencing a high level of front end activity, which should support a more sustainable deepwater recovery and our expectation for continued order growth in 2022.”</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added, “TechnipFMC is well-positioned for the Energy Transition, with significant offshore opportunities in Subsea including novel wind, wave energy, carbon storage and green hydrogen. Deep Purple™ is one such initiative, where we are leveraging our core capabilities: iEPCI™, proprietary technologies and partner alliances. Additionally, we see future opportunities driven by our investments in early phase projects and solutions that accelerate the role of our technologies in the Energy Transition as we continue to redefine offshore energy.”</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concluded, “We are excited to have embarked on our independent journey as a leading technology provider to both the traditional and new energy industries. We are well-positioned to benefit from the improved market outlook and remain focused on progressing our business transformation and ESG commitments to help our customers meet the world’s demand for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3 of 30</w:t>
      </w:r>
    </w:p>
    <w:p>
      <w:pPr>
        <w:sectPr>
          <w:pgSz w:w="11900" w:h="16838" w:orient="portrait"/>
          <w:cols w:equalWidth="0" w:num="1">
            <w:col w:w="11240"/>
          </w:cols>
          <w:pgMar w:left="320" w:top="143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Operational and Financial Highlights - Fourth Quarter 2020</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612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Borders>
              <w:top w:val="single" w:sz="8" w:color="B8CCE4"/>
              <w:right w:val="single" w:sz="8" w:color="B8CCE4"/>
            </w:tcBorders>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1500" w:type="dxa"/>
            <w:vAlign w:val="bottom"/>
            <w:tcBorders>
              <w:top w:val="single" w:sz="8" w:color="B8CCE4"/>
              <w:right w:val="single" w:sz="8" w:color="B8CCE4"/>
            </w:tcBorders>
          </w:tcPr>
          <w:p>
            <w:pPr>
              <w:spacing w:after="0"/>
              <w:rPr>
                <w:sz w:val="16"/>
                <w:szCs w:val="16"/>
                <w:color w:val="auto"/>
              </w:rPr>
            </w:pPr>
          </w:p>
        </w:tc>
      </w:tr>
      <w:tr>
        <w:trPr>
          <w:trHeight w:val="202"/>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Borders>
              <w:bottom w:val="single" w:sz="8" w:color="B8CCE4"/>
              <w:right w:val="single" w:sz="8" w:color="B8CCE4"/>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86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36"/>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$1,338.0</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$1,486.8</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(10.0%)</w:t>
            </w:r>
          </w:p>
        </w:tc>
      </w:tr>
      <w:tr>
        <w:trPr>
          <w:trHeight w:val="237"/>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$(9.5)</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$(1,512.7)</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37"/>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$116.5</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$185.0</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(37.0%)</w:t>
            </w:r>
          </w:p>
        </w:tc>
      </w:tr>
      <w:tr>
        <w:trPr>
          <w:trHeight w:val="237"/>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8.7 %</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12.4 %</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(370 bps)</w:t>
            </w:r>
          </w:p>
        </w:tc>
      </w:tr>
      <w:tr>
        <w:trPr>
          <w:trHeight w:val="250"/>
        </w:trPr>
        <w:tc>
          <w:tcPr>
            <w:tcW w:w="6120" w:type="dxa"/>
            <w:vAlign w:val="bottom"/>
            <w:tcBorders>
              <w:left w:val="single" w:sz="8" w:color="B8CCE4"/>
              <w:bottom w:val="single" w:sz="8" w:color="B8CCE4"/>
            </w:tcBorders>
          </w:tcPr>
          <w:p>
            <w:pPr>
              <w:spacing w:after="0"/>
              <w:rPr>
                <w:sz w:val="21"/>
                <w:szCs w:val="21"/>
                <w:color w:val="auto"/>
              </w:rPr>
            </w:pPr>
          </w:p>
        </w:tc>
        <w:tc>
          <w:tcPr>
            <w:tcW w:w="1740" w:type="dxa"/>
            <w:vAlign w:val="bottom"/>
            <w:tcBorders>
              <w:bottom w:val="single" w:sz="8" w:color="B8CCE4"/>
            </w:tcBorders>
          </w:tcPr>
          <w:p>
            <w:pPr>
              <w:spacing w:after="0"/>
              <w:rPr>
                <w:sz w:val="21"/>
                <w:szCs w:val="21"/>
                <w:color w:val="auto"/>
              </w:rPr>
            </w:pPr>
          </w:p>
        </w:tc>
        <w:tc>
          <w:tcPr>
            <w:tcW w:w="1860" w:type="dxa"/>
            <w:vAlign w:val="bottom"/>
            <w:tcBorders>
              <w:bottom w:val="single" w:sz="8" w:color="B8CCE4"/>
            </w:tcBorders>
          </w:tcPr>
          <w:p>
            <w:pPr>
              <w:spacing w:after="0"/>
              <w:rPr>
                <w:sz w:val="21"/>
                <w:szCs w:val="21"/>
                <w:color w:val="auto"/>
              </w:rPr>
            </w:pPr>
          </w:p>
        </w:tc>
        <w:tc>
          <w:tcPr>
            <w:tcW w:w="1500" w:type="dxa"/>
            <w:vAlign w:val="bottom"/>
            <w:tcBorders>
              <w:bottom w:val="single" w:sz="8" w:color="B8CCE4"/>
              <w:right w:val="single" w:sz="8" w:color="B8CCE4"/>
            </w:tcBorders>
          </w:tcPr>
          <w:p>
            <w:pPr>
              <w:spacing w:after="0"/>
              <w:rPr>
                <w:sz w:val="21"/>
                <w:szCs w:val="21"/>
                <w:color w:val="auto"/>
              </w:rPr>
            </w:pPr>
          </w:p>
        </w:tc>
      </w:tr>
      <w:tr>
        <w:trPr>
          <w:trHeight w:val="236"/>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$712.1</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$1,172.3</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(39.3%)</w:t>
            </w:r>
          </w:p>
        </w:tc>
      </w:tr>
      <w:tr>
        <w:trPr>
          <w:trHeight w:val="237"/>
        </w:trPr>
        <w:tc>
          <w:tcPr>
            <w:tcW w:w="61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$6,876.0</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$8,479.8</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(18.9%)</w:t>
            </w:r>
          </w:p>
        </w:tc>
      </w:tr>
    </w:tbl>
    <w:p>
      <w:pPr>
        <w:spacing w:after="0" w:line="200" w:lineRule="exact"/>
        <w:rPr>
          <w:sz w:val="20"/>
          <w:szCs w:val="20"/>
          <w:color w:val="auto"/>
        </w:rPr>
      </w:pPr>
    </w:p>
    <w:p>
      <w:pPr>
        <w:spacing w:after="0" w:line="3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fourth quarter revenue of $1,338 million, a decrease of 10 percent from the prior year primarily driven by lower project activity in Norway and Brazil. The revenue decrease was partially offset by increased activity in the United States, Africa and Asia Pacific. Subsea services revenue was largely unchanged from the prior year quarter.</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an operating loss of $9.5 million that included impairment, restructuring and other charges totaling $44.7 million. Operating results in the period were negatively impacted by the lower activity and COVID-19. Segment results in the prior year included net charges totaling $1,622.7 million, comprised largely of non-cash impairment charges.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Adjusted EBITDA was $116.5 million, with a margin of 8.7 percent. Adjusted EBITDA for the current period included all direct COVID-19 expenses (previously excluded from adjusted results) and operational impacts related to the pandemic.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Subsea Highlights</w:t>
      </w:r>
    </w:p>
    <w:p>
      <w:pPr>
        <w:spacing w:after="0" w:line="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Eni Merakes iEPCI™ </w:t>
      </w:r>
      <w:r>
        <w:rPr>
          <w:rFonts w:ascii="Arial" w:cs="Arial" w:eastAsia="Arial" w:hAnsi="Arial"/>
          <w:sz w:val="17"/>
          <w:szCs w:val="17"/>
          <w:b w:val="1"/>
          <w:bCs w:val="1"/>
          <w:color w:val="auto"/>
        </w:rPr>
        <w:t>(Indonesia)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Successful completion of installation campaign.</w:t>
      </w:r>
    </w:p>
    <w:p>
      <w:pPr>
        <w:spacing w:after="0" w:line="83"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Energean Karish iEPCI™ </w:t>
      </w:r>
      <w:r>
        <w:rPr>
          <w:rFonts w:ascii="Arial" w:cs="Arial" w:eastAsia="Arial" w:hAnsi="Arial"/>
          <w:sz w:val="17"/>
          <w:szCs w:val="17"/>
          <w:b w:val="1"/>
          <w:bCs w:val="1"/>
          <w:color w:val="auto"/>
        </w:rPr>
        <w:t>(Israel)</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Completion of 90 kilometer hydrotest of sales pipeline and tie-in spool scope.</w:t>
      </w:r>
    </w:p>
    <w:p>
      <w:pPr>
        <w:spacing w:after="0" w:line="83" w:lineRule="exact"/>
        <w:rPr>
          <w:rFonts w:ascii="Arial" w:cs="Arial" w:eastAsia="Arial" w:hAnsi="Arial"/>
          <w:sz w:val="20"/>
          <w:szCs w:val="20"/>
          <w:b w:val="1"/>
          <w:bCs w:val="1"/>
          <w:color w:val="auto"/>
        </w:rPr>
      </w:pPr>
    </w:p>
    <w:p>
      <w:pPr>
        <w:ind w:left="660" w:right="7140" w:hanging="328"/>
        <w:spacing w:after="0" w:line="271"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Total Mozambique LNG </w:t>
      </w:r>
      <w:r>
        <w:rPr>
          <w:rFonts w:ascii="Arial" w:cs="Arial" w:eastAsia="Arial" w:hAnsi="Arial"/>
          <w:sz w:val="17"/>
          <w:szCs w:val="17"/>
          <w:b w:val="1"/>
          <w:bCs w:val="1"/>
          <w:color w:val="auto"/>
        </w:rPr>
        <w:t>(Mozambique)</w:t>
      </w:r>
      <w:r>
        <w:rPr>
          <w:rFonts w:ascii="Arial" w:cs="Arial" w:eastAsia="Arial" w:hAnsi="Arial"/>
          <w:sz w:val="20"/>
          <w:szCs w:val="20"/>
          <w:b w:val="1"/>
          <w:bCs w:val="1"/>
          <w:color w:val="auto"/>
        </w:rPr>
        <w:t xml:space="preserve"> </w:t>
      </w:r>
      <w:r>
        <w:rPr>
          <w:rFonts w:ascii="Arial" w:cs="Arial" w:eastAsia="Arial" w:hAnsi="Arial"/>
          <w:sz w:val="20"/>
          <w:szCs w:val="20"/>
          <w:color w:val="auto"/>
        </w:rPr>
        <w:t>Completion of first subsea trees.</w:t>
      </w:r>
    </w:p>
    <w:p>
      <w:pPr>
        <w:spacing w:after="0" w:line="47"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Eni Coral South project </w:t>
      </w:r>
      <w:r>
        <w:rPr>
          <w:rFonts w:ascii="Arial" w:cs="Arial" w:eastAsia="Arial" w:hAnsi="Arial"/>
          <w:sz w:val="17"/>
          <w:szCs w:val="17"/>
          <w:b w:val="1"/>
          <w:bCs w:val="1"/>
          <w:color w:val="auto"/>
        </w:rPr>
        <w:t>(Mozambique)</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Moving to the offshore execution phase with mobilization of personnel in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4 of 30</w:t>
      </w:r>
    </w:p>
    <w:p>
      <w:pPr>
        <w:sectPr>
          <w:pgSz w:w="11900" w:h="16838" w:orient="portrait"/>
          <w:cols w:equalWidth="0" w:num="1">
            <w:col w:w="11240"/>
          </w:cols>
          <w:pgMar w:left="320" w:top="1408" w:right="339" w:bottom="1440" w:gutter="0" w:footer="0" w:header="0"/>
        </w:sectPr>
      </w:pPr>
    </w:p>
    <w:bookmarkStart w:id="8" w:name="page9"/>
    <w:bookmarkEnd w:id="8"/>
    <w:p>
      <w:pPr>
        <w:ind w:right="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Subsea inbound orders were $712.1 million for the quarter, resulting in a book-to-bill of 0.5. The following award was announced in the period:</w:t>
      </w:r>
    </w:p>
    <w:p>
      <w:pPr>
        <w:spacing w:after="0" w:line="19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Equinor Breidablikk </w:t>
      </w:r>
      <w:r>
        <w:rPr>
          <w:rFonts w:ascii="Arial" w:cs="Arial" w:eastAsia="Arial" w:hAnsi="Arial"/>
          <w:sz w:val="17"/>
          <w:szCs w:val="17"/>
          <w:b w:val="1"/>
          <w:bCs w:val="1"/>
          <w:color w:val="auto"/>
        </w:rPr>
        <w:t>(Norway)</w:t>
      </w:r>
    </w:p>
    <w:p>
      <w:pPr>
        <w:spacing w:after="0" w:line="23"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engineering, procurement, construction and installation contract by Equinor for the Breidablikk Pipelay, including option for the subsea installation scope located in the area close to the Grane Field, North Sea. The Breidablikk project is a tie-back to the existing Grane platform. TechnipFMC’s scope includes provision of flexible jumpers and rigid pipelines as well as pipeline installation work.</w:t>
      </w:r>
    </w:p>
    <w:p>
      <w:pPr>
        <w:spacing w:after="0" w:line="1" w:lineRule="exact"/>
        <w:rPr>
          <w:rFonts w:ascii="Arial" w:cs="Arial" w:eastAsia="Arial" w:hAnsi="Arial"/>
          <w:sz w:val="20"/>
          <w:szCs w:val="20"/>
          <w:b w:val="1"/>
          <w:bCs w:val="1"/>
          <w:i w:val="1"/>
          <w:iCs w:val="1"/>
          <w:color w:val="auto"/>
        </w:rPr>
      </w:pPr>
    </w:p>
    <w:p>
      <w:pPr>
        <w:ind w:left="660" w:right="2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 this inbound order was included in the Company’s first half financial results.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Subsequent to the period, the following awards were announced and will be included in first quarter 2021 results:</w:t>
      </w:r>
    </w:p>
    <w:p>
      <w:pPr>
        <w:spacing w:after="0" w:line="20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Energean North El Amriya and North Idku iEPCI™ Project </w:t>
      </w:r>
      <w:r>
        <w:rPr>
          <w:rFonts w:ascii="Arial" w:cs="Arial" w:eastAsia="Arial" w:hAnsi="Arial"/>
          <w:sz w:val="17"/>
          <w:szCs w:val="17"/>
          <w:b w:val="1"/>
          <w:bCs w:val="1"/>
          <w:color w:val="auto"/>
        </w:rPr>
        <w:t>(Egypt)</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integrated engineering, procurement, construction and installation (iEPCI™) contract from NIpetco and PetroAmriya, two Joint Ventures between Energean and Egyptian Natural Gas Holding Company (EGAS) and Egyptian General Petroleum Corporation (EGPC) for a subsea tieback located offshore Egypt on the North El Amriya and North Idku concession. TechnipFMC will design, manufacture, deliver and install subsea equipment including the subsea production system, subsea trees, production manifolds, umbilicals, flexible pipelines, jumpers and associated subsea and topside controls.</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w:t>
      </w:r>
    </w:p>
    <w:p>
      <w:pPr>
        <w:spacing w:after="0" w:line="205"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PETRONAS Carigali Limbayong Deepwater Development Project </w:t>
      </w:r>
      <w:r>
        <w:rPr>
          <w:rFonts w:ascii="Arial" w:cs="Arial" w:eastAsia="Arial" w:hAnsi="Arial"/>
          <w:sz w:val="17"/>
          <w:szCs w:val="17"/>
          <w:b w:val="1"/>
          <w:bCs w:val="1"/>
          <w:color w:val="auto"/>
        </w:rPr>
        <w:t>(Malaysia)</w:t>
      </w:r>
    </w:p>
    <w:p>
      <w:pPr>
        <w:spacing w:after="0" w:line="118" w:lineRule="exact"/>
        <w:rPr>
          <w:rFonts w:ascii="Arial" w:cs="Arial" w:eastAsia="Arial" w:hAnsi="Arial"/>
          <w:sz w:val="20"/>
          <w:szCs w:val="20"/>
          <w:b w:val="1"/>
          <w:bCs w:val="1"/>
          <w:i w:val="1"/>
          <w:iCs w:val="1"/>
          <w:color w:val="auto"/>
        </w:rPr>
      </w:pPr>
    </w:p>
    <w:p>
      <w:pPr>
        <w:ind w:left="660" w:right="8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Substantial* front-end engineering design, and integrated engineering, procurement, construction, installation and commissioning of subsea production system, umbilicals, risers and flowlines (iEPCI™) contract from PETRONAS Carigali, a subsidiary of PETRONAS for the Limbayong Deepwater Development Project. This contract covers the development of 10 deepwater wells and their tieback to the Limbayong Floating Production Storage and Offloading (FPSO) unit in Malaysia. TechnipFMC will design, manufacture, deliver and install subsea equipment including subsea trees, manifolds, umbilicals, flexible risers, flowlines, jumpers and other associated subsea hardware for the project. The iEPCI™ contract combines our integrated subsea solution with our Subsea 2.0™ products, demonstrating the added value of our unique and complete integrated offering.</w:t>
      </w:r>
    </w:p>
    <w:p>
      <w:pPr>
        <w:spacing w:after="0" w:line="3"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“substantial” award ranges between $250 million and $500 million.</w:t>
      </w:r>
    </w:p>
    <w:p>
      <w:pPr>
        <w:spacing w:after="0" w:line="205"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Energean Karish North iEPCI™ Development Project </w:t>
      </w:r>
      <w:r>
        <w:rPr>
          <w:rFonts w:ascii="Arial" w:cs="Arial" w:eastAsia="Arial" w:hAnsi="Arial"/>
          <w:sz w:val="17"/>
          <w:szCs w:val="17"/>
          <w:b w:val="1"/>
          <w:bCs w:val="1"/>
          <w:color w:val="auto"/>
        </w:rPr>
        <w:t>(Israel)</w:t>
      </w:r>
    </w:p>
    <w:p>
      <w:pPr>
        <w:spacing w:after="0" w:line="10" w:lineRule="exact"/>
        <w:rPr>
          <w:rFonts w:ascii="Arial" w:cs="Arial" w:eastAsia="Arial" w:hAnsi="Arial"/>
          <w:sz w:val="20"/>
          <w:szCs w:val="20"/>
          <w:b w:val="1"/>
          <w:bCs w:val="1"/>
          <w:color w:val="auto"/>
        </w:rPr>
      </w:pPr>
    </w:p>
    <w:p>
      <w:pPr>
        <w:jc w:val="both"/>
        <w:ind w:left="660"/>
        <w:spacing w:after="0" w:line="235" w:lineRule="auto"/>
        <w:rPr>
          <w:rFonts w:ascii="Arial" w:cs="Arial" w:eastAsia="Arial" w:hAnsi="Arial"/>
          <w:sz w:val="20"/>
          <w:szCs w:val="20"/>
          <w:b w:val="1"/>
          <w:bCs w:val="1"/>
          <w:color w:val="auto"/>
        </w:rPr>
      </w:pPr>
      <w:r>
        <w:rPr>
          <w:rFonts w:ascii="Arial" w:cs="Arial" w:eastAsia="Arial" w:hAnsi="Arial"/>
          <w:sz w:val="20"/>
          <w:szCs w:val="20"/>
          <w:color w:val="auto"/>
        </w:rPr>
        <w:t>Letter of award (LOA) by Energean Israel Limited for the development of the Karish North field, located offshore Israel. TechnipFMC will design, manufacture, deliver and install subsea equipment including the subsea production system, rigid flowlines and umbilicals as a tieback to the ‘Energean Power’ FPSO as well as the second gas export riser</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5 of 30</w:t>
      </w:r>
    </w:p>
    <w:p>
      <w:pPr>
        <w:sectPr>
          <w:pgSz w:w="11900" w:h="16838" w:orient="portrait"/>
          <w:cols w:equalWidth="0" w:num="1">
            <w:col w:w="11240"/>
          </w:cols>
          <w:pgMar w:left="320" w:top="1432" w:right="339" w:bottom="1440" w:gutter="0" w:footer="0" w:header="0"/>
        </w:sectPr>
      </w:pPr>
    </w:p>
    <w:bookmarkStart w:id="9" w:name="page10"/>
    <w:bookmarkEnd w:id="9"/>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9"/>
        </w:trPr>
        <w:tc>
          <w:tcPr>
            <w:tcW w:w="726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Subsea</w:t>
            </w:r>
          </w:p>
        </w:tc>
        <w:tc>
          <w:tcPr>
            <w:tcW w:w="1960" w:type="dxa"/>
            <w:vAlign w:val="bottom"/>
            <w:tcBorders>
              <w:top w:val="single" w:sz="8" w:color="B6DDE8"/>
              <w:right w:val="single" w:sz="8" w:color="B6DDE8"/>
            </w:tcBorders>
            <w:vMerge w:val="restart"/>
          </w:tcPr>
          <w:p>
            <w:pPr>
              <w:jc w:val="right"/>
              <w:ind w:right="324"/>
              <w:spacing w:after="0"/>
              <w:rPr>
                <w:sz w:val="20"/>
                <w:szCs w:val="20"/>
                <w:color w:val="auto"/>
              </w:rPr>
            </w:pPr>
            <w:r>
              <w:rPr>
                <w:rFonts w:ascii="Arial" w:cs="Arial" w:eastAsia="Arial" w:hAnsi="Arial"/>
                <w:sz w:val="20"/>
                <w:szCs w:val="20"/>
                <w:color w:val="auto"/>
              </w:rPr>
              <w:t>Consolidated</w:t>
            </w:r>
          </w:p>
        </w:tc>
        <w:tc>
          <w:tcPr>
            <w:tcW w:w="1980" w:type="dxa"/>
            <w:vAlign w:val="bottom"/>
            <w:tcBorders>
              <w:top w:val="single" w:sz="8" w:color="B6DDE8"/>
              <w:right w:val="single" w:sz="8" w:color="B6DDE8"/>
            </w:tcBorders>
            <w:vMerge w:val="restart"/>
          </w:tcPr>
          <w:p>
            <w:pPr>
              <w:jc w:val="right"/>
              <w:ind w:right="144"/>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33"/>
        </w:trPr>
        <w:tc>
          <w:tcPr>
            <w:tcW w:w="726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8"/>
                <w:szCs w:val="18"/>
                <w:color w:val="auto"/>
              </w:rPr>
              <w:t>Estimated Backlog Scheduling as of December 31, 2020</w:t>
            </w:r>
          </w:p>
        </w:tc>
        <w:tc>
          <w:tcPr>
            <w:tcW w:w="1960" w:type="dxa"/>
            <w:vAlign w:val="bottom"/>
            <w:tcBorders>
              <w:right w:val="single" w:sz="8" w:color="B6DDE8"/>
            </w:tcBorders>
            <w:vMerge w:val="continue"/>
          </w:tcPr>
          <w:p>
            <w:pPr>
              <w:spacing w:after="0"/>
              <w:rPr>
                <w:sz w:val="2"/>
                <w:szCs w:val="2"/>
                <w:color w:val="auto"/>
              </w:rPr>
            </w:pPr>
          </w:p>
        </w:tc>
        <w:tc>
          <w:tcPr>
            <w:tcW w:w="1980" w:type="dxa"/>
            <w:vAlign w:val="bottom"/>
            <w:tcBorders>
              <w:right w:val="single" w:sz="8" w:color="B6DDE8"/>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7260" w:type="dxa"/>
            <w:vAlign w:val="bottom"/>
            <w:tcBorders>
              <w:left w:val="single" w:sz="8" w:color="B6DDE8"/>
              <w:right w:val="single" w:sz="8" w:color="B6DDE8"/>
            </w:tcBorders>
            <w:vMerge w:val="continue"/>
          </w:tcPr>
          <w:p>
            <w:pPr>
              <w:spacing w:after="0"/>
              <w:rPr>
                <w:sz w:val="15"/>
                <w:szCs w:val="15"/>
                <w:color w:val="auto"/>
              </w:rPr>
            </w:pPr>
          </w:p>
        </w:tc>
        <w:tc>
          <w:tcPr>
            <w:tcW w:w="1960" w:type="dxa"/>
            <w:vAlign w:val="bottom"/>
            <w:tcBorders>
              <w:right w:val="single" w:sz="8" w:color="B6DDE8"/>
            </w:tcBorders>
          </w:tcPr>
          <w:p>
            <w:pPr>
              <w:jc w:val="right"/>
              <w:ind w:right="464"/>
              <w:spacing w:after="0" w:line="184" w:lineRule="exact"/>
              <w:rPr>
                <w:sz w:val="20"/>
                <w:szCs w:val="20"/>
                <w:color w:val="auto"/>
              </w:rPr>
            </w:pPr>
            <w:r>
              <w:rPr>
                <w:rFonts w:ascii="Arial" w:cs="Arial" w:eastAsia="Arial" w:hAnsi="Arial"/>
                <w:sz w:val="17"/>
                <w:szCs w:val="17"/>
                <w:color w:val="auto"/>
              </w:rPr>
              <w:t>backlog</w:t>
            </w:r>
            <w:r>
              <w:rPr>
                <w:rFonts w:ascii="Arial" w:cs="Arial" w:eastAsia="Arial" w:hAnsi="Arial"/>
                <w:sz w:val="21"/>
                <w:szCs w:val="21"/>
                <w:color w:val="auto"/>
                <w:vertAlign w:val="superscript"/>
              </w:rPr>
              <w:t>1,2</w:t>
            </w:r>
          </w:p>
        </w:tc>
        <w:tc>
          <w:tcPr>
            <w:tcW w:w="1980" w:type="dxa"/>
            <w:vAlign w:val="bottom"/>
            <w:tcBorders>
              <w:right w:val="single" w:sz="8" w:color="B6DDE8"/>
            </w:tcBorders>
          </w:tcPr>
          <w:p>
            <w:pPr>
              <w:jc w:val="right"/>
              <w:ind w:right="524"/>
              <w:spacing w:after="0" w:line="184" w:lineRule="exact"/>
              <w:rPr>
                <w:sz w:val="20"/>
                <w:szCs w:val="20"/>
                <w:color w:val="auto"/>
              </w:rPr>
            </w:pPr>
            <w:r>
              <w:rPr>
                <w:rFonts w:ascii="Arial" w:cs="Arial" w:eastAsia="Arial" w:hAnsi="Arial"/>
                <w:sz w:val="17"/>
                <w:szCs w:val="17"/>
                <w:color w:val="auto"/>
              </w:rPr>
              <w:t>backlog</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169"/>
        </w:trPr>
        <w:tc>
          <w:tcPr>
            <w:tcW w:w="7260" w:type="dxa"/>
            <w:vAlign w:val="bottom"/>
            <w:tcBorders>
              <w:left w:val="single" w:sz="8" w:color="B6DDE8"/>
              <w:bottom w:val="single" w:sz="8" w:color="B8CCE4"/>
              <w:right w:val="single" w:sz="8" w:color="B6DDE8"/>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B8CCE4"/>
              <w:right w:val="single" w:sz="8" w:color="B6DDE8"/>
            </w:tcBorders>
          </w:tcPr>
          <w:p>
            <w:pPr>
              <w:spacing w:after="0"/>
              <w:rPr>
                <w:sz w:val="14"/>
                <w:szCs w:val="14"/>
                <w:color w:val="auto"/>
              </w:rPr>
            </w:pPr>
          </w:p>
        </w:tc>
        <w:tc>
          <w:tcPr>
            <w:tcW w:w="1980" w:type="dxa"/>
            <w:vAlign w:val="bottom"/>
            <w:tcBorders>
              <w:bottom w:val="single" w:sz="8" w:color="B8CCE4"/>
              <w:right w:val="single" w:sz="8" w:color="B6DDE8"/>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26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$3,585</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36"/>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$2,217</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37"/>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2023 and beyond</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$1,074</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$372</w:t>
            </w:r>
          </w:p>
        </w:tc>
        <w:tc>
          <w:tcPr>
            <w:tcW w:w="0" w:type="dxa"/>
            <w:vAlign w:val="bottom"/>
          </w:tcPr>
          <w:p>
            <w:pPr>
              <w:spacing w:after="0"/>
              <w:rPr>
                <w:sz w:val="1"/>
                <w:szCs w:val="1"/>
                <w:color w:val="auto"/>
              </w:rPr>
            </w:pPr>
          </w:p>
        </w:tc>
      </w:tr>
      <w:tr>
        <w:trPr>
          <w:trHeight w:val="237"/>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$6,876</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$640</w:t>
            </w:r>
          </w:p>
        </w:tc>
        <w:tc>
          <w:tcPr>
            <w:tcW w:w="0" w:type="dxa"/>
            <w:vAlign w:val="bottom"/>
          </w:tcPr>
          <w:p>
            <w:pPr>
              <w:spacing w:after="0"/>
              <w:rPr>
                <w:sz w:val="1"/>
                <w:szCs w:val="1"/>
                <w:color w:val="auto"/>
              </w:rPr>
            </w:pPr>
          </w:p>
        </w:tc>
      </w:tr>
    </w:tbl>
    <w:p>
      <w:pPr>
        <w:ind w:left="140" w:hanging="114"/>
        <w:spacing w:after="0" w:line="208" w:lineRule="auto"/>
        <w:tabs>
          <w:tab w:leader="none" w:pos="1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Backlog in the period was increased by a foreign exchange impact of $280.4 million.</w:t>
      </w:r>
    </w:p>
    <w:p>
      <w:pPr>
        <w:spacing w:after="0" w:line="12" w:lineRule="exact"/>
        <w:rPr>
          <w:rFonts w:ascii="Arial" w:cs="Arial" w:eastAsia="Arial" w:hAnsi="Arial"/>
          <w:sz w:val="23"/>
          <w:szCs w:val="23"/>
          <w:i w:val="1"/>
          <w:iCs w:val="1"/>
          <w:color w:val="auto"/>
          <w:vertAlign w:val="superscript"/>
        </w:rPr>
      </w:pPr>
    </w:p>
    <w:p>
      <w:pPr>
        <w:ind w:left="20"/>
        <w:spacing w:after="0" w:line="198"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Backlog does not capture all revenue potential for Subsea Services.</w:t>
      </w:r>
    </w:p>
    <w:p>
      <w:pPr>
        <w:spacing w:after="0" w:line="1" w:lineRule="exact"/>
        <w:rPr>
          <w:sz w:val="20"/>
          <w:szCs w:val="20"/>
          <w:color w:val="auto"/>
        </w:rPr>
      </w:pPr>
    </w:p>
    <w:p>
      <w:pPr>
        <w:ind w:left="20" w:right="340" w:firstLine="6"/>
        <w:spacing w:after="0" w:line="205" w:lineRule="auto"/>
        <w:tabs>
          <w:tab w:leader="none" w:pos="135"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6 of 30</w:t>
      </w:r>
    </w:p>
    <w:p>
      <w:pPr>
        <w:sectPr>
          <w:pgSz w:w="11900" w:h="16838" w:orient="portrait"/>
          <w:cols w:equalWidth="0" w:num="1">
            <w:col w:w="11200"/>
          </w:cols>
          <w:pgMar w:left="320" w:top="1440" w:right="379" w:bottom="1440" w:gutter="0" w:footer="0" w:header="0"/>
        </w:sectPr>
      </w:pPr>
    </w:p>
    <w:bookmarkStart w:id="10" w:name="page11"/>
    <w:bookmarkEnd w:id="10"/>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9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408"/>
              <w:spacing w:after="0"/>
              <w:rPr>
                <w:sz w:val="20"/>
                <w:szCs w:val="20"/>
                <w:color w:val="auto"/>
              </w:rPr>
            </w:pPr>
            <w:r>
              <w:rPr>
                <w:rFonts w:ascii="Arial" w:cs="Arial" w:eastAsia="Arial" w:hAnsi="Arial"/>
                <w:sz w:val="14"/>
                <w:szCs w:val="14"/>
                <w:b w:val="1"/>
                <w:bCs w:val="1"/>
                <w:color w:val="auto"/>
              </w:rPr>
              <w:t>December 31,</w:t>
            </w:r>
          </w:p>
        </w:tc>
        <w:tc>
          <w:tcPr>
            <w:tcW w:w="1840" w:type="dxa"/>
            <w:vAlign w:val="bottom"/>
            <w:tcBorders>
              <w:top w:val="single" w:sz="8" w:color="B8CCE4"/>
              <w:right w:val="single" w:sz="8" w:color="B8CCE4"/>
            </w:tcBorders>
          </w:tcPr>
          <w:p>
            <w:pPr>
              <w:jc w:val="right"/>
              <w:ind w:right="368"/>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1840" w:type="dxa"/>
            <w:vAlign w:val="bottom"/>
            <w:tcBorders>
              <w:bottom w:val="single" w:sz="8" w:color="B8CCE4"/>
              <w:right w:val="single" w:sz="8" w:color="B8CCE4"/>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54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$1,825.8</w:t>
            </w:r>
          </w:p>
        </w:tc>
        <w:tc>
          <w:tcPr>
            <w:tcW w:w="18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$1,832.4</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(0.4%)</w:t>
            </w:r>
          </w:p>
        </w:tc>
        <w:tc>
          <w:tcPr>
            <w:tcW w:w="0" w:type="dxa"/>
            <w:vAlign w:val="bottom"/>
          </w:tcPr>
          <w:p>
            <w:pPr>
              <w:spacing w:after="0"/>
              <w:rPr>
                <w:sz w:val="1"/>
                <w:szCs w:val="1"/>
                <w:color w:val="auto"/>
              </w:rPr>
            </w:pPr>
          </w:p>
        </w:tc>
      </w:tr>
      <w:tr>
        <w:trPr>
          <w:trHeight w:val="237"/>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$171.6</w:t>
            </w:r>
          </w:p>
        </w:tc>
        <w:tc>
          <w:tcPr>
            <w:tcW w:w="18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$245.3</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(30.0%)</w:t>
            </w:r>
          </w:p>
        </w:tc>
        <w:tc>
          <w:tcPr>
            <w:tcW w:w="0" w:type="dxa"/>
            <w:vAlign w:val="bottom"/>
          </w:tcPr>
          <w:p>
            <w:pPr>
              <w:spacing w:after="0"/>
              <w:rPr>
                <w:sz w:val="1"/>
                <w:szCs w:val="1"/>
                <w:color w:val="auto"/>
              </w:rPr>
            </w:pPr>
          </w:p>
        </w:tc>
      </w:tr>
      <w:tr>
        <w:trPr>
          <w:trHeight w:val="236"/>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$194.0</w:t>
            </w:r>
          </w:p>
        </w:tc>
        <w:tc>
          <w:tcPr>
            <w:tcW w:w="18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$259.7</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(25.3%)</w:t>
            </w:r>
          </w:p>
        </w:tc>
        <w:tc>
          <w:tcPr>
            <w:tcW w:w="0" w:type="dxa"/>
            <w:vAlign w:val="bottom"/>
          </w:tcPr>
          <w:p>
            <w:pPr>
              <w:spacing w:after="0"/>
              <w:rPr>
                <w:sz w:val="1"/>
                <w:szCs w:val="1"/>
                <w:color w:val="auto"/>
              </w:rPr>
            </w:pPr>
          </w:p>
        </w:tc>
      </w:tr>
      <w:tr>
        <w:trPr>
          <w:trHeight w:val="237"/>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10.6 %</w:t>
            </w:r>
          </w:p>
        </w:tc>
        <w:tc>
          <w:tcPr>
            <w:tcW w:w="18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14.2 %</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(360 bps)</w:t>
            </w:r>
          </w:p>
        </w:tc>
        <w:tc>
          <w:tcPr>
            <w:tcW w:w="0" w:type="dxa"/>
            <w:vAlign w:val="bottom"/>
          </w:tcPr>
          <w:p>
            <w:pPr>
              <w:spacing w:after="0"/>
              <w:rPr>
                <w:sz w:val="1"/>
                <w:szCs w:val="1"/>
                <w:color w:val="auto"/>
              </w:rPr>
            </w:pPr>
          </w:p>
        </w:tc>
      </w:tr>
      <w:tr>
        <w:trPr>
          <w:trHeight w:val="250"/>
        </w:trPr>
        <w:tc>
          <w:tcPr>
            <w:tcW w:w="59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840" w:type="dxa"/>
            <w:vAlign w:val="bottom"/>
            <w:tcBorders>
              <w:bottom w:val="single" w:sz="8" w:color="B8CCE4"/>
            </w:tcBorders>
          </w:tcPr>
          <w:p>
            <w:pPr>
              <w:spacing w:after="0"/>
              <w:rPr>
                <w:sz w:val="21"/>
                <w:szCs w:val="21"/>
                <w:color w:val="auto"/>
              </w:rPr>
            </w:pPr>
          </w:p>
        </w:tc>
        <w:tc>
          <w:tcPr>
            <w:tcW w:w="15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$3,192.1</w:t>
            </w:r>
          </w:p>
        </w:tc>
        <w:tc>
          <w:tcPr>
            <w:tcW w:w="18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$1,114.5</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186.4%</w:t>
            </w:r>
          </w:p>
        </w:tc>
        <w:tc>
          <w:tcPr>
            <w:tcW w:w="0" w:type="dxa"/>
            <w:vAlign w:val="bottom"/>
          </w:tcPr>
          <w:p>
            <w:pPr>
              <w:spacing w:after="0"/>
              <w:rPr>
                <w:sz w:val="1"/>
                <w:szCs w:val="1"/>
                <w:color w:val="auto"/>
              </w:rPr>
            </w:pPr>
          </w:p>
        </w:tc>
      </w:tr>
      <w:tr>
        <w:trPr>
          <w:trHeight w:val="237"/>
        </w:trPr>
        <w:tc>
          <w:tcPr>
            <w:tcW w:w="59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$14,098.7</w:t>
            </w:r>
          </w:p>
        </w:tc>
        <w:tc>
          <w:tcPr>
            <w:tcW w:w="18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$15,298.1</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Technip Energies reported fourth quarter revenue of $1,825.8 million, largely unchanged versus the prior-year quarter. Revenue benefited from the continued ramp-up of Arctic LNG 2 and higher activity on projects in Africa and Asia Pacific, which nearly offset the decline in revenue from Yamal LNG and lower activity on projects in the Middle East and North America.</w:t>
      </w:r>
    </w:p>
    <w:p>
      <w:pPr>
        <w:spacing w:after="0" w:line="179"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Technip Energies reported operating profit of $171.6 million that included restructuring, impairment and other charges totaling $14.8 million. Operating profit decreased 30 percent versus the prior-year quarter primarily due to a reduced contribution from Yamal LNG. Operating results continued to reflect strong project execution despite the challenging environment.</w:t>
      </w:r>
    </w:p>
    <w:p>
      <w:pPr>
        <w:spacing w:after="0" w:line="23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Adjusted EBITDA was $194 million, with a margin of 10.6 percent. Adjusted EBITDA for the current period included all direct COVID-19 expenses (previously excluded from adjusted results) and operational impacts related to the pandemic.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Technip Energies Highlights</w:t>
      </w:r>
    </w:p>
    <w:p>
      <w:pPr>
        <w:spacing w:after="0" w:line="4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Arctic LNG 2 project </w:t>
      </w:r>
      <w:r>
        <w:rPr>
          <w:rFonts w:ascii="Arial" w:cs="Arial" w:eastAsia="Arial" w:hAnsi="Arial"/>
          <w:sz w:val="17"/>
          <w:szCs w:val="17"/>
          <w:b w:val="1"/>
          <w:bCs w:val="1"/>
          <w:color w:val="auto"/>
        </w:rPr>
        <w:t>(Russian Federation)</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Overall construction progress reached 30 percent by year-end.</w:t>
      </w:r>
    </w:p>
    <w:p>
      <w:pPr>
        <w:spacing w:after="0" w:line="83" w:lineRule="exact"/>
        <w:rPr>
          <w:rFonts w:ascii="Arial" w:cs="Arial" w:eastAsia="Arial" w:hAnsi="Arial"/>
          <w:sz w:val="20"/>
          <w:szCs w:val="20"/>
          <w:b w:val="1"/>
          <w:bCs w:val="1"/>
          <w:color w:val="auto"/>
        </w:rPr>
      </w:pPr>
    </w:p>
    <w:p>
      <w:pPr>
        <w:ind w:left="660" w:right="5540" w:hanging="328"/>
        <w:spacing w:after="0" w:line="298" w:lineRule="auto"/>
        <w:tabs>
          <w:tab w:leader="none" w:pos="648"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Neste Singapore expansion project </w:t>
      </w:r>
      <w:r>
        <w:rPr>
          <w:rFonts w:ascii="Arial" w:cs="Arial" w:eastAsia="Arial" w:hAnsi="Arial"/>
          <w:sz w:val="16"/>
          <w:szCs w:val="16"/>
          <w:b w:val="1"/>
          <w:bCs w:val="1"/>
          <w:color w:val="auto"/>
        </w:rPr>
        <w:t>(Singapore)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Multiple heavy lifts performed, including a 700-ton reactor.</w:t>
      </w:r>
    </w:p>
    <w:p>
      <w:pPr>
        <w:spacing w:after="0" w:line="24" w:lineRule="exact"/>
        <w:rPr>
          <w:rFonts w:ascii="Arial" w:cs="Arial" w:eastAsia="Arial" w:hAnsi="Arial"/>
          <w:sz w:val="19"/>
          <w:szCs w:val="19"/>
          <w:b w:val="1"/>
          <w:bCs w:val="1"/>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strike w:val="1"/>
        </w:rPr>
      </w:pPr>
      <w:r>
        <w:rPr>
          <w:rFonts w:ascii="Arial" w:cs="Arial" w:eastAsia="Arial" w:hAnsi="Arial"/>
          <w:sz w:val="20"/>
          <w:szCs w:val="20"/>
          <w:b w:val="1"/>
          <w:bCs w:val="1"/>
          <w:color w:val="auto"/>
        </w:rPr>
        <w:t xml:space="preserve">Eni Coral South FLNG </w:t>
      </w:r>
      <w:r>
        <w:rPr>
          <w:rFonts w:ascii="Arial" w:cs="Arial" w:eastAsia="Arial" w:hAnsi="Arial"/>
          <w:sz w:val="17"/>
          <w:szCs w:val="17"/>
          <w:b w:val="1"/>
          <w:bCs w:val="1"/>
          <w:color w:val="auto"/>
        </w:rPr>
        <w:t>(Mozambique)</w:t>
      </w:r>
    </w:p>
    <w:p>
      <w:pPr>
        <w:spacing w:after="0" w:line="23" w:lineRule="exact"/>
        <w:rPr>
          <w:rFonts w:ascii="Arial" w:cs="Arial" w:eastAsia="Arial" w:hAnsi="Arial"/>
          <w:sz w:val="20"/>
          <w:szCs w:val="20"/>
          <w:b w:val="1"/>
          <w:bCs w:val="1"/>
          <w:color w:val="auto"/>
          <w:strike w:val="1"/>
        </w:rPr>
      </w:pPr>
    </w:p>
    <w:p>
      <w:pPr>
        <w:ind w:left="660"/>
        <w:spacing w:after="0"/>
        <w:rPr>
          <w:rFonts w:ascii="Arial" w:cs="Arial" w:eastAsia="Arial" w:hAnsi="Arial"/>
          <w:sz w:val="20"/>
          <w:szCs w:val="20"/>
          <w:b w:val="1"/>
          <w:bCs w:val="1"/>
          <w:color w:val="auto"/>
          <w:strike w:val="1"/>
        </w:rPr>
      </w:pPr>
      <w:r>
        <w:rPr>
          <w:rFonts w:ascii="Arial" w:cs="Arial" w:eastAsia="Arial" w:hAnsi="Arial"/>
          <w:sz w:val="20"/>
          <w:szCs w:val="20"/>
          <w:color w:val="auto"/>
        </w:rPr>
        <w:t>Final topside modules installed on the hull in South Korea ahead of schedule.</w:t>
      </w:r>
    </w:p>
    <w:p>
      <w:pPr>
        <w:spacing w:after="0" w:line="83" w:lineRule="exact"/>
        <w:rPr>
          <w:rFonts w:ascii="Arial" w:cs="Arial" w:eastAsia="Arial" w:hAnsi="Arial"/>
          <w:sz w:val="20"/>
          <w:szCs w:val="20"/>
          <w:b w:val="1"/>
          <w:bCs w:val="1"/>
          <w:color w:val="auto"/>
          <w:strike w:val="1"/>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Bapco Modernization program </w:t>
      </w:r>
      <w:r>
        <w:rPr>
          <w:rFonts w:ascii="Arial" w:cs="Arial" w:eastAsia="Arial" w:hAnsi="Arial"/>
          <w:sz w:val="17"/>
          <w:szCs w:val="17"/>
          <w:b w:val="1"/>
          <w:bCs w:val="1"/>
          <w:color w:val="auto"/>
        </w:rPr>
        <w:t>(Bahrain)</w:t>
      </w:r>
    </w:p>
    <w:p>
      <w:pPr>
        <w:spacing w:after="0" w:line="23" w:lineRule="exact"/>
        <w:rPr>
          <w:rFonts w:ascii="Arial" w:cs="Arial" w:eastAsia="Arial" w:hAnsi="Arial"/>
          <w:sz w:val="20"/>
          <w:szCs w:val="20"/>
          <w:b w:val="1"/>
          <w:bCs w:val="1"/>
          <w:color w:val="auto"/>
        </w:rPr>
      </w:pPr>
    </w:p>
    <w:p>
      <w:pPr>
        <w:ind w:left="66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Series of heavy lift operations successfully completed, including units for water desalination, heavy crude conversion and catalyst 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7 of 30</w:t>
      </w:r>
    </w:p>
    <w:p>
      <w:pPr>
        <w:sectPr>
          <w:pgSz w:w="11900" w:h="16838" w:orient="portrait"/>
          <w:cols w:equalWidth="0" w:num="1">
            <w:col w:w="11260"/>
          </w:cols>
          <w:pgMar w:left="320" w:top="1440" w:right="319" w:bottom="1440" w:gutter="0" w:footer="0" w:header="0"/>
        </w:sectPr>
      </w:pPr>
    </w:p>
    <w:bookmarkStart w:id="11" w:name="page12"/>
    <w:bookmarkEnd w:id="11"/>
    <w:p>
      <w:pPr>
        <w:ind w:left="640" w:hanging="308"/>
        <w:spacing w:after="0"/>
        <w:tabs>
          <w:tab w:leader="none" w:pos="640" w:val="left"/>
        </w:tabs>
        <w:numPr>
          <w:ilvl w:val="0"/>
          <w:numId w:val="10"/>
        </w:numPr>
        <w:rPr>
          <w:rFonts w:ascii="Arial" w:cs="Arial" w:eastAsia="Arial" w:hAnsi="Arial"/>
          <w:sz w:val="20"/>
          <w:szCs w:val="20"/>
          <w:b w:val="1"/>
          <w:bCs w:val="1"/>
          <w:color w:val="auto"/>
          <w:strike w:val="1"/>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 xml:space="preserve">ExxonMobil Beaumont Refinery </w:t>
      </w:r>
      <w:r>
        <w:rPr>
          <w:rFonts w:ascii="Arial" w:cs="Arial" w:eastAsia="Arial" w:hAnsi="Arial"/>
          <w:sz w:val="17"/>
          <w:szCs w:val="17"/>
          <w:b w:val="1"/>
          <w:bCs w:val="1"/>
          <w:color w:val="auto"/>
        </w:rPr>
        <w:t>(United States)</w:t>
      </w:r>
    </w:p>
    <w:p>
      <w:pPr>
        <w:spacing w:after="0" w:line="23" w:lineRule="exact"/>
        <w:rPr>
          <w:rFonts w:ascii="Arial" w:cs="Arial" w:eastAsia="Arial" w:hAnsi="Arial"/>
          <w:sz w:val="20"/>
          <w:szCs w:val="20"/>
          <w:b w:val="1"/>
          <w:bCs w:val="1"/>
          <w:color w:val="auto"/>
          <w:strike w:val="1"/>
        </w:rPr>
      </w:pPr>
    </w:p>
    <w:p>
      <w:pPr>
        <w:ind w:left="660"/>
        <w:spacing w:after="0"/>
        <w:rPr>
          <w:rFonts w:ascii="Arial" w:cs="Arial" w:eastAsia="Arial" w:hAnsi="Arial"/>
          <w:sz w:val="20"/>
          <w:szCs w:val="20"/>
          <w:b w:val="1"/>
          <w:bCs w:val="1"/>
          <w:color w:val="auto"/>
          <w:strike w:val="1"/>
        </w:rPr>
      </w:pPr>
      <w:r>
        <w:rPr>
          <w:rFonts w:ascii="Arial" w:cs="Arial" w:eastAsia="Arial" w:hAnsi="Arial"/>
          <w:sz w:val="20"/>
          <w:szCs w:val="20"/>
          <w:color w:val="auto"/>
        </w:rPr>
        <w:t>The five crude and hydrotreater furnace modules safely arrived in country.</w:t>
      </w:r>
    </w:p>
    <w:p>
      <w:pPr>
        <w:spacing w:after="0" w:line="83" w:lineRule="exact"/>
        <w:rPr>
          <w:rFonts w:ascii="Arial" w:cs="Arial" w:eastAsia="Arial" w:hAnsi="Arial"/>
          <w:sz w:val="20"/>
          <w:szCs w:val="20"/>
          <w:b w:val="1"/>
          <w:bCs w:val="1"/>
          <w:color w:val="auto"/>
          <w:strike w:val="1"/>
        </w:rPr>
      </w:pPr>
    </w:p>
    <w:p>
      <w:pPr>
        <w:ind w:left="640" w:hanging="308"/>
        <w:spacing w:after="0"/>
        <w:tabs>
          <w:tab w:leader="none" w:pos="640" w:val="left"/>
        </w:tabs>
        <w:numPr>
          <w:ilvl w:val="0"/>
          <w:numId w:val="10"/>
        </w:numPr>
        <w:rPr>
          <w:rFonts w:ascii="Arial" w:cs="Arial" w:eastAsia="Arial" w:hAnsi="Arial"/>
          <w:sz w:val="20"/>
          <w:szCs w:val="20"/>
          <w:b w:val="1"/>
          <w:bCs w:val="1"/>
          <w:color w:val="auto"/>
          <w:strike w:val="1"/>
        </w:rPr>
      </w:pPr>
      <w:r>
        <w:rPr>
          <w:rFonts w:ascii="Arial" w:cs="Arial" w:eastAsia="Arial" w:hAnsi="Arial"/>
          <w:sz w:val="20"/>
          <w:szCs w:val="20"/>
          <w:b w:val="1"/>
          <w:bCs w:val="1"/>
          <w:color w:val="auto"/>
        </w:rPr>
        <w:t xml:space="preserve">Motor Oil Hellas Refinery </w:t>
      </w:r>
      <w:r>
        <w:rPr>
          <w:rFonts w:ascii="Arial" w:cs="Arial" w:eastAsia="Arial" w:hAnsi="Arial"/>
          <w:sz w:val="17"/>
          <w:szCs w:val="17"/>
          <w:b w:val="1"/>
          <w:bCs w:val="1"/>
          <w:color w:val="auto"/>
        </w:rPr>
        <w:t>(Greece)</w:t>
      </w:r>
    </w:p>
    <w:p>
      <w:pPr>
        <w:spacing w:after="0" w:line="23" w:lineRule="exact"/>
        <w:rPr>
          <w:rFonts w:ascii="Arial" w:cs="Arial" w:eastAsia="Arial" w:hAnsi="Arial"/>
          <w:sz w:val="20"/>
          <w:szCs w:val="20"/>
          <w:b w:val="1"/>
          <w:bCs w:val="1"/>
          <w:color w:val="auto"/>
          <w:strike w:val="1"/>
        </w:rPr>
      </w:pPr>
    </w:p>
    <w:p>
      <w:pPr>
        <w:ind w:left="660"/>
        <w:spacing w:after="0"/>
        <w:rPr>
          <w:rFonts w:ascii="Arial" w:cs="Arial" w:eastAsia="Arial" w:hAnsi="Arial"/>
          <w:sz w:val="20"/>
          <w:szCs w:val="20"/>
          <w:b w:val="1"/>
          <w:bCs w:val="1"/>
          <w:color w:val="auto"/>
          <w:strike w:val="1"/>
        </w:rPr>
      </w:pPr>
      <w:r>
        <w:rPr>
          <w:rFonts w:ascii="Arial" w:cs="Arial" w:eastAsia="Arial" w:hAnsi="Arial"/>
          <w:sz w:val="20"/>
          <w:szCs w:val="20"/>
          <w:color w:val="auto"/>
        </w:rPr>
        <w:t>Start of construction of the new naptha complex at the Corinth refinery.</w:t>
      </w:r>
    </w:p>
    <w:p>
      <w:pPr>
        <w:spacing w:after="0" w:line="35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Technip Energies inbound orders were $3,192.1 million for the quarter, resulting in a book-to-bill of 1.7. The following awards were included in the period:</w:t>
      </w:r>
    </w:p>
    <w:p>
      <w:pPr>
        <w:spacing w:after="0" w:line="20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Sempra LNG, IEnova and Total Energía Costa Azul LNG Facility </w:t>
      </w:r>
      <w:r>
        <w:rPr>
          <w:rFonts w:ascii="Arial" w:cs="Arial" w:eastAsia="Arial" w:hAnsi="Arial"/>
          <w:sz w:val="17"/>
          <w:szCs w:val="17"/>
          <w:b w:val="1"/>
          <w:bCs w:val="1"/>
          <w:color w:val="auto"/>
        </w:rPr>
        <w:t>(Mexico)</w:t>
      </w:r>
    </w:p>
    <w:p>
      <w:pPr>
        <w:spacing w:after="0" w:line="23"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Received a Notice to Proceed for a major* engineering, procurement, and construction (EPC) contract by Sempra LNG, Infraestructura Energética Nova, S.A.B. de C.V. (IEnova), and Total at their Energía Costa Azul LNG facility in Baja California, Mexico. The project will add a natural gas liquefaction facility with nameplate capacity of 3.25 million tons per annum (Mtpa) to the existing regasification terminal using a compact and high efficiency mid-scale LNG design. TechnipFMC has been involved in this project since 2017, including the delivery of the FEED.</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“major” award is over $1 billion.</w:t>
      </w:r>
    </w:p>
    <w:p>
      <w:pPr>
        <w:spacing w:after="0" w:line="83"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Assiut National Oil Processing Company Hydrocracking Complex </w:t>
      </w:r>
      <w:r>
        <w:rPr>
          <w:rFonts w:ascii="Arial" w:cs="Arial" w:eastAsia="Arial" w:hAnsi="Arial"/>
          <w:sz w:val="17"/>
          <w:szCs w:val="17"/>
          <w:b w:val="1"/>
          <w:bCs w:val="1"/>
          <w:color w:val="auto"/>
        </w:rPr>
        <w:t>(Egypt)</w:t>
      </w:r>
    </w:p>
    <w:p>
      <w:pPr>
        <w:spacing w:after="0" w:line="23"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Major* EPC contract with Assiut National Oil Processing Company for the construction of a new Hydrocracking Complex for the Assiut refinery in Egypt. The EPC contract covers new process units such as a Vacuum Distillation Unit, a Diesel Hydrocracking Unit, a Delayed Coker Unit, a Distillate Hydrotreating Unit as well as a Hydrogen Production Facility Unit using TechnipFMC’s proprietary steam reforming technology.</w:t>
      </w:r>
    </w:p>
    <w:p>
      <w:pPr>
        <w:spacing w:after="0" w:line="1"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“major” award is over $1 billion.</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Subsequent to the period, the following award was announced:</w:t>
      </w:r>
    </w:p>
    <w:p>
      <w:pPr>
        <w:spacing w:after="0" w:line="20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Qatar Petroleum North Field East Project </w:t>
      </w:r>
      <w:r>
        <w:rPr>
          <w:rFonts w:ascii="Arial" w:cs="Arial" w:eastAsia="Arial" w:hAnsi="Arial"/>
          <w:sz w:val="17"/>
          <w:szCs w:val="17"/>
          <w:b w:val="1"/>
          <w:bCs w:val="1"/>
          <w:color w:val="auto"/>
        </w:rPr>
        <w:t>(Qatar)</w:t>
      </w:r>
    </w:p>
    <w:p>
      <w:pPr>
        <w:spacing w:after="0" w:line="10" w:lineRule="exact"/>
        <w:rPr>
          <w:rFonts w:ascii="Arial" w:cs="Arial" w:eastAsia="Arial" w:hAnsi="Arial"/>
          <w:sz w:val="20"/>
          <w:szCs w:val="20"/>
          <w:b w:val="1"/>
          <w:bCs w:val="1"/>
          <w:i w:val="1"/>
          <w:iCs w:val="1"/>
          <w:color w:val="auto"/>
        </w:rPr>
      </w:pPr>
    </w:p>
    <w:p>
      <w:pPr>
        <w:jc w:val="both"/>
        <w:ind w:left="660"/>
        <w:spacing w:after="0" w:line="228" w:lineRule="auto"/>
        <w:rPr>
          <w:rFonts w:ascii="Arial" w:cs="Arial" w:eastAsia="Arial" w:hAnsi="Arial"/>
          <w:sz w:val="20"/>
          <w:szCs w:val="20"/>
          <w:b w:val="1"/>
          <w:bCs w:val="1"/>
          <w:i w:val="1"/>
          <w:iCs w:val="1"/>
          <w:color w:val="auto"/>
        </w:rPr>
      </w:pPr>
      <w:r>
        <w:rPr>
          <w:rFonts w:ascii="Arial" w:cs="Arial" w:eastAsia="Arial" w:hAnsi="Arial"/>
          <w:sz w:val="20"/>
          <w:szCs w:val="20"/>
          <w:color w:val="auto"/>
        </w:rPr>
        <w:t>Major* engineering, procurement, construction and commissioning contract to CTJV, a joint venture between Chiyoda Corporation and Technip Energies, by Qatar Petroleum for the onshore facilities of the North Field East Project. Award will cover the delivery of 4 mega trains, each with a capacity of 8 Mtpa of Liquefied Natural Gas (“LNG”), and associated utility facilities. It will include a large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Carbon Capture and Sequestration facility, leading to more than 25% reduction of Green House Gas emissions when compared to similar LNG facilities.</w:t>
      </w: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“major” award is over $1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8 of 30</w:t>
      </w:r>
    </w:p>
    <w:p>
      <w:pPr>
        <w:sectPr>
          <w:pgSz w:w="11900" w:h="16838" w:orient="portrait"/>
          <w:cols w:equalWidth="0" w:num="1">
            <w:col w:w="11240"/>
          </w:cols>
          <w:pgMar w:left="320" w:top="1408" w:right="339" w:bottom="1440" w:gutter="0" w:footer="0" w:header="0"/>
        </w:sectPr>
      </w:pPr>
    </w:p>
    <w:bookmarkStart w:id="12" w:name="page13"/>
    <w:bookmarkEnd w:id="12"/>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7"/>
        </w:trPr>
        <w:tc>
          <w:tcPr>
            <w:tcW w:w="726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Technip Energies</w:t>
            </w:r>
          </w:p>
        </w:tc>
        <w:tc>
          <w:tcPr>
            <w:tcW w:w="1960" w:type="dxa"/>
            <w:vAlign w:val="bottom"/>
            <w:tcBorders>
              <w:top w:val="single" w:sz="8" w:color="B6DDE8"/>
              <w:right w:val="single" w:sz="8" w:color="B6DDE8"/>
            </w:tcBorders>
          </w:tcPr>
          <w:p>
            <w:pPr>
              <w:jc w:val="right"/>
              <w:ind w:right="324"/>
              <w:spacing w:after="0"/>
              <w:rPr>
                <w:sz w:val="20"/>
                <w:szCs w:val="20"/>
                <w:color w:val="auto"/>
              </w:rPr>
            </w:pPr>
            <w:r>
              <w:rPr>
                <w:rFonts w:ascii="Arial" w:cs="Arial" w:eastAsia="Arial" w:hAnsi="Arial"/>
                <w:sz w:val="20"/>
                <w:szCs w:val="20"/>
                <w:color w:val="auto"/>
              </w:rPr>
              <w:t>Consolidated</w:t>
            </w:r>
          </w:p>
        </w:tc>
        <w:tc>
          <w:tcPr>
            <w:tcW w:w="1980" w:type="dxa"/>
            <w:vAlign w:val="bottom"/>
            <w:tcBorders>
              <w:top w:val="single" w:sz="8" w:color="B6DDE8"/>
              <w:right w:val="single" w:sz="8" w:color="B6DDE8"/>
            </w:tcBorders>
          </w:tcPr>
          <w:p>
            <w:pPr>
              <w:jc w:val="right"/>
              <w:ind w:right="144"/>
              <w:spacing w:after="0"/>
              <w:rPr>
                <w:sz w:val="20"/>
                <w:szCs w:val="20"/>
                <w:color w:val="auto"/>
              </w:rPr>
            </w:pPr>
            <w:r>
              <w:rPr>
                <w:rFonts w:ascii="Arial" w:cs="Arial" w:eastAsia="Arial" w:hAnsi="Arial"/>
                <w:sz w:val="20"/>
                <w:szCs w:val="20"/>
                <w:color w:val="auto"/>
              </w:rPr>
              <w:t>Non-consolidated</w:t>
            </w:r>
          </w:p>
        </w:tc>
      </w:tr>
      <w:tr>
        <w:trPr>
          <w:trHeight w:val="189"/>
        </w:trPr>
        <w:tc>
          <w:tcPr>
            <w:tcW w:w="7260" w:type="dxa"/>
            <w:vAlign w:val="bottom"/>
            <w:tcBorders>
              <w:left w:val="single" w:sz="8" w:color="B6DDE8"/>
              <w:right w:val="single" w:sz="8" w:color="B6DDE8"/>
            </w:tcBorders>
          </w:tcPr>
          <w:p>
            <w:pPr>
              <w:ind w:left="40"/>
              <w:spacing w:after="0" w:line="189" w:lineRule="exact"/>
              <w:rPr>
                <w:sz w:val="20"/>
                <w:szCs w:val="20"/>
                <w:color w:val="auto"/>
              </w:rPr>
            </w:pPr>
            <w:r>
              <w:rPr>
                <w:rFonts w:ascii="Arial" w:cs="Arial" w:eastAsia="Arial" w:hAnsi="Arial"/>
                <w:sz w:val="18"/>
                <w:szCs w:val="18"/>
                <w:color w:val="auto"/>
              </w:rPr>
              <w:t>Estimated Backlog Scheduling as of December 31, 2020</w:t>
            </w:r>
          </w:p>
        </w:tc>
        <w:tc>
          <w:tcPr>
            <w:tcW w:w="1960" w:type="dxa"/>
            <w:vAlign w:val="bottom"/>
            <w:tcBorders>
              <w:right w:val="single" w:sz="8" w:color="B6DDE8"/>
            </w:tcBorders>
          </w:tcPr>
          <w:p>
            <w:pPr>
              <w:jc w:val="right"/>
              <w:ind w:right="524"/>
              <w:spacing w:after="0" w:line="189" w:lineRule="exact"/>
              <w:rPr>
                <w:sz w:val="20"/>
                <w:szCs w:val="20"/>
                <w:color w:val="auto"/>
              </w:rPr>
            </w:pPr>
            <w:r>
              <w:rPr>
                <w:rFonts w:ascii="Arial" w:cs="Arial" w:eastAsia="Arial" w:hAnsi="Arial"/>
                <w:sz w:val="17"/>
                <w:szCs w:val="17"/>
                <w:color w:val="auto"/>
              </w:rPr>
              <w:t>backlog</w:t>
            </w:r>
            <w:r>
              <w:rPr>
                <w:rFonts w:ascii="Arial" w:cs="Arial" w:eastAsia="Arial" w:hAnsi="Arial"/>
                <w:sz w:val="21"/>
                <w:szCs w:val="21"/>
                <w:color w:val="auto"/>
                <w:vertAlign w:val="superscript"/>
              </w:rPr>
              <w:t>1</w:t>
            </w:r>
          </w:p>
        </w:tc>
        <w:tc>
          <w:tcPr>
            <w:tcW w:w="1980" w:type="dxa"/>
            <w:vAlign w:val="bottom"/>
            <w:tcBorders>
              <w:right w:val="single" w:sz="8" w:color="B6DDE8"/>
            </w:tcBorders>
          </w:tcPr>
          <w:p>
            <w:pPr>
              <w:jc w:val="right"/>
              <w:ind w:right="544"/>
              <w:spacing w:after="0" w:line="189" w:lineRule="exact"/>
              <w:rPr>
                <w:sz w:val="20"/>
                <w:szCs w:val="20"/>
                <w:color w:val="auto"/>
              </w:rPr>
            </w:pPr>
            <w:r>
              <w:rPr>
                <w:rFonts w:ascii="Arial" w:cs="Arial" w:eastAsia="Arial" w:hAnsi="Arial"/>
                <w:sz w:val="17"/>
                <w:szCs w:val="17"/>
                <w:color w:val="auto"/>
              </w:rPr>
              <w:t>backlog</w:t>
            </w:r>
            <w:r>
              <w:rPr>
                <w:rFonts w:ascii="Arial" w:cs="Arial" w:eastAsia="Arial" w:hAnsi="Arial"/>
                <w:sz w:val="21"/>
                <w:szCs w:val="21"/>
                <w:color w:val="auto"/>
                <w:vertAlign w:val="superscript"/>
              </w:rPr>
              <w:t>2</w:t>
            </w:r>
          </w:p>
        </w:tc>
      </w:tr>
      <w:tr>
        <w:trPr>
          <w:trHeight w:val="128"/>
        </w:trPr>
        <w:tc>
          <w:tcPr>
            <w:tcW w:w="7260" w:type="dxa"/>
            <w:vAlign w:val="bottom"/>
            <w:tcBorders>
              <w:left w:val="single" w:sz="8" w:color="B6DDE8"/>
              <w:bottom w:val="single" w:sz="8" w:color="B8CCE4"/>
              <w:right w:val="single" w:sz="8" w:color="B6DDE8"/>
            </w:tcBorders>
          </w:tcPr>
          <w:p>
            <w:pPr>
              <w:ind w:left="40"/>
              <w:spacing w:after="0" w:line="122" w:lineRule="exact"/>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B8CCE4"/>
              <w:right w:val="single" w:sz="8" w:color="B6DDE8"/>
            </w:tcBorders>
          </w:tcPr>
          <w:p>
            <w:pPr>
              <w:spacing w:after="0"/>
              <w:rPr>
                <w:sz w:val="11"/>
                <w:szCs w:val="11"/>
                <w:color w:val="auto"/>
              </w:rPr>
            </w:pPr>
          </w:p>
        </w:tc>
        <w:tc>
          <w:tcPr>
            <w:tcW w:w="1980" w:type="dxa"/>
            <w:vAlign w:val="bottom"/>
            <w:tcBorders>
              <w:bottom w:val="single" w:sz="8" w:color="B8CCE4"/>
              <w:right w:val="single" w:sz="8" w:color="B6DDE8"/>
            </w:tcBorders>
          </w:tcPr>
          <w:p>
            <w:pPr>
              <w:spacing w:after="0"/>
              <w:rPr>
                <w:sz w:val="11"/>
                <w:szCs w:val="11"/>
                <w:color w:val="auto"/>
              </w:rPr>
            </w:pPr>
          </w:p>
        </w:tc>
      </w:tr>
      <w:tr>
        <w:trPr>
          <w:trHeight w:val="243"/>
        </w:trPr>
        <w:tc>
          <w:tcPr>
            <w:tcW w:w="726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$7,016</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$864</w:t>
            </w:r>
          </w:p>
        </w:tc>
      </w:tr>
      <w:tr>
        <w:trPr>
          <w:trHeight w:val="237"/>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$4,082</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$639</w:t>
            </w:r>
          </w:p>
        </w:tc>
      </w:tr>
      <w:tr>
        <w:trPr>
          <w:trHeight w:val="236"/>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2023 and beyond</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$3,001</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$387</w:t>
            </w:r>
          </w:p>
        </w:tc>
      </w:tr>
      <w:tr>
        <w:trPr>
          <w:trHeight w:val="237"/>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$14,099</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$1,890</w:t>
            </w:r>
          </w:p>
        </w:tc>
      </w:tr>
    </w:tbl>
    <w:p>
      <w:pPr>
        <w:ind w:left="140" w:hanging="120"/>
        <w:spacing w:after="0" w:line="208" w:lineRule="auto"/>
        <w:tabs>
          <w:tab w:leader="none" w:pos="140"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Backlog in the period was increased by a foreign exchange impact of $673.3 million.</w:t>
      </w:r>
    </w:p>
    <w:p>
      <w:pPr>
        <w:spacing w:after="0" w:line="2" w:lineRule="exact"/>
        <w:rPr>
          <w:sz w:val="20"/>
          <w:szCs w:val="20"/>
          <w:color w:val="auto"/>
        </w:rPr>
      </w:pPr>
    </w:p>
    <w:p>
      <w:pPr>
        <w:ind w:left="20" w:right="320"/>
        <w:spacing w:after="0" w:line="205" w:lineRule="auto"/>
        <w:tabs>
          <w:tab w:leader="none" w:pos="135" w:val="left"/>
        </w:tabs>
        <w:numPr>
          <w:ilvl w:val="0"/>
          <w:numId w:val="1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0"/>
        <w:spacing w:after="0"/>
        <w:tabs>
          <w:tab w:leader="none" w:pos="1030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9 of 30</w:t>
      </w:r>
    </w:p>
    <w:p>
      <w:pPr>
        <w:sectPr>
          <w:pgSz w:w="11900" w:h="16838" w:orient="portrait"/>
          <w:cols w:equalWidth="0" w:num="1">
            <w:col w:w="11180"/>
          </w:cols>
          <w:pgMar w:left="360" w:top="1440" w:right="359" w:bottom="1440" w:gutter="0" w:footer="0" w:header="0"/>
        </w:sectPr>
      </w:pPr>
    </w:p>
    <w:bookmarkStart w:id="13" w:name="page14"/>
    <w:bookmarkEnd w:id="1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622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Borders>
              <w:top w:val="single" w:sz="8" w:color="B8CCE4"/>
              <w:right w:val="single" w:sz="8" w:color="B8CCE4"/>
            </w:tcBorders>
            <w:vMerge w:val="restart"/>
          </w:tcPr>
          <w:p>
            <w:pPr>
              <w:jc w:val="right"/>
              <w:ind w:right="125"/>
              <w:spacing w:after="0"/>
              <w:rPr>
                <w:sz w:val="20"/>
                <w:szCs w:val="20"/>
                <w:color w:val="auto"/>
              </w:rPr>
            </w:pPr>
            <w:r>
              <w:rPr>
                <w:rFonts w:ascii="Arial" w:cs="Arial" w:eastAsia="Arial" w:hAnsi="Arial"/>
                <w:sz w:val="14"/>
                <w:szCs w:val="14"/>
                <w:b w:val="1"/>
                <w:bCs w:val="1"/>
                <w:color w:val="auto"/>
              </w:rPr>
              <w:t>December 31, 2019</w:t>
            </w:r>
          </w:p>
        </w:tc>
        <w:tc>
          <w:tcPr>
            <w:tcW w:w="146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Borders>
              <w:bottom w:val="single" w:sz="8" w:color="B8CCE4"/>
              <w:right w:val="single" w:sz="8" w:color="B8CCE4"/>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bottom w:val="single" w:sz="8" w:color="B8CCE4"/>
              <w:right w:val="single" w:sz="8" w:color="B8CCE4"/>
            </w:tcBorders>
            <w:vMerge w:val="continue"/>
          </w:tcPr>
          <w:p>
            <w:pPr>
              <w:spacing w:after="0"/>
              <w:rPr>
                <w:sz w:val="15"/>
                <w:szCs w:val="15"/>
                <w:color w:val="auto"/>
              </w:rPr>
            </w:pPr>
          </w:p>
        </w:tc>
        <w:tc>
          <w:tcPr>
            <w:tcW w:w="146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$262.3</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$407.6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(35.6%)</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$(698.2)</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$30.9</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$55.9</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(44.7%)</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11.8 %</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13.7 %</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(190 bps)</w:t>
            </w:r>
          </w:p>
        </w:tc>
        <w:tc>
          <w:tcPr>
            <w:tcW w:w="0" w:type="dxa"/>
            <w:vAlign w:val="bottom"/>
          </w:tcPr>
          <w:p>
            <w:pPr>
              <w:spacing w:after="0"/>
              <w:rPr>
                <w:sz w:val="1"/>
                <w:szCs w:val="1"/>
                <w:color w:val="auto"/>
              </w:rPr>
            </w:pPr>
          </w:p>
        </w:tc>
      </w:tr>
      <w:tr>
        <w:trPr>
          <w:trHeight w:val="250"/>
        </w:trPr>
        <w:tc>
          <w:tcPr>
            <w:tcW w:w="6220" w:type="dxa"/>
            <w:vAlign w:val="bottom"/>
            <w:tcBorders>
              <w:left w:val="single" w:sz="8" w:color="B8CCE4"/>
              <w:bottom w:val="single" w:sz="8" w:color="B8CCE4"/>
            </w:tcBorders>
          </w:tcPr>
          <w:p>
            <w:pPr>
              <w:spacing w:after="0"/>
              <w:rPr>
                <w:sz w:val="21"/>
                <w:szCs w:val="21"/>
                <w:color w:val="auto"/>
              </w:rPr>
            </w:pPr>
          </w:p>
        </w:tc>
        <w:tc>
          <w:tcPr>
            <w:tcW w:w="1780" w:type="dxa"/>
            <w:vAlign w:val="bottom"/>
            <w:tcBorders>
              <w:bottom w:val="single" w:sz="8" w:color="B8CCE4"/>
            </w:tcBorders>
          </w:tcPr>
          <w:p>
            <w:pPr>
              <w:spacing w:after="0"/>
              <w:rPr>
                <w:sz w:val="21"/>
                <w:szCs w:val="21"/>
                <w:color w:val="auto"/>
              </w:rPr>
            </w:pPr>
          </w:p>
        </w:tc>
        <w:tc>
          <w:tcPr>
            <w:tcW w:w="1720" w:type="dxa"/>
            <w:vAlign w:val="bottom"/>
            <w:tcBorders>
              <w:bottom w:val="single" w:sz="8" w:color="B8CCE4"/>
            </w:tcBorders>
          </w:tcPr>
          <w:p>
            <w:pPr>
              <w:spacing w:after="0"/>
              <w:rPr>
                <w:sz w:val="21"/>
                <w:szCs w:val="21"/>
                <w:color w:val="auto"/>
              </w:rPr>
            </w:pPr>
          </w:p>
        </w:tc>
        <w:tc>
          <w:tcPr>
            <w:tcW w:w="14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$300.3</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$431.6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(30.4%)</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$413.5</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$473.2</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Surface Technologies reported fourth quarter revenue of $262.3 million, a decrease of 35.6 percent from the prior-year quarter. The decline was primarily driven by the sharp reduction in operator activity in North America while international revenue declined more modestly. Sequentially, revenue increased 16.2 percent, driven by an expanded services offering and strong international backlog conversion as well as increased drilling and completion activity in the United States.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Surface Technologies reported operating profit of $15.1 million. Operating profit decreased primarily due to lower activity in North America, partially offset by cost reduction actions. Sequentially, operating profit significantly improved driven by higher global activity and the benefit of cost reduction.</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EBITDA was $30.9 million, with a margin of 11.8 percent, and included a positive contribution from North America for both the quarter and full year. Adjusted EBITDA for the current period included all direct COVID-19 expenses (previously excluded from adjusted results) and operational impacts related to the pandemic.</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Inbound orders for the quarter were $300.3 million, a decrease of 30.4 percent versus the prior-year quarter primarily due to the significant reduction in North America activity. Sequentially, inbound orders improved 44.8 percent, with international orders reaching the highest level of 2020. Backlog ended the period at $413.5 million. 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10 of 30</w:t>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Fourth Quarter Surface Technologies Highlights</w:t>
      </w:r>
    </w:p>
    <w:p>
      <w:pPr>
        <w:spacing w:after="0" w:line="70"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iComplete™ </w:t>
      </w:r>
      <w:r>
        <w:rPr>
          <w:rFonts w:ascii="Arial" w:cs="Arial" w:eastAsia="Arial" w:hAnsi="Arial"/>
          <w:sz w:val="17"/>
          <w:szCs w:val="17"/>
          <w:b w:val="1"/>
          <w:bCs w:val="1"/>
          <w:color w:val="auto"/>
        </w:rPr>
        <w:t>(United States)</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Four full-scale iComplete™ ecosystem tender wins in three basins.</w:t>
      </w:r>
    </w:p>
    <w:p>
      <w:pPr>
        <w:spacing w:after="0" w:line="83" w:lineRule="exact"/>
        <w:rPr>
          <w:rFonts w:ascii="Arial" w:cs="Arial" w:eastAsia="Arial" w:hAnsi="Arial"/>
          <w:sz w:val="20"/>
          <w:szCs w:val="20"/>
          <w:b w:val="1"/>
          <w:bCs w:val="1"/>
          <w:color w:val="auto"/>
        </w:rPr>
      </w:pPr>
    </w:p>
    <w:p>
      <w:pPr>
        <w:ind w:left="660" w:right="3880" w:hanging="328"/>
        <w:spacing w:after="0" w:line="271" w:lineRule="auto"/>
        <w:tabs>
          <w:tab w:leader="none" w:pos="648"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BPX Energy and BPX Energy/Devon Energy joint venture </w:t>
      </w:r>
      <w:r>
        <w:rPr>
          <w:rFonts w:ascii="Arial" w:cs="Arial" w:eastAsia="Arial" w:hAnsi="Arial"/>
          <w:sz w:val="17"/>
          <w:szCs w:val="17"/>
          <w:b w:val="1"/>
          <w:bCs w:val="1"/>
          <w:color w:val="auto"/>
        </w:rPr>
        <w:t>(United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Multi-year supply contract for wellheads and trees in Eagle Ford basin.</w:t>
      </w:r>
    </w:p>
    <w:p>
      <w:pPr>
        <w:spacing w:after="0" w:line="47" w:lineRule="exact"/>
        <w:rPr>
          <w:rFonts w:ascii="Arial" w:cs="Arial" w:eastAsia="Arial" w:hAnsi="Arial"/>
          <w:sz w:val="20"/>
          <w:szCs w:val="20"/>
          <w:b w:val="1"/>
          <w:bCs w:val="1"/>
          <w:color w:val="auto"/>
        </w:rPr>
      </w:pPr>
    </w:p>
    <w:p>
      <w:pPr>
        <w:ind w:left="660" w:right="5380" w:hanging="328"/>
        <w:spacing w:after="0" w:line="298" w:lineRule="auto"/>
        <w:tabs>
          <w:tab w:leader="none" w:pos="64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AkerBP HOD B field re-development project </w:t>
      </w:r>
      <w:r>
        <w:rPr>
          <w:rFonts w:ascii="Arial" w:cs="Arial" w:eastAsia="Arial" w:hAnsi="Arial"/>
          <w:sz w:val="16"/>
          <w:szCs w:val="16"/>
          <w:b w:val="1"/>
          <w:bCs w:val="1"/>
          <w:color w:val="auto"/>
        </w:rPr>
        <w:t>(Norway)</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Contracted to supply wellheads, tree systems and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11 of 30</w:t>
      </w:r>
    </w:p>
    <w:p>
      <w:pPr>
        <w:sectPr>
          <w:pgSz w:w="11900" w:h="16838" w:orient="portrait"/>
          <w:cols w:equalWidth="0" w:num="1">
            <w:col w:w="11200"/>
          </w:cols>
          <w:pgMar w:left="320" w:top="1432" w:right="37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Corporate and Other Items</w:t>
      </w:r>
    </w:p>
    <w:p>
      <w:pPr>
        <w:spacing w:after="0" w:line="37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Corporate expense in the quarter was $58.5 million. Excluding charges and credits totaling $13.1 million of expense, corporate expense was $45.4 million.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losses in the quarter were $2.6 million.</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Net interest expense was $54.5 million in the quarter, which included an increase in the liability payable to joint venture partners of $53.8 million.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recorded a tax provision in the quarter of $75.5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for the quarter was $111.7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Cash flow from operations in the quarter was $554.8 million and $656.9 million for the full year.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in the quarter were $41 million and $291.8 million for the full year.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was $513.8 million in the quarter and $365.1 million for the full year (Exhibit 13).</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Company ended the period with cash and cash equivalents of $4,807.8 million; net cash was $853.9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12 of 30</w:t>
      </w:r>
    </w:p>
    <w:p>
      <w:pPr>
        <w:sectPr>
          <w:pgSz w:w="11900" w:h="16838" w:orient="portrait"/>
          <w:cols w:equalWidth="0" w:num="1">
            <w:col w:w="11240"/>
          </w:cols>
          <w:pgMar w:left="320" w:top="1408"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2021 Full-Year Financial Guidance</w:t>
      </w:r>
      <w:r>
        <w:rPr>
          <w:rFonts w:ascii="Arial" w:cs="Arial" w:eastAsia="Arial" w:hAnsi="Arial"/>
          <w:sz w:val="25"/>
          <w:szCs w:val="25"/>
          <w:b w:val="1"/>
          <w:bCs w:val="1"/>
          <w:color w:val="auto"/>
          <w:vertAlign w:val="superscript"/>
        </w:rPr>
        <w:t>1</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2021 can be found in the table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All segment guidance assumes no further material degradation from COVID-19-related impacts.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Guidance is based on continuing operations and thus excludes the impact of Technip Energies, which will be reported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234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297"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FFFFFF"/>
        </w:rPr>
        <w:t>Subsea</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in a range of $5.0 - 5.4 billion</w:t>
      </w:r>
    </w:p>
    <w:p>
      <w:pPr>
        <w:spacing w:after="0" w:line="7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EBITDA margin in a range of 10 - 11% (excluding charges and credits)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FFFFFF"/>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-144780</wp:posOffset>
            </wp:positionV>
            <wp:extent cx="7123430"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61722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Revenue in a range of $1,050 - 1,250 million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EBITDA margin in a range of 8 - 11% (excluding charges and credits)</w:t>
      </w:r>
    </w:p>
    <w:p>
      <w:pPr>
        <w:spacing w:after="0" w:line="220" w:lineRule="exact"/>
        <w:rPr>
          <w:sz w:val="20"/>
          <w:szCs w:val="20"/>
          <w:color w:val="auto"/>
        </w:rPr>
      </w:pPr>
    </w:p>
    <w:p>
      <w:pPr>
        <w:sectPr>
          <w:pgSz w:w="11900" w:h="16838" w:orient="portrait"/>
          <w:cols w:equalWidth="0" w:num="2">
            <w:col w:w="5020" w:space="480"/>
            <w:col w:w="5740"/>
          </w:cols>
          <w:pgMar w:left="320" w:top="1408" w:right="3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23430" cy="2082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208280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$105 -115 million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(includes depreciation and amortization of ~$15 million)</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$130 - 135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provision, as reported </w:t>
      </w:r>
      <w:r>
        <w:rPr>
          <w:rFonts w:ascii="Arial" w:cs="Arial" w:eastAsia="Arial" w:hAnsi="Arial"/>
          <w:sz w:val="20"/>
          <w:szCs w:val="20"/>
          <w:color w:val="auto"/>
        </w:rPr>
        <w:t>$110 - 120 million</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(includes separation-related tax items of ~$40 million)</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$250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$50 - 150 million</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(includes separation-related tax items of ~$40 million and costs of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1175385</wp:posOffset>
            </wp:positionV>
            <wp:extent cx="1714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firstLine="8"/>
        <w:spacing w:after="0" w:line="230" w:lineRule="auto"/>
        <w:tabs>
          <w:tab w:leader="none" w:pos="8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Our guidance measures adjusted EBITDA margin, corporate expense, net, net interest expense and free cash flow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13 of 30</w:t>
      </w:r>
    </w:p>
    <w:p>
      <w:pPr>
        <w:sectPr>
          <w:pgSz w:w="11900" w:h="16838" w:orient="portrait"/>
          <w:cols w:equalWidth="0" w:num="1">
            <w:col w:w="11240"/>
          </w:cols>
          <w:pgMar w:left="320" w:top="140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Teleconference</w:t>
      </w:r>
    </w:p>
    <w:p>
      <w:pPr>
        <w:spacing w:after="0" w:line="3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February 25, 2021 to discuss the fourth quarter 2020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14 of 30</w:t>
      </w:r>
    </w:p>
    <w:p>
      <w:pPr>
        <w:sectPr>
          <w:pgSz w:w="11900" w:h="16838" w:orient="portrait"/>
          <w:cols w:equalWidth="0" w:num="1">
            <w:col w:w="11240"/>
          </w:cols>
          <w:pgMar w:left="320" w:top="140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is a leading technology provider to the traditional and new energies industries; delivering fully integrated projects, products, and services.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808080"/>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Organized in two business segments — Subsea and Surface Technologies — we will continue to advance the industry with our pioneering integrated ecosystems (such as iEPCI™, iFEED™ and iComplete™), technology leadership and digital innovation.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Each of our approximately 20,000 employees is driven by a commitment to our clients’ success, and a culture of strong execution, purposeful innovation, and challenging industry conventions.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uses its website as a channel of distribution of material company information. To learn more about how we are driving change in the industry, go to www.TechnipFMC.com and follow us on Twitter @TechnipFMC.</w:t>
      </w: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 -looking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7" w:lineRule="exact"/>
        <w:rPr>
          <w:sz w:val="20"/>
          <w:szCs w:val="20"/>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15 of 30</w:t>
      </w:r>
    </w:p>
    <w:p>
      <w:pPr>
        <w:sectPr>
          <w:pgSz w:w="11900" w:h="16838" w:orient="portrait"/>
          <w:cols w:equalWidth="0" w:num="1">
            <w:col w:w="11240"/>
          </w:cols>
          <w:pgMar w:left="320" w:top="1408" w:right="339" w:bottom="1440" w:gutter="0" w:footer="0" w:header="0"/>
        </w:sectPr>
      </w:pPr>
    </w:p>
    <w:bookmarkStart w:id="19" w:name="page20"/>
    <w:bookmarkEnd w:id="19"/>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our reliance on subcontractors, suppliers and joint venture partners in the performance of our contracts;</w:t>
      </w:r>
    </w:p>
    <w:p>
      <w:pPr>
        <w:spacing w:after="0" w:line="27"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the United Kingdom’s withdrawal from the European Union;</w:t>
      </w:r>
    </w:p>
    <w:p>
      <w:pPr>
        <w:spacing w:after="0" w:line="9" w:lineRule="exact"/>
        <w:rPr>
          <w:rFonts w:ascii="Arial" w:cs="Arial" w:eastAsia="Arial" w:hAnsi="Arial"/>
          <w:sz w:val="18"/>
          <w:szCs w:val="18"/>
          <w:i w:val="1"/>
          <w:iCs w:val="1"/>
          <w:color w:val="808080"/>
        </w:rPr>
      </w:pPr>
    </w:p>
    <w:p>
      <w:pPr>
        <w:jc w:val="both"/>
        <w:ind w:left="660" w:hanging="328"/>
        <w:spacing w:after="0" w:line="250" w:lineRule="auto"/>
        <w:tabs>
          <w:tab w:leader="none" w:pos="655"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ind w:left="660" w:hanging="328"/>
        <w:spacing w:after="0"/>
        <w:tabs>
          <w:tab w:leader="none" w:pos="660"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i w:val="1"/>
          <w:iCs w:val="1"/>
          <w:color w:val="808080"/>
        </w:rPr>
      </w:pPr>
    </w:p>
    <w:p>
      <w:pPr>
        <w:ind w:left="660" w:hanging="328"/>
        <w:spacing w:after="0" w:line="261" w:lineRule="auto"/>
        <w:tabs>
          <w:tab w:leader="none" w:pos="655" w:val="left"/>
        </w:tabs>
        <w:numPr>
          <w:ilvl w:val="0"/>
          <w:numId w:val="18"/>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as set forth in our filings with the U.S. Securities and Exchange Commission and in our filings with the Autorité des marchés financiers or the U.K. Financial Conduct Authority.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16 of 30</w:t>
      </w:r>
    </w:p>
    <w:p>
      <w:pPr>
        <w:sectPr>
          <w:pgSz w:w="11900" w:h="16838" w:orient="portrait"/>
          <w:cols w:equalWidth="0" w:num="1">
            <w:col w:w="11240"/>
          </w:cols>
          <w:pgMar w:left="320" w:top="1417" w:right="339" w:bottom="1440" w:gutter="0" w:footer="0" w:header="0"/>
        </w:sectPr>
      </w:pPr>
    </w:p>
    <w:bookmarkStart w:id="20" w:name="page21"/>
    <w:bookmarkEnd w:id="20"/>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Contacts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4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3900" w:type="dxa"/>
            <w:vAlign w:val="bottom"/>
            <w:gridSpan w:val="4"/>
          </w:tcPr>
          <w:p>
            <w:pPr>
              <w:ind w:left="1100"/>
              <w:spacing w:after="0"/>
              <w:rPr>
                <w:sz w:val="20"/>
                <w:szCs w:val="20"/>
                <w:color w:val="auto"/>
              </w:rPr>
            </w:pPr>
            <w:r>
              <w:rPr>
                <w:rFonts w:ascii="Arial" w:cs="Arial" w:eastAsia="Arial" w:hAnsi="Arial"/>
                <w:sz w:val="20"/>
                <w:szCs w:val="20"/>
                <w:b w:val="1"/>
                <w:bCs w:val="1"/>
                <w:color w:val="auto"/>
              </w:rPr>
              <w:t>Media relations</w:t>
            </w:r>
          </w:p>
        </w:tc>
      </w:tr>
      <w:tr>
        <w:trPr>
          <w:trHeight w:val="384"/>
        </w:trPr>
        <w:tc>
          <w:tcPr>
            <w:tcW w:w="414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3900" w:type="dxa"/>
            <w:vAlign w:val="bottom"/>
            <w:gridSpan w:val="4"/>
          </w:tcPr>
          <w:p>
            <w:pPr>
              <w:ind w:left="1100"/>
              <w:spacing w:after="0"/>
              <w:rPr>
                <w:sz w:val="20"/>
                <w:szCs w:val="20"/>
                <w:color w:val="auto"/>
              </w:rPr>
            </w:pPr>
            <w:r>
              <w:rPr>
                <w:rFonts w:ascii="Arial" w:cs="Arial" w:eastAsia="Arial" w:hAnsi="Arial"/>
                <w:sz w:val="20"/>
                <w:szCs w:val="20"/>
                <w:color w:val="auto"/>
              </w:rPr>
              <w:t>Nicola Cameron</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Vice President Investor Relations</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w w:val="98"/>
              </w:rPr>
              <w:t>Vice President Communications</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rPr>
              <w:t>Tel: +44 383 742 297</w:t>
            </w:r>
          </w:p>
        </w:tc>
      </w:tr>
      <w:tr>
        <w:trPr>
          <w:trHeight w:val="193"/>
        </w:trPr>
        <w:tc>
          <w:tcPr>
            <w:tcW w:w="414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Matt Seinsheimer</w:t>
            </w:r>
          </w:p>
        </w:tc>
        <w:tc>
          <w:tcPr>
            <w:tcW w:w="3900" w:type="dxa"/>
            <w:vAlign w:val="bottom"/>
            <w:gridSpan w:val="4"/>
          </w:tcPr>
          <w:p>
            <w:pPr>
              <w:ind w:left="110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Nicola Cameron</w:t>
            </w:r>
          </w:p>
        </w:tc>
      </w:tr>
      <w:tr>
        <w:trPr>
          <w:trHeight w:val="20"/>
        </w:trPr>
        <w:tc>
          <w:tcPr>
            <w:tcW w:w="620" w:type="dxa"/>
            <w:vAlign w:val="bottom"/>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8"/>
        </w:trPr>
        <w:tc>
          <w:tcPr>
            <w:tcW w:w="4140" w:type="dxa"/>
            <w:vAlign w:val="bottom"/>
            <w:gridSpan w:val="4"/>
          </w:tcPr>
          <w:p>
            <w:pPr>
              <w:spacing w:after="0"/>
              <w:rPr>
                <w:sz w:val="20"/>
                <w:szCs w:val="20"/>
                <w:color w:val="auto"/>
              </w:rPr>
            </w:pPr>
            <w:r>
              <w:rPr>
                <w:rFonts w:ascii="Arial" w:cs="Arial" w:eastAsia="Arial" w:hAnsi="Arial"/>
                <w:sz w:val="20"/>
                <w:szCs w:val="20"/>
                <w:color w:val="auto"/>
              </w:rPr>
              <w:t>James Davis</w:t>
            </w:r>
          </w:p>
        </w:tc>
        <w:tc>
          <w:tcPr>
            <w:tcW w:w="3900" w:type="dxa"/>
            <w:vAlign w:val="bottom"/>
            <w:gridSpan w:val="4"/>
          </w:tcPr>
          <w:p>
            <w:pPr>
              <w:ind w:left="1100"/>
              <w:spacing w:after="0"/>
              <w:rPr>
                <w:sz w:val="20"/>
                <w:szCs w:val="20"/>
                <w:color w:val="auto"/>
              </w:rPr>
            </w:pPr>
            <w:r>
              <w:rPr>
                <w:rFonts w:ascii="Arial" w:cs="Arial" w:eastAsia="Arial" w:hAnsi="Arial"/>
                <w:sz w:val="20"/>
                <w:szCs w:val="20"/>
                <w:color w:val="auto"/>
              </w:rPr>
              <w:t>Brooke Robertson</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Senior Manager Investor Relations</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rPr>
              <w:t>Public Relations Director</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rPr>
              <w:t>Tel: +1 281 591 4108</w:t>
            </w:r>
          </w:p>
        </w:tc>
      </w:tr>
      <w:tr>
        <w:trPr>
          <w:trHeight w:val="193"/>
        </w:trPr>
        <w:tc>
          <w:tcPr>
            <w:tcW w:w="414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James Davis</w:t>
            </w:r>
          </w:p>
        </w:tc>
        <w:tc>
          <w:tcPr>
            <w:tcW w:w="3900" w:type="dxa"/>
            <w:vAlign w:val="bottom"/>
            <w:gridSpan w:val="4"/>
          </w:tcPr>
          <w:p>
            <w:pPr>
              <w:ind w:left="110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Brooke Robertson</w:t>
            </w:r>
          </w:p>
        </w:tc>
      </w:tr>
      <w:tr>
        <w:trPr>
          <w:trHeight w:val="20"/>
        </w:trPr>
        <w:tc>
          <w:tcPr>
            <w:tcW w:w="620" w:type="dxa"/>
            <w:vAlign w:val="bottom"/>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5020"/>
        <w:spacing w:after="0"/>
        <w:tabs>
          <w:tab w:leader="none" w:pos="102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17 of 30</w:t>
      </w:r>
    </w:p>
    <w:p>
      <w:pPr>
        <w:sectPr>
          <w:pgSz w:w="11900" w:h="16838" w:orient="portrait"/>
          <w:cols w:equalWidth="0" w:num="1">
            <w:col w:w="11180"/>
          </w:cols>
          <w:pgMar w:left="340" w:top="1440" w:right="37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25"/>
        </w:trPr>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3,426.1</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3,726.8</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13,050.6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13,409.1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14,935.8</w:t>
            </w:r>
          </w:p>
        </w:tc>
        <w:tc>
          <w:tcPr>
            <w:tcW w:w="0" w:type="dxa"/>
            <w:vAlign w:val="bottom"/>
          </w:tcPr>
          <w:p>
            <w:pPr>
              <w:spacing w:after="0"/>
              <w:rPr>
                <w:sz w:val="1"/>
                <w:szCs w:val="1"/>
                <w:color w:val="auto"/>
              </w:rPr>
            </w:pPr>
          </w:p>
        </w:tc>
      </w:tr>
      <w:tr>
        <w:trPr>
          <w:trHeight w:val="224"/>
        </w:trPr>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391"/>
        </w:trPr>
        <w:tc>
          <w:tcPr>
            <w:tcW w:w="46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371"/>
        </w:trPr>
        <w:tc>
          <w:tcPr>
            <w:tcW w:w="4640" w:type="dxa"/>
            <w:vAlign w:val="bottom"/>
          </w:tcPr>
          <w:p>
            <w:pPr>
              <w:spacing w:after="0"/>
              <w:rPr>
                <w:sz w:val="20"/>
                <w:szCs w:val="20"/>
                <w:color w:val="auto"/>
              </w:rPr>
            </w:pPr>
            <w:r>
              <w:rPr>
                <w:rFonts w:ascii="Arial" w:cs="Arial" w:eastAsia="Arial" w:hAnsi="Arial"/>
                <w:sz w:val="18"/>
                <w:szCs w:val="18"/>
                <w:color w:val="auto"/>
                <w:w w:val="96"/>
              </w:rPr>
              <w:t>Income (loss) before net interest expense and income taxes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(1,684.5)</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interest expense</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371"/>
        </w:trPr>
        <w:tc>
          <w:tcPr>
            <w:tcW w:w="4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(2,135.8)</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371"/>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(2,430.3)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(3,237.9)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1"/>
        </w:trPr>
        <w:tc>
          <w:tcPr>
            <w:tcW w:w="4640" w:type="dxa"/>
            <w:vAlign w:val="bottom"/>
          </w:tcPr>
          <w:p>
            <w:pPr>
              <w:spacing w:after="0"/>
              <w:rPr>
                <w:sz w:val="20"/>
                <w:szCs w:val="20"/>
                <w:color w:val="auto"/>
              </w:rPr>
            </w:pPr>
            <w:r>
              <w:rPr>
                <w:rFonts w:ascii="Arial" w:cs="Arial" w:eastAsia="Arial" w:hAnsi="Arial"/>
                <w:sz w:val="18"/>
                <w:szCs w:val="18"/>
                <w:color w:val="auto"/>
              </w:rPr>
              <w:t>Net loss attributable to TechnipFMC plc</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(3,287.6)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(2,415.2)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(loss) per share attributable to TechnipFMC plc:</w:t>
            </w: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445"/>
        </w:trPr>
        <w:tc>
          <w:tcPr>
            <w:tcW w:w="46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446"/>
        </w:trPr>
        <w:tc>
          <w:tcPr>
            <w:tcW w:w="46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784"/>
        </w:trPr>
        <w:tc>
          <w:tcPr>
            <w:tcW w:w="4640" w:type="dxa"/>
            <w:vAlign w:val="bottom"/>
          </w:tcPr>
          <w:p>
            <w:pPr>
              <w:spacing w:after="0"/>
              <w:rPr>
                <w:sz w:val="24"/>
                <w:szCs w:val="24"/>
                <w:color w:val="auto"/>
              </w:rPr>
            </w:pPr>
          </w:p>
        </w:tc>
        <w:tc>
          <w:tcPr>
            <w:tcW w:w="2080" w:type="dxa"/>
            <w:vAlign w:val="bottom"/>
            <w:gridSpan w:val="4"/>
          </w:tcPr>
          <w:p>
            <w:pPr>
              <w:ind w:left="380"/>
              <w:spacing w:after="0"/>
              <w:rPr>
                <w:sz w:val="20"/>
                <w:szCs w:val="20"/>
                <w:color w:val="auto"/>
              </w:rPr>
            </w:pPr>
            <w:r>
              <w:rPr>
                <w:rFonts w:ascii="Arial" w:cs="Arial" w:eastAsia="Arial" w:hAnsi="Arial"/>
                <w:sz w:val="14"/>
                <w:szCs w:val="14"/>
                <w:b w:val="1"/>
                <w:bCs w:val="1"/>
                <w:color w:val="auto"/>
              </w:rPr>
              <w:t>TechnipFMC.com</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Page 18 of 30</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53"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69"/>
        </w:trPr>
        <w:tc>
          <w:tcPr>
            <w:tcW w:w="51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4520" w:type="dxa"/>
            <w:vAlign w:val="bottom"/>
            <w:gridSpan w:val="4"/>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1,338.0</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5,471.4</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5,523.0</w:t>
            </w: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6,268.8</w:t>
            </w: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13,409.1</w:t>
            </w:r>
          </w:p>
        </w:tc>
        <w:tc>
          <w:tcPr>
            <w:tcW w:w="0" w:type="dxa"/>
            <w:vAlign w:val="bottom"/>
          </w:tcPr>
          <w:p>
            <w:pPr>
              <w:spacing w:after="0"/>
              <w:rPr>
                <w:sz w:val="1"/>
                <w:szCs w:val="1"/>
                <w:color w:val="auto"/>
              </w:rPr>
            </w:pPr>
          </w:p>
        </w:tc>
      </w:tr>
      <w:tr>
        <w:trPr>
          <w:trHeight w:val="21"/>
        </w:trPr>
        <w:tc>
          <w:tcPr>
            <w:tcW w:w="51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1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Segment operating profit (loss)</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Subsea</w:t>
            </w:r>
          </w:p>
        </w:tc>
        <w:tc>
          <w:tcPr>
            <w:tcW w:w="2940" w:type="dxa"/>
            <w:vAlign w:val="bottom"/>
            <w:gridSpan w:val="2"/>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(2,815.5)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(1,447.7)</w:t>
            </w: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23"/>
        </w:trPr>
        <w:tc>
          <w:tcPr>
            <w:tcW w:w="5180" w:type="dxa"/>
            <w:vAlign w:val="bottom"/>
            <w:gridSpan w:val="5"/>
          </w:tcPr>
          <w:p>
            <w:pPr>
              <w:ind w:left="340"/>
              <w:spacing w:after="0"/>
              <w:rPr>
                <w:sz w:val="20"/>
                <w:szCs w:val="20"/>
                <w:color w:val="auto"/>
              </w:rPr>
            </w:pPr>
            <w:r>
              <w:rPr>
                <w:rFonts w:ascii="Arial" w:cs="Arial" w:eastAsia="Arial" w:hAnsi="Arial"/>
                <w:sz w:val="18"/>
                <w:szCs w:val="18"/>
                <w:color w:val="auto"/>
              </w:rPr>
              <w:t>Total segment operating profit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385"/>
        </w:trPr>
        <w:tc>
          <w:tcPr>
            <w:tcW w:w="5180" w:type="dxa"/>
            <w:vAlign w:val="bottom"/>
            <w:gridSpan w:val="5"/>
          </w:tcPr>
          <w:p>
            <w:pPr>
              <w:spacing w:after="0"/>
              <w:rPr>
                <w:sz w:val="20"/>
                <w:szCs w:val="20"/>
                <w:color w:val="auto"/>
              </w:rPr>
            </w:pPr>
            <w:r>
              <w:rPr>
                <w:rFonts w:ascii="Arial" w:cs="Arial" w:eastAsia="Arial" w:hAnsi="Arial"/>
                <w:sz w:val="18"/>
                <w:szCs w:val="18"/>
                <w:color w:val="auto"/>
              </w:rPr>
              <w:t>Corporate items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gridSpan w:val="5"/>
          </w:tcPr>
          <w:p>
            <w:pPr>
              <w:spacing w:after="0" w:line="250" w:lineRule="exact"/>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Foreign exchange gains (losses)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23"/>
        </w:trPr>
        <w:tc>
          <w:tcPr>
            <w:tcW w:w="518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425"/>
        </w:trPr>
        <w:tc>
          <w:tcPr>
            <w:tcW w:w="5180" w:type="dxa"/>
            <w:vAlign w:val="bottom"/>
            <w:gridSpan w:val="5"/>
          </w:tcPr>
          <w:p>
            <w:pPr>
              <w:spacing w:after="0"/>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share-based compensation expenses, and other employee benefits.</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19 of 30</w:t>
      </w:r>
    </w:p>
    <w:p>
      <w:pPr>
        <w:sectPr>
          <w:pgSz w:w="11900" w:h="16838" w:orient="portrait"/>
          <w:cols w:equalWidth="0" w:num="1">
            <w:col w:w="11240"/>
          </w:cols>
          <w:pgMar w:left="320" w:top="1053"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3"/>
                <w:szCs w:val="23"/>
                <w:b w:val="1"/>
                <w:bCs w:val="1"/>
                <w:color w:val="auto"/>
                <w:vertAlign w:val="superscript"/>
              </w:rPr>
              <w:t>(1)</w:t>
            </w:r>
          </w:p>
        </w:tc>
        <w:tc>
          <w:tcPr>
            <w:tcW w:w="320" w:type="dxa"/>
            <w:vAlign w:val="bottom"/>
          </w:tcPr>
          <w:p>
            <w:pPr>
              <w:spacing w:after="0"/>
              <w:rPr>
                <w:sz w:val="19"/>
                <w:szCs w:val="19"/>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425"/>
        </w:trPr>
        <w:tc>
          <w:tcPr>
            <w:tcW w:w="5180" w:type="dxa"/>
            <w:vAlign w:val="bottom"/>
            <w:gridSpan w:val="2"/>
          </w:tcPr>
          <w:p>
            <w:pPr>
              <w:spacing w:after="0"/>
              <w:rPr>
                <w:sz w:val="20"/>
                <w:szCs w:val="20"/>
                <w:color w:val="auto"/>
              </w:rPr>
            </w:pPr>
            <w:r>
              <w:rPr>
                <w:rFonts w:ascii="Arial" w:cs="Arial" w:eastAsia="Arial" w:hAnsi="Arial"/>
                <w:sz w:val="18"/>
                <w:szCs w:val="18"/>
                <w:color w:val="auto"/>
              </w:rPr>
              <w:t>Subsea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712.1</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4,003.0</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7,992.6</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13,080.5</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22,693.0</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3"/>
                <w:szCs w:val="23"/>
                <w:b w:val="1"/>
                <w:bCs w:val="1"/>
                <w:color w:val="auto"/>
                <w:vertAlign w:val="superscript"/>
              </w:rPr>
              <w:t>(2)</w:t>
            </w:r>
          </w:p>
        </w:tc>
        <w:tc>
          <w:tcPr>
            <w:tcW w:w="320" w:type="dxa"/>
            <w:vAlign w:val="bottom"/>
          </w:tcPr>
          <w:p>
            <w:pPr>
              <w:spacing w:after="0"/>
              <w:rPr>
                <w:sz w:val="22"/>
                <w:szCs w:val="22"/>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22"/>
                <w:szCs w:val="22"/>
                <w:color w:val="auto"/>
              </w:rPr>
            </w:pP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2019</w:t>
            </w:r>
          </w:p>
        </w:tc>
      </w:tr>
      <w:tr>
        <w:trPr>
          <w:trHeight w:val="425"/>
        </w:trPr>
        <w:tc>
          <w:tcPr>
            <w:tcW w:w="8220" w:type="dxa"/>
            <w:vAlign w:val="bottom"/>
            <w:gridSpan w:val="2"/>
          </w:tcPr>
          <w:p>
            <w:pPr>
              <w:spacing w:after="0"/>
              <w:rPr>
                <w:sz w:val="20"/>
                <w:szCs w:val="20"/>
                <w:color w:val="auto"/>
              </w:rPr>
            </w:pPr>
            <w:r>
              <w:rPr>
                <w:rFonts w:ascii="Arial" w:cs="Arial" w:eastAsia="Arial" w:hAnsi="Arial"/>
                <w:sz w:val="18"/>
                <w:szCs w:val="18"/>
                <w:color w:val="auto"/>
              </w:rPr>
              <w:t>Subsea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6,876.0</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8,479.8</w:t>
            </w:r>
          </w:p>
        </w:tc>
      </w:tr>
      <w:tr>
        <w:trPr>
          <w:trHeight w:val="229"/>
        </w:trPr>
        <w:tc>
          <w:tcPr>
            <w:tcW w:w="8220" w:type="dxa"/>
            <w:vAlign w:val="bottom"/>
            <w:gridSpan w:val="2"/>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14,098.7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15,298.1</w:t>
            </w: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24,251.1</w:t>
            </w:r>
          </w:p>
        </w:tc>
      </w:tr>
      <w:tr>
        <w:trPr>
          <w:trHeight w:val="21"/>
        </w:trPr>
        <w:tc>
          <w:tcPr>
            <w:tcW w:w="11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20 of 30</w:t>
      </w:r>
    </w:p>
    <w:p>
      <w:pPr>
        <w:sectPr>
          <w:pgSz w:w="11900" w:h="16838" w:orient="portrait"/>
          <w:cols w:equalWidth="0" w:num="1">
            <w:col w:w="11240"/>
          </w:cols>
          <w:pgMar w:left="320" w:top="105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4"/>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760"/>
              <w:spacing w:after="0"/>
              <w:rPr>
                <w:sz w:val="20"/>
                <w:szCs w:val="20"/>
                <w:color w:val="auto"/>
              </w:rPr>
            </w:pPr>
            <w:r>
              <w:rPr>
                <w:rFonts w:ascii="Arial" w:cs="Arial" w:eastAsia="Arial" w:hAnsi="Arial"/>
                <w:sz w:val="13"/>
                <w:szCs w:val="13"/>
                <w:b w:val="1"/>
                <w:bCs w:val="1"/>
                <w:color w:val="auto"/>
                <w:w w:val="88"/>
              </w:rPr>
              <w:t>Exhibit 4</w:t>
            </w:r>
          </w:p>
        </w:tc>
      </w:tr>
      <w:tr>
        <w:trPr>
          <w:trHeight w:val="340"/>
        </w:trPr>
        <w:tc>
          <w:tcPr>
            <w:tcW w:w="3140" w:type="dxa"/>
            <w:vAlign w:val="bottom"/>
          </w:tcPr>
          <w:p>
            <w:pPr>
              <w:spacing w:after="0"/>
              <w:rPr>
                <w:sz w:val="24"/>
                <w:szCs w:val="24"/>
                <w:color w:val="auto"/>
              </w:rPr>
            </w:pPr>
          </w:p>
        </w:tc>
        <w:tc>
          <w:tcPr>
            <w:tcW w:w="5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TECHNIPFMC PLC AND CONSOLIDATED SUBSIDIARIES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8"/>
              </w:rPr>
              <w:t>CONDENSED CONSOLIDATED BALANCE SHEETS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5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ind w:left="880"/>
              <w:spacing w:after="0"/>
              <w:rPr>
                <w:sz w:val="20"/>
                <w:szCs w:val="20"/>
                <w:color w:val="auto"/>
              </w:rPr>
            </w:pPr>
            <w:r>
              <w:rPr>
                <w:rFonts w:ascii="Arial" w:cs="Arial" w:eastAsia="Arial" w:hAnsi="Arial"/>
                <w:sz w:val="16"/>
                <w:szCs w:val="16"/>
                <w:b w:val="1"/>
                <w:bCs w:val="1"/>
                <w:color w:val="auto"/>
              </w:rPr>
              <w:t>(Unaudited)</w:t>
            </w:r>
          </w:p>
        </w:tc>
      </w:tr>
      <w:tr>
        <w:trPr>
          <w:trHeight w:val="158"/>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December 31,</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52"/>
              <w:spacing w:after="0" w:line="158" w:lineRule="exact"/>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3"/>
                <w:szCs w:val="13"/>
                <w:color w:val="auto"/>
              </w:rPr>
            </w:pPr>
          </w:p>
        </w:tc>
      </w:tr>
      <w:tr>
        <w:trPr>
          <w:trHeight w:val="213"/>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427"/>
        </w:trPr>
        <w:tc>
          <w:tcPr>
            <w:tcW w:w="82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4,807.8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5,190.2</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2,287.1</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1,520.0</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1,416.0</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1,473.1</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11,444.7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11,886.4</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3,162.0</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5,598.3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1,086.6</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1,785.5</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23,518.8</w:t>
            </w:r>
          </w:p>
        </w:tc>
        <w:tc>
          <w:tcPr>
            <w:tcW w:w="20" w:type="dxa"/>
            <w:vAlign w:val="bottom"/>
          </w:tcPr>
          <w:p>
            <w:pPr>
              <w:spacing w:after="0"/>
              <w:rPr>
                <w:sz w:val="19"/>
                <w:szCs w:val="19"/>
                <w:color w:val="auto"/>
              </w:rPr>
            </w:pPr>
          </w:p>
        </w:tc>
      </w:tr>
      <w:tr>
        <w:trPr>
          <w:trHeight w:val="20"/>
        </w:trPr>
        <w:tc>
          <w:tcPr>
            <w:tcW w:w="8220" w:type="dxa"/>
            <w:vAlign w:val="bottom"/>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8220" w:type="dxa"/>
            <w:vAlign w:val="bottom"/>
            <w:gridSpan w:val="5"/>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495.4</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Accounts payable, trade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2,659.8</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4,585.1</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2,398.1</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10,392.6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10,138.4</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3,980.0</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1,671.2</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TechnipFMC plc stockholders’ equity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7,659.3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23,518.8</w:t>
            </w:r>
          </w:p>
        </w:tc>
        <w:tc>
          <w:tcPr>
            <w:tcW w:w="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8"/>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TechnipFMC.com</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 21 of 30</w:t>
            </w:r>
          </w:p>
        </w:tc>
      </w:tr>
    </w:tbl>
    <w:p>
      <w:pPr>
        <w:sectPr>
          <w:pgSz w:w="11900" w:h="16838" w:orient="portrait"/>
          <w:cols w:equalWidth="0" w:num="1">
            <w:col w:w="11200"/>
          </w:cols>
          <w:pgMar w:left="360" w:top="1053"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ind w:left="520"/>
              <w:spacing w:after="0"/>
              <w:rPr>
                <w:sz w:val="20"/>
                <w:szCs w:val="20"/>
                <w:color w:val="auto"/>
              </w:rPr>
            </w:pPr>
            <w:r>
              <w:rPr>
                <w:rFonts w:ascii="Arial" w:cs="Arial" w:eastAsia="Arial" w:hAnsi="Arial"/>
                <w:sz w:val="13"/>
                <w:szCs w:val="13"/>
                <w:b w:val="1"/>
                <w:bCs w:val="1"/>
                <w:color w:val="auto"/>
                <w:w w:val="88"/>
              </w:rPr>
              <w:t>Exhibit 5</w:t>
            </w:r>
          </w:p>
        </w:tc>
      </w:tr>
      <w:tr>
        <w:trPr>
          <w:trHeight w:val="299"/>
        </w:trPr>
        <w:tc>
          <w:tcPr>
            <w:tcW w:w="3640" w:type="dxa"/>
            <w:vAlign w:val="bottom"/>
          </w:tcPr>
          <w:p>
            <w:pPr>
              <w:spacing w:after="0"/>
              <w:rPr>
                <w:sz w:val="24"/>
                <w:szCs w:val="24"/>
                <w:color w:val="auto"/>
              </w:rPr>
            </w:pPr>
          </w:p>
        </w:tc>
        <w:tc>
          <w:tcPr>
            <w:tcW w:w="45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TECHNIPFMC PLC AND CONSOLIDATED SUBSIDIARIES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CONSOLIDATED STATEMENTS OF CASH FLOWS</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7"/>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7"/>
              </w:rPr>
              <w:t>(Unaudited)</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r>
      <w:tr>
        <w:trPr>
          <w:trHeight w:val="163"/>
        </w:trPr>
        <w:tc>
          <w:tcPr>
            <w:tcW w:w="8220" w:type="dxa"/>
            <w:vAlign w:val="bottom"/>
            <w:gridSpan w:val="5"/>
          </w:tcPr>
          <w:p>
            <w:pPr>
              <w:spacing w:after="0"/>
              <w:rPr>
                <w:sz w:val="20"/>
                <w:szCs w:val="20"/>
                <w:color w:val="auto"/>
              </w:rPr>
            </w:pPr>
            <w:r>
              <w:rPr>
                <w:rFonts w:ascii="Arial" w:cs="Arial" w:eastAsia="Arial" w:hAnsi="Arial"/>
                <w:sz w:val="14"/>
                <w:szCs w:val="14"/>
                <w:color w:val="auto"/>
              </w:rPr>
              <w:t>Cash provided (required) by operating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8220" w:type="dxa"/>
            <w:vAlign w:val="bottom"/>
            <w:gridSpan w:val="5"/>
          </w:tcPr>
          <w:p>
            <w:pPr>
              <w:ind w:left="12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2"/>
              </w:rPr>
              <w:t>(3,237.9)</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(2,412.1)</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Adjustments to reconcile net income to cash provided (required) by operating activities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Depreciation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383.5</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Amortization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126.1</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Impairments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3,287.4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2,484.1</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Employee benefit plan and share-based compensation costs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63.3</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Deferred income tax benefit,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(75.4)</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Income from equity affiliates, net of dividends received</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(58.8)</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Other</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364.4</w:t>
            </w:r>
          </w:p>
        </w:tc>
        <w:tc>
          <w:tcPr>
            <w:tcW w:w="20" w:type="dxa"/>
            <w:vAlign w:val="bottom"/>
          </w:tcPr>
          <w:p>
            <w:pPr>
              <w:spacing w:after="0"/>
              <w:rPr>
                <w:sz w:val="16"/>
                <w:szCs w:val="16"/>
                <w:color w:val="auto"/>
              </w:rPr>
            </w:pPr>
          </w:p>
        </w:tc>
      </w:tr>
      <w:tr>
        <w:trPr>
          <w:trHeight w:val="189"/>
        </w:trPr>
        <w:tc>
          <w:tcPr>
            <w:tcW w:w="8220" w:type="dxa"/>
            <w:vAlign w:val="bottom"/>
            <w:gridSpan w:val="5"/>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Trade receivables, net and contract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Inventories,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(169.6)</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Accounts payable, trade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Contract liabilities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520.1</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Income taxes payable (receivable),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Other current assets and liabilities,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(431.8)</w:t>
            </w:r>
          </w:p>
        </w:tc>
        <w:tc>
          <w:tcPr>
            <w:tcW w:w="20" w:type="dxa"/>
            <w:vAlign w:val="bottom"/>
          </w:tcPr>
          <w:p>
            <w:pPr>
              <w:spacing w:after="0"/>
              <w:rPr>
                <w:sz w:val="16"/>
                <w:szCs w:val="16"/>
                <w:color w:val="auto"/>
              </w:rPr>
            </w:pPr>
          </w:p>
        </w:tc>
      </w:tr>
      <w:tr>
        <w:trPr>
          <w:trHeight w:val="194"/>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Other noncurrent assets and liabilities, net</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6"/>
                <w:szCs w:val="16"/>
                <w:color w:val="auto"/>
              </w:rPr>
            </w:pPr>
          </w:p>
        </w:tc>
      </w:tr>
      <w:tr>
        <w:trPr>
          <w:trHeight w:val="183"/>
        </w:trPr>
        <w:tc>
          <w:tcPr>
            <w:tcW w:w="8220" w:type="dxa"/>
            <w:vAlign w:val="bottom"/>
            <w:gridSpan w:val="5"/>
          </w:tcPr>
          <w:p>
            <w:pPr>
              <w:spacing w:after="0"/>
              <w:rPr>
                <w:sz w:val="20"/>
                <w:szCs w:val="20"/>
                <w:color w:val="auto"/>
              </w:rPr>
            </w:pPr>
            <w:r>
              <w:rPr>
                <w:rFonts w:ascii="Arial" w:cs="Arial" w:eastAsia="Arial" w:hAnsi="Arial"/>
                <w:sz w:val="14"/>
                <w:szCs w:val="14"/>
                <w:color w:val="auto"/>
              </w:rPr>
              <w:t>Cash provided by operating activities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656.9</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848.5</w:t>
            </w:r>
          </w:p>
        </w:tc>
        <w:tc>
          <w:tcPr>
            <w:tcW w:w="20" w:type="dxa"/>
            <w:vAlign w:val="bottom"/>
          </w:tcPr>
          <w:p>
            <w:pPr>
              <w:spacing w:after="0"/>
              <w:rPr>
                <w:sz w:val="15"/>
                <w:szCs w:val="15"/>
                <w:color w:val="auto"/>
              </w:rPr>
            </w:pPr>
          </w:p>
        </w:tc>
      </w:tr>
      <w:tr>
        <w:trPr>
          <w:trHeight w:val="312"/>
        </w:trPr>
        <w:tc>
          <w:tcPr>
            <w:tcW w:w="8220" w:type="dxa"/>
            <w:vAlign w:val="bottom"/>
            <w:gridSpan w:val="5"/>
          </w:tcPr>
          <w:p>
            <w:pPr>
              <w:spacing w:after="0"/>
              <w:rPr>
                <w:sz w:val="20"/>
                <w:szCs w:val="20"/>
                <w:color w:val="auto"/>
              </w:rPr>
            </w:pPr>
            <w:r>
              <w:rPr>
                <w:rFonts w:ascii="Arial" w:cs="Arial" w:eastAsia="Arial" w:hAnsi="Arial"/>
                <w:sz w:val="14"/>
                <w:szCs w:val="14"/>
                <w:color w:val="auto"/>
              </w:rPr>
              <w:t>Cash provided (required) by investing activities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(454.4)</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Payment to acquire debt securities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(71.6)</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Proceeds from sale of debt securities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Acquisition of equity securities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Acquisitions, net of cash acquired</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Cash received (divested) from divestiture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Proceeds from sale of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Proceeds from repayment of advance to joint venture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62.0</w:t>
            </w:r>
          </w:p>
        </w:tc>
        <w:tc>
          <w:tcPr>
            <w:tcW w:w="20" w:type="dxa"/>
            <w:vAlign w:val="bottom"/>
          </w:tcPr>
          <w:p>
            <w:pPr>
              <w:spacing w:after="0"/>
              <w:rPr>
                <w:sz w:val="16"/>
                <w:szCs w:val="16"/>
                <w:color w:val="auto"/>
              </w:rPr>
            </w:pPr>
          </w:p>
        </w:tc>
      </w:tr>
      <w:tr>
        <w:trPr>
          <w:trHeight w:val="195"/>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Other</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6"/>
                <w:szCs w:val="16"/>
                <w:color w:val="auto"/>
              </w:rPr>
            </w:pPr>
          </w:p>
        </w:tc>
      </w:tr>
      <w:tr>
        <w:trPr>
          <w:trHeight w:val="183"/>
        </w:trPr>
        <w:tc>
          <w:tcPr>
            <w:tcW w:w="8220" w:type="dxa"/>
            <w:vAlign w:val="bottom"/>
            <w:gridSpan w:val="5"/>
          </w:tcPr>
          <w:p>
            <w:pPr>
              <w:spacing w:after="0"/>
              <w:rPr>
                <w:sz w:val="20"/>
                <w:szCs w:val="20"/>
                <w:color w:val="auto"/>
              </w:rPr>
            </w:pPr>
            <w:r>
              <w:rPr>
                <w:rFonts w:ascii="Arial" w:cs="Arial" w:eastAsia="Arial" w:hAnsi="Arial"/>
                <w:sz w:val="14"/>
                <w:szCs w:val="14"/>
                <w:color w:val="auto"/>
              </w:rPr>
              <w:t>Cash required by investing activities</w:t>
            </w:r>
          </w:p>
        </w:tc>
        <w:tc>
          <w:tcPr>
            <w:tcW w:w="8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20" w:type="dxa"/>
            <w:vAlign w:val="bottom"/>
          </w:tcPr>
          <w:p>
            <w:pPr>
              <w:spacing w:after="0"/>
              <w:rPr>
                <w:sz w:val="15"/>
                <w:szCs w:val="15"/>
                <w:color w:val="auto"/>
              </w:rPr>
            </w:pPr>
          </w:p>
        </w:tc>
      </w:tr>
      <w:tr>
        <w:trPr>
          <w:trHeight w:val="312"/>
        </w:trPr>
        <w:tc>
          <w:tcPr>
            <w:tcW w:w="8220" w:type="dxa"/>
            <w:vAlign w:val="bottom"/>
            <w:gridSpan w:val="5"/>
          </w:tcPr>
          <w:p>
            <w:pPr>
              <w:spacing w:after="0"/>
              <w:rPr>
                <w:sz w:val="20"/>
                <w:szCs w:val="20"/>
                <w:color w:val="auto"/>
              </w:rPr>
            </w:pPr>
            <w:r>
              <w:rPr>
                <w:rFonts w:ascii="Arial" w:cs="Arial" w:eastAsia="Arial" w:hAnsi="Arial"/>
                <w:sz w:val="14"/>
                <w:szCs w:val="14"/>
                <w:color w:val="auto"/>
              </w:rPr>
              <w:t>Cash required by financing activities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Net decrease in short-term debt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(49.6)</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Net increase (decrease) in commercial paper</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(554.5)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57.3</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Proceeds from issuance of long-term debt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96.2</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Repayments of long-term debt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(423.9)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Purchase of ordinary shares</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(92.7)</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Dividends paid</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(232.8)</w:t>
            </w:r>
          </w:p>
        </w:tc>
        <w:tc>
          <w:tcPr>
            <w:tcW w:w="20" w:type="dxa"/>
            <w:vAlign w:val="bottom"/>
          </w:tcPr>
          <w:p>
            <w:pPr>
              <w:spacing w:after="0"/>
              <w:rPr>
                <w:sz w:val="16"/>
                <w:szCs w:val="16"/>
                <w:color w:val="auto"/>
              </w:rPr>
            </w:pP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Payments related to taxes withheld on share-based compensation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Settlements of mandatorily redeemable financial liability</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(562.8)</w:t>
            </w:r>
          </w:p>
        </w:tc>
        <w:tc>
          <w:tcPr>
            <w:tcW w:w="20" w:type="dxa"/>
            <w:vAlign w:val="bottom"/>
          </w:tcPr>
          <w:p>
            <w:pPr>
              <w:spacing w:after="0"/>
              <w:rPr>
                <w:sz w:val="16"/>
                <w:szCs w:val="16"/>
                <w:color w:val="auto"/>
              </w:rPr>
            </w:pPr>
          </w:p>
        </w:tc>
      </w:tr>
      <w:tr>
        <w:trPr>
          <w:trHeight w:val="195"/>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Other</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3"/>
        </w:trPr>
        <w:tc>
          <w:tcPr>
            <w:tcW w:w="8220" w:type="dxa"/>
            <w:vAlign w:val="bottom"/>
            <w:gridSpan w:val="5"/>
          </w:tcPr>
          <w:p>
            <w:pPr>
              <w:spacing w:after="0"/>
              <w:rPr>
                <w:sz w:val="20"/>
                <w:szCs w:val="20"/>
                <w:color w:val="auto"/>
              </w:rPr>
            </w:pPr>
            <w:r>
              <w:rPr>
                <w:rFonts w:ascii="Arial" w:cs="Arial" w:eastAsia="Arial" w:hAnsi="Arial"/>
                <w:sz w:val="14"/>
                <w:szCs w:val="14"/>
                <w:color w:val="auto"/>
              </w:rPr>
              <w:t>Cash required by financing activities</w:t>
            </w:r>
          </w:p>
        </w:tc>
        <w:tc>
          <w:tcPr>
            <w:tcW w:w="8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(1,082.2)</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(784.4)</w:t>
            </w:r>
          </w:p>
        </w:tc>
        <w:tc>
          <w:tcPr>
            <w:tcW w:w="20" w:type="dxa"/>
            <w:vAlign w:val="bottom"/>
          </w:tcPr>
          <w:p>
            <w:pPr>
              <w:spacing w:after="0"/>
              <w:rPr>
                <w:sz w:val="15"/>
                <w:szCs w:val="15"/>
                <w:color w:val="auto"/>
              </w:rPr>
            </w:pPr>
          </w:p>
        </w:tc>
      </w:tr>
      <w:tr>
        <w:trPr>
          <w:trHeight w:val="183"/>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223.5</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5"/>
                <w:szCs w:val="15"/>
                <w:color w:val="auto"/>
              </w:rPr>
            </w:pPr>
          </w:p>
        </w:tc>
      </w:tr>
      <w:tr>
        <w:trPr>
          <w:trHeight w:val="182"/>
        </w:trPr>
        <w:tc>
          <w:tcPr>
            <w:tcW w:w="8220" w:type="dxa"/>
            <w:vAlign w:val="bottom"/>
            <w:gridSpan w:val="5"/>
          </w:tcPr>
          <w:p>
            <w:pPr>
              <w:ind w:left="320"/>
              <w:spacing w:after="0"/>
              <w:rPr>
                <w:sz w:val="20"/>
                <w:szCs w:val="20"/>
                <w:color w:val="auto"/>
              </w:rPr>
            </w:pPr>
            <w:r>
              <w:rPr>
                <w:rFonts w:ascii="Arial" w:cs="Arial" w:eastAsia="Arial" w:hAnsi="Arial"/>
                <w:sz w:val="14"/>
                <w:szCs w:val="14"/>
                <w:color w:val="auto"/>
              </w:rPr>
              <w:t>Decrease in cash and cash equivalents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(382.4)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(349.8)</w:t>
            </w:r>
          </w:p>
        </w:tc>
        <w:tc>
          <w:tcPr>
            <w:tcW w:w="20" w:type="dxa"/>
            <w:vAlign w:val="bottom"/>
          </w:tcPr>
          <w:p>
            <w:pPr>
              <w:spacing w:after="0"/>
              <w:rPr>
                <w:sz w:val="15"/>
                <w:szCs w:val="15"/>
                <w:color w:val="auto"/>
              </w:rPr>
            </w:pPr>
          </w:p>
        </w:tc>
      </w:tr>
      <w:tr>
        <w:trPr>
          <w:trHeight w:val="190"/>
        </w:trPr>
        <w:tc>
          <w:tcPr>
            <w:tcW w:w="8220" w:type="dxa"/>
            <w:vAlign w:val="bottom"/>
            <w:gridSpan w:val="5"/>
          </w:tcPr>
          <w:p>
            <w:pPr>
              <w:spacing w:after="0"/>
              <w:rPr>
                <w:sz w:val="20"/>
                <w:szCs w:val="20"/>
                <w:color w:val="auto"/>
              </w:rPr>
            </w:pPr>
            <w:r>
              <w:rPr>
                <w:rFonts w:ascii="Arial" w:cs="Arial" w:eastAsia="Arial" w:hAnsi="Arial"/>
                <w:sz w:val="14"/>
                <w:szCs w:val="14"/>
                <w:color w:val="auto"/>
              </w:rPr>
              <w:t>Cash and cash equivalents, beginning of period</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5,190.2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5,540.0</w:t>
            </w:r>
          </w:p>
        </w:tc>
        <w:tc>
          <w:tcPr>
            <w:tcW w:w="20" w:type="dxa"/>
            <w:vAlign w:val="bottom"/>
          </w:tcPr>
          <w:p>
            <w:pPr>
              <w:spacing w:after="0"/>
              <w:rPr>
                <w:sz w:val="16"/>
                <w:szCs w:val="16"/>
                <w:color w:val="auto"/>
              </w:rPr>
            </w:pPr>
          </w:p>
        </w:tc>
      </w:tr>
      <w:tr>
        <w:trPr>
          <w:trHeight w:val="188"/>
        </w:trPr>
        <w:tc>
          <w:tcPr>
            <w:tcW w:w="8220" w:type="dxa"/>
            <w:vAlign w:val="bottom"/>
            <w:gridSpan w:val="5"/>
          </w:tcPr>
          <w:p>
            <w:pPr>
              <w:spacing w:after="0"/>
              <w:rPr>
                <w:sz w:val="20"/>
                <w:szCs w:val="20"/>
                <w:color w:val="auto"/>
              </w:rPr>
            </w:pPr>
            <w:r>
              <w:rPr>
                <w:rFonts w:ascii="Arial" w:cs="Arial" w:eastAsia="Arial" w:hAnsi="Arial"/>
                <w:sz w:val="14"/>
                <w:szCs w:val="14"/>
                <w:color w:val="auto"/>
              </w:rPr>
              <w:t>Cash and cash equivalents, end of period</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4,807.8</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5,190.2</w:t>
            </w:r>
          </w:p>
        </w:tc>
        <w:tc>
          <w:tcPr>
            <w:tcW w:w="2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8"/>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TechnipFMC.com</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 22 of 30</w:t>
            </w:r>
          </w:p>
        </w:tc>
      </w:tr>
    </w:tbl>
    <w:p>
      <w:pPr>
        <w:sectPr>
          <w:pgSz w:w="11900" w:h="16838" w:orient="portrait"/>
          <w:cols w:equalWidth="0" w:num="1">
            <w:col w:w="11200"/>
          </w:cols>
          <w:pgMar w:left="360" w:top="89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6460" w:type="dxa"/>
            <w:vAlign w:val="bottom"/>
            <w:gridSpan w:val="5"/>
          </w:tcPr>
          <w:p>
            <w:pPr>
              <w:jc w:val="center"/>
              <w:ind w:right="1490"/>
              <w:spacing w:after="0"/>
              <w:rPr>
                <w:sz w:val="20"/>
                <w:szCs w:val="20"/>
                <w:color w:val="auto"/>
              </w:rPr>
            </w:pPr>
            <w:r>
              <w:rPr>
                <w:rFonts w:ascii="Arial" w:cs="Arial" w:eastAsia="Arial" w:hAnsi="Arial"/>
                <w:sz w:val="18"/>
                <w:szCs w:val="18"/>
                <w:b w:val="1"/>
                <w:bCs w:val="1"/>
                <w:color w:val="auto"/>
              </w:rPr>
              <w:t>TECHNIPFMC PLC AND CONSOLIDATED SUBSIDIARIES</w:t>
            </w:r>
          </w:p>
        </w:tc>
        <w:tc>
          <w:tcPr>
            <w:tcW w:w="1580" w:type="dxa"/>
            <w:vAlign w:val="bottom"/>
          </w:tcPr>
          <w:p>
            <w:pPr>
              <w:spacing w:after="0"/>
              <w:rPr>
                <w:sz w:val="17"/>
                <w:szCs w:val="17"/>
                <w:color w:val="auto"/>
              </w:rPr>
            </w:pPr>
          </w:p>
        </w:tc>
      </w:tr>
      <w:tr>
        <w:trPr>
          <w:trHeight w:val="196"/>
        </w:trPr>
        <w:tc>
          <w:tcPr>
            <w:tcW w:w="3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gridSpan w:val="2"/>
          </w:tcPr>
          <w:p>
            <w:pPr>
              <w:jc w:val="center"/>
              <w:ind w:right="1040"/>
              <w:spacing w:after="0" w:line="196" w:lineRule="exact"/>
              <w:rPr>
                <w:sz w:val="20"/>
                <w:szCs w:val="20"/>
                <w:color w:val="auto"/>
              </w:rPr>
            </w:pPr>
            <w:r>
              <w:rPr>
                <w:rFonts w:ascii="Arial" w:cs="Arial" w:eastAsia="Arial" w:hAnsi="Arial"/>
                <w:sz w:val="18"/>
                <w:szCs w:val="18"/>
                <w:b w:val="1"/>
                <w:bCs w:val="1"/>
                <w:color w:val="auto"/>
                <w:w w:val="98"/>
              </w:rPr>
              <w:t>CASH AND CASH EQUIVALENTS</w:t>
            </w:r>
          </w:p>
        </w:tc>
        <w:tc>
          <w:tcPr>
            <w:tcW w:w="158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billions, unaudited)</w:t>
            </w:r>
          </w:p>
        </w:tc>
        <w:tc>
          <w:tcPr>
            <w:tcW w:w="2620" w:type="dxa"/>
            <w:vAlign w:val="bottom"/>
            <w:gridSpan w:val="3"/>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3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4"/>
        </w:trPr>
        <w:tc>
          <w:tcPr>
            <w:tcW w:w="3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2020</w:t>
            </w:r>
          </w:p>
        </w:tc>
      </w:tr>
      <w:tr>
        <w:trPr>
          <w:trHeight w:val="228"/>
        </w:trPr>
        <w:tc>
          <w:tcPr>
            <w:tcW w:w="3140" w:type="dxa"/>
            <w:vAlign w:val="bottom"/>
          </w:tcPr>
          <w:p>
            <w:pPr>
              <w:spacing w:after="0"/>
              <w:rPr>
                <w:sz w:val="20"/>
                <w:szCs w:val="20"/>
                <w:color w:val="auto"/>
              </w:rPr>
            </w:pPr>
            <w:r>
              <w:rPr>
                <w:rFonts w:ascii="Arial" w:cs="Arial" w:eastAsia="Arial" w:hAnsi="Arial"/>
                <w:sz w:val="18"/>
                <w:szCs w:val="18"/>
                <w:color w:val="auto"/>
              </w:rPr>
              <w:t>Held by joint ventures</w:t>
            </w:r>
          </w:p>
        </w:tc>
        <w:tc>
          <w:tcPr>
            <w:tcW w:w="6180" w:type="dxa"/>
            <w:vAlign w:val="bottom"/>
            <w:gridSpan w:val="4"/>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Operating cash and cash equivalents</w:t>
            </w:r>
          </w:p>
        </w:tc>
        <w:tc>
          <w:tcPr>
            <w:tcW w:w="10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6180" w:type="dxa"/>
            <w:vAlign w:val="bottom"/>
            <w:gridSpan w:val="4"/>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
        </w:trPr>
        <w:tc>
          <w:tcPr>
            <w:tcW w:w="3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23 of 30</w:t>
      </w:r>
    </w:p>
    <w:p>
      <w:pPr>
        <w:sectPr>
          <w:pgSz w:w="11900" w:h="16838" w:orient="portrait"/>
          <w:cols w:equalWidth="0" w:num="1">
            <w:col w:w="11200"/>
          </w:cols>
          <w:pgMar w:left="360" w:top="1053"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auto"/>
        </w:rPr>
        <w:t>Exhibit 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spin-off of Technip Energies, we controlled the voting control interests in the legal Technip Energies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Mandatorily redeemable financial liability</w:t>
            </w: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5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75"/>
              <w:spacing w:after="0" w:line="155" w:lineRule="exact"/>
              <w:rPr>
                <w:sz w:val="20"/>
                <w:szCs w:val="20"/>
                <w:color w:val="auto"/>
              </w:rPr>
            </w:pPr>
            <w:r>
              <w:rPr>
                <w:rFonts w:ascii="Arial" w:cs="Arial" w:eastAsia="Arial" w:hAnsi="Arial"/>
                <w:sz w:val="16"/>
                <w:szCs w:val="16"/>
                <w:b w:val="1"/>
                <w:bCs w:val="1"/>
                <w:color w:val="auto"/>
                <w:w w:val="95"/>
              </w:rPr>
              <w:t>Three Months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6"/>
                <w:szCs w:val="16"/>
                <w:b w:val="1"/>
                <w:bCs w:val="1"/>
                <w:color w:val="auto"/>
                <w:w w:val="93"/>
              </w:rPr>
              <w:t>Year Ended</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Cash used by operating activities</w:t>
            </w:r>
          </w:p>
        </w:tc>
        <w:tc>
          <w:tcPr>
            <w:tcW w:w="3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Settlements of mandatorily redeemable financial liability</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5"/>
        </w:trPr>
        <w:tc>
          <w:tcPr>
            <w:tcW w:w="4560" w:type="dxa"/>
            <w:vAlign w:val="bottom"/>
          </w:tcPr>
          <w:p>
            <w:pPr>
              <w:spacing w:after="0"/>
              <w:rPr>
                <w:sz w:val="24"/>
                <w:szCs w:val="24"/>
                <w:color w:val="auto"/>
              </w:rPr>
            </w:pPr>
          </w:p>
        </w:tc>
        <w:tc>
          <w:tcPr>
            <w:tcW w:w="3860" w:type="dxa"/>
            <w:vAlign w:val="bottom"/>
            <w:gridSpan w:val="2"/>
          </w:tcPr>
          <w:p>
            <w:pPr>
              <w:jc w:val="right"/>
              <w:ind w:right="2130"/>
              <w:spacing w:after="0"/>
              <w:rPr>
                <w:sz w:val="20"/>
                <w:szCs w:val="20"/>
                <w:color w:val="auto"/>
              </w:rPr>
            </w:pPr>
            <w:r>
              <w:rPr>
                <w:rFonts w:ascii="Arial" w:cs="Arial" w:eastAsia="Arial" w:hAnsi="Arial"/>
                <w:sz w:val="14"/>
                <w:szCs w:val="14"/>
                <w:b w:val="1"/>
                <w:bCs w:val="1"/>
                <w:color w:val="auto"/>
              </w:rPr>
              <w:t>TechnipFMC.com</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Page 24 of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fourth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465455</wp:posOffset>
            </wp:positionV>
            <wp:extent cx="52717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1"/>
          <w:szCs w:val="11"/>
          <w:color w:val="auto"/>
        </w:rPr>
        <w:t>TechnipFMC plc, as reported</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1"/>
          <w:szCs w:val="11"/>
          <w:color w:val="auto"/>
        </w:rPr>
        <w:t>Charges and (credits):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Impairment and other charges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Restructuring and other charges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Separation costs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Valuation allowance</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1"/>
          <w:szCs w:val="11"/>
          <w:color w:val="auto"/>
        </w:rPr>
        <w:t>Adjusted financial measures</w:t>
      </w:r>
    </w:p>
    <w:p>
      <w:pPr>
        <w:spacing w:after="0" w:line="198" w:lineRule="exact"/>
        <w:rPr>
          <w:sz w:val="20"/>
          <w:szCs w:val="20"/>
          <w:color w:val="auto"/>
        </w:rPr>
      </w:pPr>
    </w:p>
    <w:p>
      <w:pPr>
        <w:ind w:left="40"/>
        <w:spacing w:after="0" w:line="231" w:lineRule="auto"/>
        <w:rPr>
          <w:sz w:val="20"/>
          <w:szCs w:val="20"/>
          <w:color w:val="auto"/>
        </w:rPr>
      </w:pPr>
      <w:r>
        <w:rPr>
          <w:rFonts w:ascii="Arial" w:cs="Arial" w:eastAsia="Arial" w:hAnsi="Arial"/>
          <w:sz w:val="11"/>
          <w:szCs w:val="11"/>
          <w:color w:val="auto"/>
        </w:rPr>
        <w:t>Diluted earnings (loss) per share attributable to TechnipFMC plc, as reported</w:t>
      </w:r>
    </w:p>
    <w:p>
      <w:pPr>
        <w:spacing w:after="0" w:line="27" w:lineRule="exact"/>
        <w:rPr>
          <w:sz w:val="20"/>
          <w:szCs w:val="20"/>
          <w:color w:val="auto"/>
        </w:rPr>
      </w:pPr>
    </w:p>
    <w:p>
      <w:pPr>
        <w:ind w:left="40" w:right="60"/>
        <w:spacing w:after="0" w:line="231" w:lineRule="auto"/>
        <w:rPr>
          <w:sz w:val="20"/>
          <w:szCs w:val="20"/>
          <w:color w:val="auto"/>
        </w:rPr>
      </w:pPr>
      <w:r>
        <w:rPr>
          <w:rFonts w:ascii="Arial" w:cs="Arial" w:eastAsia="Arial" w:hAnsi="Arial"/>
          <w:sz w:val="11"/>
          <w:szCs w:val="11"/>
          <w:color w:val="auto"/>
        </w:rPr>
        <w:t>Adjusted diluted earnings per share attributable to TechnipFMC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6"/>
              <w:spacing w:after="0" w:line="122" w:lineRule="exact"/>
              <w:rPr>
                <w:sz w:val="20"/>
                <w:szCs w:val="20"/>
                <w:color w:val="auto"/>
              </w:rPr>
            </w:pPr>
            <w:r>
              <w:rPr>
                <w:rFonts w:ascii="Arial" w:cs="Arial" w:eastAsia="Arial" w:hAnsi="Arial"/>
                <w:sz w:val="11"/>
                <w:szCs w:val="11"/>
                <w:b w:val="1"/>
                <w:bCs w:val="1"/>
                <w:color w:val="auto"/>
                <w:w w:val="89"/>
              </w:rPr>
              <w:t>Earnings before net</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Income before net</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7"/>
              </w:rPr>
              <w:t>Net income</w:t>
            </w:r>
          </w:p>
        </w:tc>
        <w:tc>
          <w:tcPr>
            <w:tcW w:w="80" w:type="dxa"/>
            <w:vAlign w:val="bottom"/>
          </w:tcPr>
          <w:p>
            <w:pPr>
              <w:spacing w:after="0"/>
              <w:rPr>
                <w:sz w:val="9"/>
                <w:szCs w:val="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5"/>
              </w:rPr>
              <w:t>Net income (loss)</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2"/>
              </w:rPr>
              <w:t>income taxes,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7"/>
              </w:rPr>
              <w:t>Provision for income</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 expense and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6"/>
              </w:rPr>
              <w:t>depreciation and</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attributable to non-</w:t>
            </w: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interest expense</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income taxes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controlling interests</w:t>
            </w:r>
          </w:p>
        </w:tc>
        <w:tc>
          <w:tcPr>
            <w:tcW w:w="26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5"/>
              </w:rPr>
              <w:t>taxes</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(Operating profit)</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(39.3)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1"/>
                <w:szCs w:val="11"/>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75.5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54.5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116.1</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111.7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227.8</w:t>
            </w:r>
          </w:p>
        </w:tc>
        <w:tc>
          <w:tcPr>
            <w:tcW w:w="0" w:type="dxa"/>
            <w:vAlign w:val="bottom"/>
          </w:tcPr>
          <w:p>
            <w:pPr>
              <w:spacing w:after="0"/>
              <w:rPr>
                <w:sz w:val="1"/>
                <w:szCs w:val="1"/>
                <w:color w:val="auto"/>
              </w:rPr>
            </w:pPr>
          </w:p>
        </w:tc>
      </w:tr>
      <w:tr>
        <w:trPr>
          <w:trHeight w:val="486"/>
        </w:trPr>
        <w:tc>
          <w:tcPr>
            <w:tcW w:w="1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31.6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34.4</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1"/>
                <w:szCs w:val="11"/>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85.8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54.5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189.1</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111.7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300.8</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800" w:hanging="778"/>
        <w:spacing w:after="0"/>
        <w:tabs>
          <w:tab w:leader="none" w:pos="8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(0.09)</w:t>
      </w:r>
    </w:p>
    <w:p>
      <w:pPr>
        <w:spacing w:after="0" w:line="143" w:lineRule="exact"/>
        <w:rPr>
          <w:rFonts w:ascii="Arial" w:cs="Arial" w:eastAsia="Arial" w:hAnsi="Arial"/>
          <w:sz w:val="11"/>
          <w:szCs w:val="11"/>
          <w:color w:val="auto"/>
        </w:rPr>
      </w:pPr>
    </w:p>
    <w:p>
      <w:pPr>
        <w:ind w:left="860" w:hanging="838"/>
        <w:spacing w:after="0"/>
        <w:tabs>
          <w:tab w:leader="none" w:pos="8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0.05</w:t>
      </w:r>
    </w:p>
    <w:p>
      <w:pPr>
        <w:spacing w:after="0" w:line="208" w:lineRule="exact"/>
        <w:rPr>
          <w:sz w:val="20"/>
          <w:szCs w:val="20"/>
          <w:color w:val="auto"/>
        </w:rPr>
      </w:pPr>
    </w:p>
    <w:p>
      <w:pPr>
        <w:sectPr>
          <w:pgSz w:w="11900" w:h="16838" w:orient="portrait"/>
          <w:cols w:equalWidth="0" w:num="2">
            <w:col w:w="2860" w:space="60"/>
            <w:col w:w="8320"/>
          </w:cols>
          <w:pgMar w:left="320" w:top="1053"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Three Months Ended</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December 31, 2019</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Earnings before net</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Income before net</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 income (loss)</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2"/>
              </w:rPr>
              <w:t>income taxes,</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7"/>
              </w:rPr>
              <w:t>Net loss attributable to</w:t>
            </w: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9"/>
              </w:rPr>
              <w:t>Provision (benefit) for</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 expense and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6"/>
              </w:rPr>
              <w:t>depreciation and</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attributable to non-</w:t>
            </w: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5"/>
              </w:rPr>
              <w:t>Net interest expense</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income taxes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TechnipFMC plc</w:t>
            </w:r>
          </w:p>
        </w:tc>
        <w:tc>
          <w:tcPr>
            <w:tcW w:w="80" w:type="dxa"/>
            <w:vAlign w:val="bottom"/>
          </w:tcPr>
          <w:p>
            <w:pPr>
              <w:spacing w:after="0"/>
              <w:rPr>
                <w:sz w:val="12"/>
                <w:szCs w:val="12"/>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controlling interests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income taxes</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(Operating profit)</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2880" w:type="dxa"/>
            <w:vAlign w:val="bottom"/>
            <w:vMerge w:val="restart"/>
          </w:tcPr>
          <w:p>
            <w:pPr>
              <w:spacing w:after="0"/>
              <w:rPr>
                <w:sz w:val="20"/>
                <w:szCs w:val="20"/>
                <w:color w:val="auto"/>
              </w:rPr>
            </w:pPr>
            <w:r>
              <w:rPr>
                <w:rFonts w:ascii="Arial" w:cs="Arial" w:eastAsia="Arial" w:hAnsi="Arial"/>
                <w:sz w:val="11"/>
                <w:szCs w:val="11"/>
                <w:color w:val="auto"/>
              </w:rPr>
              <w:t>TechnipFMC plc, as reported</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880" w:type="dxa"/>
            <w:vAlign w:val="bottom"/>
            <w:vMerge w:val="continue"/>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(2,414.0)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ind w:left="740"/>
              <w:spacing w:after="0"/>
              <w:rPr>
                <w:sz w:val="20"/>
                <w:szCs w:val="20"/>
                <w:color w:val="auto"/>
              </w:rPr>
            </w:pPr>
            <w:r>
              <w:rPr>
                <w:rFonts w:ascii="Arial" w:cs="Arial" w:eastAsia="Arial" w:hAnsi="Arial"/>
                <w:sz w:val="11"/>
                <w:szCs w:val="11"/>
                <w:color w:val="auto"/>
                <w:w w:val="90"/>
              </w:rPr>
              <w:t>(16.3)</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179.8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106.0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(2,144.5)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131.1</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(2,013.4)</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Arial" w:cs="Arial" w:eastAsia="Arial" w:hAnsi="Arial"/>
                <w:sz w:val="11"/>
                <w:szCs w:val="11"/>
                <w:color w:val="auto"/>
              </w:rPr>
              <w:t>Charges and (credits):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Impairment and other charges</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2,268.6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2,356.6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2,356.6</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Restructuring and other charges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Separation costs</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47.1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62.7</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Purchase price accounting adjustment</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Valuation allowance</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108.0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w w:val="90"/>
              </w:rPr>
              <w:t>(16.3)</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177.0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106.0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281.8</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122.6</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1"/>
                <w:szCs w:val="11"/>
                <w:color w:val="auto"/>
                <w:w w:val="90"/>
              </w:rPr>
              <w:t>Diluted earnings (loss) per share attributable to TechnipFMC plc,</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2880" w:type="dxa"/>
            <w:vAlign w:val="bottom"/>
            <w:vMerge w:val="continue"/>
          </w:tcPr>
          <w:p>
            <w:pPr>
              <w:spacing w:after="0"/>
              <w:rPr>
                <w:sz w:val="20"/>
                <w:szCs w:val="20"/>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(5.40)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1"/>
                <w:szCs w:val="11"/>
                <w:color w:val="auto"/>
              </w:rPr>
              <w:t>as reported</w:t>
            </w:r>
          </w:p>
        </w:tc>
        <w:tc>
          <w:tcPr>
            <w:tcW w:w="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20"/>
                <w:szCs w:val="20"/>
                <w:color w:val="auto"/>
              </w:rPr>
            </w:pPr>
            <w:r>
              <w:rPr>
                <w:rFonts w:ascii="Arial" w:cs="Arial" w:eastAsia="Arial" w:hAnsi="Arial"/>
                <w:sz w:val="11"/>
                <w:szCs w:val="11"/>
                <w:color w:val="auto"/>
                <w:w w:val="92"/>
              </w:rPr>
              <w:t>Adjusted diluted earnings per share attributable to TechnipFMC</w:t>
            </w: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
              <w:spacing w:after="0"/>
              <w:rPr>
                <w:sz w:val="20"/>
                <w:szCs w:val="20"/>
                <w:color w:val="auto"/>
              </w:rPr>
            </w:pPr>
            <w:r>
              <w:rPr>
                <w:rFonts w:ascii="Arial" w:cs="Arial" w:eastAsia="Arial" w:hAnsi="Arial"/>
                <w:sz w:val="11"/>
                <w:szCs w:val="11"/>
                <w:color w:val="auto"/>
              </w:rPr>
              <w:t>0.03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1"/>
                <w:szCs w:val="11"/>
                <w:color w:val="auto"/>
              </w:rPr>
              <w:t>plc</w:t>
            </w:r>
          </w:p>
        </w:tc>
        <w:tc>
          <w:tcPr>
            <w:tcW w:w="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25 of 30</w:t>
      </w:r>
    </w:p>
    <w:p>
      <w:pPr>
        <w:sectPr>
          <w:pgSz w:w="11900" w:h="16838" w:orient="portrait"/>
          <w:cols w:equalWidth="0" w:num="1">
            <w:col w:w="11240"/>
          </w:cols>
          <w:pgMar w:left="320" w:top="1053"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fourth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52717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1"/>
          <w:szCs w:val="11"/>
          <w:color w:val="auto"/>
        </w:rPr>
        <w:t>TechnipFMC plc, as reported</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1"/>
          <w:szCs w:val="11"/>
          <w:color w:val="auto"/>
        </w:rPr>
        <w:t>Charges and (credits):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Impairment and other charges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Restructuring and other charges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Direct COVID-19 expenses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Litigation settlement</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Separation costs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Purchase price accounting adjustment</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Valuation allowance</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1"/>
          <w:szCs w:val="11"/>
          <w:color w:val="auto"/>
        </w:rPr>
        <w:t>Adjusted financial measures</w:t>
      </w:r>
    </w:p>
    <w:p>
      <w:pPr>
        <w:spacing w:after="0" w:line="252" w:lineRule="exact"/>
        <w:rPr>
          <w:sz w:val="20"/>
          <w:szCs w:val="20"/>
          <w:color w:val="auto"/>
        </w:rPr>
      </w:pPr>
    </w:p>
    <w:p>
      <w:pPr>
        <w:ind w:left="40"/>
        <w:spacing w:after="0" w:line="231" w:lineRule="auto"/>
        <w:rPr>
          <w:sz w:val="20"/>
          <w:szCs w:val="20"/>
          <w:color w:val="auto"/>
        </w:rPr>
      </w:pPr>
      <w:r>
        <w:rPr>
          <w:rFonts w:ascii="Arial" w:cs="Arial" w:eastAsia="Arial" w:hAnsi="Arial"/>
          <w:sz w:val="11"/>
          <w:szCs w:val="11"/>
          <w:color w:val="auto"/>
        </w:rPr>
        <w:t>Diluted earnings (loss) per share attributable to TechnipFMC plc, as reported</w:t>
      </w:r>
    </w:p>
    <w:p>
      <w:pPr>
        <w:spacing w:after="0" w:line="27" w:lineRule="exact"/>
        <w:rPr>
          <w:sz w:val="20"/>
          <w:szCs w:val="20"/>
          <w:color w:val="auto"/>
        </w:rPr>
      </w:pPr>
    </w:p>
    <w:p>
      <w:pPr>
        <w:ind w:left="40" w:right="60"/>
        <w:spacing w:after="0" w:line="231" w:lineRule="auto"/>
        <w:rPr>
          <w:sz w:val="20"/>
          <w:szCs w:val="20"/>
          <w:color w:val="auto"/>
        </w:rPr>
      </w:pPr>
      <w:r>
        <w:rPr>
          <w:rFonts w:ascii="Arial" w:cs="Arial" w:eastAsia="Arial" w:hAnsi="Arial"/>
          <w:sz w:val="11"/>
          <w:szCs w:val="11"/>
          <w:color w:val="auto"/>
        </w:rPr>
        <w:t>Adjusted diluted earnings per share attributable to TechnipFMC plc</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Year Ended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6"/>
              <w:spacing w:after="0" w:line="122" w:lineRule="exact"/>
              <w:rPr>
                <w:sz w:val="20"/>
                <w:szCs w:val="20"/>
                <w:color w:val="auto"/>
              </w:rPr>
            </w:pPr>
            <w:r>
              <w:rPr>
                <w:rFonts w:ascii="Arial" w:cs="Arial" w:eastAsia="Arial" w:hAnsi="Arial"/>
                <w:sz w:val="11"/>
                <w:szCs w:val="11"/>
                <w:b w:val="1"/>
                <w:bCs w:val="1"/>
                <w:color w:val="auto"/>
                <w:w w:val="89"/>
              </w:rPr>
              <w:t>Earnings before net</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5"/>
              </w:rPr>
              <w:t>Income (loss) before</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5"/>
              </w:rPr>
              <w:t>Net income (loss)</w:t>
            </w:r>
          </w:p>
        </w:tc>
        <w:tc>
          <w:tcPr>
            <w:tcW w:w="80" w:type="dxa"/>
            <w:vAlign w:val="bottom"/>
          </w:tcPr>
          <w:p>
            <w:pPr>
              <w:spacing w:after="0"/>
              <w:rPr>
                <w:sz w:val="9"/>
                <w:szCs w:val="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5"/>
              </w:rPr>
              <w:t>Net income (loss)</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2"/>
              </w:rPr>
              <w:t>income taxes,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9"/>
              </w:rPr>
              <w:t>Provision (benefit) for</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4"/>
              </w:rPr>
              <w:t>net interest expense</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6"/>
              </w:rPr>
              <w:t>depreciation and</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attributable to non-</w:t>
            </w: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interest expense</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and income taxes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controlling interests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income taxes</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(Operating profit)</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(3,287.6)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153.4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293.0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(2,791.5)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447.2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(2,344.3)</w:t>
            </w:r>
          </w:p>
        </w:tc>
        <w:tc>
          <w:tcPr>
            <w:tcW w:w="0" w:type="dxa"/>
            <w:vAlign w:val="bottom"/>
          </w:tcPr>
          <w:p>
            <w:pPr>
              <w:spacing w:after="0"/>
              <w:rPr>
                <w:sz w:val="1"/>
                <w:szCs w:val="1"/>
                <w:color w:val="auto"/>
              </w:rPr>
            </w:pPr>
          </w:p>
        </w:tc>
      </w:tr>
      <w:tr>
        <w:trPr>
          <w:trHeight w:val="486"/>
        </w:trPr>
        <w:tc>
          <w:tcPr>
            <w:tcW w:w="1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3,271.0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3,287.4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3,287.4</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96.1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112.1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112.1</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101.8</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89.3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212.6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293.0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644.6</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438.7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1,083.3</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00" w:hanging="778"/>
        <w:spacing w:after="0"/>
        <w:tabs>
          <w:tab w:leader="none" w:pos="8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(7.33)</w:t>
      </w:r>
    </w:p>
    <w:p>
      <w:pPr>
        <w:spacing w:after="0" w:line="143" w:lineRule="exact"/>
        <w:rPr>
          <w:rFonts w:ascii="Arial" w:cs="Arial" w:eastAsia="Arial" w:hAnsi="Arial"/>
          <w:sz w:val="11"/>
          <w:szCs w:val="11"/>
          <w:color w:val="auto"/>
        </w:rPr>
      </w:pPr>
    </w:p>
    <w:p>
      <w:pPr>
        <w:ind w:left="860" w:hanging="838"/>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0.20</w:t>
      </w:r>
    </w:p>
    <w:p>
      <w:pPr>
        <w:spacing w:after="0" w:line="146" w:lineRule="exact"/>
        <w:rPr>
          <w:sz w:val="20"/>
          <w:szCs w:val="20"/>
          <w:color w:val="auto"/>
        </w:rPr>
      </w:pPr>
    </w:p>
    <w:p>
      <w:pPr>
        <w:sectPr>
          <w:pgSz w:w="11900" w:h="16838" w:orient="portrait"/>
          <w:cols w:equalWidth="0" w:num="2">
            <w:col w:w="2860" w:space="60"/>
            <w:col w:w="8320"/>
          </w:cols>
          <w:pgMar w:left="320" w:top="1053" w:right="339" w:bottom="1440" w:gutter="0" w:footer="0" w:header="0"/>
          <w:type w:val="continuous"/>
        </w:sectPr>
      </w:pPr>
    </w:p>
    <w:tbl>
      <w:tblPr>
        <w:tblLayout w:type="fixed"/>
        <w:tblInd w:w="40" w:type="dxa"/>
        <w:tblCellMar>
          <w:top w:w="0" w:type="dxa"/>
          <w:left w:w="0" w:type="dxa"/>
          <w:bottom w:w="0" w:type="dxa"/>
          <w:right w:w="0" w:type="dxa"/>
        </w:tblCellMar>
      </w:tblPr>
      <w:tr>
        <w:trPr>
          <w:trHeight w:val="154"/>
        </w:trPr>
        <w:tc>
          <w:tcPr>
            <w:tcW w:w="2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9"/>
              </w:rPr>
              <w:t>Year Ended</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December 31, 2019</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Earnings before net</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5"/>
              </w:rPr>
              <w:t>Income (loss) before</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5"/>
              </w:rPr>
              <w:t>Net income (loss)</w:t>
            </w:r>
          </w:p>
        </w:tc>
        <w:tc>
          <w:tcPr>
            <w:tcW w:w="80" w:type="dxa"/>
            <w:vAlign w:val="bottom"/>
          </w:tcPr>
          <w:p>
            <w:pPr>
              <w:spacing w:after="0"/>
              <w:rPr>
                <w:sz w:val="9"/>
                <w:szCs w:val="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5"/>
              </w:rPr>
              <w:t>Net income (loss)</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2"/>
              </w:rPr>
              <w:t>income taxes,</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9"/>
              </w:rPr>
              <w:t>Provision (benefit) for</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4"/>
              </w:rPr>
              <w:t>net interest expense</w:t>
            </w:r>
          </w:p>
        </w:tc>
        <w:tc>
          <w:tcPr>
            <w:tcW w:w="10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6"/>
              </w:rPr>
              <w:t>depreciation and</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attributable to non-</w:t>
            </w: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5"/>
              </w:rPr>
              <w:t>Net interest expense</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and income taxes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controlling interests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income taxes</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(Operating profit)</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2880" w:type="dxa"/>
            <w:vAlign w:val="bottom"/>
            <w:vMerge w:val="restart"/>
          </w:tcPr>
          <w:p>
            <w:pPr>
              <w:spacing w:after="0"/>
              <w:rPr>
                <w:sz w:val="20"/>
                <w:szCs w:val="20"/>
                <w:color w:val="auto"/>
              </w:rPr>
            </w:pPr>
            <w:r>
              <w:rPr>
                <w:rFonts w:ascii="Arial" w:cs="Arial" w:eastAsia="Arial" w:hAnsi="Arial"/>
                <w:sz w:val="11"/>
                <w:szCs w:val="11"/>
                <w:color w:val="auto"/>
              </w:rPr>
              <w:t>TechnipFMC plc, as reported</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880" w:type="dxa"/>
            <w:vAlign w:val="bottom"/>
            <w:vMerge w:val="continue"/>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(2,415.2)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276.3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451.3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(1,684.5)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509.6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(1,174.9)</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0"/>
                <w:szCs w:val="20"/>
                <w:color w:val="auto"/>
              </w:rPr>
            </w:pPr>
            <w:r>
              <w:rPr>
                <w:rFonts w:ascii="Arial" w:cs="Arial" w:eastAsia="Arial" w:hAnsi="Arial"/>
                <w:sz w:val="11"/>
                <w:szCs w:val="11"/>
                <w:color w:val="auto"/>
              </w:rPr>
              <w:t>Charges and (credits):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Impairment and other charges</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2,364.2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119.9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2,484.1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2,484.1</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Restructuring and other charges</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37.0</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w w:val="97"/>
              </w:rPr>
              <w:t>Business combinations transaction and integration costs</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Separation costs</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54.2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Reorganization</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Legal provision, net</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46.3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54.6</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Purchase price accounting adjustment</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880" w:type="dxa"/>
            <w:vAlign w:val="bottom"/>
          </w:tcPr>
          <w:p>
            <w:pPr>
              <w:ind w:left="200"/>
              <w:spacing w:after="0"/>
              <w:rPr>
                <w:sz w:val="20"/>
                <w:szCs w:val="20"/>
                <w:color w:val="auto"/>
              </w:rPr>
            </w:pPr>
            <w:r>
              <w:rPr>
                <w:rFonts w:ascii="Arial" w:cs="Arial" w:eastAsia="Arial" w:hAnsi="Arial"/>
                <w:sz w:val="11"/>
                <w:szCs w:val="11"/>
                <w:color w:val="auto"/>
              </w:rPr>
              <w:t>Valuation allowance</w:t>
            </w:r>
          </w:p>
        </w:tc>
        <w:tc>
          <w:tcPr>
            <w:tcW w:w="1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330.5</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268.9</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451.3</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1,053.8</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475.6</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1,529.4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1"/>
                <w:szCs w:val="11"/>
                <w:color w:val="auto"/>
                <w:w w:val="90"/>
              </w:rPr>
              <w:t>Diluted earnings (loss) per share attributable to TechnipFMC plc,</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880" w:type="dxa"/>
            <w:vAlign w:val="bottom"/>
            <w:vMerge w:val="continue"/>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1"/>
                <w:szCs w:val="11"/>
                <w:color w:val="auto"/>
              </w:rPr>
              <w:t>as reported</w:t>
            </w:r>
          </w:p>
        </w:tc>
        <w:tc>
          <w:tcPr>
            <w:tcW w:w="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20"/>
                <w:szCs w:val="20"/>
                <w:color w:val="auto"/>
              </w:rPr>
            </w:pPr>
            <w:r>
              <w:rPr>
                <w:rFonts w:ascii="Arial" w:cs="Arial" w:eastAsia="Arial" w:hAnsi="Arial"/>
                <w:sz w:val="11"/>
                <w:szCs w:val="11"/>
                <w:color w:val="auto"/>
                <w:w w:val="92"/>
              </w:rPr>
              <w:t>Adjusted diluted earnings per share attributable to TechnipFMC</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6"/>
              <w:spacing w:after="0"/>
              <w:rPr>
                <w:sz w:val="20"/>
                <w:szCs w:val="20"/>
                <w:color w:val="auto"/>
              </w:rPr>
            </w:pPr>
            <w:r>
              <w:rPr>
                <w:rFonts w:ascii="Arial" w:cs="Arial" w:eastAsia="Arial" w:hAnsi="Arial"/>
                <w:sz w:val="11"/>
                <w:szCs w:val="11"/>
                <w:color w:val="auto"/>
              </w:rPr>
              <w:t>0.74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20"/>
                <w:szCs w:val="20"/>
                <w:color w:val="auto"/>
              </w:rPr>
            </w:pPr>
            <w:r>
              <w:rPr>
                <w:rFonts w:ascii="Arial" w:cs="Arial" w:eastAsia="Arial" w:hAnsi="Arial"/>
                <w:sz w:val="11"/>
                <w:szCs w:val="11"/>
                <w:color w:val="auto"/>
              </w:rPr>
              <w:t>plc</w:t>
            </w:r>
          </w:p>
        </w:tc>
        <w:tc>
          <w:tcPr>
            <w:tcW w:w="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26 of 30</w:t>
      </w:r>
    </w:p>
    <w:p>
      <w:pPr>
        <w:sectPr>
          <w:pgSz w:w="11900" w:h="16838" w:orient="portrait"/>
          <w:cols w:equalWidth="0" w:num="1">
            <w:col w:w="11240"/>
          </w:cols>
          <w:pgMar w:left="320" w:top="1053"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20"/>
        <w:spacing w:after="0"/>
        <w:rPr>
          <w:sz w:val="20"/>
          <w:szCs w:val="20"/>
          <w:color w:val="auto"/>
        </w:rPr>
      </w:pPr>
      <w:r>
        <w:rPr>
          <w:rFonts w:ascii="Arial" w:cs="Arial" w:eastAsia="Arial" w:hAnsi="Arial"/>
          <w:sz w:val="13"/>
          <w:szCs w:val="13"/>
          <w:b w:val="1"/>
          <w:bCs w:val="1"/>
          <w:color w:val="auto"/>
        </w:rPr>
        <w:t>(In millions,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1"/>
                <w:szCs w:val="11"/>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Surface</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Technologies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Exchange, net</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1,338.0</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1,825.8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3,426.1</w:t>
            </w:r>
          </w:p>
        </w:tc>
        <w:tc>
          <w:tcPr>
            <w:tcW w:w="0" w:type="dxa"/>
            <w:vAlign w:val="bottom"/>
          </w:tcPr>
          <w:p>
            <w:pPr>
              <w:spacing w:after="0"/>
              <w:rPr>
                <w:sz w:val="1"/>
                <w:szCs w:val="1"/>
                <w:color w:val="auto"/>
              </w:rPr>
            </w:pPr>
          </w:p>
        </w:tc>
      </w:tr>
      <w:tr>
        <w:trPr>
          <w:trHeight w:val="346"/>
        </w:trPr>
        <w:tc>
          <w:tcPr>
            <w:tcW w:w="38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Arial" w:cs="Arial" w:eastAsia="Arial" w:hAnsi="Arial"/>
                <w:sz w:val="14"/>
                <w:szCs w:val="14"/>
                <w:color w:val="auto"/>
              </w:rPr>
              <w:t>Charges and (credits):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9"/>
        </w:trPr>
        <w:tc>
          <w:tcPr>
            <w:tcW w:w="384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94"/>
        </w:trPr>
        <w:tc>
          <w:tcPr>
            <w:tcW w:w="3840" w:type="dxa"/>
            <w:vAlign w:val="bottom"/>
          </w:tcPr>
          <w:p>
            <w:pPr>
              <w:ind w:left="200"/>
              <w:spacing w:after="0"/>
              <w:rPr>
                <w:sz w:val="20"/>
                <w:szCs w:val="20"/>
                <w:color w:val="auto"/>
              </w:rPr>
            </w:pPr>
            <w:r>
              <w:rPr>
                <w:rFonts w:ascii="Arial" w:cs="Arial" w:eastAsia="Arial" w:hAnsi="Arial"/>
                <w:sz w:val="14"/>
                <w:szCs w:val="14"/>
                <w:color w:val="auto"/>
              </w:rPr>
              <w:t>Separation costs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2"/>
        </w:trPr>
        <w:tc>
          <w:tcPr>
            <w:tcW w:w="38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69"/>
        </w:trPr>
        <w:tc>
          <w:tcPr>
            <w:tcW w:w="384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322"/>
        </w:trPr>
        <w:tc>
          <w:tcPr>
            <w:tcW w:w="38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38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-0.7 %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633"/>
        </w:trPr>
        <w:tc>
          <w:tcPr>
            <w:tcW w:w="3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1"/>
                <w:szCs w:val="11"/>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Surface</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Technologies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Exchange, net</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1,486.8</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1,832.4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407.6</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3,726.8</w:t>
            </w:r>
          </w:p>
        </w:tc>
        <w:tc>
          <w:tcPr>
            <w:tcW w:w="0" w:type="dxa"/>
            <w:vAlign w:val="bottom"/>
          </w:tcPr>
          <w:p>
            <w:pPr>
              <w:spacing w:after="0"/>
              <w:rPr>
                <w:sz w:val="1"/>
                <w:szCs w:val="1"/>
                <w:color w:val="auto"/>
              </w:rPr>
            </w:pPr>
          </w:p>
        </w:tc>
      </w:tr>
      <w:tr>
        <w:trPr>
          <w:trHeight w:val="346"/>
        </w:trPr>
        <w:tc>
          <w:tcPr>
            <w:tcW w:w="38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(1,512.7)</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245.3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(2,144.5)</w:t>
            </w: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Arial" w:cs="Arial" w:eastAsia="Arial" w:hAnsi="Arial"/>
                <w:sz w:val="14"/>
                <w:szCs w:val="14"/>
                <w:color w:val="auto"/>
              </w:rPr>
              <w:t>Charges and (credits):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1,671.7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2,356.6</w:t>
            </w:r>
          </w:p>
        </w:tc>
        <w:tc>
          <w:tcPr>
            <w:tcW w:w="0" w:type="dxa"/>
            <w:vAlign w:val="bottom"/>
          </w:tcPr>
          <w:p>
            <w:pPr>
              <w:spacing w:after="0"/>
              <w:rPr>
                <w:sz w:val="1"/>
                <w:szCs w:val="1"/>
                <w:color w:val="auto"/>
              </w:rPr>
            </w:pPr>
          </w:p>
        </w:tc>
      </w:tr>
      <w:tr>
        <w:trPr>
          <w:trHeight w:val="189"/>
        </w:trPr>
        <w:tc>
          <w:tcPr>
            <w:tcW w:w="384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3840" w:type="dxa"/>
            <w:vAlign w:val="bottom"/>
          </w:tcPr>
          <w:p>
            <w:pPr>
              <w:ind w:left="200"/>
              <w:spacing w:after="0"/>
              <w:rPr>
                <w:sz w:val="20"/>
                <w:szCs w:val="20"/>
                <w:color w:val="auto"/>
              </w:rPr>
            </w:pPr>
            <w:r>
              <w:rPr>
                <w:rFonts w:ascii="Arial" w:cs="Arial" w:eastAsia="Arial" w:hAnsi="Arial"/>
                <w:sz w:val="14"/>
                <w:szCs w:val="14"/>
                <w:color w:val="auto"/>
              </w:rPr>
              <w:t>Separation costs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94"/>
        </w:trPr>
        <w:tc>
          <w:tcPr>
            <w:tcW w:w="3840" w:type="dxa"/>
            <w:vAlign w:val="bottom"/>
          </w:tcPr>
          <w:p>
            <w:pPr>
              <w:ind w:left="200"/>
              <w:spacing w:after="0"/>
              <w:rPr>
                <w:sz w:val="20"/>
                <w:szCs w:val="20"/>
                <w:color w:val="auto"/>
              </w:rPr>
            </w:pPr>
            <w:r>
              <w:rPr>
                <w:rFonts w:ascii="Arial" w:cs="Arial" w:eastAsia="Arial" w:hAnsi="Arial"/>
                <w:sz w:val="14"/>
                <w:szCs w:val="14"/>
                <w:color w:val="auto"/>
              </w:rPr>
              <w:t>Purchase price accounting adjustments</w:t>
            </w:r>
          </w:p>
        </w:tc>
        <w:tc>
          <w:tcPr>
            <w:tcW w:w="2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2"/>
        </w:trPr>
        <w:tc>
          <w:tcPr>
            <w:tcW w:w="38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1,622.7</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721.9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2,426.3</w:t>
            </w:r>
          </w:p>
        </w:tc>
        <w:tc>
          <w:tcPr>
            <w:tcW w:w="0" w:type="dxa"/>
            <w:vAlign w:val="bottom"/>
          </w:tcPr>
          <w:p>
            <w:pPr>
              <w:spacing w:after="0"/>
              <w:rPr>
                <w:sz w:val="1"/>
                <w:szCs w:val="1"/>
                <w:color w:val="auto"/>
              </w:rPr>
            </w:pPr>
          </w:p>
        </w:tc>
      </w:tr>
      <w:tr>
        <w:trPr>
          <w:trHeight w:val="169"/>
        </w:trPr>
        <w:tc>
          <w:tcPr>
            <w:tcW w:w="384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322"/>
        </w:trPr>
        <w:tc>
          <w:tcPr>
            <w:tcW w:w="38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259.7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38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-101.7 %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-57.5 %</w:t>
            </w: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796"/>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TechnipFMC.com</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 27 of 30</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5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3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Technip Energies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Surface</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108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1"/>
                <w:szCs w:val="11"/>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Technologies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Exchange, net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5,471.4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6,520.0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1,059.2</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13,050.6</w:t>
            </w:r>
          </w:p>
        </w:tc>
        <w:tc>
          <w:tcPr>
            <w:tcW w:w="0" w:type="dxa"/>
            <w:vAlign w:val="bottom"/>
          </w:tcPr>
          <w:p>
            <w:pPr>
              <w:spacing w:after="0"/>
              <w:rPr>
                <w:sz w:val="1"/>
                <w:szCs w:val="1"/>
                <w:color w:val="auto"/>
              </w:rPr>
            </w:pPr>
          </w:p>
        </w:tc>
      </w:tr>
      <w:tr>
        <w:trPr>
          <w:trHeight w:val="346"/>
        </w:trPr>
        <w:tc>
          <w:tcPr>
            <w:tcW w:w="382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(2,815.5)</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683.6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(429.3)</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ind w:left="580"/>
              <w:spacing w:after="0"/>
              <w:rPr>
                <w:sz w:val="20"/>
                <w:szCs w:val="20"/>
                <w:color w:val="auto"/>
              </w:rPr>
            </w:pPr>
            <w:r>
              <w:rPr>
                <w:rFonts w:ascii="Arial" w:cs="Arial" w:eastAsia="Arial" w:hAnsi="Arial"/>
                <w:sz w:val="14"/>
                <w:szCs w:val="14"/>
                <w:color w:val="auto"/>
                <w:w w:val="98"/>
              </w:rPr>
              <w:t>(28.8)</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(2,791.5)</w:t>
            </w:r>
          </w:p>
        </w:tc>
        <w:tc>
          <w:tcPr>
            <w:tcW w:w="0" w:type="dxa"/>
            <w:vAlign w:val="bottom"/>
          </w:tcPr>
          <w:p>
            <w:pPr>
              <w:spacing w:after="0"/>
              <w:rPr>
                <w:sz w:val="1"/>
                <w:szCs w:val="1"/>
                <w:color w:val="auto"/>
              </w:rPr>
            </w:pPr>
          </w:p>
        </w:tc>
      </w:tr>
      <w:tr>
        <w:trPr>
          <w:trHeight w:val="351"/>
        </w:trPr>
        <w:tc>
          <w:tcPr>
            <w:tcW w:w="3820" w:type="dxa"/>
            <w:vAlign w:val="bottom"/>
          </w:tcPr>
          <w:p>
            <w:pPr>
              <w:spacing w:after="0"/>
              <w:rPr>
                <w:sz w:val="20"/>
                <w:szCs w:val="20"/>
                <w:color w:val="auto"/>
              </w:rPr>
            </w:pPr>
            <w:r>
              <w:rPr>
                <w:rFonts w:ascii="Arial" w:cs="Arial" w:eastAsia="Arial" w:hAnsi="Arial"/>
                <w:sz w:val="14"/>
                <w:szCs w:val="14"/>
                <w:color w:val="auto"/>
              </w:rPr>
              <w:t>Charges and (credits):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2,854.5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419.3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3,287.4</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Direct COVID-19 expenses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Litigation settlement</w:t>
            </w:r>
          </w:p>
        </w:tc>
        <w:tc>
          <w:tcPr>
            <w:tcW w:w="2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Separation costs</w:t>
            </w:r>
          </w:p>
        </w:tc>
        <w:tc>
          <w:tcPr>
            <w:tcW w:w="2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2"/>
        </w:trPr>
        <w:tc>
          <w:tcPr>
            <w:tcW w:w="38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2,966.0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440.2</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3,436.1</w:t>
            </w:r>
          </w:p>
        </w:tc>
        <w:tc>
          <w:tcPr>
            <w:tcW w:w="0" w:type="dxa"/>
            <w:vAlign w:val="bottom"/>
          </w:tcPr>
          <w:p>
            <w:pPr>
              <w:spacing w:after="0"/>
              <w:rPr>
                <w:sz w:val="1"/>
                <w:szCs w:val="1"/>
                <w:color w:val="auto"/>
              </w:rPr>
            </w:pPr>
          </w:p>
        </w:tc>
      </w:tr>
      <w:tr>
        <w:trPr>
          <w:trHeight w:val="169"/>
        </w:trPr>
        <w:tc>
          <w:tcPr>
            <w:tcW w:w="382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664.0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8"/>
              </w:rPr>
              <w:t>(28.8)</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644.6</w:t>
            </w:r>
          </w:p>
        </w:tc>
        <w:tc>
          <w:tcPr>
            <w:tcW w:w="0" w:type="dxa"/>
            <w:vAlign w:val="bottom"/>
          </w:tcPr>
          <w:p>
            <w:pPr>
              <w:spacing w:after="0"/>
              <w:rPr>
                <w:sz w:val="1"/>
                <w:szCs w:val="1"/>
                <w:color w:val="auto"/>
              </w:rPr>
            </w:pPr>
          </w:p>
        </w:tc>
      </w:tr>
      <w:tr>
        <w:trPr>
          <w:trHeight w:val="322"/>
        </w:trPr>
        <w:tc>
          <w:tcPr>
            <w:tcW w:w="38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698.2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8"/>
              </w:rPr>
              <w:t>(28.8)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38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-51.5 %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-40.5 %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-21.4 %</w:t>
            </w:r>
          </w:p>
        </w:tc>
        <w:tc>
          <w:tcPr>
            <w:tcW w:w="0" w:type="dxa"/>
            <w:vAlign w:val="bottom"/>
          </w:tcPr>
          <w:p>
            <w:pPr>
              <w:spacing w:after="0"/>
              <w:rPr>
                <w:sz w:val="1"/>
                <w:szCs w:val="1"/>
                <w:color w:val="auto"/>
              </w:rPr>
            </w:pPr>
          </w:p>
        </w:tc>
      </w:tr>
      <w:tr>
        <w:trPr>
          <w:trHeight w:val="351"/>
        </w:trPr>
        <w:tc>
          <w:tcPr>
            <w:tcW w:w="38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351"/>
        </w:trPr>
        <w:tc>
          <w:tcPr>
            <w:tcW w:w="38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recorded within restructuring and other charges in the Subsea segment during the year ended December 31, 2020.</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3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Technip Energies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Surface</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108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1"/>
                <w:szCs w:val="11"/>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Technologies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Exchange, net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2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5,523.0</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6,268.8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1,617.3</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13,409.1</w:t>
            </w:r>
          </w:p>
        </w:tc>
        <w:tc>
          <w:tcPr>
            <w:tcW w:w="0" w:type="dxa"/>
            <w:vAlign w:val="bottom"/>
          </w:tcPr>
          <w:p>
            <w:pPr>
              <w:spacing w:after="0"/>
              <w:rPr>
                <w:sz w:val="1"/>
                <w:szCs w:val="1"/>
                <w:color w:val="auto"/>
              </w:rPr>
            </w:pPr>
          </w:p>
        </w:tc>
      </w:tr>
      <w:tr>
        <w:trPr>
          <w:trHeight w:val="332"/>
        </w:trPr>
        <w:tc>
          <w:tcPr>
            <w:tcW w:w="382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(1,447.7)</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959.6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(656.1)</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(393.4)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ind w:left="520"/>
              <w:spacing w:after="0"/>
              <w:rPr>
                <w:sz w:val="20"/>
                <w:szCs w:val="20"/>
                <w:color w:val="auto"/>
              </w:rPr>
            </w:pPr>
            <w:r>
              <w:rPr>
                <w:rFonts w:ascii="Arial" w:cs="Arial" w:eastAsia="Arial" w:hAnsi="Arial"/>
                <w:sz w:val="14"/>
                <w:szCs w:val="14"/>
                <w:color w:val="auto"/>
                <w:w w:val="94"/>
              </w:rPr>
              <w:t>(146.9)</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(1,684.5)</w:t>
            </w:r>
          </w:p>
        </w:tc>
        <w:tc>
          <w:tcPr>
            <w:tcW w:w="0" w:type="dxa"/>
            <w:vAlign w:val="bottom"/>
          </w:tcPr>
          <w:p>
            <w:pPr>
              <w:spacing w:after="0"/>
              <w:rPr>
                <w:sz w:val="1"/>
                <w:szCs w:val="1"/>
                <w:color w:val="auto"/>
              </w:rPr>
            </w:pPr>
          </w:p>
        </w:tc>
      </w:tr>
      <w:tr>
        <w:trPr>
          <w:trHeight w:val="338"/>
        </w:trPr>
        <w:tc>
          <w:tcPr>
            <w:tcW w:w="3820" w:type="dxa"/>
            <w:vAlign w:val="bottom"/>
          </w:tcPr>
          <w:p>
            <w:pPr>
              <w:spacing w:after="0"/>
              <w:rPr>
                <w:sz w:val="20"/>
                <w:szCs w:val="20"/>
                <w:color w:val="auto"/>
              </w:rPr>
            </w:pPr>
            <w:r>
              <w:rPr>
                <w:rFonts w:ascii="Arial" w:cs="Arial" w:eastAsia="Arial" w:hAnsi="Arial"/>
                <w:sz w:val="14"/>
                <w:szCs w:val="14"/>
                <w:color w:val="auto"/>
              </w:rPr>
              <w:t>Charges and (credits):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1,798.6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685.5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2,484.1</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Separation costs</w:t>
            </w:r>
          </w:p>
        </w:tc>
        <w:tc>
          <w:tcPr>
            <w:tcW w:w="2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Reorganization</w:t>
            </w:r>
          </w:p>
        </w:tc>
        <w:tc>
          <w:tcPr>
            <w:tcW w:w="2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Arial" w:cs="Arial" w:eastAsia="Arial" w:hAnsi="Arial"/>
                <w:sz w:val="14"/>
                <w:szCs w:val="14"/>
                <w:color w:val="auto"/>
              </w:rPr>
              <w:t>Legal provision, net</w:t>
            </w:r>
          </w:p>
        </w:tc>
        <w:tc>
          <w:tcPr>
            <w:tcW w:w="2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94"/>
        </w:trPr>
        <w:tc>
          <w:tcPr>
            <w:tcW w:w="3820" w:type="dxa"/>
            <w:vAlign w:val="bottom"/>
          </w:tcPr>
          <w:p>
            <w:pPr>
              <w:ind w:left="20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2"/>
        </w:trPr>
        <w:tc>
          <w:tcPr>
            <w:tcW w:w="38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1,786.2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725.3</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2,738.3</w:t>
            </w:r>
          </w:p>
        </w:tc>
        <w:tc>
          <w:tcPr>
            <w:tcW w:w="0" w:type="dxa"/>
            <w:vAlign w:val="bottom"/>
          </w:tcPr>
          <w:p>
            <w:pPr>
              <w:spacing w:after="0"/>
              <w:rPr>
                <w:sz w:val="1"/>
                <w:szCs w:val="1"/>
                <w:color w:val="auto"/>
              </w:rPr>
            </w:pPr>
          </w:p>
        </w:tc>
      </w:tr>
      <w:tr>
        <w:trPr>
          <w:trHeight w:val="155"/>
        </w:trPr>
        <w:tc>
          <w:tcPr>
            <w:tcW w:w="382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4"/>
              </w:rPr>
              <w:t>(146.9)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1,053.8</w:t>
            </w:r>
          </w:p>
        </w:tc>
        <w:tc>
          <w:tcPr>
            <w:tcW w:w="0" w:type="dxa"/>
            <w:vAlign w:val="bottom"/>
          </w:tcPr>
          <w:p>
            <w:pPr>
              <w:spacing w:after="0"/>
              <w:rPr>
                <w:sz w:val="1"/>
                <w:szCs w:val="1"/>
                <w:color w:val="auto"/>
              </w:rPr>
            </w:pPr>
          </w:p>
        </w:tc>
      </w:tr>
      <w:tr>
        <w:trPr>
          <w:trHeight w:val="309"/>
        </w:trPr>
        <w:tc>
          <w:tcPr>
            <w:tcW w:w="38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311.6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650.1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1,040.6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4"/>
              </w:rPr>
              <w:t>(146.9)</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1,529.4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38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-40.6 %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338"/>
        </w:trPr>
        <w:tc>
          <w:tcPr>
            <w:tcW w:w="38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338"/>
        </w:trPr>
        <w:tc>
          <w:tcPr>
            <w:tcW w:w="38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28 of 30</w:t>
      </w:r>
    </w:p>
    <w:p>
      <w:pPr>
        <w:sectPr>
          <w:pgSz w:w="11900" w:h="16838" w:orient="portrait"/>
          <w:cols w:equalWidth="0" w:num="1">
            <w:col w:w="11240"/>
          </w:cols>
          <w:pgMar w:left="320" w:top="1053" w:right="3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3"/>
          <w:szCs w:val="13"/>
          <w:b w:val="1"/>
          <w:bCs w:val="1"/>
          <w:color w:val="auto"/>
        </w:rPr>
        <w:t>Exhibit 12</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3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40" w:type="dxa"/>
            <w:vAlign w:val="bottom"/>
          </w:tcPr>
          <w:p>
            <w:pPr>
              <w:jc w:val="right"/>
              <w:ind w:right="153"/>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4,807.8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4,244.0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5,190.2</w:t>
            </w:r>
          </w:p>
        </w:tc>
        <w:tc>
          <w:tcPr>
            <w:tcW w:w="0" w:type="dxa"/>
            <w:vAlign w:val="bottom"/>
          </w:tcPr>
          <w:p>
            <w:pPr>
              <w:spacing w:after="0"/>
              <w:rPr>
                <w:sz w:val="1"/>
                <w:szCs w:val="1"/>
                <w:color w:val="auto"/>
              </w:rPr>
            </w:pPr>
          </w:p>
        </w:tc>
      </w:tr>
      <w:tr>
        <w:trPr>
          <w:trHeight w:val="176"/>
        </w:trPr>
        <w:tc>
          <w:tcPr>
            <w:tcW w:w="3460" w:type="dxa"/>
            <w:vAlign w:val="bottom"/>
          </w:tcPr>
          <w:p>
            <w:pPr>
              <w:spacing w:after="0" w:line="176" w:lineRule="exact"/>
              <w:rPr>
                <w:sz w:val="20"/>
                <w:szCs w:val="20"/>
                <w:color w:val="auto"/>
              </w:rPr>
            </w:pPr>
            <w:r>
              <w:rPr>
                <w:rFonts w:ascii="Arial" w:cs="Arial" w:eastAsia="Arial" w:hAnsi="Arial"/>
                <w:sz w:val="18"/>
                <w:szCs w:val="18"/>
                <w:color w:val="auto"/>
                <w:w w:val="99"/>
              </w:rPr>
              <w:t>Short-term debt and current portion of long-</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term debt</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29 of 30</w:t>
      </w:r>
    </w:p>
    <w:p>
      <w:pPr>
        <w:sectPr>
          <w:pgSz w:w="11900" w:h="16838" w:orient="portrait"/>
          <w:cols w:equalWidth="0" w:num="1">
            <w:col w:w="11240"/>
          </w:cols>
          <w:pgMar w:left="320" w:top="10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auto"/>
        </w:rPr>
        <w:t>Exhibit 13</w:t>
      </w:r>
    </w:p>
    <w:p>
      <w:pPr>
        <w:spacing w:after="0" w:line="161" w:lineRule="exact"/>
        <w:rPr>
          <w:sz w:val="20"/>
          <w:szCs w:val="20"/>
          <w:color w:val="auto"/>
        </w:rPr>
      </w:pPr>
    </w:p>
    <w:p>
      <w:pPr>
        <w:jc w:val="center"/>
        <w:ind w:left="2680" w:right="268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83"/>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1830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6" w:lineRule="exact"/>
        <w:rPr>
          <w:sz w:val="20"/>
          <w:szCs w:val="20"/>
          <w:color w:val="auto"/>
        </w:rPr>
      </w:pPr>
    </w:p>
    <w:p>
      <w:pPr>
        <w:ind w:left="443"/>
        <w:spacing w:after="0"/>
        <w:rPr>
          <w:sz w:val="20"/>
          <w:szCs w:val="20"/>
          <w:color w:val="auto"/>
        </w:rPr>
      </w:pPr>
      <w:r>
        <w:rPr>
          <w:rFonts w:ascii="Arial" w:cs="Arial" w:eastAsia="Arial" w:hAnsi="Arial"/>
          <w:sz w:val="16"/>
          <w:szCs w:val="16"/>
          <w:b w:val="1"/>
          <w:bCs w:val="1"/>
          <w:color w:val="auto"/>
        </w:rPr>
        <w:t>December 31,</w:t>
      </w:r>
    </w:p>
    <w:p>
      <w:pPr>
        <w:spacing w:after="0" w:line="32" w:lineRule="exact"/>
        <w:rPr>
          <w:sz w:val="20"/>
          <w:szCs w:val="20"/>
          <w:color w:val="auto"/>
        </w:rPr>
      </w:pPr>
    </w:p>
    <w:p>
      <w:pPr>
        <w:ind w:left="743"/>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183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 w:lineRule="exact"/>
        <w:rPr>
          <w:sz w:val="20"/>
          <w:szCs w:val="20"/>
          <w:color w:val="auto"/>
        </w:rPr>
      </w:pPr>
    </w:p>
    <w:p>
      <w:pPr>
        <w:ind w:left="1363" w:hanging="1363"/>
        <w:spacing w:after="0"/>
        <w:tabs>
          <w:tab w:leader="none" w:pos="13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554.8</w:t>
      </w:r>
    </w:p>
    <w:p>
      <w:pPr>
        <w:spacing w:after="0" w:line="23" w:lineRule="exact"/>
        <w:rPr>
          <w:rFonts w:ascii="Arial" w:cs="Arial" w:eastAsia="Arial" w:hAnsi="Arial"/>
          <w:sz w:val="18"/>
          <w:szCs w:val="18"/>
          <w:color w:val="auto"/>
        </w:rPr>
      </w:pPr>
    </w:p>
    <w:p>
      <w:pPr>
        <w:ind w:left="1383"/>
        <w:spacing w:after="0"/>
        <w:rPr>
          <w:rFonts w:ascii="Arial" w:cs="Arial" w:eastAsia="Arial" w:hAnsi="Arial"/>
          <w:sz w:val="18"/>
          <w:szCs w:val="18"/>
          <w:color w:val="auto"/>
        </w:rPr>
      </w:pPr>
      <w:r>
        <w:rPr>
          <w:rFonts w:ascii="Arial" w:cs="Arial" w:eastAsia="Arial" w:hAnsi="Arial"/>
          <w:sz w:val="16"/>
          <w:szCs w:val="16"/>
          <w:color w:val="auto"/>
        </w:rPr>
        <w:t>(41.0)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1830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8" w:lineRule="exact"/>
        <w:rPr>
          <w:sz w:val="20"/>
          <w:szCs w:val="20"/>
          <w:color w:val="auto"/>
        </w:rPr>
      </w:pPr>
    </w:p>
    <w:p>
      <w:pPr>
        <w:ind w:left="1363" w:hanging="1363"/>
        <w:spacing w:after="0"/>
        <w:tabs>
          <w:tab w:leader="none" w:pos="13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513.8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83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183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05"/>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1830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6" w:lineRule="exact"/>
        <w:rPr>
          <w:sz w:val="20"/>
          <w:szCs w:val="20"/>
          <w:color w:val="auto"/>
        </w:rPr>
      </w:pPr>
    </w:p>
    <w:p>
      <w:pPr>
        <w:ind w:left="445"/>
        <w:spacing w:after="0"/>
        <w:rPr>
          <w:sz w:val="20"/>
          <w:szCs w:val="20"/>
          <w:color w:val="auto"/>
        </w:rPr>
      </w:pPr>
      <w:r>
        <w:rPr>
          <w:rFonts w:ascii="Arial" w:cs="Arial" w:eastAsia="Arial" w:hAnsi="Arial"/>
          <w:sz w:val="16"/>
          <w:szCs w:val="16"/>
          <w:b w:val="1"/>
          <w:bCs w:val="1"/>
          <w:color w:val="auto"/>
        </w:rPr>
        <w:t>December 31,</w:t>
      </w:r>
    </w:p>
    <w:p>
      <w:pPr>
        <w:spacing w:after="0" w:line="32" w:lineRule="exact"/>
        <w:rPr>
          <w:sz w:val="20"/>
          <w:szCs w:val="20"/>
          <w:color w:val="auto"/>
        </w:rPr>
      </w:pPr>
    </w:p>
    <w:p>
      <w:pPr>
        <w:ind w:left="745"/>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183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 w:lineRule="exact"/>
        <w:rPr>
          <w:sz w:val="20"/>
          <w:szCs w:val="20"/>
          <w:color w:val="auto"/>
        </w:rPr>
      </w:pPr>
    </w:p>
    <w:p>
      <w:pPr>
        <w:ind w:left="1365" w:hanging="1365"/>
        <w:spacing w:after="0"/>
        <w:tabs>
          <w:tab w:leader="none" w:pos="13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656.9</w:t>
      </w:r>
    </w:p>
    <w:p>
      <w:pPr>
        <w:spacing w:after="0" w:line="23" w:lineRule="exact"/>
        <w:rPr>
          <w:rFonts w:ascii="Arial" w:cs="Arial" w:eastAsia="Arial" w:hAnsi="Arial"/>
          <w:sz w:val="18"/>
          <w:szCs w:val="18"/>
          <w:color w:val="auto"/>
        </w:rPr>
      </w:pPr>
    </w:p>
    <w:p>
      <w:pPr>
        <w:ind w:left="1285"/>
        <w:spacing w:after="0"/>
        <w:rPr>
          <w:rFonts w:ascii="Arial" w:cs="Arial" w:eastAsia="Arial" w:hAnsi="Arial"/>
          <w:sz w:val="18"/>
          <w:szCs w:val="18"/>
          <w:color w:val="auto"/>
        </w:rPr>
      </w:pPr>
      <w:r>
        <w:rPr>
          <w:rFonts w:ascii="Arial" w:cs="Arial" w:eastAsia="Arial" w:hAnsi="Arial"/>
          <w:sz w:val="17"/>
          <w:szCs w:val="17"/>
          <w:color w:val="auto"/>
        </w:rPr>
        <w:t>(291.8)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7" w:lineRule="exact"/>
        <w:rPr>
          <w:sz w:val="20"/>
          <w:szCs w:val="20"/>
          <w:color w:val="auto"/>
        </w:rPr>
      </w:pPr>
    </w:p>
    <w:p>
      <w:pPr>
        <w:ind w:left="1365" w:hanging="1365"/>
        <w:spacing w:after="0"/>
        <w:tabs>
          <w:tab w:leader="none" w:pos="13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365.1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83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183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6717" w:space="720"/>
            <w:col w:w="1823" w:space="135"/>
            <w:col w:w="1845"/>
          </w:cols>
          <w:pgMar w:left="320" w:top="1053" w:right="339" w:bottom="1440" w:gutter="0" w:footer="0" w:header="0"/>
          <w:type w:val="continuous"/>
        </w:sectPr>
      </w:pP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Free cash flow, is a non-GAAP financial measure and is defined as cash provided by operating activities less capital expenditures. Management uses this non-GAAP financial measure to evaluate our financial condition. We believe, free cash flow is a meaningful financial measure that may assist investors in understanding our financial condition and results of operations.</w:t>
      </w:r>
    </w:p>
    <w:p>
      <w:pPr>
        <w:spacing w:after="0" w:line="200" w:lineRule="exact"/>
        <w:rPr>
          <w:sz w:val="20"/>
          <w:szCs w:val="20"/>
          <w:color w:val="auto"/>
        </w:rPr>
      </w:pPr>
    </w:p>
    <w:p>
      <w:pPr>
        <w:spacing w:after="0" w:line="268"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30 of 30</w:t>
      </w:r>
    </w:p>
    <w:sectPr>
      <w:pgSz w:w="11900" w:h="16838" w:orient="portrait"/>
      <w:cols w:equalWidth="0" w:num="1">
        <w:col w:w="11240"/>
      </w:cols>
      <w:pgMar w:left="320" w:top="10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3"/>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bullet"/>
      <w:start w:val="1"/>
    </w:lvl>
  </w:abstractNum>
  <w:abstractNum w:abstractNumId="13">
    <w:nsid w:val="62BBD95A"/>
    <w:multiLevelType w:val="hybridMultilevel"/>
    <w:lvl w:ilvl="0">
      <w:lvlJc w:val="left"/>
      <w:lvlText w:val="2"/>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2021-02-24T15:39:42Z</dcterms:created>
  <dcterms:modified xsi:type="dcterms:W3CDTF">2021-02-24T15:39:42Z</dcterms:modified>
</cp:coreProperties>
</file>