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Glickman Barry</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TECHNIPFMC PLC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TechnipFMC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FTI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01/28/2021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President, Surface</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EC4M 8AP</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01/28/2021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6,188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173,604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0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performance stock units, which is scheduled to vest on February 26, 2021, in the form of Ordinary Shares based upon the Issuer's performance against certain performance criteria.</w:t>
      </w:r>
    </w:p>
    <w:p>
      <w:pPr>
        <w:sectPr>
          <w:pgSz w:w="11900" w:h="16838" w:orient="portrait"/>
          <w:cols w:equalWidth="0" w:num="1">
            <w:col w:w="11080"/>
          </w:cols>
          <w:pgMar w:left="460" w:top="219" w:right="359" w:bottom="1440" w:gutter="0" w:footer="0" w:header="0"/>
          <w:type w:val="continuous"/>
        </w:sectPr>
      </w:pP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Lisa P. Wang,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39926" TargetMode="External"/><Relationship Id="rId14"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2021-01-29T15:27:13Z</dcterms:created>
  <dcterms:modified xsi:type="dcterms:W3CDTF">2021-01-29T15:27:13Z</dcterms:modified>
</cp:coreProperties>
</file>