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311150</wp:posOffset>
            </wp:positionH>
            <wp:positionV relativeFrom="page">
              <wp:posOffset>766445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732155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jc w:val="center"/>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29, 2020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51"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2860" w:type="dxa"/>
            <w:vAlign w:val="bottom"/>
          </w:tcPr>
          <w:p>
            <w:pPr>
              <w:jc w:val="center"/>
              <w:ind w:right="56"/>
              <w:spacing w:after="0"/>
              <w:rPr>
                <w:sz w:val="20"/>
                <w:szCs w:val="20"/>
                <w:color w:val="auto"/>
              </w:rPr>
            </w:pPr>
            <w:r>
              <w:rPr>
                <w:rFonts w:ascii="Arial" w:cs="Arial" w:eastAsia="Arial" w:hAnsi="Arial"/>
                <w:sz w:val="18"/>
                <w:szCs w:val="18"/>
                <w:b w:val="1"/>
                <w:bCs w:val="1"/>
                <w:color w:val="auto"/>
              </w:rPr>
              <w:t>United Kingdom</w:t>
            </w:r>
          </w:p>
        </w:tc>
        <w:tc>
          <w:tcPr>
            <w:tcW w:w="4740" w:type="dxa"/>
            <w:vAlign w:val="bottom"/>
          </w:tcPr>
          <w:p>
            <w:pPr>
              <w:jc w:val="center"/>
              <w:ind w:right="40"/>
              <w:spacing w:after="0"/>
              <w:rPr>
                <w:sz w:val="20"/>
                <w:szCs w:val="20"/>
                <w:color w:val="auto"/>
              </w:rPr>
            </w:pPr>
            <w:r>
              <w:rPr>
                <w:rFonts w:ascii="Arial" w:cs="Arial" w:eastAsia="Arial" w:hAnsi="Arial"/>
                <w:sz w:val="18"/>
                <w:szCs w:val="18"/>
                <w:b w:val="1"/>
                <w:bCs w:val="1"/>
                <w:color w:val="auto"/>
                <w:w w:val="99"/>
              </w:rPr>
              <w:t>001-37983</w:t>
            </w:r>
          </w:p>
        </w:tc>
        <w:tc>
          <w:tcPr>
            <w:tcW w:w="2500" w:type="dxa"/>
            <w:vAlign w:val="bottom"/>
          </w:tcPr>
          <w:p>
            <w:pPr>
              <w:jc w:val="center"/>
              <w:ind w:left="179"/>
              <w:spacing w:after="0"/>
              <w:rPr>
                <w:sz w:val="20"/>
                <w:szCs w:val="20"/>
                <w:color w:val="auto"/>
              </w:rPr>
            </w:pPr>
            <w:r>
              <w:rPr>
                <w:rFonts w:ascii="Arial" w:cs="Arial" w:eastAsia="Arial" w:hAnsi="Arial"/>
                <w:sz w:val="18"/>
                <w:szCs w:val="18"/>
                <w:b w:val="1"/>
                <w:bCs w:val="1"/>
                <w:color w:val="auto"/>
                <w:w w:val="99"/>
              </w:rPr>
              <w:t>98-1283037</w:t>
            </w:r>
          </w:p>
        </w:tc>
      </w:tr>
      <w:tr>
        <w:trPr>
          <w:trHeight w:val="217"/>
        </w:trPr>
        <w:tc>
          <w:tcPr>
            <w:tcW w:w="2860" w:type="dxa"/>
            <w:vAlign w:val="bottom"/>
          </w:tcPr>
          <w:p>
            <w:pPr>
              <w:jc w:val="center"/>
              <w:ind w:right="56"/>
              <w:spacing w:after="0"/>
              <w:rPr>
                <w:sz w:val="20"/>
                <w:szCs w:val="20"/>
                <w:color w:val="auto"/>
              </w:rPr>
            </w:pPr>
            <w:r>
              <w:rPr>
                <w:rFonts w:ascii="Arial" w:cs="Arial" w:eastAsia="Arial" w:hAnsi="Arial"/>
                <w:sz w:val="14"/>
                <w:szCs w:val="14"/>
                <w:color w:val="auto"/>
              </w:rPr>
              <w:t>(State or other jurisdiction of incorporation)</w:t>
            </w:r>
          </w:p>
        </w:tc>
        <w:tc>
          <w:tcPr>
            <w:tcW w:w="4740" w:type="dxa"/>
            <w:vAlign w:val="bottom"/>
          </w:tcPr>
          <w:p>
            <w:pPr>
              <w:jc w:val="center"/>
              <w:ind w:right="20"/>
              <w:spacing w:after="0"/>
              <w:rPr>
                <w:sz w:val="20"/>
                <w:szCs w:val="20"/>
                <w:color w:val="auto"/>
              </w:rPr>
            </w:pPr>
            <w:r>
              <w:rPr>
                <w:rFonts w:ascii="Arial" w:cs="Arial" w:eastAsia="Arial" w:hAnsi="Arial"/>
                <w:sz w:val="14"/>
                <w:szCs w:val="14"/>
                <w:color w:val="auto"/>
              </w:rPr>
              <w:t>(Commission File Number)</w:t>
            </w:r>
          </w:p>
        </w:tc>
        <w:tc>
          <w:tcPr>
            <w:tcW w:w="2500" w:type="dxa"/>
            <w:vAlign w:val="bottom"/>
          </w:tcPr>
          <w:p>
            <w:pPr>
              <w:jc w:val="center"/>
              <w:ind w:left="199"/>
              <w:spacing w:after="0"/>
              <w:rPr>
                <w:sz w:val="20"/>
                <w:szCs w:val="20"/>
                <w:color w:val="auto"/>
              </w:rPr>
            </w:pPr>
            <w:r>
              <w:rPr>
                <w:rFonts w:ascii="Arial" w:cs="Arial" w:eastAsia="Arial" w:hAnsi="Arial"/>
                <w:sz w:val="14"/>
                <w:szCs w:val="14"/>
                <w:color w:val="auto"/>
              </w:rPr>
              <w:t>(I.R.S. Employer Identification No.)</w:t>
            </w:r>
          </w:p>
        </w:tc>
      </w:tr>
      <w:tr>
        <w:trPr>
          <w:trHeight w:val="741"/>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One St. Paul’s Churchyard</w:t>
            </w:r>
          </w:p>
        </w:tc>
        <w:tc>
          <w:tcPr>
            <w:tcW w:w="47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6"/>
        </w:trPr>
        <w:tc>
          <w:tcPr>
            <w:tcW w:w="286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London</w:t>
            </w:r>
          </w:p>
        </w:tc>
        <w:tc>
          <w:tcPr>
            <w:tcW w:w="4740" w:type="dxa"/>
            <w:vAlign w:val="bottom"/>
          </w:tcPr>
          <w:p>
            <w:pPr>
              <w:spacing w:after="0"/>
              <w:rPr>
                <w:sz w:val="22"/>
                <w:szCs w:val="22"/>
                <w:color w:val="auto"/>
              </w:rPr>
            </w:pPr>
          </w:p>
        </w:tc>
        <w:tc>
          <w:tcPr>
            <w:tcW w:w="2500" w:type="dxa"/>
            <w:vAlign w:val="bottom"/>
          </w:tcPr>
          <w:p>
            <w:pPr>
              <w:spacing w:after="0"/>
              <w:rPr>
                <w:sz w:val="22"/>
                <w:szCs w:val="22"/>
                <w:color w:val="auto"/>
              </w:rPr>
            </w:pPr>
          </w:p>
        </w:tc>
      </w:tr>
      <w:tr>
        <w:trPr>
          <w:trHeight w:val="257"/>
        </w:trPr>
        <w:tc>
          <w:tcPr>
            <w:tcW w:w="2860" w:type="dxa"/>
            <w:vAlign w:val="bottom"/>
          </w:tcPr>
          <w:p>
            <w:pPr>
              <w:jc w:val="center"/>
              <w:ind w:right="56"/>
              <w:spacing w:after="0"/>
              <w:rPr>
                <w:sz w:val="20"/>
                <w:szCs w:val="20"/>
                <w:color w:val="auto"/>
              </w:rPr>
            </w:pPr>
            <w:r>
              <w:rPr>
                <w:rFonts w:ascii="Arial" w:cs="Arial" w:eastAsia="Arial" w:hAnsi="Arial"/>
                <w:sz w:val="18"/>
                <w:szCs w:val="18"/>
                <w:b w:val="1"/>
                <w:bCs w:val="1"/>
                <w:color w:val="auto"/>
              </w:rPr>
              <w:t>United Kingdom</w:t>
            </w:r>
          </w:p>
        </w:tc>
        <w:tc>
          <w:tcPr>
            <w:tcW w:w="4740" w:type="dxa"/>
            <w:vAlign w:val="bottom"/>
          </w:tcPr>
          <w:p>
            <w:pPr>
              <w:spacing w:after="0"/>
              <w:rPr>
                <w:sz w:val="22"/>
                <w:szCs w:val="22"/>
                <w:color w:val="auto"/>
              </w:rPr>
            </w:pPr>
          </w:p>
        </w:tc>
        <w:tc>
          <w:tcPr>
            <w:tcW w:w="2500" w:type="dxa"/>
            <w:vAlign w:val="bottom"/>
          </w:tcPr>
          <w:p>
            <w:pPr>
              <w:jc w:val="center"/>
              <w:ind w:left="159"/>
              <w:spacing w:after="0"/>
              <w:rPr>
                <w:sz w:val="20"/>
                <w:szCs w:val="20"/>
                <w:color w:val="auto"/>
              </w:rPr>
            </w:pPr>
            <w:r>
              <w:rPr>
                <w:rFonts w:ascii="Arial" w:cs="Arial" w:eastAsia="Arial" w:hAnsi="Arial"/>
                <w:sz w:val="18"/>
                <w:szCs w:val="18"/>
                <w:b w:val="1"/>
                <w:bCs w:val="1"/>
                <w:color w:val="auto"/>
                <w:w w:val="99"/>
              </w:rPr>
              <w:t>EC4M 8AP</w:t>
            </w:r>
          </w:p>
        </w:tc>
      </w:tr>
      <w:tr>
        <w:trPr>
          <w:trHeight w:val="218"/>
        </w:trPr>
        <w:tc>
          <w:tcPr>
            <w:tcW w:w="2860" w:type="dxa"/>
            <w:vAlign w:val="bottom"/>
          </w:tcPr>
          <w:p>
            <w:pPr>
              <w:jc w:val="center"/>
              <w:ind w:right="76"/>
              <w:spacing w:after="0"/>
              <w:rPr>
                <w:sz w:val="20"/>
                <w:szCs w:val="20"/>
                <w:color w:val="auto"/>
              </w:rPr>
            </w:pPr>
            <w:r>
              <w:rPr>
                <w:rFonts w:ascii="Arial" w:cs="Arial" w:eastAsia="Arial" w:hAnsi="Arial"/>
                <w:sz w:val="14"/>
                <w:szCs w:val="14"/>
                <w:color w:val="auto"/>
              </w:rPr>
              <w:t>(Address of principal executive offices)</w:t>
            </w:r>
          </w:p>
        </w:tc>
        <w:tc>
          <w:tcPr>
            <w:tcW w:w="4740" w:type="dxa"/>
            <w:vAlign w:val="bottom"/>
          </w:tcPr>
          <w:p>
            <w:pPr>
              <w:spacing w:after="0"/>
              <w:rPr>
                <w:sz w:val="18"/>
                <w:szCs w:val="18"/>
                <w:color w:val="auto"/>
              </w:rPr>
            </w:pPr>
          </w:p>
        </w:tc>
        <w:tc>
          <w:tcPr>
            <w:tcW w:w="2500" w:type="dxa"/>
            <w:vAlign w:val="bottom"/>
          </w:tcPr>
          <w:p>
            <w:pPr>
              <w:jc w:val="center"/>
              <w:ind w:left="179"/>
              <w:spacing w:after="0"/>
              <w:rPr>
                <w:sz w:val="20"/>
                <w:szCs w:val="20"/>
                <w:color w:val="auto"/>
              </w:rPr>
            </w:pPr>
            <w:r>
              <w:rPr>
                <w:rFonts w:ascii="Arial" w:cs="Arial" w:eastAsia="Arial" w:hAnsi="Arial"/>
                <w:sz w:val="14"/>
                <w:szCs w:val="14"/>
                <w:color w:val="auto"/>
              </w:rPr>
              <w:t>(Zip Code)</w:t>
            </w:r>
          </w:p>
        </w:tc>
      </w:tr>
      <w:tr>
        <w:trPr>
          <w:trHeight w:val="390"/>
        </w:trPr>
        <w:tc>
          <w:tcPr>
            <w:tcW w:w="2860" w:type="dxa"/>
            <w:vAlign w:val="bottom"/>
          </w:tcPr>
          <w:p>
            <w:pPr>
              <w:spacing w:after="0"/>
              <w:rPr>
                <w:sz w:val="24"/>
                <w:szCs w:val="24"/>
                <w:color w:val="auto"/>
              </w:rPr>
            </w:pPr>
          </w:p>
        </w:tc>
        <w:tc>
          <w:tcPr>
            <w:tcW w:w="4740" w:type="dxa"/>
            <w:vAlign w:val="bottom"/>
          </w:tcPr>
          <w:p>
            <w:pPr>
              <w:jc w:val="right"/>
              <w:ind w:right="1620"/>
              <w:spacing w:after="0"/>
              <w:rPr>
                <w:sz w:val="20"/>
                <w:szCs w:val="20"/>
                <w:color w:val="auto"/>
              </w:rPr>
            </w:pPr>
            <w:r>
              <w:rPr>
                <w:rFonts w:ascii="Arial" w:cs="Arial" w:eastAsia="Arial" w:hAnsi="Arial"/>
                <w:sz w:val="18"/>
                <w:szCs w:val="18"/>
                <w:b w:val="1"/>
                <w:bCs w:val="1"/>
                <w:color w:val="auto"/>
              </w:rPr>
              <w:t>+44 203-429-3950</w:t>
            </w:r>
          </w:p>
        </w:tc>
        <w:tc>
          <w:tcPr>
            <w:tcW w:w="2500" w:type="dxa"/>
            <w:vAlign w:val="bottom"/>
          </w:tcPr>
          <w:p>
            <w:pPr>
              <w:spacing w:after="0"/>
              <w:rPr>
                <w:sz w:val="24"/>
                <w:szCs w:val="24"/>
                <w:color w:val="auto"/>
              </w:rPr>
            </w:pPr>
          </w:p>
        </w:tc>
      </w:tr>
      <w:tr>
        <w:trPr>
          <w:trHeight w:val="217"/>
        </w:trPr>
        <w:tc>
          <w:tcPr>
            <w:tcW w:w="2860" w:type="dxa"/>
            <w:vAlign w:val="bottom"/>
          </w:tcPr>
          <w:p>
            <w:pPr>
              <w:spacing w:after="0"/>
              <w:rPr>
                <w:sz w:val="18"/>
                <w:szCs w:val="18"/>
                <w:color w:val="auto"/>
              </w:rPr>
            </w:pPr>
          </w:p>
        </w:tc>
        <w:tc>
          <w:tcPr>
            <w:tcW w:w="4740" w:type="dxa"/>
            <w:vAlign w:val="bottom"/>
          </w:tcPr>
          <w:p>
            <w:pPr>
              <w:jc w:val="center"/>
              <w:ind w:right="60"/>
              <w:spacing w:after="0"/>
              <w:rPr>
                <w:sz w:val="20"/>
                <w:szCs w:val="20"/>
                <w:color w:val="auto"/>
              </w:rPr>
            </w:pPr>
            <w:r>
              <w:rPr>
                <w:rFonts w:ascii="Arial" w:cs="Arial" w:eastAsia="Arial" w:hAnsi="Arial"/>
                <w:sz w:val="14"/>
                <w:szCs w:val="14"/>
                <w:color w:val="auto"/>
              </w:rPr>
              <w:t>(Registrant's telephone number, including area code)</w:t>
            </w:r>
          </w:p>
        </w:tc>
        <w:tc>
          <w:tcPr>
            <w:tcW w:w="2500" w:type="dxa"/>
            <w:vAlign w:val="bottom"/>
          </w:tcPr>
          <w:p>
            <w:pPr>
              <w:spacing w:after="0"/>
              <w:rPr>
                <w:sz w:val="18"/>
                <w:szCs w:val="18"/>
                <w:color w:val="auto"/>
              </w:rPr>
            </w:pPr>
          </w:p>
        </w:tc>
      </w:tr>
      <w:tr>
        <w:trPr>
          <w:trHeight w:val="444"/>
        </w:trPr>
        <w:tc>
          <w:tcPr>
            <w:tcW w:w="2860" w:type="dxa"/>
            <w:vAlign w:val="bottom"/>
          </w:tcPr>
          <w:p>
            <w:pPr>
              <w:spacing w:after="0"/>
              <w:rPr>
                <w:sz w:val="24"/>
                <w:szCs w:val="24"/>
                <w:color w:val="auto"/>
              </w:rPr>
            </w:pPr>
          </w:p>
        </w:tc>
        <w:tc>
          <w:tcPr>
            <w:tcW w:w="4740" w:type="dxa"/>
            <w:vAlign w:val="bottom"/>
          </w:tcPr>
          <w:p>
            <w:pPr>
              <w:jc w:val="center"/>
              <w:ind w:right="40"/>
              <w:spacing w:after="0"/>
              <w:rPr>
                <w:sz w:val="20"/>
                <w:szCs w:val="20"/>
                <w:color w:val="auto"/>
              </w:rPr>
            </w:pPr>
            <w:r>
              <w:rPr>
                <w:rFonts w:ascii="Arial" w:cs="Arial" w:eastAsia="Arial" w:hAnsi="Arial"/>
                <w:sz w:val="18"/>
                <w:szCs w:val="18"/>
                <w:b w:val="1"/>
                <w:bCs w:val="1"/>
                <w:color w:val="auto"/>
                <w:w w:val="99"/>
              </w:rPr>
              <w:t>Not Applicable</w:t>
            </w:r>
          </w:p>
        </w:tc>
        <w:tc>
          <w:tcPr>
            <w:tcW w:w="2500" w:type="dxa"/>
            <w:vAlign w:val="bottom"/>
          </w:tcPr>
          <w:p>
            <w:pPr>
              <w:spacing w:after="0"/>
              <w:rPr>
                <w:sz w:val="24"/>
                <w:szCs w:val="24"/>
                <w:color w:val="auto"/>
              </w:rPr>
            </w:pPr>
          </w:p>
        </w:tc>
      </w:tr>
      <w:tr>
        <w:trPr>
          <w:trHeight w:val="153"/>
        </w:trPr>
        <w:tc>
          <w:tcPr>
            <w:tcW w:w="2860" w:type="dxa"/>
            <w:vAlign w:val="bottom"/>
          </w:tcPr>
          <w:p>
            <w:pPr>
              <w:spacing w:after="0"/>
              <w:rPr>
                <w:sz w:val="13"/>
                <w:szCs w:val="13"/>
                <w:color w:val="auto"/>
              </w:rPr>
            </w:pPr>
          </w:p>
        </w:tc>
        <w:tc>
          <w:tcPr>
            <w:tcW w:w="4740" w:type="dxa"/>
            <w:vAlign w:val="bottom"/>
          </w:tcPr>
          <w:p>
            <w:pPr>
              <w:jc w:val="center"/>
              <w:ind w:right="40"/>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c>
          <w:tcPr>
            <w:tcW w:w="2500" w:type="dxa"/>
            <w:vAlign w:val="bottom"/>
          </w:tcPr>
          <w:p>
            <w:pPr>
              <w:spacing w:after="0"/>
              <w:rPr>
                <w:sz w:val="13"/>
                <w:szCs w:val="13"/>
                <w:color w:val="auto"/>
              </w:rPr>
            </w:pPr>
          </w:p>
        </w:tc>
      </w:tr>
      <w:tr>
        <w:trPr>
          <w:trHeight w:val="172"/>
        </w:trPr>
        <w:tc>
          <w:tcPr>
            <w:tcW w:w="2860" w:type="dxa"/>
            <w:vAlign w:val="bottom"/>
          </w:tcPr>
          <w:p>
            <w:pPr>
              <w:spacing w:after="0"/>
              <w:rPr>
                <w:sz w:val="14"/>
                <w:szCs w:val="14"/>
                <w:color w:val="auto"/>
              </w:rPr>
            </w:pPr>
          </w:p>
        </w:tc>
        <w:tc>
          <w:tcPr>
            <w:tcW w:w="4740" w:type="dxa"/>
            <w:vAlign w:val="bottom"/>
          </w:tcPr>
          <w:p>
            <w:pPr>
              <w:jc w:val="right"/>
              <w:ind w:right="200"/>
              <w:spacing w:after="0"/>
              <w:rPr>
                <w:sz w:val="20"/>
                <w:szCs w:val="20"/>
                <w:color w:val="auto"/>
              </w:rPr>
            </w:pPr>
            <w:r>
              <w:rPr>
                <w:rFonts w:ascii="Arial" w:cs="Arial" w:eastAsia="Arial" w:hAnsi="Arial"/>
                <w:sz w:val="14"/>
                <w:szCs w:val="14"/>
                <w:color w:val="auto"/>
              </w:rPr>
              <w:t>______________________________________________________</w:t>
            </w:r>
          </w:p>
        </w:tc>
        <w:tc>
          <w:tcPr>
            <w:tcW w:w="2500" w:type="dxa"/>
            <w:vAlign w:val="bottom"/>
          </w:tcPr>
          <w:p>
            <w:pPr>
              <w:spacing w:after="0"/>
              <w:rPr>
                <w:sz w:val="14"/>
                <w:szCs w:val="14"/>
                <w:color w:val="auto"/>
              </w:rPr>
            </w:pPr>
          </w:p>
        </w:tc>
      </w:tr>
    </w:tbl>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71" w:right="339" w:bottom="1440" w:gutter="0" w:footer="0" w:header="0"/>
        </w:sectPr>
      </w:pPr>
    </w:p>
    <w:p>
      <w:pPr>
        <w:spacing w:after="0" w:line="55"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400" w:space="720"/>
            <w:col w:w="1560" w:space="720"/>
            <w:col w:w="3840"/>
          </w:cols>
          <w:pgMar w:left="320" w:top="1271" w:right="339" w:bottom="1440" w:gutter="0" w:footer="0" w:header="0"/>
          <w:type w:val="continuous"/>
        </w:sectPr>
      </w:pPr>
    </w:p>
    <w:p>
      <w:pPr>
        <w:ind w:left="94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4" w:lineRule="exact"/>
        <w:rPr>
          <w:sz w:val="24"/>
          <w:szCs w:val="24"/>
          <w:color w:val="auto"/>
        </w:rPr>
      </w:pPr>
    </w:p>
    <w:p>
      <w:pPr>
        <w:sectPr>
          <w:pgSz w:w="11900" w:h="16838" w:orient="portrait"/>
          <w:cols w:equalWidth="0" w:num="3">
            <w:col w:w="4820" w:space="720"/>
            <w:col w:w="1860" w:space="720"/>
            <w:col w:w="3120"/>
          </w:cols>
          <w:pgMar w:left="320" w:top="1271"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381"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2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1"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104775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70485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July 29, 2020, TechnipFMC plc (the "Company") issued a news release announcing its financial results for the fiscal quarter ended June 30, 2020. A copy of the news release is furnished as Exhibit 99.1 to this report and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No. Description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99.1 News Release issued by the Company dated July 29,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 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60" w:type="dxa"/>
            <w:vAlign w:val="bottom"/>
            <w:gridSpan w:val="2"/>
          </w:tcPr>
          <w:p>
            <w:pPr>
              <w:ind w:left="3080"/>
              <w:spacing w:after="0"/>
              <w:rPr>
                <w:sz w:val="20"/>
                <w:szCs w:val="20"/>
                <w:color w:val="auto"/>
              </w:rPr>
            </w:pPr>
            <w:r>
              <w:rPr>
                <w:rFonts w:ascii="Arial" w:cs="Arial" w:eastAsia="Arial" w:hAnsi="Arial"/>
                <w:sz w:val="18"/>
                <w:szCs w:val="18"/>
                <w:b w:val="1"/>
                <w:bCs w:val="1"/>
                <w:color w:val="auto"/>
              </w:rPr>
              <w:t>EXHIBIT INDEX</w:t>
            </w:r>
          </w:p>
        </w:tc>
      </w:tr>
      <w:tr>
        <w:trPr>
          <w:trHeight w:val="520"/>
        </w:trPr>
        <w:tc>
          <w:tcPr>
            <w:tcW w:w="20" w:type="dxa"/>
            <w:vAlign w:val="bottom"/>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243"/>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1"/>
                <w:szCs w:val="21"/>
                <w:color w:val="auto"/>
              </w:rPr>
            </w:pPr>
          </w:p>
        </w:tc>
        <w:tc>
          <w:tcPr>
            <w:tcW w:w="936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News Release issued by the Company dated July</w:t>
              </w:r>
              <w:r>
                <w:rPr>
                  <w:rFonts w:ascii="Arial" w:cs="Arial" w:eastAsia="Arial" w:hAnsi="Arial"/>
                  <w:sz w:val="18"/>
                  <w:szCs w:val="18"/>
                  <w:color w:val="0000FF"/>
                </w:rPr>
                <w:t xml:space="preserve"> 29, </w:t>
              </w:r>
              <w:r>
                <w:rPr>
                  <w:rFonts w:ascii="Arial" w:cs="Arial" w:eastAsia="Arial" w:hAnsi="Arial"/>
                  <w:sz w:val="18"/>
                  <w:szCs w:val="18"/>
                  <w:u w:val="single" w:color="auto"/>
                  <w:color w:val="0000FF"/>
                </w:rPr>
                <w:t>2020</w:t>
              </w:r>
            </w:hyperlink>
          </w:p>
        </w:tc>
      </w:tr>
      <w:tr>
        <w:trPr>
          <w:trHeight w:val="256"/>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1006"/>
        </w:trPr>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14605</wp:posOffset>
            </wp:positionV>
            <wp:extent cx="4054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20" w:val="left"/>
          <w:tab w:leader="none" w:pos="4000" w:val="left"/>
        </w:tabs>
        <w:rPr>
          <w:sz w:val="20"/>
          <w:szCs w:val="20"/>
          <w:color w:val="auto"/>
        </w:rPr>
      </w:pPr>
      <w:r>
        <w:rPr>
          <w:rFonts w:ascii="Arial" w:cs="Arial" w:eastAsia="Arial" w:hAnsi="Arial"/>
          <w:sz w:val="18"/>
          <w:szCs w:val="18"/>
          <w:color w:val="auto"/>
        </w:rPr>
        <w:t>Dated:</w:t>
        <w:tab/>
        <w:t>July 29, 2020</w:t>
      </w:r>
      <w:r>
        <w:rPr>
          <w:sz w:val="20"/>
          <w:szCs w:val="20"/>
          <w:color w:val="auto"/>
        </w:rPr>
        <w:tab/>
      </w:r>
      <w:r>
        <w:rPr>
          <w:rFonts w:ascii="Arial" w:cs="Arial" w:eastAsia="Arial" w:hAnsi="Arial"/>
          <w:sz w:val="17"/>
          <w:szCs w:val="17"/>
          <w:color w:val="auto"/>
        </w:rPr>
        <w:t>Name: Maryann T. Mannen</w:t>
      </w:r>
    </w:p>
    <w:p>
      <w:pPr>
        <w:spacing w:after="0" w:line="50"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220"/>
          </w:cols>
          <w:pgMar w:left="320" w:top="886" w:right="35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Press Release</w:t>
      </w: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Second Quarter 2020 Results</w:t>
      </w:r>
    </w:p>
    <w:p>
      <w:pPr>
        <w:spacing w:after="0" w:line="89" w:lineRule="exact"/>
        <w:rPr>
          <w:sz w:val="20"/>
          <w:szCs w:val="20"/>
          <w:color w:val="auto"/>
        </w:rPr>
      </w:pP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Strong execution despite the challenging environment in the quarter</w:t>
      </w:r>
    </w:p>
    <w:p>
      <w:pPr>
        <w:spacing w:after="0" w:line="23" w:lineRule="exact"/>
        <w:rPr>
          <w:rFonts w:ascii="Arial" w:cs="Arial" w:eastAsia="Arial" w:hAnsi="Arial"/>
          <w:sz w:val="20"/>
          <w:szCs w:val="20"/>
          <w:b w:val="1"/>
          <w:bCs w:val="1"/>
          <w:color w:val="auto"/>
        </w:rPr>
      </w:pP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Resilient backlog of $20.6 billion; $14.9 billion scheduled for 2021 and beyond</w:t>
      </w: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Net liquidity of $6.8 billion, an increase of $1.2 billion sequentially</w:t>
      </w: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On track to deliver targeted cost savings that exceed $350 million by year-end</w:t>
      </w:r>
    </w:p>
    <w:p>
      <w:pPr>
        <w:ind w:left="400" w:hanging="230"/>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Updated financial guidance for all segments; initiated free cash flow outlook</w:t>
      </w:r>
    </w:p>
    <w:p>
      <w:pPr>
        <w:spacing w:after="0" w:line="242" w:lineRule="exact"/>
        <w:rPr>
          <w:rFonts w:ascii="Arial" w:cs="Arial" w:eastAsia="Arial" w:hAnsi="Arial"/>
          <w:sz w:val="20"/>
          <w:szCs w:val="20"/>
          <w:b w:val="1"/>
          <w:bCs w:val="1"/>
          <w:color w:val="auto"/>
        </w:rPr>
      </w:pPr>
    </w:p>
    <w:p>
      <w:pPr>
        <w:ind w:left="400" w:hanging="230"/>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U.S. GAAP diluted earnings per share was $0.03</w:t>
      </w:r>
    </w:p>
    <w:p>
      <w:pPr>
        <w:ind w:left="640" w:hanging="227"/>
        <w:spacing w:after="0"/>
        <w:tabs>
          <w:tab w:leader="none" w:pos="640" w:val="left"/>
        </w:tabs>
        <w:numPr>
          <w:ilvl w:val="1"/>
          <w:numId w:val="2"/>
        </w:numPr>
        <w:rPr>
          <w:rFonts w:ascii="Arial" w:cs="Arial" w:eastAsia="Arial" w:hAnsi="Arial"/>
          <w:sz w:val="20"/>
          <w:szCs w:val="20"/>
          <w:color w:val="auto"/>
        </w:rPr>
      </w:pPr>
      <w:r>
        <w:rPr>
          <w:rFonts w:ascii="Arial" w:cs="Arial" w:eastAsia="Arial" w:hAnsi="Arial"/>
          <w:sz w:val="20"/>
          <w:szCs w:val="20"/>
          <w:color w:val="auto"/>
        </w:rPr>
        <w:t>Includes total after-tax charges, net of credits, of $0.06 per diluted share</w:t>
      </w:r>
    </w:p>
    <w:p>
      <w:pPr>
        <w:ind w:left="400" w:hanging="230"/>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diluted earnings per share, excluding charges and credits, was $0.09</w:t>
      </w:r>
    </w:p>
    <w:p>
      <w:pPr>
        <w:ind w:left="640" w:hanging="227"/>
        <w:spacing w:after="0"/>
        <w:tabs>
          <w:tab w:leader="none" w:pos="640" w:val="left"/>
        </w:tabs>
        <w:numPr>
          <w:ilvl w:val="1"/>
          <w:numId w:val="2"/>
        </w:numPr>
        <w:rPr>
          <w:rFonts w:ascii="Arial" w:cs="Arial" w:eastAsia="Arial" w:hAnsi="Arial"/>
          <w:sz w:val="20"/>
          <w:szCs w:val="20"/>
          <w:color w:val="auto"/>
        </w:rPr>
      </w:pPr>
      <w:r>
        <w:rPr>
          <w:rFonts w:ascii="Arial" w:cs="Arial" w:eastAsia="Arial" w:hAnsi="Arial"/>
          <w:sz w:val="20"/>
          <w:szCs w:val="20"/>
          <w:color w:val="auto"/>
        </w:rPr>
        <w:t>Includes foreign exchange losses of $0.01 per diluted share</w:t>
      </w:r>
    </w:p>
    <w:p>
      <w:pPr>
        <w:ind w:left="640" w:hanging="227"/>
        <w:spacing w:after="0"/>
        <w:tabs>
          <w:tab w:leader="none" w:pos="640" w:val="left"/>
        </w:tabs>
        <w:numPr>
          <w:ilvl w:val="1"/>
          <w:numId w:val="2"/>
        </w:numPr>
        <w:rPr>
          <w:rFonts w:ascii="Arial" w:cs="Arial" w:eastAsia="Arial" w:hAnsi="Arial"/>
          <w:sz w:val="20"/>
          <w:szCs w:val="20"/>
          <w:color w:val="auto"/>
        </w:rPr>
      </w:pPr>
      <w:r>
        <w:rPr>
          <w:rFonts w:ascii="Arial" w:cs="Arial" w:eastAsia="Arial" w:hAnsi="Arial"/>
          <w:sz w:val="20"/>
          <w:szCs w:val="20"/>
          <w:color w:val="auto"/>
        </w:rPr>
        <w:t>Includes expense resulting from increased liability to joint venture partners of $0.11 per diluted share</w:t>
      </w:r>
    </w:p>
    <w:p>
      <w:pPr>
        <w:spacing w:after="0" w:line="219" w:lineRule="exact"/>
        <w:rPr>
          <w:sz w:val="20"/>
          <w:szCs w:val="20"/>
          <w:color w:val="auto"/>
        </w:rPr>
      </w:pPr>
    </w:p>
    <w:p>
      <w:pPr>
        <w:ind w:right="300"/>
        <w:spacing w:after="0" w:line="271" w:lineRule="auto"/>
        <w:rPr>
          <w:sz w:val="20"/>
          <w:szCs w:val="20"/>
          <w:color w:val="auto"/>
        </w:rPr>
      </w:pPr>
      <w:r>
        <w:rPr>
          <w:rFonts w:ascii="Arial" w:cs="Arial" w:eastAsia="Arial" w:hAnsi="Arial"/>
          <w:sz w:val="20"/>
          <w:szCs w:val="20"/>
          <w:b w:val="1"/>
          <w:bCs w:val="1"/>
          <w:color w:val="auto"/>
        </w:rPr>
        <w:t xml:space="preserve">LONDON, PARIS, HOUSTON, July 29, 2020 - </w:t>
      </w:r>
      <w:r>
        <w:rPr>
          <w:rFonts w:ascii="Arial" w:cs="Arial" w:eastAsia="Arial" w:hAnsi="Arial"/>
          <w:sz w:val="20"/>
          <w:szCs w:val="20"/>
          <w:color w:val="auto"/>
        </w:rPr>
        <w:t>TechnipFMC plc (NYSE: FTI) (Paris: FTI) today reported second quarter 2020</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Second Quarter 2020</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84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tcBorders>
              <w:top w:val="single" w:sz="8" w:color="B8CCE4"/>
              <w:right w:val="single" w:sz="8" w:color="B8CCE4"/>
            </w:tcBorders>
          </w:tcPr>
          <w:p>
            <w:pPr>
              <w:jc w:val="right"/>
              <w:ind w:right="526"/>
              <w:spacing w:after="0"/>
              <w:rPr>
                <w:sz w:val="20"/>
                <w:szCs w:val="20"/>
                <w:color w:val="auto"/>
              </w:rPr>
            </w:pPr>
            <w:r>
              <w:rPr>
                <w:rFonts w:ascii="Arial" w:cs="Arial" w:eastAsia="Arial" w:hAnsi="Arial"/>
                <w:sz w:val="14"/>
                <w:szCs w:val="14"/>
                <w:b w:val="1"/>
                <w:bCs w:val="1"/>
                <w:color w:val="auto"/>
              </w:rPr>
              <w:t>June 30,</w:t>
            </w:r>
          </w:p>
        </w:tc>
        <w:tc>
          <w:tcPr>
            <w:tcW w:w="1860" w:type="dxa"/>
            <w:vAlign w:val="bottom"/>
            <w:tcBorders>
              <w:top w:val="single" w:sz="8" w:color="B8CCE4"/>
              <w:right w:val="single" w:sz="8" w:color="B8CCE4"/>
            </w:tcBorders>
          </w:tcPr>
          <w:p>
            <w:pPr>
              <w:jc w:val="right"/>
              <w:ind w:right="566"/>
              <w:spacing w:after="0"/>
              <w:rPr>
                <w:sz w:val="20"/>
                <w:szCs w:val="20"/>
                <w:color w:val="auto"/>
              </w:rPr>
            </w:pPr>
            <w:r>
              <w:rPr>
                <w:rFonts w:ascii="Arial" w:cs="Arial" w:eastAsia="Arial" w:hAnsi="Arial"/>
                <w:sz w:val="14"/>
                <w:szCs w:val="14"/>
                <w:b w:val="1"/>
                <w:bCs w:val="1"/>
                <w:color w:val="auto"/>
              </w:rPr>
              <w:t>June 30,</w:t>
            </w:r>
          </w:p>
        </w:tc>
        <w:tc>
          <w:tcPr>
            <w:tcW w:w="1760" w:type="dxa"/>
            <w:vAlign w:val="bottom"/>
            <w:tcBorders>
              <w:top w:val="single" w:sz="8" w:color="B8CCE4"/>
              <w:right w:val="single" w:sz="8" w:color="B8CCE4"/>
            </w:tcBorders>
          </w:tcPr>
          <w:p>
            <w:pPr>
              <w:spacing w:after="0"/>
              <w:rPr>
                <w:sz w:val="16"/>
                <w:szCs w:val="16"/>
                <w:color w:val="auto"/>
              </w:rPr>
            </w:pPr>
          </w:p>
        </w:tc>
      </w:tr>
      <w:tr>
        <w:trPr>
          <w:trHeight w:val="196"/>
        </w:trPr>
        <w:tc>
          <w:tcPr>
            <w:tcW w:w="58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800" w:type="dxa"/>
            <w:vAlign w:val="bottom"/>
            <w:tcBorders>
              <w:bottom w:val="single" w:sz="8" w:color="B8CCE4"/>
              <w:right w:val="single" w:sz="8" w:color="B8CCE4"/>
            </w:tcBorders>
          </w:tcPr>
          <w:p>
            <w:pPr>
              <w:jc w:val="right"/>
              <w:ind w:right="666"/>
              <w:spacing w:after="0"/>
              <w:rPr>
                <w:sz w:val="20"/>
                <w:szCs w:val="20"/>
                <w:color w:val="auto"/>
              </w:rPr>
            </w:pPr>
            <w:r>
              <w:rPr>
                <w:rFonts w:ascii="Arial" w:cs="Arial" w:eastAsia="Arial" w:hAnsi="Arial"/>
                <w:sz w:val="14"/>
                <w:szCs w:val="14"/>
                <w:b w:val="1"/>
                <w:bCs w:val="1"/>
                <w:color w:val="auto"/>
              </w:rPr>
              <w:t>2020</w:t>
            </w:r>
          </w:p>
        </w:tc>
        <w:tc>
          <w:tcPr>
            <w:tcW w:w="1860" w:type="dxa"/>
            <w:vAlign w:val="bottom"/>
            <w:tcBorders>
              <w:bottom w:val="single" w:sz="8" w:color="B8CCE4"/>
              <w:right w:val="single" w:sz="8" w:color="B8CCE4"/>
            </w:tcBorders>
          </w:tcPr>
          <w:p>
            <w:pPr>
              <w:jc w:val="right"/>
              <w:ind w:right="686"/>
              <w:spacing w:after="0"/>
              <w:rPr>
                <w:sz w:val="20"/>
                <w:szCs w:val="20"/>
                <w:color w:val="auto"/>
              </w:rPr>
            </w:pPr>
            <w:r>
              <w:rPr>
                <w:rFonts w:ascii="Arial" w:cs="Arial" w:eastAsia="Arial" w:hAnsi="Arial"/>
                <w:sz w:val="14"/>
                <w:szCs w:val="14"/>
                <w:b w:val="1"/>
                <w:bCs w:val="1"/>
                <w:color w:val="auto"/>
              </w:rPr>
              <w:t>2019</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58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$3,158.5</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$3,434.2</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(8.0%)</w:t>
            </w:r>
          </w:p>
        </w:tc>
      </w:tr>
      <w:tr>
        <w:trPr>
          <w:trHeight w:val="263"/>
        </w:trPr>
        <w:tc>
          <w:tcPr>
            <w:tcW w:w="58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$11.7</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$97.0</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(87.9%)</w:t>
            </w:r>
          </w:p>
        </w:tc>
      </w:tr>
      <w:tr>
        <w:trPr>
          <w:trHeight w:val="263"/>
        </w:trPr>
        <w:tc>
          <w:tcPr>
            <w:tcW w:w="58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earnings per share</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$0.03</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$0.21</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(85.7%)</w:t>
            </w:r>
          </w:p>
        </w:tc>
      </w:tr>
      <w:tr>
        <w:trPr>
          <w:trHeight w:val="254"/>
        </w:trPr>
        <w:tc>
          <w:tcPr>
            <w:tcW w:w="5840" w:type="dxa"/>
            <w:vAlign w:val="bottom"/>
            <w:tcBorders>
              <w:left w:val="single" w:sz="8" w:color="B8CCE4"/>
              <w:bottom w:val="single" w:sz="8" w:color="B8CCE4"/>
            </w:tcBorders>
          </w:tcPr>
          <w:p>
            <w:pPr>
              <w:spacing w:after="0"/>
              <w:rPr>
                <w:sz w:val="22"/>
                <w:szCs w:val="22"/>
                <w:color w:val="auto"/>
              </w:rPr>
            </w:pPr>
          </w:p>
        </w:tc>
        <w:tc>
          <w:tcPr>
            <w:tcW w:w="1800" w:type="dxa"/>
            <w:vAlign w:val="bottom"/>
            <w:tcBorders>
              <w:bottom w:val="single" w:sz="8" w:color="B8CCE4"/>
            </w:tcBorders>
          </w:tcPr>
          <w:p>
            <w:pPr>
              <w:spacing w:after="0"/>
              <w:rPr>
                <w:sz w:val="22"/>
                <w:szCs w:val="22"/>
                <w:color w:val="auto"/>
              </w:rPr>
            </w:pPr>
          </w:p>
        </w:tc>
        <w:tc>
          <w:tcPr>
            <w:tcW w:w="1860" w:type="dxa"/>
            <w:vAlign w:val="bottom"/>
            <w:tcBorders>
              <w:bottom w:val="single" w:sz="8" w:color="B8CCE4"/>
            </w:tcBorders>
          </w:tcPr>
          <w:p>
            <w:pPr>
              <w:spacing w:after="0"/>
              <w:rPr>
                <w:sz w:val="22"/>
                <w:szCs w:val="22"/>
                <w:color w:val="auto"/>
              </w:rPr>
            </w:pPr>
          </w:p>
        </w:tc>
        <w:tc>
          <w:tcPr>
            <w:tcW w:w="1760" w:type="dxa"/>
            <w:vAlign w:val="bottom"/>
            <w:tcBorders>
              <w:bottom w:val="single" w:sz="8" w:color="B8CCE4"/>
              <w:right w:val="single" w:sz="8" w:color="B8CCE4"/>
            </w:tcBorders>
          </w:tcPr>
          <w:p>
            <w:pPr>
              <w:spacing w:after="0"/>
              <w:rPr>
                <w:sz w:val="22"/>
                <w:szCs w:val="22"/>
                <w:color w:val="auto"/>
              </w:rPr>
            </w:pPr>
          </w:p>
        </w:tc>
      </w:tr>
      <w:tr>
        <w:trPr>
          <w:trHeight w:val="259"/>
        </w:trPr>
        <w:tc>
          <w:tcPr>
            <w:tcW w:w="58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$241.1</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$450.0</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(46.4%)</w:t>
            </w:r>
          </w:p>
        </w:tc>
      </w:tr>
      <w:tr>
        <w:trPr>
          <w:trHeight w:val="263"/>
        </w:trPr>
        <w:tc>
          <w:tcPr>
            <w:tcW w:w="58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00" w:type="dxa"/>
            <w:vAlign w:val="bottom"/>
            <w:tcBorders>
              <w:bottom w:val="single" w:sz="8" w:color="B8CCE4"/>
            </w:tcBorders>
          </w:tcPr>
          <w:p>
            <w:pPr>
              <w:jc w:val="right"/>
              <w:spacing w:after="0"/>
              <w:rPr>
                <w:sz w:val="20"/>
                <w:szCs w:val="20"/>
                <w:color w:val="auto"/>
              </w:rPr>
            </w:pPr>
            <w:r>
              <w:rPr>
                <w:rFonts w:ascii="Arial" w:cs="Arial" w:eastAsia="Arial" w:hAnsi="Arial"/>
                <w:sz w:val="20"/>
                <w:szCs w:val="20"/>
                <w:color w:val="auto"/>
              </w:rPr>
              <w:t>7.6 %</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13.1 %</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(550 bps)</w:t>
            </w:r>
          </w:p>
        </w:tc>
      </w:tr>
      <w:tr>
        <w:trPr>
          <w:trHeight w:val="263"/>
        </w:trPr>
        <w:tc>
          <w:tcPr>
            <w:tcW w:w="58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net income</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$42.2</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$175.6</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(76.0%)</w:t>
            </w:r>
          </w:p>
        </w:tc>
      </w:tr>
      <w:tr>
        <w:trPr>
          <w:trHeight w:val="264"/>
        </w:trPr>
        <w:tc>
          <w:tcPr>
            <w:tcW w:w="58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diluted earnings per share</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$0.09</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$0.39</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(76.9%)</w:t>
            </w:r>
          </w:p>
        </w:tc>
      </w:tr>
      <w:tr>
        <w:trPr>
          <w:trHeight w:val="254"/>
        </w:trPr>
        <w:tc>
          <w:tcPr>
            <w:tcW w:w="5840" w:type="dxa"/>
            <w:vAlign w:val="bottom"/>
            <w:tcBorders>
              <w:left w:val="single" w:sz="8" w:color="B8CCE4"/>
              <w:bottom w:val="single" w:sz="8" w:color="B8CCE4"/>
            </w:tcBorders>
          </w:tcPr>
          <w:p>
            <w:pPr>
              <w:spacing w:after="0"/>
              <w:rPr>
                <w:sz w:val="22"/>
                <w:szCs w:val="22"/>
                <w:color w:val="auto"/>
              </w:rPr>
            </w:pPr>
          </w:p>
        </w:tc>
        <w:tc>
          <w:tcPr>
            <w:tcW w:w="1800" w:type="dxa"/>
            <w:vAlign w:val="bottom"/>
            <w:tcBorders>
              <w:bottom w:val="single" w:sz="8" w:color="B8CCE4"/>
            </w:tcBorders>
          </w:tcPr>
          <w:p>
            <w:pPr>
              <w:spacing w:after="0"/>
              <w:rPr>
                <w:sz w:val="22"/>
                <w:szCs w:val="22"/>
                <w:color w:val="auto"/>
              </w:rPr>
            </w:pPr>
          </w:p>
        </w:tc>
        <w:tc>
          <w:tcPr>
            <w:tcW w:w="1860" w:type="dxa"/>
            <w:vAlign w:val="bottom"/>
            <w:tcBorders>
              <w:bottom w:val="single" w:sz="8" w:color="B8CCE4"/>
            </w:tcBorders>
          </w:tcPr>
          <w:p>
            <w:pPr>
              <w:spacing w:after="0"/>
              <w:rPr>
                <w:sz w:val="22"/>
                <w:szCs w:val="22"/>
                <w:color w:val="auto"/>
              </w:rPr>
            </w:pPr>
          </w:p>
        </w:tc>
        <w:tc>
          <w:tcPr>
            <w:tcW w:w="1760" w:type="dxa"/>
            <w:vAlign w:val="bottom"/>
            <w:tcBorders>
              <w:bottom w:val="single" w:sz="8" w:color="B8CCE4"/>
              <w:right w:val="single" w:sz="8" w:color="B8CCE4"/>
            </w:tcBorders>
          </w:tcPr>
          <w:p>
            <w:pPr>
              <w:spacing w:after="0"/>
              <w:rPr>
                <w:sz w:val="22"/>
                <w:szCs w:val="22"/>
                <w:color w:val="auto"/>
              </w:rPr>
            </w:pPr>
          </w:p>
        </w:tc>
      </w:tr>
      <w:tr>
        <w:trPr>
          <w:trHeight w:val="259"/>
        </w:trPr>
        <w:tc>
          <w:tcPr>
            <w:tcW w:w="58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$1,534.6</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$11,179.6</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(86.3%)</w:t>
            </w:r>
          </w:p>
        </w:tc>
      </w:tr>
      <w:tr>
        <w:trPr>
          <w:trHeight w:val="263"/>
        </w:trPr>
        <w:tc>
          <w:tcPr>
            <w:tcW w:w="58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$20,603.8</w:t>
            </w:r>
          </w:p>
        </w:tc>
        <w:tc>
          <w:tcPr>
            <w:tcW w:w="18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$25,781.9</w:t>
            </w:r>
          </w:p>
        </w:tc>
        <w:tc>
          <w:tcPr>
            <w:tcW w:w="17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(20.1%)</w:t>
            </w:r>
          </w:p>
        </w:tc>
      </w:tr>
    </w:tbl>
    <w:p>
      <w:pPr>
        <w:spacing w:after="0" w:line="212"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Total Company revenue was $3,158.5 million. Net income was $11.7 million, or $0.03 per diluted share. These results included after-tax charges and credits totaling $30.5 million of expense, or $0.06 per diluted share. Adjusted net income was $42.2 million, or $0.09 per diluted share.</w:t>
      </w:r>
    </w:p>
    <w:p>
      <w:pPr>
        <w:spacing w:after="0" w:line="20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Adjusted EBITDA, which excludes pre-tax charges and credits, was $241.1 million and included a foreign exchange loss of $5.8 million; adjusted EBITDA margin was 7.6 percent (Exhibit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6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 of 27</w:t>
      </w:r>
    </w:p>
    <w:p>
      <w:pPr>
        <w:sectPr>
          <w:pgSz w:w="11900" w:h="16838" w:orient="portrait"/>
          <w:cols w:equalWidth="0" w:num="1">
            <w:col w:w="11260"/>
          </w:cols>
          <w:pgMar w:left="320" w:top="1431" w:right="319" w:bottom="1440" w:gutter="0" w:footer="0" w:header="0"/>
        </w:sectPr>
      </w:pPr>
    </w:p>
    <w:bookmarkStart w:id="5" w:name="page6"/>
    <w:bookmarkEnd w:id="5"/>
    <w:p>
      <w:pPr>
        <w:jc w:val="both"/>
        <w:spacing w:after="0" w:line="24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Doug Pferdehirt, Chairman and CEO of TechnipFMC stated, “Our focus remains on the health and well-being of our employees and stakeholders while ensuring business continuity in a safe and responsible manner. Our dedicated teams advanced projects and met customer requirements, which was evident in our second quarter results.”</w:t>
      </w:r>
    </w:p>
    <w:p>
      <w:pPr>
        <w:spacing w:after="0" w:line="84"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also made solid progress in three core areas – strengthening our balance sheet, progressing our backlog scheduling and accelerating our business transformation – all to ensure the success of TechnipFMC both through the current cycle and over the longer term. We took a series of proactive steps to ensure that we can maintain access to more than sufficient liquidity in these challenging times. We experienced no cancellations of our backlog, highlighting the resiliency of the nearly $21 billion of backlog we have today. And we have engaged in constructive dialogue with our customers that has resulted in an even more collaborative approach, creating new opportunities for TechnipFMC.”</w:t>
      </w:r>
    </w:p>
    <w:p>
      <w:pPr>
        <w:spacing w:after="0" w:line="78" w:lineRule="exact"/>
        <w:rPr>
          <w:sz w:val="20"/>
          <w:szCs w:val="20"/>
          <w:color w:val="auto"/>
        </w:rPr>
      </w:pPr>
    </w:p>
    <w:p>
      <w:pPr>
        <w:jc w:val="both"/>
        <w:spacing w:after="0"/>
        <w:rPr>
          <w:sz w:val="20"/>
          <w:szCs w:val="20"/>
          <w:color w:val="auto"/>
        </w:rPr>
      </w:pPr>
      <w:r>
        <w:rPr>
          <w:rFonts w:ascii="Arial" w:cs="Arial" w:eastAsia="Arial" w:hAnsi="Arial"/>
          <w:sz w:val="20"/>
          <w:szCs w:val="20"/>
          <w:color w:val="auto"/>
        </w:rPr>
        <w:t>Pferdehirt added, “The strong balance sheet and extensive backlog have also provided us with the flexibility to accelerate our business transformation, with global actions underway to generate annualized cost savings in excess of $350 million by year-end. We are driving improved productivity across the organization to permanently lower our operating and capital costs. These actions will drive the most value when we align with those clients and partners that demonstrate a willingness to embrace our initiatives focused on simplification, standardization and reduced cycle times. And we are leveraging our core competencies in engineering, manufacturing and project management to deliver sustainable solutions that further enable our clients to reach their carbon reduction ambitions.”</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Surface Technologies, we continue to transform our North America operations by working with clients to further drive wellsite operational efficiencies and lower greenhouse gas emissions. Outside North America, we are leveraging the strength of our franchise to capitalize on the long-term growth anticipated in the Middle East, Asia Pacific, and the North Sea.”</w:t>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continued, “In Subsea, we continue to believe inbound orders will approximate $4 billion for the year. Large project activity demonstrates our strength in important basins such as Brazil, Guyana and Norway. Beyond this activity, our orders have been supported by subsea services, direct iEPCI™ awards and small project activity, much of which is exclusive to TechnipFMC. These opportunities have generated over $3 billion of inbound in each of the last three years, enabled by our market-leading installed base, growing list of alliance partners and integrated FEED capabilities.”</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20"/>
          <w:szCs w:val="20"/>
          <w:color w:val="auto"/>
        </w:rPr>
        <w:t>“Turning to Technip Energies, we continue to make good progress on all major projects. While LNG market dynamics have shifted in recent months, we do not view this as the start of an extended downturn for our Company given our strong differentiation in this market. We have been awarded projects in Mozambique and Mexico, both subject to final investment decision, and we are actively tendering a major project in the Middle East while performing front-end work on other LNG prospects. Beyond LNG, energy transition is a strong opportunity for us, particularly in the areas of sustainable chemistry and hydrogen.”</w:t>
      </w:r>
    </w:p>
    <w:p>
      <w:pPr>
        <w:spacing w:after="0" w:line="9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Pferdehirt concluded, “We entered this period with a solid foundation built upon the strength of our balance sheet, backlog and execution. While client conversations remain ongoing, the increased visibility we have today gives us confidence in our full-year guidance for all business segments. This is further supported by the acceleration of our business transformation initiatives to maintain – if not expand – our market leadership.”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6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 of 27</w:t>
      </w:r>
    </w:p>
    <w:p>
      <w:pPr>
        <w:sectPr>
          <w:pgSz w:w="11900" w:h="16838" w:orient="portrait"/>
          <w:cols w:equalWidth="0" w:num="1">
            <w:col w:w="11240"/>
          </w:cols>
          <w:pgMar w:left="320" w:top="1432"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Operational and Financial Highlights - Second Quarter 2020</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626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tcBorders>
              <w:top w:val="single" w:sz="8" w:color="B8CCE4"/>
              <w:right w:val="single" w:sz="8" w:color="B8CCE4"/>
            </w:tcBorders>
          </w:tcPr>
          <w:p>
            <w:pPr>
              <w:jc w:val="right"/>
              <w:ind w:right="468"/>
              <w:spacing w:after="0"/>
              <w:rPr>
                <w:sz w:val="20"/>
                <w:szCs w:val="20"/>
                <w:color w:val="auto"/>
              </w:rPr>
            </w:pPr>
            <w:r>
              <w:rPr>
                <w:rFonts w:ascii="Arial" w:cs="Arial" w:eastAsia="Arial" w:hAnsi="Arial"/>
                <w:sz w:val="14"/>
                <w:szCs w:val="14"/>
                <w:b w:val="1"/>
                <w:bCs w:val="1"/>
                <w:color w:val="auto"/>
              </w:rPr>
              <w:t>June 30,</w:t>
            </w:r>
          </w:p>
        </w:tc>
        <w:tc>
          <w:tcPr>
            <w:tcW w:w="1800" w:type="dxa"/>
            <w:vAlign w:val="bottom"/>
            <w:tcBorders>
              <w:top w:val="single" w:sz="8" w:color="B8CCE4"/>
              <w:right w:val="single" w:sz="8" w:color="B8CCE4"/>
            </w:tcBorders>
          </w:tcPr>
          <w:p>
            <w:pPr>
              <w:jc w:val="right"/>
              <w:ind w:right="528"/>
              <w:spacing w:after="0"/>
              <w:rPr>
                <w:sz w:val="20"/>
                <w:szCs w:val="20"/>
                <w:color w:val="auto"/>
              </w:rPr>
            </w:pPr>
            <w:r>
              <w:rPr>
                <w:rFonts w:ascii="Arial" w:cs="Arial" w:eastAsia="Arial" w:hAnsi="Arial"/>
                <w:sz w:val="14"/>
                <w:szCs w:val="14"/>
                <w:b w:val="1"/>
                <w:bCs w:val="1"/>
                <w:color w:val="auto"/>
              </w:rPr>
              <w:t>June 30,</w:t>
            </w:r>
          </w:p>
        </w:tc>
        <w:tc>
          <w:tcPr>
            <w:tcW w:w="1500" w:type="dxa"/>
            <w:vAlign w:val="bottom"/>
            <w:tcBorders>
              <w:top w:val="single" w:sz="8" w:color="B8CCE4"/>
              <w:right w:val="single" w:sz="8" w:color="B8CCE4"/>
            </w:tcBorders>
          </w:tcPr>
          <w:p>
            <w:pPr>
              <w:spacing w:after="0"/>
              <w:rPr>
                <w:sz w:val="16"/>
                <w:szCs w:val="16"/>
                <w:color w:val="auto"/>
              </w:rPr>
            </w:pPr>
          </w:p>
        </w:tc>
      </w:tr>
      <w:tr>
        <w:trPr>
          <w:trHeight w:val="196"/>
        </w:trPr>
        <w:tc>
          <w:tcPr>
            <w:tcW w:w="62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60" w:type="dxa"/>
            <w:vAlign w:val="bottom"/>
            <w:tcBorders>
              <w:bottom w:val="single" w:sz="8" w:color="B8CCE4"/>
              <w:right w:val="single" w:sz="8" w:color="B8CCE4"/>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800" w:type="dxa"/>
            <w:vAlign w:val="bottom"/>
            <w:tcBorders>
              <w:bottom w:val="single" w:sz="8" w:color="B8CCE4"/>
              <w:right w:val="single" w:sz="8" w:color="B8CCE4"/>
            </w:tcBorders>
          </w:tcPr>
          <w:p>
            <w:pPr>
              <w:jc w:val="right"/>
              <w:ind w:right="668"/>
              <w:spacing w:after="0"/>
              <w:rPr>
                <w:sz w:val="20"/>
                <w:szCs w:val="20"/>
                <w:color w:val="auto"/>
              </w:rPr>
            </w:pPr>
            <w:r>
              <w:rPr>
                <w:rFonts w:ascii="Arial" w:cs="Arial" w:eastAsia="Arial" w:hAnsi="Arial"/>
                <w:sz w:val="14"/>
                <w:szCs w:val="14"/>
                <w:b w:val="1"/>
                <w:bCs w:val="1"/>
                <w:color w:val="auto"/>
              </w:rPr>
              <w:t>2019</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2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$1,378.5</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$1,508.7</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(8.6%)</w:t>
            </w:r>
          </w:p>
        </w:tc>
      </w:tr>
      <w:tr>
        <w:trPr>
          <w:trHeight w:val="263"/>
        </w:trPr>
        <w:tc>
          <w:tcPr>
            <w:tcW w:w="62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$(75.6)</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$94.6</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3"/>
        </w:trPr>
        <w:tc>
          <w:tcPr>
            <w:tcW w:w="62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$99.6</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$186.2</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(46.5%)</w:t>
            </w:r>
          </w:p>
        </w:tc>
      </w:tr>
      <w:tr>
        <w:trPr>
          <w:trHeight w:val="264"/>
        </w:trPr>
        <w:tc>
          <w:tcPr>
            <w:tcW w:w="62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7.2 %</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12.3 %</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(510 bps)</w:t>
            </w:r>
          </w:p>
        </w:tc>
      </w:tr>
      <w:tr>
        <w:trPr>
          <w:trHeight w:val="254"/>
        </w:trPr>
        <w:tc>
          <w:tcPr>
            <w:tcW w:w="6260" w:type="dxa"/>
            <w:vAlign w:val="bottom"/>
            <w:tcBorders>
              <w:left w:val="single" w:sz="8" w:color="B8CCE4"/>
              <w:bottom w:val="single" w:sz="8" w:color="B8CCE4"/>
            </w:tcBorders>
          </w:tcPr>
          <w:p>
            <w:pPr>
              <w:spacing w:after="0"/>
              <w:rPr>
                <w:sz w:val="22"/>
                <w:szCs w:val="22"/>
                <w:color w:val="auto"/>
              </w:rPr>
            </w:pPr>
          </w:p>
        </w:tc>
        <w:tc>
          <w:tcPr>
            <w:tcW w:w="1660" w:type="dxa"/>
            <w:vAlign w:val="bottom"/>
            <w:tcBorders>
              <w:bottom w:val="single" w:sz="8" w:color="B8CCE4"/>
            </w:tcBorders>
          </w:tcPr>
          <w:p>
            <w:pPr>
              <w:spacing w:after="0"/>
              <w:rPr>
                <w:sz w:val="22"/>
                <w:szCs w:val="22"/>
                <w:color w:val="auto"/>
              </w:rPr>
            </w:pPr>
          </w:p>
        </w:tc>
        <w:tc>
          <w:tcPr>
            <w:tcW w:w="1800" w:type="dxa"/>
            <w:vAlign w:val="bottom"/>
            <w:tcBorders>
              <w:bottom w:val="single" w:sz="8" w:color="B8CCE4"/>
            </w:tcBorders>
          </w:tcPr>
          <w:p>
            <w:pPr>
              <w:spacing w:after="0"/>
              <w:rPr>
                <w:sz w:val="22"/>
                <w:szCs w:val="22"/>
                <w:color w:val="auto"/>
              </w:rPr>
            </w:pPr>
          </w:p>
        </w:tc>
        <w:tc>
          <w:tcPr>
            <w:tcW w:w="1500" w:type="dxa"/>
            <w:vAlign w:val="bottom"/>
            <w:tcBorders>
              <w:bottom w:val="single" w:sz="8" w:color="B8CCE4"/>
              <w:right w:val="single" w:sz="8" w:color="B8CCE4"/>
            </w:tcBorders>
          </w:tcPr>
          <w:p>
            <w:pPr>
              <w:spacing w:after="0"/>
              <w:rPr>
                <w:sz w:val="22"/>
                <w:szCs w:val="22"/>
                <w:color w:val="auto"/>
              </w:rPr>
            </w:pPr>
          </w:p>
        </w:tc>
      </w:tr>
      <w:tr>
        <w:trPr>
          <w:trHeight w:val="259"/>
        </w:trPr>
        <w:tc>
          <w:tcPr>
            <w:tcW w:w="62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$511.7</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$2,632.7</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(80.6%)</w:t>
            </w:r>
          </w:p>
        </w:tc>
      </w:tr>
      <w:tr>
        <w:trPr>
          <w:trHeight w:val="264"/>
        </w:trPr>
        <w:tc>
          <w:tcPr>
            <w:tcW w:w="62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6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$7,085.3</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$8,747.0</w:t>
            </w:r>
          </w:p>
        </w:tc>
        <w:tc>
          <w:tcPr>
            <w:tcW w:w="15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(19.0%)</w:t>
            </w:r>
          </w:p>
        </w:tc>
      </w:tr>
    </w:tbl>
    <w:p>
      <w:pPr>
        <w:spacing w:after="0" w:line="200" w:lineRule="exact"/>
        <w:rPr>
          <w:sz w:val="20"/>
          <w:szCs w:val="20"/>
          <w:color w:val="auto"/>
        </w:rPr>
      </w:pPr>
    </w:p>
    <w:p>
      <w:pPr>
        <w:spacing w:after="0" w:line="3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Subsea reported second quarter revenue of $1,378.5 million, down 8.6 percent from the prior year. Excluding the unfavorable impact of foreign exchange, revenue was unchanged, with the completion of projects in Africa in 2019 offset by growth in the Gulf of Mexico and Norway. We continued to demonstrate strong execution of our backlog despite the COVID-19 related disruptions to both supply chain and operations in the period. Operational continuity improved throughout the second quarter as revenue increased 10 percent sequentially.</w:t>
      </w:r>
    </w:p>
    <w:p>
      <w:pPr>
        <w:spacing w:after="0" w:line="18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Subsea reported an operating loss of $75.6 million and included restructuring, impairment and other charges totaling $95.8 million, of which $27.4 million were direct COVID-19 expenses. Operating results declined versus the prior year primarily due to these charges, the impact of more competitively priced backlog and the negative operational impacts related to COVID-19. Operating results benefited from our cost reduction initiatives in the quarter, and we expect to recognize greater cost savings from our restructuring actions in the second half of the year. Adjusted EBITDA was $99.6 million with a margin of 7.2 percent.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Subsea Highlights</w:t>
      </w:r>
    </w:p>
    <w:p>
      <w:pPr>
        <w:spacing w:after="0" w:line="84" w:lineRule="exact"/>
        <w:rPr>
          <w:sz w:val="20"/>
          <w:szCs w:val="20"/>
          <w:color w:val="auto"/>
        </w:rPr>
      </w:pPr>
    </w:p>
    <w:p>
      <w:pPr>
        <w:ind w:left="660" w:right="6640" w:hanging="328"/>
        <w:spacing w:after="0" w:line="298" w:lineRule="auto"/>
        <w:tabs>
          <w:tab w:leader="none" w:pos="648"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Energean Karish iEPCI™ </w:t>
      </w:r>
      <w:r>
        <w:rPr>
          <w:rFonts w:ascii="Arial" w:cs="Arial" w:eastAsia="Arial" w:hAnsi="Arial"/>
          <w:sz w:val="16"/>
          <w:szCs w:val="16"/>
          <w:b w:val="1"/>
          <w:bCs w:val="1"/>
          <w:color w:val="auto"/>
        </w:rPr>
        <w:t>(Israel)</w:t>
      </w:r>
      <w:r>
        <w:rPr>
          <w:rFonts w:ascii="Arial" w:cs="Arial" w:eastAsia="Arial" w:hAnsi="Arial"/>
          <w:sz w:val="19"/>
          <w:szCs w:val="19"/>
          <w:b w:val="1"/>
          <w:bCs w:val="1"/>
          <w:color w:val="auto"/>
        </w:rPr>
        <w:t xml:space="preserve"> </w:t>
      </w:r>
      <w:r>
        <w:rPr>
          <w:rFonts w:ascii="Arial" w:cs="Arial" w:eastAsia="Arial" w:hAnsi="Arial"/>
          <w:sz w:val="19"/>
          <w:szCs w:val="19"/>
          <w:color w:val="auto"/>
        </w:rPr>
        <w:t>Successful installation of gas export pipeline.</w:t>
      </w:r>
    </w:p>
    <w:p>
      <w:pPr>
        <w:spacing w:after="0" w:line="24" w:lineRule="exact"/>
        <w:rPr>
          <w:rFonts w:ascii="Arial" w:cs="Arial" w:eastAsia="Arial" w:hAnsi="Arial"/>
          <w:sz w:val="19"/>
          <w:szCs w:val="19"/>
          <w:b w:val="1"/>
          <w:b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Woodside Pyxis iEPCI™ </w:t>
      </w:r>
      <w:r>
        <w:rPr>
          <w:rFonts w:ascii="Arial" w:cs="Arial" w:eastAsia="Arial" w:hAnsi="Arial"/>
          <w:sz w:val="17"/>
          <w:szCs w:val="17"/>
          <w:b w:val="1"/>
          <w:bCs w:val="1"/>
          <w:color w:val="auto"/>
        </w:rPr>
        <w:t>(Australia)</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Subsea 2.0™ equipment arrived in Australia for pre-installation testing.</w:t>
      </w:r>
    </w:p>
    <w:p>
      <w:pPr>
        <w:spacing w:after="0" w:line="110" w:lineRule="exact"/>
        <w:rPr>
          <w:rFonts w:ascii="Arial" w:cs="Arial" w:eastAsia="Arial" w:hAnsi="Arial"/>
          <w:sz w:val="20"/>
          <w:szCs w:val="20"/>
          <w:b w:val="1"/>
          <w:bCs w:val="1"/>
          <w:color w:val="auto"/>
        </w:rPr>
      </w:pPr>
    </w:p>
    <w:p>
      <w:pPr>
        <w:ind w:left="660" w:right="6040" w:hanging="328"/>
        <w:spacing w:after="0" w:line="247" w:lineRule="auto"/>
        <w:tabs>
          <w:tab w:leader="none" w:pos="655" w:val="left"/>
        </w:tabs>
        <w:numPr>
          <w:ilvl w:val="0"/>
          <w:numId w:val="3"/>
        </w:numPr>
        <w:rPr>
          <w:rFonts w:ascii="Arial" w:cs="Arial" w:eastAsia="Arial" w:hAnsi="Arial"/>
          <w:sz w:val="22"/>
          <w:szCs w:val="22"/>
          <w:b w:val="1"/>
          <w:bCs w:val="1"/>
          <w:color w:val="auto"/>
        </w:rPr>
      </w:pPr>
      <w:r>
        <w:rPr>
          <w:rFonts w:ascii="Arial" w:cs="Arial" w:eastAsia="Arial" w:hAnsi="Arial"/>
          <w:sz w:val="20"/>
          <w:szCs w:val="20"/>
          <w:b w:val="1"/>
          <w:bCs w:val="1"/>
          <w:color w:val="auto"/>
        </w:rPr>
        <w:t xml:space="preserve">Neptune Energy Duva and Gjøa iEPCI™ </w:t>
      </w:r>
      <w:r>
        <w:rPr>
          <w:rFonts w:ascii="Arial" w:cs="Arial" w:eastAsia="Arial" w:hAnsi="Arial"/>
          <w:sz w:val="17"/>
          <w:szCs w:val="17"/>
          <w:b w:val="1"/>
          <w:bCs w:val="1"/>
          <w:color w:val="auto"/>
        </w:rPr>
        <w:t>(Norway)</w:t>
      </w:r>
      <w:r>
        <w:rPr>
          <w:rFonts w:ascii="Arial" w:cs="Arial" w:eastAsia="Arial" w:hAnsi="Arial"/>
          <w:sz w:val="20"/>
          <w:szCs w:val="20"/>
          <w:b w:val="1"/>
          <w:bCs w:val="1"/>
          <w:color w:val="auto"/>
        </w:rPr>
        <w:t xml:space="preserve"> </w:t>
      </w:r>
      <w:r>
        <w:rPr>
          <w:rFonts w:ascii="Arial" w:cs="Arial" w:eastAsia="Arial" w:hAnsi="Arial"/>
          <w:sz w:val="20"/>
          <w:szCs w:val="20"/>
          <w:color w:val="auto"/>
        </w:rPr>
        <w:t>Pipelay scope successfully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06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3 of 27</w:t>
      </w:r>
    </w:p>
    <w:p>
      <w:pPr>
        <w:sectPr>
          <w:pgSz w:w="11900" w:h="16838" w:orient="portrait"/>
          <w:cols w:equalWidth="0" w:num="1">
            <w:col w:w="11240"/>
          </w:cols>
          <w:pgMar w:left="320" w:top="1408" w:right="339" w:bottom="1440" w:gutter="0" w:footer="0" w:header="0"/>
        </w:sectPr>
      </w:pPr>
    </w:p>
    <w:bookmarkStart w:id="7" w:name="page8"/>
    <w:bookmarkEnd w:id="7"/>
    <w:p>
      <w:pPr>
        <w:ind w:left="660" w:right="6660" w:hanging="328"/>
        <w:spacing w:after="0" w:line="281" w:lineRule="auto"/>
        <w:tabs>
          <w:tab w:leader="none" w:pos="648"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 xml:space="preserve">Equinor Peregrino Phase 2 </w:t>
      </w:r>
      <w:r>
        <w:rPr>
          <w:rFonts w:ascii="Arial" w:cs="Arial" w:eastAsia="Arial" w:hAnsi="Arial"/>
          <w:sz w:val="16"/>
          <w:szCs w:val="16"/>
          <w:b w:val="1"/>
          <w:bCs w:val="1"/>
          <w:color w:val="auto"/>
        </w:rPr>
        <w:t>(Brazil)</w:t>
      </w:r>
      <w:r>
        <w:rPr>
          <w:rFonts w:ascii="Arial" w:cs="Arial" w:eastAsia="Arial" w:hAnsi="Arial"/>
          <w:sz w:val="19"/>
          <w:szCs w:val="19"/>
          <w:b w:val="1"/>
          <w:bCs w:val="1"/>
          <w:color w:val="auto"/>
        </w:rPr>
        <w:t xml:space="preserve"> </w:t>
      </w:r>
      <w:r>
        <w:rPr>
          <w:rFonts w:ascii="Arial" w:cs="Arial" w:eastAsia="Arial" w:hAnsi="Arial"/>
          <w:sz w:val="19"/>
          <w:szCs w:val="19"/>
          <w:color w:val="auto"/>
        </w:rPr>
        <w:t>Successful completion of offshore campaign.</w:t>
      </w:r>
    </w:p>
    <w:p>
      <w:pPr>
        <w:spacing w:after="0" w:line="1" w:lineRule="exact"/>
        <w:rPr>
          <w:rFonts w:ascii="Arial" w:cs="Arial" w:eastAsia="Arial" w:hAnsi="Arial"/>
          <w:sz w:val="19"/>
          <w:szCs w:val="19"/>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CNOOC Liuhua </w:t>
      </w:r>
      <w:r>
        <w:rPr>
          <w:rFonts w:ascii="Arial" w:cs="Arial" w:eastAsia="Arial" w:hAnsi="Arial"/>
          <w:sz w:val="17"/>
          <w:szCs w:val="17"/>
          <w:b w:val="1"/>
          <w:bCs w:val="1"/>
          <w:color w:val="auto"/>
        </w:rPr>
        <w:t>(China)</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Final subsea trees and first two manifolds delivered.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Partnership and Alliance Highlights</w:t>
      </w:r>
    </w:p>
    <w:p>
      <w:pPr>
        <w:spacing w:after="0" w:line="84"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TechnipFMC/Halliburton launch joint subsea fiber optic service</w:t>
      </w:r>
    </w:p>
    <w:p>
      <w:pPr>
        <w:spacing w:after="0" w:line="23" w:lineRule="exact"/>
        <w:rPr>
          <w:rFonts w:ascii="Arial" w:cs="Arial" w:eastAsia="Arial" w:hAnsi="Arial"/>
          <w:sz w:val="20"/>
          <w:szCs w:val="20"/>
          <w:b w:val="1"/>
          <w:bCs w:val="1"/>
          <w:color w:val="auto"/>
        </w:rPr>
      </w:pPr>
    </w:p>
    <w:p>
      <w:pPr>
        <w:jc w:val="both"/>
        <w:ind w:left="66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Introduction of Odassea™, the world’s first distributed acoustic sensing solution for subsea wells. The technology platform enables operators to execute intervention-less seismic imaging and reservoir diagnostics to reduce total cost of ownership while improving reservoir knowledge.</w:t>
      </w:r>
    </w:p>
    <w:p>
      <w:pPr>
        <w:spacing w:after="0" w:line="200" w:lineRule="exact"/>
        <w:rPr>
          <w:sz w:val="20"/>
          <w:szCs w:val="20"/>
          <w:color w:val="auto"/>
        </w:rPr>
      </w:pPr>
    </w:p>
    <w:p>
      <w:pPr>
        <w:spacing w:after="0" w:line="24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Subsea inbound orders were $511.7 million for the quarter, reflecting activity in smaller projects and subsea services, resulting in a book-to-bill of 0.4.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728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Subsea</w:t>
            </w:r>
          </w:p>
        </w:tc>
        <w:tc>
          <w:tcPr>
            <w:tcW w:w="1960" w:type="dxa"/>
            <w:vAlign w:val="bottom"/>
            <w:tcBorders>
              <w:top w:val="single" w:sz="8" w:color="B6DDE8"/>
              <w:right w:val="single" w:sz="8" w:color="B6DDE8"/>
            </w:tcBorders>
            <w:vMerge w:val="restart"/>
          </w:tcPr>
          <w:p>
            <w:pPr>
              <w:jc w:val="right"/>
              <w:ind w:right="321"/>
              <w:spacing w:after="0"/>
              <w:rPr>
                <w:sz w:val="20"/>
                <w:szCs w:val="20"/>
                <w:color w:val="auto"/>
              </w:rPr>
            </w:pPr>
            <w:r>
              <w:rPr>
                <w:rFonts w:ascii="Arial" w:cs="Arial" w:eastAsia="Arial" w:hAnsi="Arial"/>
                <w:sz w:val="20"/>
                <w:szCs w:val="20"/>
                <w:color w:val="auto"/>
              </w:rPr>
              <w:t>Consolidated</w:t>
            </w:r>
          </w:p>
        </w:tc>
        <w:tc>
          <w:tcPr>
            <w:tcW w:w="1960" w:type="dxa"/>
            <w:vAlign w:val="bottom"/>
            <w:tcBorders>
              <w:top w:val="single" w:sz="8" w:color="B6DDE8"/>
              <w:right w:val="single" w:sz="8" w:color="B6DDE8"/>
            </w:tcBorders>
            <w:vMerge w:val="restart"/>
          </w:tcPr>
          <w:p>
            <w:pPr>
              <w:jc w:val="right"/>
              <w:ind w:right="121"/>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41"/>
        </w:trPr>
        <w:tc>
          <w:tcPr>
            <w:tcW w:w="7280" w:type="dxa"/>
            <w:vAlign w:val="bottom"/>
            <w:tcBorders>
              <w:left w:val="single" w:sz="8" w:color="B6DDE8"/>
              <w:right w:val="single" w:sz="8" w:color="B6DDE8"/>
            </w:tcBorders>
            <w:vMerge w:val="restart"/>
          </w:tcPr>
          <w:p>
            <w:pPr>
              <w:ind w:left="40"/>
              <w:spacing w:after="0"/>
              <w:rPr>
                <w:sz w:val="20"/>
                <w:szCs w:val="20"/>
                <w:color w:val="auto"/>
              </w:rPr>
            </w:pPr>
            <w:r>
              <w:rPr>
                <w:rFonts w:ascii="Arial" w:cs="Arial" w:eastAsia="Arial" w:hAnsi="Arial"/>
                <w:sz w:val="18"/>
                <w:szCs w:val="18"/>
                <w:color w:val="auto"/>
              </w:rPr>
              <w:t>Estimated Backlog Scheduling as of June 30, 2020</w:t>
            </w:r>
          </w:p>
        </w:tc>
        <w:tc>
          <w:tcPr>
            <w:tcW w:w="1960" w:type="dxa"/>
            <w:vAlign w:val="bottom"/>
            <w:tcBorders>
              <w:right w:val="single" w:sz="8" w:color="B6DDE8"/>
            </w:tcBorders>
            <w:vMerge w:val="continue"/>
          </w:tcPr>
          <w:p>
            <w:pPr>
              <w:spacing w:after="0"/>
              <w:rPr>
                <w:sz w:val="3"/>
                <w:szCs w:val="3"/>
                <w:color w:val="auto"/>
              </w:rPr>
            </w:pPr>
          </w:p>
        </w:tc>
        <w:tc>
          <w:tcPr>
            <w:tcW w:w="1960" w:type="dxa"/>
            <w:vAlign w:val="bottom"/>
            <w:tcBorders>
              <w:right w:val="single" w:sz="8" w:color="B6DDE8"/>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280" w:type="dxa"/>
            <w:vAlign w:val="bottom"/>
            <w:tcBorders>
              <w:left w:val="single" w:sz="8" w:color="B6DDE8"/>
              <w:right w:val="single" w:sz="8" w:color="B6DDE8"/>
            </w:tcBorders>
            <w:vMerge w:val="continue"/>
          </w:tcPr>
          <w:p>
            <w:pPr>
              <w:spacing w:after="0"/>
              <w:rPr>
                <w:sz w:val="16"/>
                <w:szCs w:val="16"/>
                <w:color w:val="auto"/>
              </w:rPr>
            </w:pPr>
          </w:p>
        </w:tc>
        <w:tc>
          <w:tcPr>
            <w:tcW w:w="1960" w:type="dxa"/>
            <w:vAlign w:val="bottom"/>
            <w:tcBorders>
              <w:right w:val="single" w:sz="8" w:color="B6DDE8"/>
            </w:tcBorders>
          </w:tcPr>
          <w:p>
            <w:pPr>
              <w:jc w:val="right"/>
              <w:ind w:right="461"/>
              <w:spacing w:after="0" w:line="189" w:lineRule="exact"/>
              <w:rPr>
                <w:sz w:val="20"/>
                <w:szCs w:val="20"/>
                <w:color w:val="auto"/>
              </w:rPr>
            </w:pPr>
            <w:r>
              <w:rPr>
                <w:rFonts w:ascii="Arial" w:cs="Arial" w:eastAsia="Arial" w:hAnsi="Arial"/>
                <w:sz w:val="20"/>
                <w:szCs w:val="20"/>
                <w:color w:val="auto"/>
              </w:rPr>
              <w:t>backlog</w:t>
            </w:r>
            <w:r>
              <w:rPr>
                <w:rFonts w:ascii="Arial" w:cs="Arial" w:eastAsia="Arial" w:hAnsi="Arial"/>
                <w:sz w:val="12"/>
                <w:szCs w:val="12"/>
                <w:color w:val="auto"/>
              </w:rPr>
              <w:t>1,2</w:t>
            </w:r>
          </w:p>
        </w:tc>
        <w:tc>
          <w:tcPr>
            <w:tcW w:w="1960" w:type="dxa"/>
            <w:vAlign w:val="bottom"/>
            <w:tcBorders>
              <w:right w:val="single" w:sz="8" w:color="B6DDE8"/>
            </w:tcBorders>
          </w:tcPr>
          <w:p>
            <w:pPr>
              <w:jc w:val="right"/>
              <w:ind w:right="521"/>
              <w:spacing w:after="0" w:line="189" w:lineRule="exact"/>
              <w:rPr>
                <w:sz w:val="20"/>
                <w:szCs w:val="20"/>
                <w:color w:val="auto"/>
              </w:rPr>
            </w:pPr>
            <w:r>
              <w:rPr>
                <w:rFonts w:ascii="Arial" w:cs="Arial" w:eastAsia="Arial" w:hAnsi="Arial"/>
                <w:sz w:val="20"/>
                <w:szCs w:val="20"/>
                <w:color w:val="auto"/>
              </w:rPr>
              <w:t>backlog</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56"/>
        </w:trPr>
        <w:tc>
          <w:tcPr>
            <w:tcW w:w="7280" w:type="dxa"/>
            <w:vAlign w:val="bottom"/>
            <w:tcBorders>
              <w:left w:val="single" w:sz="8" w:color="B6DDE8"/>
              <w:bottom w:val="single" w:sz="8" w:color="B8CCE4"/>
              <w:right w:val="single" w:sz="8" w:color="B6DDE8"/>
            </w:tcBorders>
          </w:tcPr>
          <w:p>
            <w:pPr>
              <w:ind w:left="40"/>
              <w:spacing w:after="0" w:line="149" w:lineRule="exact"/>
              <w:rPr>
                <w:sz w:val="20"/>
                <w:szCs w:val="20"/>
                <w:color w:val="auto"/>
              </w:rPr>
            </w:pPr>
            <w:r>
              <w:rPr>
                <w:rFonts w:ascii="Arial" w:cs="Arial" w:eastAsia="Arial" w:hAnsi="Arial"/>
                <w:sz w:val="14"/>
                <w:szCs w:val="14"/>
                <w:color w:val="auto"/>
              </w:rPr>
              <w:t>(In millions)</w:t>
            </w:r>
          </w:p>
        </w:tc>
        <w:tc>
          <w:tcPr>
            <w:tcW w:w="1960" w:type="dxa"/>
            <w:vAlign w:val="bottom"/>
            <w:tcBorders>
              <w:bottom w:val="single" w:sz="8" w:color="B8CCE4"/>
              <w:right w:val="single" w:sz="8" w:color="B6DDE8"/>
            </w:tcBorders>
          </w:tcPr>
          <w:p>
            <w:pPr>
              <w:spacing w:after="0"/>
              <w:rPr>
                <w:sz w:val="13"/>
                <w:szCs w:val="13"/>
                <w:color w:val="auto"/>
              </w:rPr>
            </w:pPr>
          </w:p>
        </w:tc>
        <w:tc>
          <w:tcPr>
            <w:tcW w:w="1960" w:type="dxa"/>
            <w:vAlign w:val="bottom"/>
            <w:tcBorders>
              <w:bottom w:val="single" w:sz="8" w:color="B6DDE8"/>
              <w:right w:val="single" w:sz="8" w:color="B6DDE8"/>
            </w:tcBorders>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7280" w:type="dxa"/>
            <w:vAlign w:val="bottom"/>
            <w:tcBorders>
              <w:left w:val="single" w:sz="8" w:color="B6DDE8"/>
              <w:bottom w:val="single" w:sz="8" w:color="BFE4FF"/>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2020 (6 months)</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$2,212</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63"/>
        </w:trPr>
        <w:tc>
          <w:tcPr>
            <w:tcW w:w="728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2021</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$2,912</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264"/>
        </w:trPr>
        <w:tc>
          <w:tcPr>
            <w:tcW w:w="728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2022 and beyond</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$1,961</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$505</w:t>
            </w:r>
          </w:p>
        </w:tc>
        <w:tc>
          <w:tcPr>
            <w:tcW w:w="0" w:type="dxa"/>
            <w:vAlign w:val="bottom"/>
          </w:tcPr>
          <w:p>
            <w:pPr>
              <w:spacing w:after="0"/>
              <w:rPr>
                <w:sz w:val="1"/>
                <w:szCs w:val="1"/>
                <w:color w:val="auto"/>
              </w:rPr>
            </w:pPr>
          </w:p>
        </w:tc>
      </w:tr>
      <w:tr>
        <w:trPr>
          <w:trHeight w:val="263"/>
        </w:trPr>
        <w:tc>
          <w:tcPr>
            <w:tcW w:w="728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$7,085</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$703</w:t>
            </w:r>
          </w:p>
        </w:tc>
        <w:tc>
          <w:tcPr>
            <w:tcW w:w="0" w:type="dxa"/>
            <w:vAlign w:val="bottom"/>
          </w:tcPr>
          <w:p>
            <w:pPr>
              <w:spacing w:after="0"/>
              <w:rPr>
                <w:sz w:val="1"/>
                <w:szCs w:val="1"/>
                <w:color w:val="auto"/>
              </w:rPr>
            </w:pPr>
          </w:p>
        </w:tc>
      </w:tr>
    </w:tbl>
    <w:p>
      <w:pPr>
        <w:ind w:left="140" w:hanging="114"/>
        <w:spacing w:after="0" w:line="208" w:lineRule="auto"/>
        <w:tabs>
          <w:tab w:leader="none" w:pos="140"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Backlog in the period was increased by a foreign exchange impact of $102 million.</w:t>
      </w:r>
    </w:p>
    <w:p>
      <w:pPr>
        <w:spacing w:after="0" w:line="12" w:lineRule="exact"/>
        <w:rPr>
          <w:rFonts w:ascii="Arial" w:cs="Arial" w:eastAsia="Arial" w:hAnsi="Arial"/>
          <w:sz w:val="23"/>
          <w:szCs w:val="23"/>
          <w:i w:val="1"/>
          <w:iCs w:val="1"/>
          <w:color w:val="auto"/>
          <w:vertAlign w:val="superscript"/>
        </w:rPr>
      </w:pPr>
    </w:p>
    <w:p>
      <w:pPr>
        <w:ind w:left="20"/>
        <w:spacing w:after="0" w:line="208" w:lineRule="auto"/>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2</w:t>
      </w:r>
      <w:r>
        <w:rPr>
          <w:rFonts w:ascii="Arial" w:cs="Arial" w:eastAsia="Arial" w:hAnsi="Arial"/>
          <w:sz w:val="18"/>
          <w:szCs w:val="18"/>
          <w:i w:val="1"/>
          <w:iCs w:val="1"/>
          <w:color w:val="auto"/>
        </w:rPr>
        <w:t xml:space="preserve"> Backlog does not capture all revenue potential for subsea services.</w:t>
      </w:r>
    </w:p>
    <w:p>
      <w:pPr>
        <w:ind w:left="20" w:right="380" w:firstLine="6"/>
        <w:spacing w:after="0" w:line="199" w:lineRule="auto"/>
        <w:tabs>
          <w:tab w:leader="none" w:pos="135"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6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4 of 27</w:t>
      </w:r>
    </w:p>
    <w:p>
      <w:pPr>
        <w:sectPr>
          <w:pgSz w:w="11900" w:h="16838" w:orient="portrait"/>
          <w:cols w:equalWidth="0" w:num="1">
            <w:col w:w="11240"/>
          </w:cols>
          <w:pgMar w:left="320" w:top="1408" w:right="339" w:bottom="1440" w:gutter="0" w:footer="0" w:header="0"/>
        </w:sectPr>
      </w:pPr>
    </w:p>
    <w:bookmarkStart w:id="8" w:name="page9"/>
    <w:bookmarkEnd w:id="8"/>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Technip 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14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tcBorders>
              <w:top w:val="single" w:sz="8" w:color="B8CCE4"/>
              <w:right w:val="single" w:sz="8" w:color="B8CCE4"/>
            </w:tcBorders>
          </w:tcPr>
          <w:p>
            <w:pPr>
              <w:jc w:val="right"/>
              <w:ind w:right="548"/>
              <w:spacing w:after="0"/>
              <w:rPr>
                <w:sz w:val="20"/>
                <w:szCs w:val="20"/>
                <w:color w:val="auto"/>
              </w:rPr>
            </w:pPr>
            <w:r>
              <w:rPr>
                <w:rFonts w:ascii="Arial" w:cs="Arial" w:eastAsia="Arial" w:hAnsi="Arial"/>
                <w:sz w:val="14"/>
                <w:szCs w:val="14"/>
                <w:b w:val="1"/>
                <w:bCs w:val="1"/>
                <w:color w:val="auto"/>
              </w:rPr>
              <w:t>June 30,</w:t>
            </w:r>
          </w:p>
        </w:tc>
        <w:tc>
          <w:tcPr>
            <w:tcW w:w="1780" w:type="dxa"/>
            <w:vAlign w:val="bottom"/>
            <w:tcBorders>
              <w:top w:val="single" w:sz="8" w:color="B8CCE4"/>
              <w:right w:val="single" w:sz="8" w:color="B8CCE4"/>
            </w:tcBorders>
          </w:tcPr>
          <w:p>
            <w:pPr>
              <w:jc w:val="right"/>
              <w:ind w:right="528"/>
              <w:spacing w:after="0"/>
              <w:rPr>
                <w:sz w:val="20"/>
                <w:szCs w:val="20"/>
                <w:color w:val="auto"/>
              </w:rPr>
            </w:pPr>
            <w:r>
              <w:rPr>
                <w:rFonts w:ascii="Arial" w:cs="Arial" w:eastAsia="Arial" w:hAnsi="Arial"/>
                <w:sz w:val="14"/>
                <w:szCs w:val="14"/>
                <w:b w:val="1"/>
                <w:bCs w:val="1"/>
                <w:color w:val="auto"/>
              </w:rPr>
              <w:t>June 30,</w:t>
            </w:r>
          </w:p>
        </w:tc>
        <w:tc>
          <w:tcPr>
            <w:tcW w:w="1520" w:type="dxa"/>
            <w:vAlign w:val="bottom"/>
            <w:tcBorders>
              <w:top w:val="single" w:sz="8" w:color="B8CCE4"/>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61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20" w:type="dxa"/>
            <w:vAlign w:val="bottom"/>
            <w:tcBorders>
              <w:bottom w:val="single" w:sz="8" w:color="B8CCE4"/>
              <w:right w:val="single" w:sz="8" w:color="B8CCE4"/>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1780" w:type="dxa"/>
            <w:vAlign w:val="bottom"/>
            <w:tcBorders>
              <w:bottom w:val="single" w:sz="8" w:color="B8CCE4"/>
              <w:right w:val="single" w:sz="8" w:color="B8CCE4"/>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520" w:type="dxa"/>
            <w:vAlign w:val="bottom"/>
            <w:tcBorders>
              <w:bottom w:val="single" w:sz="8" w:color="B8CCE4"/>
              <w:right w:val="single" w:sz="8" w:color="B8CCE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61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$1,538.3</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$1,505.0</w:t>
            </w:r>
          </w:p>
        </w:tc>
        <w:tc>
          <w:tcPr>
            <w:tcW w:w="15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2.2%</w:t>
            </w:r>
          </w:p>
        </w:tc>
        <w:tc>
          <w:tcPr>
            <w:tcW w:w="0" w:type="dxa"/>
            <w:vAlign w:val="bottom"/>
          </w:tcPr>
          <w:p>
            <w:pPr>
              <w:spacing w:after="0"/>
              <w:rPr>
                <w:sz w:val="1"/>
                <w:szCs w:val="1"/>
                <w:color w:val="auto"/>
              </w:rPr>
            </w:pPr>
          </w:p>
        </w:tc>
      </w:tr>
      <w:tr>
        <w:trPr>
          <w:trHeight w:val="263"/>
        </w:trPr>
        <w:tc>
          <w:tcPr>
            <w:tcW w:w="61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$231.3</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$274.0</w:t>
            </w:r>
          </w:p>
        </w:tc>
        <w:tc>
          <w:tcPr>
            <w:tcW w:w="15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(15.6%)</w:t>
            </w:r>
          </w:p>
        </w:tc>
        <w:tc>
          <w:tcPr>
            <w:tcW w:w="0" w:type="dxa"/>
            <w:vAlign w:val="bottom"/>
          </w:tcPr>
          <w:p>
            <w:pPr>
              <w:spacing w:after="0"/>
              <w:rPr>
                <w:sz w:val="1"/>
                <w:szCs w:val="1"/>
                <w:color w:val="auto"/>
              </w:rPr>
            </w:pPr>
          </w:p>
        </w:tc>
      </w:tr>
      <w:tr>
        <w:trPr>
          <w:trHeight w:val="264"/>
        </w:trPr>
        <w:tc>
          <w:tcPr>
            <w:tcW w:w="61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$162.6</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$281.9</w:t>
            </w:r>
          </w:p>
        </w:tc>
        <w:tc>
          <w:tcPr>
            <w:tcW w:w="15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(42.3%)</w:t>
            </w:r>
          </w:p>
        </w:tc>
        <w:tc>
          <w:tcPr>
            <w:tcW w:w="0" w:type="dxa"/>
            <w:vAlign w:val="bottom"/>
          </w:tcPr>
          <w:p>
            <w:pPr>
              <w:spacing w:after="0"/>
              <w:rPr>
                <w:sz w:val="1"/>
                <w:szCs w:val="1"/>
                <w:color w:val="auto"/>
              </w:rPr>
            </w:pPr>
          </w:p>
        </w:tc>
      </w:tr>
      <w:tr>
        <w:trPr>
          <w:trHeight w:val="263"/>
        </w:trPr>
        <w:tc>
          <w:tcPr>
            <w:tcW w:w="61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10.6 %</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18.7 %</w:t>
            </w:r>
          </w:p>
        </w:tc>
        <w:tc>
          <w:tcPr>
            <w:tcW w:w="15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(810 bps)</w:t>
            </w:r>
          </w:p>
        </w:tc>
        <w:tc>
          <w:tcPr>
            <w:tcW w:w="0" w:type="dxa"/>
            <w:vAlign w:val="bottom"/>
          </w:tcPr>
          <w:p>
            <w:pPr>
              <w:spacing w:after="0"/>
              <w:rPr>
                <w:sz w:val="1"/>
                <w:szCs w:val="1"/>
                <w:color w:val="auto"/>
              </w:rPr>
            </w:pPr>
          </w:p>
        </w:tc>
      </w:tr>
      <w:tr>
        <w:trPr>
          <w:trHeight w:val="254"/>
        </w:trPr>
        <w:tc>
          <w:tcPr>
            <w:tcW w:w="6140" w:type="dxa"/>
            <w:vAlign w:val="bottom"/>
            <w:tcBorders>
              <w:left w:val="single" w:sz="8" w:color="B8CCE4"/>
              <w:bottom w:val="single" w:sz="8" w:color="B8CCE4"/>
            </w:tcBorders>
          </w:tcPr>
          <w:p>
            <w:pPr>
              <w:spacing w:after="0"/>
              <w:rPr>
                <w:sz w:val="22"/>
                <w:szCs w:val="22"/>
                <w:color w:val="auto"/>
              </w:rPr>
            </w:pPr>
          </w:p>
        </w:tc>
        <w:tc>
          <w:tcPr>
            <w:tcW w:w="1820" w:type="dxa"/>
            <w:vAlign w:val="bottom"/>
            <w:tcBorders>
              <w:bottom w:val="single" w:sz="8" w:color="B8CCE4"/>
            </w:tcBorders>
          </w:tcPr>
          <w:p>
            <w:pPr>
              <w:spacing w:after="0"/>
              <w:rPr>
                <w:sz w:val="22"/>
                <w:szCs w:val="22"/>
                <w:color w:val="auto"/>
              </w:rPr>
            </w:pPr>
          </w:p>
        </w:tc>
        <w:tc>
          <w:tcPr>
            <w:tcW w:w="1780" w:type="dxa"/>
            <w:vAlign w:val="bottom"/>
            <w:tcBorders>
              <w:bottom w:val="single" w:sz="8" w:color="B8CCE4"/>
            </w:tcBorders>
          </w:tcPr>
          <w:p>
            <w:pPr>
              <w:spacing w:after="0"/>
              <w:rPr>
                <w:sz w:val="22"/>
                <w:szCs w:val="22"/>
                <w:color w:val="auto"/>
              </w:rPr>
            </w:pPr>
          </w:p>
        </w:tc>
        <w:tc>
          <w:tcPr>
            <w:tcW w:w="152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1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$835.8</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$8,131.2</w:t>
            </w:r>
          </w:p>
        </w:tc>
        <w:tc>
          <w:tcPr>
            <w:tcW w:w="15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(89.7%)</w:t>
            </w:r>
          </w:p>
        </w:tc>
        <w:tc>
          <w:tcPr>
            <w:tcW w:w="0" w:type="dxa"/>
            <w:vAlign w:val="bottom"/>
          </w:tcPr>
          <w:p>
            <w:pPr>
              <w:spacing w:after="0"/>
              <w:rPr>
                <w:sz w:val="1"/>
                <w:szCs w:val="1"/>
                <w:color w:val="auto"/>
              </w:rPr>
            </w:pPr>
          </w:p>
        </w:tc>
      </w:tr>
      <w:tr>
        <w:trPr>
          <w:trHeight w:val="263"/>
        </w:trPr>
        <w:tc>
          <w:tcPr>
            <w:tcW w:w="61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$13,132.6</w:t>
            </w:r>
          </w:p>
        </w:tc>
        <w:tc>
          <w:tcPr>
            <w:tcW w:w="17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$16,608.3</w:t>
            </w:r>
          </w:p>
        </w:tc>
        <w:tc>
          <w:tcPr>
            <w:tcW w:w="15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(20.9%)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Technip Energies reported second quarter revenue of $1,538.3 million, an increase of 2.2 percent from the prior-year quarter. Revenue benefited from higher activity in LNG, downstream and by our Process Technology business. The continued ramp-up of Arctic LNG 2 more than offset the decline in revenue from Yamal LNG which continues to progress through the warranty phase.</w:t>
      </w:r>
    </w:p>
    <w:p>
      <w:pPr>
        <w:spacing w:after="0" w:line="183"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Technip Energies reported operating profit of $231.3 million, which included a $113.2 million benefit from a favorable litigation settlement and $24.8 million of direct COVID-19 expenses. Both of these exceptional items were excluded from adjusted results. Operating profit decreased 15.6 percent versus the prior-year quarter primarily due to a reduced contribution from Yamal LNG and lower margin realization on early phase projects, including Arctic LNG 2. Despite the challenging environment, project execution remained strong across the portfolio. Adjusted EBITDA was $162.6 million with a margin of 10.6 percent.</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Technip Energies Highlights</w:t>
      </w:r>
    </w:p>
    <w:p>
      <w:pPr>
        <w:ind w:left="640" w:hanging="308"/>
        <w:spacing w:after="0"/>
        <w:tabs>
          <w:tab w:leader="none" w:pos="6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Arctic LNG 2 </w:t>
      </w:r>
      <w:r>
        <w:rPr>
          <w:rFonts w:ascii="Arial" w:cs="Arial" w:eastAsia="Arial" w:hAnsi="Arial"/>
          <w:sz w:val="17"/>
          <w:szCs w:val="17"/>
          <w:b w:val="1"/>
          <w:bCs w:val="1"/>
          <w:color w:val="auto"/>
        </w:rPr>
        <w:t>(Russia)</w:t>
      </w: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Delivery of main equipment on-going and piping prefabrication started at all yards.</w:t>
      </w:r>
    </w:p>
    <w:p>
      <w:pPr>
        <w:spacing w:after="0" w:line="83" w:lineRule="exact"/>
        <w:rPr>
          <w:rFonts w:ascii="Arial" w:cs="Arial" w:eastAsia="Arial" w:hAnsi="Arial"/>
          <w:sz w:val="20"/>
          <w:szCs w:val="20"/>
          <w:b w:val="1"/>
          <w:bCs w:val="1"/>
          <w:color w:val="auto"/>
        </w:rPr>
      </w:pPr>
    </w:p>
    <w:p>
      <w:pPr>
        <w:ind w:left="660" w:right="6180" w:hanging="328"/>
        <w:spacing w:after="0" w:line="298" w:lineRule="auto"/>
        <w:tabs>
          <w:tab w:leader="none" w:pos="648" w:val="left"/>
        </w:tabs>
        <w:numPr>
          <w:ilvl w:val="0"/>
          <w:numId w:val="8"/>
        </w:numPr>
        <w:rPr>
          <w:rFonts w:ascii="Arial" w:cs="Arial" w:eastAsia="Arial" w:hAnsi="Arial"/>
          <w:sz w:val="19"/>
          <w:szCs w:val="19"/>
          <w:b w:val="1"/>
          <w:bCs w:val="1"/>
          <w:i w:val="1"/>
          <w:iCs w:val="1"/>
          <w:color w:val="auto"/>
        </w:rPr>
      </w:pPr>
      <w:r>
        <w:rPr>
          <w:rFonts w:ascii="Arial" w:cs="Arial" w:eastAsia="Arial" w:hAnsi="Arial"/>
          <w:sz w:val="19"/>
          <w:szCs w:val="19"/>
          <w:b w:val="1"/>
          <w:bCs w:val="1"/>
          <w:color w:val="auto"/>
        </w:rPr>
        <w:t xml:space="preserve">Bapco Modernization Program </w:t>
      </w:r>
      <w:r>
        <w:rPr>
          <w:rFonts w:ascii="Arial" w:cs="Arial" w:eastAsia="Arial" w:hAnsi="Arial"/>
          <w:sz w:val="16"/>
          <w:szCs w:val="16"/>
          <w:b w:val="1"/>
          <w:bCs w:val="1"/>
          <w:color w:val="auto"/>
        </w:rPr>
        <w:t>(Bahrain)</w:t>
      </w:r>
      <w:r>
        <w:rPr>
          <w:rFonts w:ascii="Arial" w:cs="Arial" w:eastAsia="Arial" w:hAnsi="Arial"/>
          <w:sz w:val="19"/>
          <w:szCs w:val="19"/>
          <w:b w:val="1"/>
          <w:bCs w:val="1"/>
          <w:color w:val="auto"/>
        </w:rPr>
        <w:t xml:space="preserve"> </w:t>
      </w:r>
      <w:r>
        <w:rPr>
          <w:rFonts w:ascii="Arial" w:cs="Arial" w:eastAsia="Arial" w:hAnsi="Arial"/>
          <w:sz w:val="19"/>
          <w:szCs w:val="19"/>
          <w:color w:val="auto"/>
        </w:rPr>
        <w:t>Construction started on the temporary jetty in May.</w:t>
      </w:r>
    </w:p>
    <w:p>
      <w:pPr>
        <w:spacing w:after="0" w:line="24" w:lineRule="exact"/>
        <w:rPr>
          <w:rFonts w:ascii="Arial" w:cs="Arial" w:eastAsia="Arial" w:hAnsi="Arial"/>
          <w:sz w:val="19"/>
          <w:szCs w:val="19"/>
          <w:b w:val="1"/>
          <w:bCs w:val="1"/>
          <w:i w:val="1"/>
          <w:iCs w:val="1"/>
          <w:color w:val="auto"/>
        </w:rPr>
      </w:pPr>
    </w:p>
    <w:p>
      <w:pPr>
        <w:ind w:left="640" w:hanging="308"/>
        <w:spacing w:after="0"/>
        <w:tabs>
          <w:tab w:leader="none" w:pos="6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ENI Coral South FLNG </w:t>
      </w:r>
      <w:r>
        <w:rPr>
          <w:rFonts w:ascii="Arial" w:cs="Arial" w:eastAsia="Arial" w:hAnsi="Arial"/>
          <w:sz w:val="17"/>
          <w:szCs w:val="17"/>
          <w:b w:val="1"/>
          <w:bCs w:val="1"/>
          <w:color w:val="auto"/>
        </w:rPr>
        <w:t>(Mozambique)</w:t>
      </w:r>
    </w:p>
    <w:p>
      <w:pPr>
        <w:spacing w:after="0" w:line="23" w:lineRule="exact"/>
        <w:rPr>
          <w:rFonts w:ascii="Arial" w:cs="Arial" w:eastAsia="Arial" w:hAnsi="Arial"/>
          <w:sz w:val="20"/>
          <w:szCs w:val="20"/>
          <w:b w:val="1"/>
          <w:bCs w:val="1"/>
          <w:color w:val="auto"/>
        </w:rPr>
      </w:pPr>
    </w:p>
    <w:p>
      <w:pPr>
        <w:ind w:left="660" w:right="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First Power Generation module was installed on the hull in South Korea, marking the start of the module lifting campaign and integration phase.</w:t>
      </w:r>
    </w:p>
    <w:p>
      <w:pPr>
        <w:spacing w:after="0" w:line="71" w:lineRule="exact"/>
        <w:rPr>
          <w:rFonts w:ascii="Arial" w:cs="Arial" w:eastAsia="Arial" w:hAnsi="Arial"/>
          <w:sz w:val="20"/>
          <w:szCs w:val="20"/>
          <w:b w:val="1"/>
          <w:bCs w:val="1"/>
          <w:color w:val="auto"/>
        </w:rPr>
      </w:pPr>
    </w:p>
    <w:p>
      <w:pPr>
        <w:ind w:left="660" w:right="4640" w:hanging="328"/>
        <w:spacing w:after="0" w:line="271" w:lineRule="auto"/>
        <w:tabs>
          <w:tab w:leader="none" w:pos="648"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Indian Oil Corporation Panipat Hydrogen Generation Unit </w:t>
      </w:r>
      <w:r>
        <w:rPr>
          <w:rFonts w:ascii="Arial" w:cs="Arial" w:eastAsia="Arial" w:hAnsi="Arial"/>
          <w:sz w:val="17"/>
          <w:szCs w:val="17"/>
          <w:b w:val="1"/>
          <w:bCs w:val="1"/>
          <w:color w:val="auto"/>
        </w:rPr>
        <w:t>(India)</w:t>
      </w:r>
      <w:r>
        <w:rPr>
          <w:rFonts w:ascii="Arial" w:cs="Arial" w:eastAsia="Arial" w:hAnsi="Arial"/>
          <w:sz w:val="20"/>
          <w:szCs w:val="20"/>
          <w:b w:val="1"/>
          <w:bCs w:val="1"/>
          <w:color w:val="auto"/>
        </w:rPr>
        <w:t xml:space="preserve"> </w:t>
      </w:r>
      <w:r>
        <w:rPr>
          <w:rFonts w:ascii="Arial" w:cs="Arial" w:eastAsia="Arial" w:hAnsi="Arial"/>
          <w:sz w:val="20"/>
          <w:szCs w:val="20"/>
          <w:color w:val="auto"/>
        </w:rPr>
        <w:t>Hydrogen generation unit is now under start-up.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6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5 of 27</w:t>
      </w:r>
    </w:p>
    <w:p>
      <w:pPr>
        <w:sectPr>
          <w:pgSz w:w="11900" w:h="16838" w:orient="portrait"/>
          <w:cols w:equalWidth="0" w:num="1">
            <w:col w:w="11260"/>
          </w:cols>
          <w:pgMar w:left="320" w:top="1440" w:right="31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Partnership and Alliance Highlights</w:t>
      </w:r>
    </w:p>
    <w:p>
      <w:pPr>
        <w:spacing w:after="0" w:line="84"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TechnipFMC/Agilyx Corporation exclusive collaboration to develop ways to recycle polystyrene</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This collaboration further expands on energy transition capabilities and the circular economy offering of TechnipFMC.</w:t>
      </w:r>
    </w:p>
    <w:p>
      <w:pPr>
        <w:spacing w:after="0" w:line="83" w:lineRule="exact"/>
        <w:rPr>
          <w:rFonts w:ascii="Arial" w:cs="Arial" w:eastAsia="Arial" w:hAnsi="Arial"/>
          <w:sz w:val="20"/>
          <w:szCs w:val="20"/>
          <w:b w:val="1"/>
          <w:bCs w:val="1"/>
          <w:color w:val="auto"/>
        </w:rPr>
      </w:pPr>
    </w:p>
    <w:p>
      <w:pPr>
        <w:ind w:left="640" w:hanging="308"/>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TechnipFMC/Clariant Catalysts joint development agreement to produce acrylonitrile</w:t>
      </w:r>
    </w:p>
    <w:p>
      <w:pPr>
        <w:spacing w:after="0" w:line="23"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joint venture aims to develop and commercialize more efficient processes to produce acrylonitrile and help customers achieve sustainability targets.</w:t>
      </w:r>
    </w:p>
    <w:p>
      <w:pPr>
        <w:spacing w:after="0" w:line="71" w:lineRule="exact"/>
        <w:rPr>
          <w:rFonts w:ascii="Arial" w:cs="Arial" w:eastAsia="Arial" w:hAnsi="Arial"/>
          <w:sz w:val="20"/>
          <w:szCs w:val="20"/>
          <w:b w:val="1"/>
          <w:bCs w:val="1"/>
          <w:color w:val="auto"/>
        </w:rPr>
      </w:pPr>
    </w:p>
    <w:p>
      <w:pPr>
        <w:ind w:left="640" w:hanging="308"/>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Demonstration plant for Carbios to recycle waste PET plastics with enzymes</w:t>
      </w:r>
    </w:p>
    <w:p>
      <w:pPr>
        <w:spacing w:after="0" w:line="23"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For this pilot, we are providing advisory, engineering, procurement and construction supervision services for Carbios’ Enzymatic Recycling Process.</w:t>
      </w:r>
    </w:p>
    <w:p>
      <w:pPr>
        <w:spacing w:after="0" w:line="200" w:lineRule="exact"/>
        <w:rPr>
          <w:sz w:val="20"/>
          <w:szCs w:val="20"/>
          <w:color w:val="auto"/>
        </w:rPr>
      </w:pPr>
    </w:p>
    <w:p>
      <w:pPr>
        <w:spacing w:after="0" w:line="38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Technip Energies inbound orders were $835.8 million for the quarter, resulting in a book-to-bill of 0.5. While there were no announced project awards in the period, the segment benefited from strong activity in front-end engineering, Project Management Consultancy and Loading Systems, as well as expanded scope on existing contracts. The following award was announced subsequent to the second quarter, subject to final investment decision:</w:t>
      </w:r>
    </w:p>
    <w:p>
      <w:pPr>
        <w:spacing w:after="0" w:line="321"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Assiut National Oil Processing Company Hydrocracking Complex </w:t>
      </w:r>
      <w:r>
        <w:rPr>
          <w:rFonts w:ascii="Arial" w:cs="Arial" w:eastAsia="Arial" w:hAnsi="Arial"/>
          <w:sz w:val="17"/>
          <w:szCs w:val="17"/>
          <w:b w:val="1"/>
          <w:bCs w:val="1"/>
          <w:color w:val="auto"/>
        </w:rPr>
        <w:t>(Egypt)</w:t>
      </w:r>
    </w:p>
    <w:p>
      <w:pPr>
        <w:spacing w:after="0" w:line="23"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Major* engineering, procurement and construction (EPC) contract with Assiut National Oil Processing Company for the construction of a new Hydrocracking Complex for the Assiut refinery in Egypt. The EPC contract covers new process units such as a Vacuum Distillation Unit, a Diesel Hydrocracking Unit, a Delayed Coker Unit, a Distillate Hydrotreating Unit as well as a Hydrogen Production Facility Unit using TechnipFMC’s proprietary steam reforming technology.</w:t>
      </w: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 A “major” award is over $1 billion; the Company will include the contract award in its inbound when all the requirements are fulfilled.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7280" w:type="dxa"/>
            <w:vAlign w:val="bottom"/>
            <w:tcBorders>
              <w:top w:val="single" w:sz="8" w:color="B6DDE8"/>
              <w:left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Technip Energies</w:t>
            </w:r>
          </w:p>
        </w:tc>
        <w:tc>
          <w:tcPr>
            <w:tcW w:w="1960" w:type="dxa"/>
            <w:vAlign w:val="bottom"/>
            <w:tcBorders>
              <w:top w:val="single" w:sz="8" w:color="B6DDE8"/>
              <w:right w:val="single" w:sz="8" w:color="B6DDE8"/>
            </w:tcBorders>
          </w:tcPr>
          <w:p>
            <w:pPr>
              <w:jc w:val="right"/>
              <w:ind w:right="321"/>
              <w:spacing w:after="0"/>
              <w:rPr>
                <w:sz w:val="20"/>
                <w:szCs w:val="20"/>
                <w:color w:val="auto"/>
              </w:rPr>
            </w:pPr>
            <w:r>
              <w:rPr>
                <w:rFonts w:ascii="Arial" w:cs="Arial" w:eastAsia="Arial" w:hAnsi="Arial"/>
                <w:sz w:val="20"/>
                <w:szCs w:val="20"/>
                <w:color w:val="auto"/>
              </w:rPr>
              <w:t>Consolidated</w:t>
            </w:r>
          </w:p>
        </w:tc>
        <w:tc>
          <w:tcPr>
            <w:tcW w:w="1960" w:type="dxa"/>
            <w:vAlign w:val="bottom"/>
            <w:tcBorders>
              <w:top w:val="single" w:sz="8" w:color="B6DDE8"/>
              <w:right w:val="single" w:sz="8" w:color="B6DDE8"/>
            </w:tcBorders>
          </w:tcPr>
          <w:p>
            <w:pPr>
              <w:jc w:val="right"/>
              <w:ind w:right="141"/>
              <w:spacing w:after="0"/>
              <w:rPr>
                <w:sz w:val="20"/>
                <w:szCs w:val="20"/>
                <w:color w:val="auto"/>
              </w:rPr>
            </w:pPr>
            <w:r>
              <w:rPr>
                <w:rFonts w:ascii="Arial" w:cs="Arial" w:eastAsia="Arial" w:hAnsi="Arial"/>
                <w:sz w:val="20"/>
                <w:szCs w:val="20"/>
                <w:color w:val="auto"/>
              </w:rPr>
              <w:t>Non-consolidated</w:t>
            </w:r>
          </w:p>
        </w:tc>
      </w:tr>
      <w:tr>
        <w:trPr>
          <w:trHeight w:val="189"/>
        </w:trPr>
        <w:tc>
          <w:tcPr>
            <w:tcW w:w="7280" w:type="dxa"/>
            <w:vAlign w:val="bottom"/>
            <w:tcBorders>
              <w:left w:val="single" w:sz="8" w:color="B6DDE8"/>
              <w:right w:val="single" w:sz="8" w:color="B6DDE8"/>
            </w:tcBorders>
          </w:tcPr>
          <w:p>
            <w:pPr>
              <w:ind w:left="40"/>
              <w:spacing w:after="0" w:line="189" w:lineRule="exact"/>
              <w:rPr>
                <w:sz w:val="20"/>
                <w:szCs w:val="20"/>
                <w:color w:val="auto"/>
              </w:rPr>
            </w:pPr>
            <w:r>
              <w:rPr>
                <w:rFonts w:ascii="Arial" w:cs="Arial" w:eastAsia="Arial" w:hAnsi="Arial"/>
                <w:sz w:val="18"/>
                <w:szCs w:val="18"/>
                <w:color w:val="auto"/>
              </w:rPr>
              <w:t>Estimated Backlog Scheduling as of June 30, 2020</w:t>
            </w:r>
          </w:p>
        </w:tc>
        <w:tc>
          <w:tcPr>
            <w:tcW w:w="1960" w:type="dxa"/>
            <w:vAlign w:val="bottom"/>
            <w:tcBorders>
              <w:right w:val="single" w:sz="8" w:color="B6DDE8"/>
            </w:tcBorders>
          </w:tcPr>
          <w:p>
            <w:pPr>
              <w:jc w:val="right"/>
              <w:ind w:right="521"/>
              <w:spacing w:after="0" w:line="189" w:lineRule="exact"/>
              <w:rPr>
                <w:sz w:val="20"/>
                <w:szCs w:val="20"/>
                <w:color w:val="auto"/>
              </w:rPr>
            </w:pPr>
            <w:r>
              <w:rPr>
                <w:rFonts w:ascii="Arial" w:cs="Arial" w:eastAsia="Arial" w:hAnsi="Arial"/>
                <w:sz w:val="20"/>
                <w:szCs w:val="20"/>
                <w:color w:val="auto"/>
              </w:rPr>
              <w:t>backlog</w:t>
            </w:r>
            <w:r>
              <w:rPr>
                <w:rFonts w:ascii="Arial" w:cs="Arial" w:eastAsia="Arial" w:hAnsi="Arial"/>
                <w:sz w:val="12"/>
                <w:szCs w:val="12"/>
                <w:color w:val="auto"/>
              </w:rPr>
              <w:t>1</w:t>
            </w:r>
          </w:p>
        </w:tc>
        <w:tc>
          <w:tcPr>
            <w:tcW w:w="1960" w:type="dxa"/>
            <w:vAlign w:val="bottom"/>
            <w:tcBorders>
              <w:right w:val="single" w:sz="8" w:color="B6DDE8"/>
            </w:tcBorders>
          </w:tcPr>
          <w:p>
            <w:pPr>
              <w:jc w:val="right"/>
              <w:ind w:right="521"/>
              <w:spacing w:after="0" w:line="189" w:lineRule="exact"/>
              <w:rPr>
                <w:sz w:val="20"/>
                <w:szCs w:val="20"/>
                <w:color w:val="auto"/>
              </w:rPr>
            </w:pPr>
            <w:r>
              <w:rPr>
                <w:rFonts w:ascii="Arial" w:cs="Arial" w:eastAsia="Arial" w:hAnsi="Arial"/>
                <w:sz w:val="20"/>
                <w:szCs w:val="20"/>
                <w:color w:val="auto"/>
              </w:rPr>
              <w:t>backlog</w:t>
            </w:r>
            <w:r>
              <w:rPr>
                <w:rFonts w:ascii="Arial" w:cs="Arial" w:eastAsia="Arial" w:hAnsi="Arial"/>
                <w:sz w:val="12"/>
                <w:szCs w:val="12"/>
                <w:color w:val="auto"/>
              </w:rPr>
              <w:t>2</w:t>
            </w:r>
          </w:p>
        </w:tc>
      </w:tr>
      <w:tr>
        <w:trPr>
          <w:trHeight w:val="128"/>
        </w:trPr>
        <w:tc>
          <w:tcPr>
            <w:tcW w:w="7280" w:type="dxa"/>
            <w:vAlign w:val="bottom"/>
            <w:tcBorders>
              <w:left w:val="single" w:sz="8" w:color="B6DDE8"/>
              <w:bottom w:val="single" w:sz="8" w:color="B8CCE4"/>
              <w:right w:val="single" w:sz="8" w:color="B6DDE8"/>
            </w:tcBorders>
          </w:tcPr>
          <w:p>
            <w:pPr>
              <w:ind w:left="40"/>
              <w:spacing w:after="0" w:line="122" w:lineRule="exact"/>
              <w:rPr>
                <w:sz w:val="20"/>
                <w:szCs w:val="20"/>
                <w:color w:val="auto"/>
              </w:rPr>
            </w:pPr>
            <w:r>
              <w:rPr>
                <w:rFonts w:ascii="Arial" w:cs="Arial" w:eastAsia="Arial" w:hAnsi="Arial"/>
                <w:sz w:val="14"/>
                <w:szCs w:val="14"/>
                <w:color w:val="auto"/>
              </w:rPr>
              <w:t>(In millions)</w:t>
            </w:r>
          </w:p>
        </w:tc>
        <w:tc>
          <w:tcPr>
            <w:tcW w:w="1960" w:type="dxa"/>
            <w:vAlign w:val="bottom"/>
            <w:tcBorders>
              <w:bottom w:val="single" w:sz="8" w:color="B8CCE4"/>
              <w:right w:val="single" w:sz="8" w:color="B6DDE8"/>
            </w:tcBorders>
          </w:tcPr>
          <w:p>
            <w:pPr>
              <w:spacing w:after="0"/>
              <w:rPr>
                <w:sz w:val="11"/>
                <w:szCs w:val="11"/>
                <w:color w:val="auto"/>
              </w:rPr>
            </w:pPr>
          </w:p>
        </w:tc>
        <w:tc>
          <w:tcPr>
            <w:tcW w:w="1960" w:type="dxa"/>
            <w:vAlign w:val="bottom"/>
            <w:tcBorders>
              <w:bottom w:val="single" w:sz="8" w:color="B8CCE4"/>
              <w:right w:val="single" w:sz="8" w:color="B6DDE8"/>
            </w:tcBorders>
          </w:tcPr>
          <w:p>
            <w:pPr>
              <w:spacing w:after="0"/>
              <w:rPr>
                <w:sz w:val="11"/>
                <w:szCs w:val="11"/>
                <w:color w:val="auto"/>
              </w:rPr>
            </w:pPr>
          </w:p>
        </w:tc>
      </w:tr>
      <w:tr>
        <w:trPr>
          <w:trHeight w:val="266"/>
        </w:trPr>
        <w:tc>
          <w:tcPr>
            <w:tcW w:w="7280" w:type="dxa"/>
            <w:vAlign w:val="bottom"/>
            <w:tcBorders>
              <w:left w:val="single" w:sz="8" w:color="B6DDE8"/>
              <w:bottom w:val="single" w:sz="8" w:color="BFE4FF"/>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2020 (6 months)</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$3,292</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$432</w:t>
            </w:r>
          </w:p>
        </w:tc>
      </w:tr>
      <w:tr>
        <w:trPr>
          <w:trHeight w:val="264"/>
        </w:trPr>
        <w:tc>
          <w:tcPr>
            <w:tcW w:w="728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2021</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$5,542</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$716</w:t>
            </w:r>
          </w:p>
        </w:tc>
      </w:tr>
      <w:tr>
        <w:trPr>
          <w:trHeight w:val="263"/>
        </w:trPr>
        <w:tc>
          <w:tcPr>
            <w:tcW w:w="728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2022 and beyond</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$4,299</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$947</w:t>
            </w:r>
          </w:p>
        </w:tc>
      </w:tr>
      <w:tr>
        <w:trPr>
          <w:trHeight w:val="264"/>
        </w:trPr>
        <w:tc>
          <w:tcPr>
            <w:tcW w:w="7280" w:type="dxa"/>
            <w:vAlign w:val="bottom"/>
            <w:tcBorders>
              <w:left w:val="single" w:sz="8" w:color="B6DDE8"/>
              <w:bottom w:val="single" w:sz="8" w:color="B6DDE8"/>
              <w:right w:val="single" w:sz="8" w:color="B6DDE8"/>
            </w:tcBorders>
          </w:tcPr>
          <w:p>
            <w:pPr>
              <w:ind w:left="40"/>
              <w:spacing w:after="0"/>
              <w:rPr>
                <w:sz w:val="20"/>
                <w:szCs w:val="20"/>
                <w:color w:val="auto"/>
              </w:rPr>
            </w:pPr>
            <w:r>
              <w:rPr>
                <w:rFonts w:ascii="Arial" w:cs="Arial" w:eastAsia="Arial" w:hAnsi="Arial"/>
                <w:sz w:val="20"/>
                <w:szCs w:val="20"/>
                <w:b w:val="1"/>
                <w:bCs w:val="1"/>
                <w:color w:val="auto"/>
              </w:rPr>
              <w:t>Total</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$13,133</w:t>
            </w:r>
          </w:p>
        </w:tc>
        <w:tc>
          <w:tcPr>
            <w:tcW w:w="19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$2,095</w:t>
            </w:r>
          </w:p>
        </w:tc>
      </w:tr>
    </w:tbl>
    <w:p>
      <w:pPr>
        <w:ind w:left="180" w:hanging="120"/>
        <w:spacing w:after="0" w:line="208" w:lineRule="auto"/>
        <w:tabs>
          <w:tab w:leader="none" w:pos="180" w:val="left"/>
        </w:tabs>
        <w:numPr>
          <w:ilvl w:val="0"/>
          <w:numId w:val="1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Backlog in the period was increased by a foreign exchange impact of $68 million.</w:t>
      </w:r>
    </w:p>
    <w:p>
      <w:pPr>
        <w:spacing w:after="0" w:line="13" w:lineRule="exact"/>
        <w:rPr>
          <w:sz w:val="20"/>
          <w:szCs w:val="20"/>
          <w:color w:val="auto"/>
        </w:rPr>
      </w:pPr>
    </w:p>
    <w:p>
      <w:pPr>
        <w:ind w:left="60" w:right="340"/>
        <w:spacing w:after="0" w:line="199" w:lineRule="auto"/>
        <w:tabs>
          <w:tab w:leader="none" w:pos="175" w:val="left"/>
        </w:tabs>
        <w:numPr>
          <w:ilvl w:val="0"/>
          <w:numId w:val="1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6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6 of 27</w:t>
      </w:r>
    </w:p>
    <w:p>
      <w:pPr>
        <w:sectPr>
          <w:pgSz w:w="11900" w:h="16838" w:orient="portrait"/>
          <w:cols w:equalWidth="0" w:num="1">
            <w:col w:w="11240"/>
          </w:cols>
          <w:pgMar w:left="320" w:top="1432" w:right="339" w:bottom="1440" w:gutter="0" w:footer="0" w:header="0"/>
        </w:sectPr>
      </w:pPr>
    </w:p>
    <w:bookmarkStart w:id="10" w:name="page11"/>
    <w:bookmarkEnd w:id="10"/>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9"/>
          <w:szCs w:val="19"/>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10" w:type="dxa"/>
        <w:tblCellMar>
          <w:top w:w="0" w:type="dxa"/>
          <w:left w:w="0" w:type="dxa"/>
          <w:bottom w:w="0" w:type="dxa"/>
          <w:right w:w="0" w:type="dxa"/>
        </w:tblCellMar>
      </w:tblPr>
      <w:tr>
        <w:trPr>
          <w:trHeight w:val="216"/>
        </w:trPr>
        <w:tc>
          <w:tcPr>
            <w:tcW w:w="634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Borders>
              <w:top w:val="single" w:sz="8" w:color="B8CCE4"/>
              <w:right w:val="single" w:sz="8" w:color="B8CCE4"/>
            </w:tcBorders>
          </w:tcPr>
          <w:p>
            <w:pPr>
              <w:jc w:val="right"/>
              <w:ind w:right="488"/>
              <w:spacing w:after="0"/>
              <w:rPr>
                <w:sz w:val="20"/>
                <w:szCs w:val="20"/>
                <w:color w:val="auto"/>
              </w:rPr>
            </w:pPr>
            <w:r>
              <w:rPr>
                <w:rFonts w:ascii="Arial" w:cs="Arial" w:eastAsia="Arial" w:hAnsi="Arial"/>
                <w:sz w:val="14"/>
                <w:szCs w:val="14"/>
                <w:b w:val="1"/>
                <w:bCs w:val="1"/>
                <w:color w:val="auto"/>
              </w:rPr>
              <w:t>June 30,</w:t>
            </w:r>
          </w:p>
        </w:tc>
        <w:tc>
          <w:tcPr>
            <w:tcW w:w="1540" w:type="dxa"/>
            <w:vAlign w:val="bottom"/>
            <w:tcBorders>
              <w:top w:val="single" w:sz="8" w:color="B8CCE4"/>
              <w:right w:val="single" w:sz="8" w:color="B8CCE4"/>
            </w:tcBorders>
            <w:vMerge w:val="restart"/>
          </w:tcPr>
          <w:p>
            <w:pPr>
              <w:jc w:val="right"/>
              <w:ind w:right="225"/>
              <w:spacing w:after="0"/>
              <w:rPr>
                <w:sz w:val="20"/>
                <w:szCs w:val="20"/>
                <w:color w:val="auto"/>
              </w:rPr>
            </w:pPr>
            <w:r>
              <w:rPr>
                <w:rFonts w:ascii="Arial" w:cs="Arial" w:eastAsia="Arial" w:hAnsi="Arial"/>
                <w:sz w:val="14"/>
                <w:szCs w:val="14"/>
                <w:b w:val="1"/>
                <w:bCs w:val="1"/>
                <w:color w:val="auto"/>
              </w:rPr>
              <w:t>June 30, 2019</w:t>
            </w:r>
          </w:p>
        </w:tc>
        <w:tc>
          <w:tcPr>
            <w:tcW w:w="1460" w:type="dxa"/>
            <w:vAlign w:val="bottom"/>
            <w:tcBorders>
              <w:top w:val="single" w:sz="8" w:color="B8CCE4"/>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63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B8CCE4"/>
              <w:right w:val="single" w:sz="8" w:color="B8CCE4"/>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540" w:type="dxa"/>
            <w:vAlign w:val="bottom"/>
            <w:tcBorders>
              <w:bottom w:val="single" w:sz="8" w:color="B8CCE4"/>
              <w:right w:val="single" w:sz="8" w:color="B8CCE4"/>
            </w:tcBorders>
            <w:vMerge w:val="continue"/>
          </w:tcPr>
          <w:p>
            <w:pPr>
              <w:spacing w:after="0"/>
              <w:rPr>
                <w:sz w:val="15"/>
                <w:szCs w:val="15"/>
                <w:color w:val="auto"/>
              </w:rPr>
            </w:pPr>
          </w:p>
        </w:tc>
        <w:tc>
          <w:tcPr>
            <w:tcW w:w="1460" w:type="dxa"/>
            <w:vAlign w:val="bottom"/>
            <w:tcBorders>
              <w:bottom w:val="single" w:sz="8" w:color="B8CCE4"/>
              <w:right w:val="single" w:sz="8" w:color="B8CCE4"/>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63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$241.7</w:t>
            </w:r>
          </w:p>
        </w:tc>
        <w:tc>
          <w:tcPr>
            <w:tcW w:w="15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$420.5</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(42.5%)</w:t>
            </w:r>
          </w:p>
        </w:tc>
        <w:tc>
          <w:tcPr>
            <w:tcW w:w="0" w:type="dxa"/>
            <w:vAlign w:val="bottom"/>
          </w:tcPr>
          <w:p>
            <w:pPr>
              <w:spacing w:after="0"/>
              <w:rPr>
                <w:sz w:val="1"/>
                <w:szCs w:val="1"/>
                <w:color w:val="auto"/>
              </w:rPr>
            </w:pPr>
          </w:p>
        </w:tc>
      </w:tr>
      <w:tr>
        <w:trPr>
          <w:trHeight w:val="263"/>
        </w:trPr>
        <w:tc>
          <w:tcPr>
            <w:tcW w:w="63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$(13.4)</w:t>
            </w:r>
          </w:p>
        </w:tc>
        <w:tc>
          <w:tcPr>
            <w:tcW w:w="15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$25.5</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c>
          <w:tcPr>
            <w:tcW w:w="0" w:type="dxa"/>
            <w:vAlign w:val="bottom"/>
          </w:tcPr>
          <w:p>
            <w:pPr>
              <w:spacing w:after="0"/>
              <w:rPr>
                <w:sz w:val="1"/>
                <w:szCs w:val="1"/>
                <w:color w:val="auto"/>
              </w:rPr>
            </w:pPr>
          </w:p>
        </w:tc>
      </w:tr>
      <w:tr>
        <w:trPr>
          <w:trHeight w:val="263"/>
        </w:trPr>
        <w:tc>
          <w:tcPr>
            <w:tcW w:w="63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$8.3</w:t>
            </w:r>
          </w:p>
        </w:tc>
        <w:tc>
          <w:tcPr>
            <w:tcW w:w="15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$46.7</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(82.2%)</w:t>
            </w:r>
          </w:p>
        </w:tc>
        <w:tc>
          <w:tcPr>
            <w:tcW w:w="0" w:type="dxa"/>
            <w:vAlign w:val="bottom"/>
          </w:tcPr>
          <w:p>
            <w:pPr>
              <w:spacing w:after="0"/>
              <w:rPr>
                <w:sz w:val="1"/>
                <w:szCs w:val="1"/>
                <w:color w:val="auto"/>
              </w:rPr>
            </w:pPr>
          </w:p>
        </w:tc>
      </w:tr>
      <w:tr>
        <w:trPr>
          <w:trHeight w:val="264"/>
        </w:trPr>
        <w:tc>
          <w:tcPr>
            <w:tcW w:w="63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3.4 %</w:t>
            </w:r>
          </w:p>
        </w:tc>
        <w:tc>
          <w:tcPr>
            <w:tcW w:w="15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11.1 %</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(770 bps)</w:t>
            </w:r>
          </w:p>
        </w:tc>
        <w:tc>
          <w:tcPr>
            <w:tcW w:w="0" w:type="dxa"/>
            <w:vAlign w:val="bottom"/>
          </w:tcPr>
          <w:p>
            <w:pPr>
              <w:spacing w:after="0"/>
              <w:rPr>
                <w:sz w:val="1"/>
                <w:szCs w:val="1"/>
                <w:color w:val="auto"/>
              </w:rPr>
            </w:pPr>
          </w:p>
        </w:tc>
      </w:tr>
      <w:tr>
        <w:trPr>
          <w:trHeight w:val="254"/>
        </w:trPr>
        <w:tc>
          <w:tcPr>
            <w:tcW w:w="6340" w:type="dxa"/>
            <w:vAlign w:val="bottom"/>
            <w:tcBorders>
              <w:left w:val="single" w:sz="8" w:color="B8CCE4"/>
              <w:bottom w:val="single" w:sz="8" w:color="B8CCE4"/>
            </w:tcBorders>
          </w:tcPr>
          <w:p>
            <w:pPr>
              <w:spacing w:after="0"/>
              <w:rPr>
                <w:sz w:val="22"/>
                <w:szCs w:val="22"/>
                <w:color w:val="auto"/>
              </w:rPr>
            </w:pPr>
          </w:p>
        </w:tc>
        <w:tc>
          <w:tcPr>
            <w:tcW w:w="1720" w:type="dxa"/>
            <w:vAlign w:val="bottom"/>
            <w:tcBorders>
              <w:bottom w:val="single" w:sz="8" w:color="B8CCE4"/>
            </w:tcBorders>
          </w:tcPr>
          <w:p>
            <w:pPr>
              <w:spacing w:after="0"/>
              <w:rPr>
                <w:sz w:val="22"/>
                <w:szCs w:val="22"/>
                <w:color w:val="auto"/>
              </w:rPr>
            </w:pPr>
          </w:p>
        </w:tc>
        <w:tc>
          <w:tcPr>
            <w:tcW w:w="1540" w:type="dxa"/>
            <w:vAlign w:val="bottom"/>
            <w:tcBorders>
              <w:bottom w:val="single" w:sz="8" w:color="B8CCE4"/>
            </w:tcBorders>
          </w:tcPr>
          <w:p>
            <w:pPr>
              <w:spacing w:after="0"/>
              <w:rPr>
                <w:sz w:val="22"/>
                <w:szCs w:val="22"/>
                <w:color w:val="auto"/>
              </w:rPr>
            </w:pPr>
          </w:p>
        </w:tc>
        <w:tc>
          <w:tcPr>
            <w:tcW w:w="1460" w:type="dxa"/>
            <w:vAlign w:val="bottom"/>
            <w:tcBorders>
              <w:bottom w:val="single" w:sz="8" w:color="B8CCE4"/>
              <w:right w:val="single" w:sz="8" w:color="B8CCE4"/>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3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$187.1</w:t>
            </w:r>
          </w:p>
        </w:tc>
        <w:tc>
          <w:tcPr>
            <w:tcW w:w="15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$415.7</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(55.0%)</w:t>
            </w:r>
          </w:p>
        </w:tc>
        <w:tc>
          <w:tcPr>
            <w:tcW w:w="0" w:type="dxa"/>
            <w:vAlign w:val="bottom"/>
          </w:tcPr>
          <w:p>
            <w:pPr>
              <w:spacing w:after="0"/>
              <w:rPr>
                <w:sz w:val="1"/>
                <w:szCs w:val="1"/>
                <w:color w:val="auto"/>
              </w:rPr>
            </w:pPr>
          </w:p>
        </w:tc>
      </w:tr>
      <w:tr>
        <w:trPr>
          <w:trHeight w:val="263"/>
        </w:trPr>
        <w:tc>
          <w:tcPr>
            <w:tcW w:w="634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$385.9</w:t>
            </w:r>
          </w:p>
        </w:tc>
        <w:tc>
          <w:tcPr>
            <w:tcW w:w="15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$426.6</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Surface Technologies reported second quarter revenue of $241.7 million, a decrease of 42.5 percent from the prior-year quarter. The decline was primarily driven by the sharp reduction in operator activity in North America. COVID-19 related disruptions and reduced activity levels led to a more modest revenue decline outside of North America, where over 60 percent of total segment revenue was generated in the period.</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Surface Technologies reported an operating loss of $13.4 million. When compared to the prior-year period, operating margin decreased primarily due to lower activity in North America driven by the significant decline in rig count and completions-related activity. Adjusted EBITDA was $8.3 million with a margin of 3.4 percent.</w:t>
      </w:r>
    </w:p>
    <w:p>
      <w:pPr>
        <w:spacing w:after="0" w:line="16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Inbound orders for the quarter were $187.1 million, which decreased versus the prior-year quarter primarily due to the significant reduction in North America activity. Backlog decreased 9.5 percent versus the prior-year quarter to $385.9 million. Given the short-cycle nature of the business, orders are generally converted into revenue within twelve months.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Second Quarter Surface Technologies Highlights</w:t>
      </w:r>
    </w:p>
    <w:p>
      <w:pPr>
        <w:spacing w:after="0" w:line="84"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Integrated technologies </w:t>
      </w:r>
      <w:r>
        <w:rPr>
          <w:rFonts w:ascii="Arial" w:cs="Arial" w:eastAsia="Arial" w:hAnsi="Arial"/>
          <w:sz w:val="17"/>
          <w:szCs w:val="17"/>
          <w:b w:val="1"/>
          <w:bCs w:val="1"/>
          <w:color w:val="auto"/>
        </w:rPr>
        <w:t>(United States)</w:t>
      </w:r>
    </w:p>
    <w:p>
      <w:pPr>
        <w:spacing w:after="0" w:line="23" w:lineRule="exact"/>
        <w:rPr>
          <w:rFonts w:ascii="Arial" w:cs="Arial" w:eastAsia="Arial" w:hAnsi="Arial"/>
          <w:sz w:val="20"/>
          <w:szCs w:val="20"/>
          <w:b w:val="1"/>
          <w:bCs w:val="1"/>
          <w:color w:val="auto"/>
        </w:rPr>
      </w:pPr>
    </w:p>
    <w:p>
      <w:pPr>
        <w:ind w:left="66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Successful completion of well pad for a major operator in the Marcellus Shale utilizing our new fully integrated FracNow™ system, including our CyberFrac™ digital operating system.</w:t>
      </w:r>
    </w:p>
    <w:p>
      <w:pPr>
        <w:spacing w:after="0" w:line="71" w:lineRule="exact"/>
        <w:rPr>
          <w:rFonts w:ascii="Arial" w:cs="Arial" w:eastAsia="Arial" w:hAnsi="Arial"/>
          <w:sz w:val="20"/>
          <w:szCs w:val="20"/>
          <w:b w:val="1"/>
          <w:bCs w:val="1"/>
          <w:color w:val="auto"/>
        </w:rPr>
      </w:pPr>
    </w:p>
    <w:p>
      <w:pPr>
        <w:ind w:left="640" w:hanging="308"/>
        <w:spacing w:after="0"/>
        <w:tabs>
          <w:tab w:leader="none" w:pos="64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Petronas </w:t>
      </w:r>
      <w:r>
        <w:rPr>
          <w:rFonts w:ascii="Arial" w:cs="Arial" w:eastAsia="Arial" w:hAnsi="Arial"/>
          <w:sz w:val="17"/>
          <w:szCs w:val="17"/>
          <w:b w:val="1"/>
          <w:bCs w:val="1"/>
          <w:color w:val="auto"/>
        </w:rPr>
        <w:t>(Malaysia)</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Awarded wellheads and trees for a high-rate gas 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06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7 of 27</w:t>
      </w:r>
    </w:p>
    <w:p>
      <w:pPr>
        <w:sectPr>
          <w:pgSz w:w="11900" w:h="16838" w:orient="portrait"/>
          <w:cols w:equalWidth="0" w:num="1">
            <w:col w:w="11240"/>
          </w:cols>
          <w:pgMar w:left="320" w:top="1440" w:right="339" w:bottom="1440" w:gutter="0" w:footer="0" w:header="0"/>
          <w:type w:val="continuous"/>
        </w:sectPr>
      </w:pPr>
    </w:p>
    <w:bookmarkStart w:id="11" w:name="page12"/>
    <w:bookmarkEnd w:id="11"/>
    <w:p>
      <w:pPr>
        <w:ind w:left="308" w:hanging="308"/>
        <w:spacing w:after="0"/>
        <w:tabs>
          <w:tab w:leader="none" w:pos="308"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 xml:space="preserve">Hess Corporation </w:t>
      </w:r>
      <w:r>
        <w:rPr>
          <w:rFonts w:ascii="Arial" w:cs="Arial" w:eastAsia="Arial" w:hAnsi="Arial"/>
          <w:sz w:val="17"/>
          <w:szCs w:val="17"/>
          <w:b w:val="1"/>
          <w:bCs w:val="1"/>
          <w:color w:val="auto"/>
        </w:rPr>
        <w:t>(United States)</w:t>
      </w:r>
    </w:p>
    <w:p>
      <w:pPr>
        <w:spacing w:after="0" w:line="23" w:lineRule="exact"/>
        <w:rPr>
          <w:rFonts w:ascii="Arial" w:cs="Arial" w:eastAsia="Arial" w:hAnsi="Arial"/>
          <w:sz w:val="20"/>
          <w:szCs w:val="20"/>
          <w:b w:val="1"/>
          <w:bCs w:val="1"/>
          <w:color w:val="auto"/>
        </w:rPr>
      </w:pPr>
    </w:p>
    <w:p>
      <w:pPr>
        <w:ind w:left="328"/>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Awarded flowback work in the Bakken shale, which utilizes our latest innovations in separation technology through our Automated Well Testing package in addition to other flow testing services.</w:t>
      </w:r>
    </w:p>
    <w:p>
      <w:pPr>
        <w:spacing w:after="0" w:line="71" w:lineRule="exact"/>
        <w:rPr>
          <w:rFonts w:ascii="Arial" w:cs="Arial" w:eastAsia="Arial" w:hAnsi="Arial"/>
          <w:sz w:val="20"/>
          <w:szCs w:val="20"/>
          <w:b w:val="1"/>
          <w:bCs w:val="1"/>
          <w:color w:val="auto"/>
        </w:rPr>
      </w:pPr>
    </w:p>
    <w:p>
      <w:pPr>
        <w:ind w:left="308" w:hanging="308"/>
        <w:spacing w:after="0"/>
        <w:tabs>
          <w:tab w:leader="none" w:pos="308"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Wellhead systems </w:t>
      </w:r>
      <w:r>
        <w:rPr>
          <w:rFonts w:ascii="Arial" w:cs="Arial" w:eastAsia="Arial" w:hAnsi="Arial"/>
          <w:sz w:val="17"/>
          <w:szCs w:val="17"/>
          <w:b w:val="1"/>
          <w:bCs w:val="1"/>
          <w:color w:val="auto"/>
        </w:rPr>
        <w:t>(Middle East)</w:t>
      </w:r>
    </w:p>
    <w:p>
      <w:pPr>
        <w:spacing w:after="0" w:line="23" w:lineRule="exact"/>
        <w:rPr>
          <w:rFonts w:ascii="Arial" w:cs="Arial" w:eastAsia="Arial" w:hAnsi="Arial"/>
          <w:sz w:val="20"/>
          <w:szCs w:val="20"/>
          <w:b w:val="1"/>
          <w:bCs w:val="1"/>
          <w:color w:val="auto"/>
        </w:rPr>
      </w:pPr>
    </w:p>
    <w:p>
      <w:pPr>
        <w:ind w:left="328"/>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Received orders for wellheads, trees and services for both onshore and shallow water fields, including our unitized wellhead systems for sour gas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728"/>
        <w:spacing w:after="0"/>
        <w:tabs>
          <w:tab w:leader="none" w:pos="10008"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8 of 27</w:t>
      </w:r>
    </w:p>
    <w:p>
      <w:pPr>
        <w:sectPr>
          <w:pgSz w:w="11900" w:h="16838" w:orient="portrait"/>
          <w:cols w:equalWidth="0" w:num="1">
            <w:col w:w="10908"/>
          </w:cols>
          <w:pgMar w:left="652" w:top="1408"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Corporate and Other Items</w:t>
      </w:r>
    </w:p>
    <w:p>
      <w:pPr>
        <w:spacing w:after="0" w:line="3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Corporate expense in the quarter was $29.1 million. Excluding charges and credits totaling $ 1.9 million of expense, corporate expense was $27.2 million. The results benefited from lower activity as well as the accelerated pace of cost reduction actions.</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Foreign exchange gains and losses are now provided separately in the Company’s financial statements and are no longer included in Corporate expense. Foreign exchange losses in the quarter were $5.8 million, which resulted primarily from the impact of unhedged currencies.</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Net interest expense was $74.4 million in the quarter, which included an increase in the liability payable to joint venture partners of $50.8 million. Interest expense was negatively impacted by higher short-term borrowing costs in the period which are expected to return to normalized levels for the remainder of the year.</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recorded a tax provision in the quarter of $17.7 million. The quarterly tax rate was impacted by earnings mix and jurisdictions which are unable to record a tax benefit due to operational losses.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Total depreciation and amortization for the quarter was $106.6 million.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Company ended the period with cash and cash equivalents of $4,809.5 million; net cash was $302.5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60"/>
        <w:spacing w:after="0"/>
        <w:tabs>
          <w:tab w:leader="none" w:pos="103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9 of 27</w:t>
      </w:r>
    </w:p>
    <w:p>
      <w:pPr>
        <w:sectPr>
          <w:pgSz w:w="11900" w:h="16838" w:orient="portrait"/>
          <w:cols w:equalWidth="0" w:num="1">
            <w:col w:w="11240"/>
          </w:cols>
          <w:pgMar w:left="320" w:top="1408"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Liquidity</w:t>
      </w:r>
    </w:p>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During the quarter, the Company added two new sources of liquidity including a £600 million European Commercial Paper Program under the U.K. Government’s COVID Corporate Financing Facility and a €500 million senior unsecured revolving credit facility. This incremental funding further diversifies the Company’s lending sources and provides additional flexibility over the intermediate term.</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Additionally, the Company announced amendments to its revolving credit facility agreements allowing the add back of approximately $3.2 billion of previously impaired goodwill to the Company’s total capitalization ratio covenant. With this permanent amendment, the ratio as of June 30, 2020 was 38 percent.</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At the end of the second quarter, the Company had $6.8 billion of cash and liquidity compared to $5.6 billion of cash and liquidity as of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6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10 of 27</w:t>
      </w:r>
    </w:p>
    <w:p>
      <w:pPr>
        <w:sectPr>
          <w:pgSz w:w="11900" w:h="16838" w:orient="portrait"/>
          <w:cols w:equalWidth="0" w:num="1">
            <w:col w:w="11240"/>
          </w:cols>
          <w:pgMar w:left="320" w:top="1408"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2020 Full-Year Financial Guidance</w:t>
      </w:r>
      <w:r>
        <w:rPr>
          <w:rFonts w:ascii="Arial" w:cs="Arial" w:eastAsia="Arial" w:hAnsi="Arial"/>
          <w:sz w:val="12"/>
          <w:szCs w:val="12"/>
          <w:b w:val="1"/>
          <w:bCs w:val="1"/>
          <w:color w:val="auto"/>
        </w:rPr>
        <w:t>1</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The Company’s full-year guidance for 2020 can be found in the table below.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All segment guidance assumes no further material degradation from COVID-19 related impacts.</w:t>
      </w:r>
    </w:p>
    <w:p>
      <w:pPr>
        <w:spacing w:after="0" w:line="200" w:lineRule="exact"/>
        <w:rPr>
          <w:sz w:val="20"/>
          <w:szCs w:val="20"/>
          <w:color w:val="auto"/>
        </w:rPr>
      </w:pPr>
    </w:p>
    <w:p>
      <w:pPr>
        <w:spacing w:after="0" w:line="248"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 xml:space="preserve">2020 Guidance </w:t>
      </w:r>
      <w:r>
        <w:rPr>
          <w:rFonts w:ascii="Arial" w:cs="Arial" w:eastAsia="Arial" w:hAnsi="Arial"/>
          <w:sz w:val="16"/>
          <w:szCs w:val="16"/>
          <w:i w:val="1"/>
          <w:iCs w:val="1"/>
          <w:color w:val="auto"/>
        </w:rPr>
        <w:t>*Updated 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70369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3695" cy="171450"/>
                    </a:xfrm>
                    <a:prstGeom prst="rect">
                      <a:avLst/>
                    </a:prstGeom>
                    <a:noFill/>
                  </pic:spPr>
                </pic:pic>
              </a:graphicData>
            </a:graphic>
          </wp:anchor>
        </w:drawing>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3380" w:type="dxa"/>
            <w:vAlign w:val="bottom"/>
            <w:tcBorders>
              <w:top w:val="single" w:sz="8" w:color="auto"/>
              <w:left w:val="single" w:sz="8" w:color="auto"/>
              <w:bottom w:val="single" w:sz="8" w:color="auto"/>
              <w:right w:val="single" w:sz="8" w:color="auto"/>
            </w:tcBorders>
            <w:shd w:val="clear" w:color="auto" w:fill="00A3E0"/>
          </w:tcPr>
          <w:p>
            <w:pPr>
              <w:ind w:left="1340"/>
              <w:spacing w:after="0"/>
              <w:rPr>
                <w:sz w:val="20"/>
                <w:szCs w:val="20"/>
                <w:color w:val="auto"/>
              </w:rPr>
            </w:pPr>
            <w:r>
              <w:rPr>
                <w:rFonts w:ascii="Arial" w:cs="Arial" w:eastAsia="Arial" w:hAnsi="Arial"/>
                <w:sz w:val="20"/>
                <w:szCs w:val="20"/>
                <w:b w:val="1"/>
                <w:bCs w:val="1"/>
                <w:color w:val="FFFFFF"/>
              </w:rPr>
              <w:t>Subsea</w:t>
            </w:r>
          </w:p>
        </w:tc>
        <w:tc>
          <w:tcPr>
            <w:tcW w:w="260" w:type="dxa"/>
            <w:vAlign w:val="bottom"/>
            <w:tcBorders>
              <w:top w:val="single" w:sz="8" w:color="auto"/>
              <w:right w:val="single" w:sz="8" w:color="auto"/>
            </w:tcBorders>
          </w:tcPr>
          <w:p>
            <w:pPr>
              <w:spacing w:after="0"/>
              <w:rPr>
                <w:sz w:val="24"/>
                <w:szCs w:val="24"/>
                <w:color w:val="auto"/>
              </w:rPr>
            </w:pPr>
          </w:p>
        </w:tc>
        <w:tc>
          <w:tcPr>
            <w:tcW w:w="3340" w:type="dxa"/>
            <w:vAlign w:val="bottom"/>
            <w:tcBorders>
              <w:top w:val="single" w:sz="8" w:color="auto"/>
              <w:bottom w:val="single" w:sz="8" w:color="auto"/>
              <w:right w:val="single" w:sz="8" w:color="auto"/>
            </w:tcBorders>
            <w:shd w:val="clear" w:color="auto" w:fill="C00000"/>
          </w:tcPr>
          <w:p>
            <w:pPr>
              <w:ind w:left="840"/>
              <w:spacing w:after="0"/>
              <w:rPr>
                <w:sz w:val="20"/>
                <w:szCs w:val="20"/>
                <w:color w:val="auto"/>
              </w:rPr>
            </w:pPr>
            <w:r>
              <w:rPr>
                <w:rFonts w:ascii="Arial" w:cs="Arial" w:eastAsia="Arial" w:hAnsi="Arial"/>
                <w:sz w:val="20"/>
                <w:szCs w:val="20"/>
                <w:b w:val="1"/>
                <w:bCs w:val="1"/>
                <w:color w:val="FFFFFF"/>
              </w:rPr>
              <w:t>Technip Energies</w:t>
            </w:r>
          </w:p>
        </w:tc>
        <w:tc>
          <w:tcPr>
            <w:tcW w:w="240" w:type="dxa"/>
            <w:vAlign w:val="bottom"/>
            <w:tcBorders>
              <w:top w:val="single" w:sz="8" w:color="auto"/>
              <w:right w:val="single" w:sz="8" w:color="auto"/>
            </w:tcBorders>
          </w:tcPr>
          <w:p>
            <w:pPr>
              <w:spacing w:after="0"/>
              <w:rPr>
                <w:sz w:val="24"/>
                <w:szCs w:val="24"/>
                <w:color w:val="auto"/>
              </w:rPr>
            </w:pPr>
          </w:p>
        </w:tc>
        <w:tc>
          <w:tcPr>
            <w:tcW w:w="3360" w:type="dxa"/>
            <w:vAlign w:val="bottom"/>
            <w:tcBorders>
              <w:top w:val="single" w:sz="8" w:color="auto"/>
              <w:bottom w:val="single" w:sz="8" w:color="auto"/>
              <w:right w:val="single" w:sz="8" w:color="auto"/>
            </w:tcBorders>
            <w:shd w:val="clear" w:color="auto" w:fill="7F7F7F"/>
          </w:tcPr>
          <w:p>
            <w:pPr>
              <w:ind w:left="640"/>
              <w:spacing w:after="0"/>
              <w:rPr>
                <w:sz w:val="20"/>
                <w:szCs w:val="20"/>
                <w:color w:val="auto"/>
              </w:rPr>
            </w:pPr>
            <w:r>
              <w:rPr>
                <w:rFonts w:ascii="Arial" w:cs="Arial" w:eastAsia="Arial" w:hAnsi="Arial"/>
                <w:sz w:val="20"/>
                <w:szCs w:val="20"/>
                <w:b w:val="1"/>
                <w:bCs w:val="1"/>
                <w:color w:val="FFFFFF"/>
              </w:rPr>
              <w:t>Surface Technologies</w:t>
            </w:r>
          </w:p>
        </w:tc>
      </w:tr>
      <w:tr>
        <w:trPr>
          <w:trHeight w:val="237"/>
        </w:trPr>
        <w:tc>
          <w:tcPr>
            <w:tcW w:w="3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Revenue in a range of $5.3 - 5.6</w:t>
            </w:r>
          </w:p>
        </w:tc>
        <w:tc>
          <w:tcPr>
            <w:tcW w:w="26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Revenue in a range of $6.3 - 6.8</w:t>
            </w:r>
          </w:p>
        </w:tc>
        <w:tc>
          <w:tcPr>
            <w:tcW w:w="24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Revenue in a range of $950 - 1,150</w:t>
            </w:r>
          </w:p>
        </w:tc>
      </w:tr>
      <w:tr>
        <w:trPr>
          <w:trHeight w:val="237"/>
        </w:trPr>
        <w:tc>
          <w:tcPr>
            <w:tcW w:w="3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billion*</w:t>
            </w:r>
          </w:p>
        </w:tc>
        <w:tc>
          <w:tcPr>
            <w:tcW w:w="26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billion</w:t>
            </w:r>
          </w:p>
        </w:tc>
        <w:tc>
          <w:tcPr>
            <w:tcW w:w="24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million*</w:t>
            </w:r>
          </w:p>
        </w:tc>
      </w:tr>
      <w:tr>
        <w:trPr>
          <w:trHeight w:val="303"/>
        </w:trPr>
        <w:tc>
          <w:tcPr>
            <w:tcW w:w="33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EBITDA margin at least 8.5%*</w:t>
            </w:r>
          </w:p>
        </w:tc>
        <w:tc>
          <w:tcPr>
            <w:tcW w:w="26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EBITDA margin at least 10%</w:t>
            </w:r>
          </w:p>
        </w:tc>
        <w:tc>
          <w:tcPr>
            <w:tcW w:w="240" w:type="dxa"/>
            <w:vAlign w:val="bottom"/>
            <w:tcBorders>
              <w:right w:val="single" w:sz="8" w:color="auto"/>
            </w:tcBorders>
          </w:tcPr>
          <w:p>
            <w:pPr>
              <w:spacing w:after="0"/>
              <w:rPr>
                <w:sz w:val="24"/>
                <w:szCs w:val="24"/>
                <w:color w:val="auto"/>
              </w:rPr>
            </w:pPr>
          </w:p>
        </w:tc>
        <w:tc>
          <w:tcPr>
            <w:tcW w:w="33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EBITDA margin at least 5.5%*</w:t>
            </w:r>
          </w:p>
        </w:tc>
      </w:tr>
      <w:tr>
        <w:trPr>
          <w:trHeight w:val="242"/>
        </w:trPr>
        <w:tc>
          <w:tcPr>
            <w:tcW w:w="3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(excluding charges and credits)</w:t>
            </w:r>
          </w:p>
        </w:tc>
        <w:tc>
          <w:tcPr>
            <w:tcW w:w="260" w:type="dxa"/>
            <w:vAlign w:val="bottom"/>
            <w:tcBorders>
              <w:bottom w:val="single" w:sz="8" w:color="auto"/>
              <w:right w:val="single" w:sz="8" w:color="auto"/>
            </w:tcBorders>
          </w:tcPr>
          <w:p>
            <w:pPr>
              <w:spacing w:after="0"/>
              <w:rPr>
                <w:sz w:val="21"/>
                <w:szCs w:val="21"/>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(excluding charges and credits)</w:t>
            </w:r>
          </w:p>
        </w:tc>
        <w:tc>
          <w:tcPr>
            <w:tcW w:w="240" w:type="dxa"/>
            <w:vAlign w:val="bottom"/>
            <w:tcBorders>
              <w:bottom w:val="single" w:sz="8" w:color="auto"/>
              <w:right w:val="single" w:sz="8" w:color="auto"/>
            </w:tcBorders>
          </w:tcPr>
          <w:p>
            <w:pPr>
              <w:spacing w:after="0"/>
              <w:rPr>
                <w:sz w:val="21"/>
                <w:szCs w:val="21"/>
                <w:color w:val="auto"/>
              </w:rPr>
            </w:pPr>
          </w:p>
        </w:tc>
        <w:tc>
          <w:tcPr>
            <w:tcW w:w="3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(excluding charges and credits)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6703695" cy="1997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3695" cy="1997075"/>
                    </a:xfrm>
                    <a:prstGeom prst="rect">
                      <a:avLst/>
                    </a:prstGeom>
                    <a:noFill/>
                  </pic:spPr>
                </pic:pic>
              </a:graphicData>
            </a:graphic>
          </wp:anchor>
        </w:drawing>
      </w:r>
    </w:p>
    <w:p>
      <w:pPr>
        <w:spacing w:after="0" w:line="249"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FFFFFF"/>
        </w:rPr>
        <w:t>TechnipFMC</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$130 - 150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$80 - 90 million</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(excluding the impact of revaluation of partners’ mandatorily redeemable financial liability)</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Tax provision, as reported* </w:t>
      </w:r>
      <w:r>
        <w:rPr>
          <w:rFonts w:ascii="Arial" w:cs="Arial" w:eastAsia="Arial" w:hAnsi="Arial"/>
          <w:sz w:val="20"/>
          <w:szCs w:val="20"/>
          <w:color w:val="auto"/>
        </w:rPr>
        <w:t>$80 - 90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$300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Free cash flow* </w:t>
      </w:r>
      <w:r>
        <w:rPr>
          <w:rFonts w:ascii="Arial" w:cs="Arial" w:eastAsia="Arial" w:hAnsi="Arial"/>
          <w:sz w:val="20"/>
          <w:szCs w:val="20"/>
          <w:color w:val="auto"/>
        </w:rPr>
        <w:t>$0 - 150 million</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(cash flow from operations 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1186815</wp:posOffset>
            </wp:positionV>
            <wp:extent cx="1714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firstLine="8"/>
        <w:spacing w:after="0" w:line="225" w:lineRule="auto"/>
        <w:tabs>
          <w:tab w:leader="none" w:pos="8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2020 segment guidance is reflective of new business perimeters previously announced in 2019. Businesses with approximately $120 million of total revenue in 2019, most of which was in the Surface Technologies segment, were re-allocated to Technip Energies at the beginning of 2020. The revenue of these businesses is included in Technip Energies guidance for 2020.</w:t>
      </w:r>
    </w:p>
    <w:p>
      <w:pPr>
        <w:spacing w:after="0" w:line="5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guidance measures adjusted EBITDA margin, corporate expense, net, net interest expense (excluding the impact of revaluation of partners’ mandatorily redeemable financial liability) and free cash flow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506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11 of 27</w:t>
      </w:r>
    </w:p>
    <w:p>
      <w:pPr>
        <w:sectPr>
          <w:pgSz w:w="11900" w:h="16838" w:orient="portrait"/>
          <w:cols w:equalWidth="0" w:num="1">
            <w:col w:w="11200"/>
          </w:cols>
          <w:pgMar w:left="320" w:top="1408" w:right="37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Teleconference</w:t>
      </w:r>
    </w:p>
    <w:p>
      <w:pPr>
        <w:spacing w:after="0" w:line="200" w:lineRule="exact"/>
        <w:rPr>
          <w:sz w:val="20"/>
          <w:szCs w:val="20"/>
          <w:color w:val="auto"/>
        </w:rPr>
      </w:pPr>
    </w:p>
    <w:p>
      <w:pPr>
        <w:spacing w:after="0" w:line="24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July 30, 2020 to discuss the second quarter 2020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auto"/>
        </w:rPr>
        <w:t>.</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6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12 of 27</w:t>
      </w:r>
    </w:p>
    <w:p>
      <w:pPr>
        <w:sectPr>
          <w:pgSz w:w="11900" w:h="16838" w:orient="portrait"/>
          <w:cols w:equalWidth="0" w:num="1">
            <w:col w:w="11240"/>
          </w:cols>
          <w:pgMar w:left="320" w:top="140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TechnipFMC is a global leader in the energy industry; delivering projects, products, technologies and services. With our proprietary technologies and production systems, integrated expertise, and comprehensive solutions, we are transforming our customers’ project economics.</w:t>
      </w:r>
    </w:p>
    <w:p>
      <w:pPr>
        <w:spacing w:after="0" w:line="13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i w:val="1"/>
          <w:iCs w:val="1"/>
          <w:color w:val="808080"/>
        </w:rPr>
        <w:t>Organized in three business segments — Subsea, Surface Technologies and Technip Energies — we are uniquely positioned to deliver greater efficiency across project lifecycles from concept to project delivery and beyond. Through innovative technologies and improved efficiencies, our offering unlocks new possibilities for our customers in developing their energy resources and in their positioning to meet the energy transition challenge.</w:t>
      </w:r>
    </w:p>
    <w:p>
      <w:pPr>
        <w:spacing w:after="0" w:line="14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color w:val="808080"/>
        </w:rPr>
        <w:t>Each of our approximately 37,000 employees is driven by a steady commitment to clients and a culture of project execution, purposeful innovation, challenging industry conventions, and rethinking how the best results are achieved.</w:t>
      </w:r>
    </w:p>
    <w:p>
      <w:pPr>
        <w:spacing w:after="0" w:line="136" w:lineRule="exact"/>
        <w:rPr>
          <w:sz w:val="20"/>
          <w:szCs w:val="20"/>
          <w:color w:val="auto"/>
        </w:rPr>
      </w:pPr>
    </w:p>
    <w:p>
      <w:pPr>
        <w:ind w:right="260"/>
        <w:spacing w:after="0" w:line="253" w:lineRule="auto"/>
        <w:rPr>
          <w:sz w:val="20"/>
          <w:szCs w:val="20"/>
          <w:color w:val="auto"/>
        </w:rPr>
      </w:pPr>
      <w:r>
        <w:rPr>
          <w:rFonts w:ascii="Arial" w:cs="Arial" w:eastAsia="Arial" w:hAnsi="Arial"/>
          <w:sz w:val="20"/>
          <w:szCs w:val="20"/>
          <w:i w:val="1"/>
          <w:iCs w:val="1"/>
          <w:color w:val="808080"/>
        </w:rPr>
        <w:t>TechnipFMC utilizes its website www.TechnipFMC.com as a channel of distribution of material company information. To learn more about us and how we are enhancing the performance of the world’s energy industry, go to www.TechnipFMC.com and follow us on Twitter @TechnipFMC.</w:t>
      </w:r>
    </w:p>
    <w:p>
      <w:pPr>
        <w:spacing w:after="0" w:line="2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“guidance,” “confident,” “believe,” “expect,” “anticipate,” “plan,” “intend,” “foresee,” “should,” “would,” “could,” “may,” “will,” “likely,” “predicated,” “estimate,” “outlook” and similar expressions are intended to identify forward -looking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47" w:lineRule="exact"/>
        <w:rPr>
          <w:sz w:val="20"/>
          <w:szCs w:val="20"/>
          <w:color w:val="auto"/>
        </w:rPr>
      </w:pPr>
    </w:p>
    <w:p>
      <w:pPr>
        <w:jc w:val="both"/>
        <w:ind w:left="660" w:hanging="328"/>
        <w:spacing w:after="0" w:line="255" w:lineRule="auto"/>
        <w:tabs>
          <w:tab w:leader="none" w:pos="655" w:val="left"/>
        </w:tabs>
        <w:numPr>
          <w:ilvl w:val="0"/>
          <w:numId w:val="16"/>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disease outbreaks and other public health issues, including the coronavirus disease 2019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2"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6"/>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our ability to consummate our proposed separation and spin-off;</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6"/>
        </w:numPr>
        <w:rPr>
          <w:rFonts w:ascii="Arial" w:cs="Arial" w:eastAsia="Arial" w:hAnsi="Arial"/>
          <w:sz w:val="18"/>
          <w:szCs w:val="18"/>
          <w:i w:val="1"/>
          <w:iCs w:val="1"/>
          <w:color w:val="808080"/>
        </w:rPr>
      </w:pPr>
      <w:r>
        <w:rPr>
          <w:rFonts w:ascii="Arial" w:cs="Arial" w:eastAsia="Arial" w:hAnsi="Arial"/>
          <w:sz w:val="18"/>
          <w:szCs w:val="18"/>
          <w:i w:val="1"/>
          <w:iCs w:val="1"/>
          <w:color w:val="808080"/>
        </w:rPr>
        <w:t>unanticipated changes relating to competitive factors in our industry;</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55" w:val="left"/>
        </w:tabs>
        <w:numPr>
          <w:ilvl w:val="0"/>
          <w:numId w:val="16"/>
        </w:numPr>
        <w:rPr>
          <w:rFonts w:ascii="Arial" w:cs="Arial" w:eastAsia="Arial" w:hAnsi="Arial"/>
          <w:sz w:val="18"/>
          <w:szCs w:val="18"/>
          <w:i w:val="1"/>
          <w:iCs w:val="1"/>
          <w:color w:val="808080"/>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hanging="328"/>
        <w:spacing w:after="0" w:line="250" w:lineRule="auto"/>
        <w:tabs>
          <w:tab w:leader="none" w:pos="655" w:val="left"/>
        </w:tabs>
        <w:numPr>
          <w:ilvl w:val="0"/>
          <w:numId w:val="16"/>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6"/>
        </w:numPr>
        <w:rPr>
          <w:rFonts w:ascii="Arial" w:cs="Arial" w:eastAsia="Arial" w:hAnsi="Arial"/>
          <w:sz w:val="18"/>
          <w:szCs w:val="18"/>
          <w:i w:val="1"/>
          <w:iCs w:val="1"/>
          <w:color w:val="808080"/>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6"/>
        </w:numPr>
        <w:rPr>
          <w:rFonts w:ascii="Arial" w:cs="Arial" w:eastAsia="Arial" w:hAnsi="Arial"/>
          <w:sz w:val="18"/>
          <w:szCs w:val="18"/>
          <w:i w:val="1"/>
          <w:iCs w:val="1"/>
          <w:color w:val="808080"/>
        </w:rPr>
      </w:pPr>
      <w:r>
        <w:rPr>
          <w:rFonts w:ascii="Arial" w:cs="Arial" w:eastAsia="Arial" w:hAnsi="Arial"/>
          <w:sz w:val="18"/>
          <w:szCs w:val="18"/>
          <w:i w:val="1"/>
          <w:iCs w:val="1"/>
          <w:color w:val="808080"/>
        </w:rPr>
        <w:t>cost overruns related to our fixed price contracts or capital asset construction projects that may affect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6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13 of 27</w:t>
      </w:r>
    </w:p>
    <w:p>
      <w:pPr>
        <w:sectPr>
          <w:pgSz w:w="11900" w:h="16838" w:orient="portrait"/>
          <w:cols w:equalWidth="0" w:num="1">
            <w:col w:w="11240"/>
          </w:cols>
          <w:pgMar w:left="320" w:top="1408" w:right="339" w:bottom="1440" w:gutter="0" w:footer="0" w:header="0"/>
        </w:sectPr>
      </w:pPr>
    </w:p>
    <w:bookmarkStart w:id="17" w:name="page18"/>
    <w:bookmarkEnd w:id="17"/>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t>our ability to timely deliver our backlog and its effect on our future sales, profitability, and our relationships with our customers;</w:t>
      </w:r>
    </w:p>
    <w:p>
      <w:pPr>
        <w:spacing w:after="0" w:line="27"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the cumulative loss of major contracts or alliances;</w:t>
      </w:r>
    </w:p>
    <w:p>
      <w:pPr>
        <w:spacing w:after="0" w:line="9" w:lineRule="exact"/>
        <w:rPr>
          <w:rFonts w:ascii="Arial" w:cs="Arial" w:eastAsia="Arial" w:hAnsi="Arial"/>
          <w:sz w:val="18"/>
          <w:szCs w:val="18"/>
          <w:i w:val="1"/>
          <w:iCs w:val="1"/>
          <w:color w:val="808080"/>
        </w:rPr>
      </w:pPr>
    </w:p>
    <w:p>
      <w:pPr>
        <w:ind w:left="660" w:right="20" w:hanging="328"/>
        <w:spacing w:after="0" w:line="250" w:lineRule="auto"/>
        <w:tabs>
          <w:tab w:leader="none" w:pos="655"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U.S. and international laws and regulations, including existing or future environmental regulations, that may increase our costs, limit the demand for our products and services or restrict our operations;</w:t>
      </w: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9" w:lineRule="exact"/>
        <w:rPr>
          <w:rFonts w:ascii="Arial" w:cs="Arial" w:eastAsia="Arial" w:hAnsi="Arial"/>
          <w:sz w:val="18"/>
          <w:szCs w:val="18"/>
          <w:i w:val="1"/>
          <w:iCs w:val="1"/>
          <w:color w:val="808080"/>
        </w:rPr>
      </w:pPr>
    </w:p>
    <w:p>
      <w:pPr>
        <w:ind w:left="660" w:hanging="328"/>
        <w:spacing w:after="0" w:line="250" w:lineRule="auto"/>
        <w:tabs>
          <w:tab w:leader="none" w:pos="655"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the United Kingdom’s withdrawal from the European Union;</w:t>
      </w:r>
    </w:p>
    <w:p>
      <w:pPr>
        <w:spacing w:after="0" w:line="9" w:lineRule="exact"/>
        <w:rPr>
          <w:rFonts w:ascii="Arial" w:cs="Arial" w:eastAsia="Arial" w:hAnsi="Arial"/>
          <w:sz w:val="18"/>
          <w:szCs w:val="18"/>
          <w:i w:val="1"/>
          <w:iCs w:val="1"/>
          <w:color w:val="808080"/>
        </w:rPr>
      </w:pPr>
    </w:p>
    <w:p>
      <w:pPr>
        <w:jc w:val="both"/>
        <w:ind w:left="660" w:hanging="328"/>
        <w:spacing w:after="0" w:line="250" w:lineRule="auto"/>
        <w:tabs>
          <w:tab w:leader="none" w:pos="655"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i w:val="1"/>
          <w:iCs w:val="1"/>
          <w:color w:val="808080"/>
        </w:rPr>
      </w:pP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related to our acquisition and divestiture activities;</w:t>
      </w:r>
    </w:p>
    <w:p>
      <w:pPr>
        <w:spacing w:after="0" w:line="9" w:lineRule="exact"/>
        <w:rPr>
          <w:rFonts w:ascii="Arial" w:cs="Arial" w:eastAsia="Arial" w:hAnsi="Arial"/>
          <w:sz w:val="18"/>
          <w:szCs w:val="18"/>
          <w:i w:val="1"/>
          <w:iCs w:val="1"/>
          <w:color w:val="808080"/>
        </w:rPr>
      </w:pPr>
    </w:p>
    <w:p>
      <w:pPr>
        <w:ind w:left="660" w:right="20" w:hanging="328"/>
        <w:spacing w:after="0" w:line="250" w:lineRule="auto"/>
        <w:tabs>
          <w:tab w:leader="none" w:pos="655"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failure of our information technology infrastructure or any significant breach of security, including related to cyber attacks, and actual or perceived failure to comply with data security and privacy obligations;</w:t>
      </w:r>
    </w:p>
    <w:p>
      <w:pPr>
        <w:ind w:left="660" w:hanging="328"/>
        <w:spacing w:after="0"/>
        <w:tabs>
          <w:tab w:leader="none" w:pos="660"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risks associated with tax liabilities, changes in U.S. federal or international tax laws or interpretations to which they are subject; and</w:t>
      </w:r>
    </w:p>
    <w:p>
      <w:pPr>
        <w:spacing w:after="0" w:line="9" w:lineRule="exact"/>
        <w:rPr>
          <w:rFonts w:ascii="Arial" w:cs="Arial" w:eastAsia="Arial" w:hAnsi="Arial"/>
          <w:sz w:val="18"/>
          <w:szCs w:val="18"/>
          <w:i w:val="1"/>
          <w:iCs w:val="1"/>
          <w:color w:val="808080"/>
        </w:rPr>
      </w:pPr>
    </w:p>
    <w:p>
      <w:pPr>
        <w:ind w:left="660" w:hanging="328"/>
        <w:spacing w:after="0" w:line="261" w:lineRule="auto"/>
        <w:tabs>
          <w:tab w:leader="none" w:pos="655" w:val="left"/>
        </w:tabs>
        <w:numPr>
          <w:ilvl w:val="0"/>
          <w:numId w:val="17"/>
        </w:numPr>
        <w:rPr>
          <w:rFonts w:ascii="Arial" w:cs="Arial" w:eastAsia="Arial" w:hAnsi="Arial"/>
          <w:sz w:val="18"/>
          <w:szCs w:val="18"/>
          <w:i w:val="1"/>
          <w:iCs w:val="1"/>
          <w:color w:val="808080"/>
        </w:rPr>
      </w:pPr>
      <w:r>
        <w:rPr>
          <w:rFonts w:ascii="Arial" w:cs="Arial" w:eastAsia="Arial" w:hAnsi="Arial"/>
          <w:sz w:val="18"/>
          <w:szCs w:val="18"/>
          <w:i w:val="1"/>
          <w:iCs w:val="1"/>
          <w:color w:val="808080"/>
        </w:rPr>
        <w:t>such other risk factors as set forth in our filings with the U.S. Securities and Exchange Commission and in our filings with the Autorité des marchés financiers or the U.K. Financial Conduct Authority.</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6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14 of 27</w:t>
      </w:r>
    </w:p>
    <w:p>
      <w:pPr>
        <w:sectPr>
          <w:pgSz w:w="11900" w:h="16838" w:orient="portrait"/>
          <w:cols w:equalWidth="0" w:num="1">
            <w:col w:w="11240"/>
          </w:cols>
          <w:pgMar w:left="320" w:top="1417" w:right="339" w:bottom="1440" w:gutter="0" w:footer="0" w:header="0"/>
        </w:sectPr>
      </w:pPr>
    </w:p>
    <w:bookmarkStart w:id="18" w:name="page19"/>
    <w:bookmarkEnd w:id="18"/>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2743200" cy="53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743200" cy="53149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Contacts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Matt Seinsheimer</w:t>
      </w:r>
    </w:p>
    <w:p>
      <w:pPr>
        <w:ind w:right="1400"/>
        <w:spacing w:after="0" w:line="213" w:lineRule="auto"/>
        <w:rPr>
          <w:sz w:val="20"/>
          <w:szCs w:val="20"/>
          <w:color w:val="auto"/>
        </w:rPr>
      </w:pPr>
      <w:r>
        <w:rPr>
          <w:rFonts w:ascii="Arial" w:cs="Arial" w:eastAsia="Arial" w:hAnsi="Arial"/>
          <w:sz w:val="20"/>
          <w:szCs w:val="20"/>
          <w:color w:val="auto"/>
        </w:rPr>
        <w:t xml:space="preserve">Vice President Investor Relations Tel: +1 281 260 3665 Email: </w:t>
      </w:r>
      <w:r>
        <w:rPr>
          <w:rFonts w:ascii="Arial" w:cs="Arial" w:eastAsia="Arial" w:hAnsi="Arial"/>
          <w:sz w:val="20"/>
          <w:szCs w:val="20"/>
          <w:u w:val="single" w:color="auto"/>
          <w:color w:val="3051F2"/>
        </w:rPr>
        <w:t>Matt Seinsheimer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Phillip Lindsay</w:t>
      </w:r>
    </w:p>
    <w:p>
      <w:pPr>
        <w:spacing w:after="0" w:line="207" w:lineRule="auto"/>
        <w:rPr>
          <w:sz w:val="20"/>
          <w:szCs w:val="20"/>
          <w:color w:val="auto"/>
        </w:rPr>
      </w:pPr>
      <w:r>
        <w:rPr>
          <w:rFonts w:ascii="Arial" w:cs="Arial" w:eastAsia="Arial" w:hAnsi="Arial"/>
          <w:sz w:val="19"/>
          <w:szCs w:val="19"/>
          <w:color w:val="auto"/>
        </w:rPr>
        <w:t>Director Investor Relations (Europe)</w:t>
      </w:r>
    </w:p>
    <w:p>
      <w:pPr>
        <w:spacing w:after="0" w:line="197" w:lineRule="auto"/>
        <w:rPr>
          <w:sz w:val="20"/>
          <w:szCs w:val="20"/>
          <w:color w:val="auto"/>
        </w:rPr>
      </w:pPr>
      <w:r>
        <w:rPr>
          <w:rFonts w:ascii="Arial" w:cs="Arial" w:eastAsia="Arial" w:hAnsi="Arial"/>
          <w:sz w:val="20"/>
          <w:szCs w:val="20"/>
          <w:color w:val="auto"/>
        </w:rPr>
        <w:t>Tel: +44 (0) 20 3429 3929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3051F2"/>
        </w:rPr>
        <w:t>Phillip Lindsay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Media relations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Christophe Bélorgeot</w:t>
      </w:r>
    </w:p>
    <w:p>
      <w:pPr>
        <w:ind w:left="200"/>
        <w:spacing w:after="0" w:line="197" w:lineRule="auto"/>
        <w:rPr>
          <w:sz w:val="20"/>
          <w:szCs w:val="20"/>
          <w:color w:val="auto"/>
        </w:rPr>
      </w:pPr>
      <w:r>
        <w:rPr>
          <w:rFonts w:ascii="Arial" w:cs="Arial" w:eastAsia="Arial" w:hAnsi="Arial"/>
          <w:sz w:val="20"/>
          <w:szCs w:val="20"/>
          <w:color w:val="auto"/>
        </w:rPr>
        <w:t>Senior Vice President Corporate Engagement</w:t>
      </w:r>
    </w:p>
    <w:p>
      <w:pPr>
        <w:ind w:left="200"/>
        <w:spacing w:after="0" w:line="197" w:lineRule="auto"/>
        <w:rPr>
          <w:sz w:val="20"/>
          <w:szCs w:val="20"/>
          <w:color w:val="auto"/>
        </w:rPr>
      </w:pPr>
      <w:r>
        <w:rPr>
          <w:rFonts w:ascii="Arial" w:cs="Arial" w:eastAsia="Arial" w:hAnsi="Arial"/>
          <w:sz w:val="20"/>
          <w:szCs w:val="20"/>
          <w:color w:val="auto"/>
        </w:rPr>
        <w:t>Tel: +33 1 47 78 39 92</w:t>
      </w:r>
    </w:p>
    <w:p>
      <w:pPr>
        <w:ind w:left="20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3051F2"/>
        </w:rPr>
        <w:t>Christophe Belorgeot</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Brooke Robertson</w:t>
      </w:r>
    </w:p>
    <w:p>
      <w:pPr>
        <w:ind w:left="200"/>
        <w:spacing w:after="0" w:line="197" w:lineRule="auto"/>
        <w:rPr>
          <w:sz w:val="20"/>
          <w:szCs w:val="20"/>
          <w:color w:val="auto"/>
        </w:rPr>
      </w:pPr>
      <w:r>
        <w:rPr>
          <w:rFonts w:ascii="Arial" w:cs="Arial" w:eastAsia="Arial" w:hAnsi="Arial"/>
          <w:sz w:val="20"/>
          <w:szCs w:val="20"/>
          <w:color w:val="auto"/>
        </w:rPr>
        <w:t>Public Relations Director</w:t>
      </w:r>
    </w:p>
    <w:p>
      <w:pPr>
        <w:ind w:left="200"/>
        <w:spacing w:after="0" w:line="197" w:lineRule="auto"/>
        <w:rPr>
          <w:sz w:val="20"/>
          <w:szCs w:val="20"/>
          <w:color w:val="auto"/>
        </w:rPr>
      </w:pPr>
      <w:r>
        <w:rPr>
          <w:rFonts w:ascii="Arial" w:cs="Arial" w:eastAsia="Arial" w:hAnsi="Arial"/>
          <w:sz w:val="20"/>
          <w:szCs w:val="20"/>
          <w:color w:val="auto"/>
        </w:rPr>
        <w:t>Tel: +1 281 591 4108</w:t>
      </w:r>
    </w:p>
    <w:p>
      <w:pPr>
        <w:ind w:left="20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3051F2"/>
        </w:rPr>
        <w:t>Brooke Robertson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520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15 of 27</w:t>
      </w:r>
    </w:p>
    <w:p>
      <w:pPr>
        <w:sectPr>
          <w:pgSz w:w="11900" w:h="16838" w:orient="portrait"/>
          <w:cols w:equalWidth="0" w:num="2">
            <w:col w:w="4320" w:space="720"/>
            <w:col w:w="6140"/>
          </w:cols>
          <w:pgMar w:left="340" w:top="1440" w:right="379" w:bottom="1440" w:gutter="0" w:footer="0" w:header="0"/>
        </w:sectPr>
      </w:pPr>
    </w:p>
    <w:bookmarkStart w:id="19" w:name="page20"/>
    <w:bookmarkEnd w:id="19"/>
    <w:p>
      <w:pPr>
        <w:jc w:val="right"/>
        <w:spacing w:after="0"/>
        <w:rPr>
          <w:sz w:val="20"/>
          <w:szCs w:val="20"/>
          <w:color w:val="auto"/>
        </w:rPr>
      </w:pPr>
      <w:r>
        <w:rPr>
          <w:rFonts w:ascii="Arial" w:cs="Arial" w:eastAsia="Arial" w:hAnsi="Arial"/>
          <w:sz w:val="13"/>
          <w:szCs w:val="13"/>
          <w:b w:val="1"/>
          <w:bCs w:val="1"/>
          <w:color w:val="auto"/>
        </w:rPr>
        <w:t>Exhibit 1</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CONDENSED 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0"/>
                <w:szCs w:val="20"/>
                <w:color w:val="auto"/>
              </w:rPr>
            </w:pPr>
          </w:p>
        </w:tc>
        <w:tc>
          <w:tcPr>
            <w:tcW w:w="2500" w:type="dxa"/>
            <w:vAlign w:val="bottom"/>
            <w:gridSpan w:val="4"/>
          </w:tcPr>
          <w:p>
            <w:pPr>
              <w:jc w:val="right"/>
              <w:ind w:right="69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4640" w:type="dxa"/>
            <w:vAlign w:val="bottom"/>
          </w:tcPr>
          <w:p>
            <w:pPr>
              <w:spacing w:after="0"/>
              <w:rPr>
                <w:sz w:val="20"/>
                <w:szCs w:val="20"/>
                <w:color w:val="auto"/>
              </w:rPr>
            </w:pPr>
            <w:r>
              <w:rPr>
                <w:rFonts w:ascii="Arial" w:cs="Arial" w:eastAsia="Arial" w:hAnsi="Arial"/>
                <w:sz w:val="18"/>
                <w:szCs w:val="18"/>
                <w:color w:val="auto"/>
              </w:rPr>
              <w:t>Revenue</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3,158.5</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3,434.2</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6,288.8</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6,347.2</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3,054.4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3,120.6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9,320.7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5,898.8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(3,031.9)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4640" w:type="dxa"/>
            <w:vAlign w:val="bottom"/>
          </w:tcPr>
          <w:p>
            <w:pPr>
              <w:spacing w:after="0"/>
              <w:rPr>
                <w:sz w:val="20"/>
                <w:szCs w:val="20"/>
                <w:color w:val="auto"/>
              </w:rPr>
            </w:pPr>
            <w:r>
              <w:rPr>
                <w:rFonts w:ascii="Arial" w:cs="Arial" w:eastAsia="Arial" w:hAnsi="Arial"/>
                <w:sz w:val="18"/>
                <w:szCs w:val="18"/>
                <w:color w:val="auto"/>
                <w:w w:val="96"/>
              </w:rPr>
              <w:t>Income (loss) before net interest expense and income taxes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(3,028.3)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8"/>
                <w:szCs w:val="18"/>
                <w:color w:val="auto"/>
              </w:rPr>
              <w:t>Net interest expense</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46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(3,175.0)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464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(3,230.4)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4640" w:type="dxa"/>
            <w:vAlign w:val="bottom"/>
          </w:tcPr>
          <w:p>
            <w:pPr>
              <w:spacing w:after="0"/>
              <w:rPr>
                <w:sz w:val="20"/>
                <w:szCs w:val="20"/>
                <w:color w:val="auto"/>
              </w:rPr>
            </w:pPr>
            <w:r>
              <w:rPr>
                <w:rFonts w:ascii="Arial" w:cs="Arial" w:eastAsia="Arial" w:hAnsi="Arial"/>
                <w:sz w:val="18"/>
                <w:szCs w:val="18"/>
                <w:color w:val="auto"/>
              </w:rPr>
              <w:t>Net income (loss) attributable to TechnipFMC plc</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(3,244.4)</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Income (loss) per share attributable to TechnipFMC plc:</w:t>
            </w: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6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18"/>
                <w:szCs w:val="18"/>
                <w:color w:val="auto"/>
              </w:rPr>
              <w:t>Basic</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486"/>
        </w:trPr>
        <w:tc>
          <w:tcPr>
            <w:tcW w:w="46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448.3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70"/>
        </w:trPr>
        <w:tc>
          <w:tcPr>
            <w:tcW w:w="4640" w:type="dxa"/>
            <w:vAlign w:val="bottom"/>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449.5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451.2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447.9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451.9</w:t>
            </w:r>
          </w:p>
        </w:tc>
        <w:tc>
          <w:tcPr>
            <w:tcW w:w="0" w:type="dxa"/>
            <w:vAlign w:val="bottom"/>
          </w:tcPr>
          <w:p>
            <w:pPr>
              <w:spacing w:after="0"/>
              <w:rPr>
                <w:sz w:val="1"/>
                <w:szCs w:val="1"/>
                <w:color w:val="auto"/>
              </w:rPr>
            </w:pPr>
          </w:p>
        </w:tc>
      </w:tr>
      <w:tr>
        <w:trPr>
          <w:trHeight w:val="486"/>
        </w:trPr>
        <w:tc>
          <w:tcPr>
            <w:tcW w:w="464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906"/>
        </w:trPr>
        <w:tc>
          <w:tcPr>
            <w:tcW w:w="4640" w:type="dxa"/>
            <w:vAlign w:val="bottom"/>
          </w:tcPr>
          <w:p>
            <w:pPr>
              <w:spacing w:after="0"/>
              <w:rPr>
                <w:sz w:val="24"/>
                <w:szCs w:val="24"/>
                <w:color w:val="auto"/>
              </w:rPr>
            </w:pPr>
          </w:p>
        </w:tc>
        <w:tc>
          <w:tcPr>
            <w:tcW w:w="2080" w:type="dxa"/>
            <w:vAlign w:val="bottom"/>
            <w:gridSpan w:val="4"/>
          </w:tcPr>
          <w:p>
            <w:pPr>
              <w:ind w:left="400"/>
              <w:spacing w:after="0"/>
              <w:rPr>
                <w:sz w:val="20"/>
                <w:szCs w:val="20"/>
                <w:color w:val="auto"/>
              </w:rPr>
            </w:pPr>
            <w:r>
              <w:rPr>
                <w:rFonts w:ascii="Arial" w:cs="Arial" w:eastAsia="Arial" w:hAnsi="Arial"/>
                <w:sz w:val="14"/>
                <w:szCs w:val="14"/>
                <w:b w:val="1"/>
                <w:bCs w:val="1"/>
                <w:color w:val="auto"/>
              </w:rPr>
              <w:t>TechnipFMC.com</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Page 16 of 27</w:t>
            </w:r>
          </w:p>
        </w:tc>
        <w:tc>
          <w:tcPr>
            <w:tcW w:w="0" w:type="dxa"/>
            <w:vAlign w:val="bottom"/>
          </w:tcPr>
          <w:p>
            <w:pPr>
              <w:spacing w:after="0"/>
              <w:rPr>
                <w:sz w:val="1"/>
                <w:szCs w:val="1"/>
                <w:color w:val="auto"/>
              </w:rPr>
            </w:pPr>
          </w:p>
        </w:tc>
      </w:tr>
    </w:tbl>
    <w:p>
      <w:pPr>
        <w:sectPr>
          <w:pgSz w:w="11900" w:h="16838" w:orient="portrait"/>
          <w:cols w:equalWidth="0" w:num="1">
            <w:col w:w="11220"/>
          </w:cols>
          <w:pgMar w:left="340" w:top="1053"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3"/>
          <w:szCs w:val="13"/>
          <w:b w:val="1"/>
          <w:bCs w:val="1"/>
          <w:color w:val="auto"/>
        </w:rPr>
        <w:t>Exhibit 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0"/>
                <w:szCs w:val="20"/>
                <w:color w:val="auto"/>
              </w:rPr>
            </w:pPr>
          </w:p>
        </w:tc>
        <w:tc>
          <w:tcPr>
            <w:tcW w:w="25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1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180" w:type="dxa"/>
            <w:vAlign w:val="bottom"/>
            <w:gridSpan w:val="5"/>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Subsea</w:t>
            </w:r>
          </w:p>
        </w:tc>
        <w:tc>
          <w:tcPr>
            <w:tcW w:w="4520" w:type="dxa"/>
            <w:vAlign w:val="bottom"/>
            <w:gridSpan w:val="4"/>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1,378.5</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1,508.7</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2,631.6</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2,694.0</w:t>
            </w:r>
          </w:p>
        </w:tc>
        <w:tc>
          <w:tcPr>
            <w:tcW w:w="0" w:type="dxa"/>
            <w:vAlign w:val="bottom"/>
          </w:tcPr>
          <w:p>
            <w:pPr>
              <w:spacing w:after="0"/>
              <w:rPr>
                <w:sz w:val="1"/>
                <w:szCs w:val="1"/>
                <w:color w:val="auto"/>
              </w:rPr>
            </w:pPr>
          </w:p>
        </w:tc>
      </w:tr>
      <w:tr>
        <w:trPr>
          <w:trHeight w:val="270"/>
        </w:trPr>
        <w:tc>
          <w:tcPr>
            <w:tcW w:w="5180" w:type="dxa"/>
            <w:vAlign w:val="bottom"/>
            <w:gridSpan w:val="5"/>
          </w:tcPr>
          <w:p>
            <w:pPr>
              <w:spacing w:after="0"/>
              <w:rPr>
                <w:sz w:val="20"/>
                <w:szCs w:val="20"/>
                <w:color w:val="auto"/>
              </w:rPr>
            </w:pPr>
            <w:r>
              <w:rPr>
                <w:rFonts w:ascii="Arial" w:cs="Arial" w:eastAsia="Arial" w:hAnsi="Arial"/>
                <w:sz w:val="18"/>
                <w:szCs w:val="18"/>
                <w:color w:val="auto"/>
              </w:rPr>
              <w:t>Technip Energies</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1,538.3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1,505.0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3,086.0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2,840.1</w:t>
            </w:r>
          </w:p>
        </w:tc>
        <w:tc>
          <w:tcPr>
            <w:tcW w:w="0" w:type="dxa"/>
            <w:vAlign w:val="bottom"/>
          </w:tcPr>
          <w:p>
            <w:pPr>
              <w:spacing w:after="0"/>
              <w:rPr>
                <w:sz w:val="1"/>
                <w:szCs w:val="1"/>
                <w:color w:val="auto"/>
              </w:rPr>
            </w:pPr>
          </w:p>
        </w:tc>
      </w:tr>
      <w:tr>
        <w:trPr>
          <w:trHeight w:val="270"/>
        </w:trPr>
        <w:tc>
          <w:tcPr>
            <w:tcW w:w="518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571.2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3,158.5</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3,434.2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6,288.8</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6,347.2</w:t>
            </w:r>
          </w:p>
        </w:tc>
        <w:tc>
          <w:tcPr>
            <w:tcW w:w="0" w:type="dxa"/>
            <w:vAlign w:val="bottom"/>
          </w:tcPr>
          <w:p>
            <w:pPr>
              <w:spacing w:after="0"/>
              <w:rPr>
                <w:sz w:val="1"/>
                <w:szCs w:val="1"/>
                <w:color w:val="auto"/>
              </w:rPr>
            </w:pPr>
          </w:p>
        </w:tc>
      </w:tr>
      <w:tr>
        <w:trPr>
          <w:trHeight w:val="27"/>
        </w:trPr>
        <w:tc>
          <w:tcPr>
            <w:tcW w:w="51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gridSpan w:val="5"/>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1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5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Segment operating profit (loss)</w:t>
            </w: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Subsea</w:t>
            </w:r>
          </w:p>
        </w:tc>
        <w:tc>
          <w:tcPr>
            <w:tcW w:w="2940" w:type="dxa"/>
            <w:vAlign w:val="bottom"/>
            <w:gridSpan w:val="2"/>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(2,826.3)</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0"/>
        </w:trPr>
        <w:tc>
          <w:tcPr>
            <w:tcW w:w="5180" w:type="dxa"/>
            <w:vAlign w:val="bottom"/>
            <w:gridSpan w:val="5"/>
          </w:tcPr>
          <w:p>
            <w:pPr>
              <w:spacing w:after="0"/>
              <w:rPr>
                <w:sz w:val="20"/>
                <w:szCs w:val="20"/>
                <w:color w:val="auto"/>
              </w:rPr>
            </w:pPr>
            <w:r>
              <w:rPr>
                <w:rFonts w:ascii="Arial" w:cs="Arial" w:eastAsia="Arial" w:hAnsi="Arial"/>
                <w:sz w:val="18"/>
                <w:szCs w:val="18"/>
                <w:color w:val="auto"/>
              </w:rPr>
              <w:t>Technip Energies</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70"/>
        </w:trPr>
        <w:tc>
          <w:tcPr>
            <w:tcW w:w="518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gridSpan w:val="5"/>
          </w:tcPr>
          <w:p>
            <w:pPr>
              <w:spacing w:after="0"/>
              <w:rPr>
                <w:sz w:val="20"/>
                <w:szCs w:val="20"/>
                <w:color w:val="auto"/>
              </w:rPr>
            </w:pPr>
            <w:r>
              <w:rPr>
                <w:rFonts w:ascii="Arial" w:cs="Arial" w:eastAsia="Arial" w:hAnsi="Arial"/>
                <w:sz w:val="18"/>
                <w:szCs w:val="18"/>
                <w:color w:val="auto"/>
              </w:rPr>
              <w:t>Total segment operating profit (loss)</w:t>
            </w:r>
          </w:p>
        </w:tc>
        <w:tc>
          <w:tcPr>
            <w:tcW w:w="3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394.1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(2,881.2)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27"/>
        </w:trPr>
        <w:tc>
          <w:tcPr>
            <w:tcW w:w="5180" w:type="dxa"/>
            <w:vAlign w:val="bottom"/>
            <w:gridSpan w:val="5"/>
            <w:vMerge w:val="restart"/>
          </w:tcPr>
          <w:p>
            <w:pPr>
              <w:spacing w:after="0"/>
              <w:rPr>
                <w:sz w:val="20"/>
                <w:szCs w:val="20"/>
                <w:color w:val="auto"/>
              </w:rPr>
            </w:pPr>
            <w:r>
              <w:rPr>
                <w:rFonts w:ascii="Arial" w:cs="Arial" w:eastAsia="Arial" w:hAnsi="Arial"/>
                <w:sz w:val="18"/>
                <w:szCs w:val="18"/>
                <w:color w:val="auto"/>
              </w:rPr>
              <w:t>Corporate items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51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line="20" w:lineRule="exact"/>
              <w:rPr>
                <w:sz w:val="1"/>
                <w:szCs w:val="1"/>
                <w:color w:val="auto"/>
              </w:rPr>
            </w:pPr>
          </w:p>
        </w:tc>
      </w:tr>
      <w:tr>
        <w:trPr>
          <w:trHeight w:val="330"/>
        </w:trPr>
        <w:tc>
          <w:tcPr>
            <w:tcW w:w="5180" w:type="dxa"/>
            <w:vAlign w:val="bottom"/>
            <w:gridSpan w:val="5"/>
          </w:tcPr>
          <w:p>
            <w:pPr>
              <w:spacing w:after="0"/>
              <w:rPr>
                <w:sz w:val="20"/>
                <w:szCs w:val="20"/>
                <w:color w:val="auto"/>
              </w:rPr>
            </w:pPr>
            <w:r>
              <w:rPr>
                <w:rFonts w:ascii="Arial" w:cs="Arial" w:eastAsia="Arial" w:hAnsi="Arial"/>
                <w:sz w:val="18"/>
                <w:szCs w:val="18"/>
                <w:color w:val="auto"/>
              </w:rPr>
              <w:t xml:space="preserve">Corporate expense </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80" w:type="dxa"/>
            <w:vAlign w:val="bottom"/>
            <w:gridSpan w:val="5"/>
          </w:tcPr>
          <w:p>
            <w:pPr>
              <w:spacing w:after="0"/>
              <w:rPr>
                <w:sz w:val="20"/>
                <w:szCs w:val="20"/>
                <w:color w:val="auto"/>
              </w:rPr>
            </w:pPr>
            <w:r>
              <w:rPr>
                <w:rFonts w:ascii="Arial" w:cs="Arial" w:eastAsia="Arial" w:hAnsi="Arial"/>
                <w:sz w:val="18"/>
                <w:szCs w:val="18"/>
                <w:color w:val="auto"/>
              </w:rPr>
              <w:t>Net interest expense</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70"/>
        </w:trPr>
        <w:tc>
          <w:tcPr>
            <w:tcW w:w="5180" w:type="dxa"/>
            <w:vAlign w:val="bottom"/>
            <w:gridSpan w:val="5"/>
          </w:tcPr>
          <w:p>
            <w:pPr>
              <w:spacing w:after="0"/>
              <w:rPr>
                <w:sz w:val="20"/>
                <w:szCs w:val="20"/>
                <w:color w:val="auto"/>
              </w:rPr>
            </w:pPr>
            <w:r>
              <w:rPr>
                <w:rFonts w:ascii="Arial" w:cs="Arial" w:eastAsia="Arial" w:hAnsi="Arial"/>
                <w:sz w:val="18"/>
                <w:szCs w:val="18"/>
                <w:color w:val="auto"/>
              </w:rPr>
              <w:t>Foreign exchange loss</w:t>
            </w:r>
          </w:p>
        </w:tc>
        <w:tc>
          <w:tcPr>
            <w:tcW w:w="3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3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5180" w:type="dxa"/>
            <w:vAlign w:val="bottom"/>
            <w:gridSpan w:val="5"/>
          </w:tcPr>
          <w:p>
            <w:pPr>
              <w:spacing w:after="0"/>
              <w:rPr>
                <w:sz w:val="20"/>
                <w:szCs w:val="20"/>
                <w:color w:val="auto"/>
              </w:rPr>
            </w:pPr>
            <w:r>
              <w:rPr>
                <w:rFonts w:ascii="Arial" w:cs="Arial" w:eastAsia="Arial" w:hAnsi="Arial"/>
                <w:sz w:val="18"/>
                <w:szCs w:val="18"/>
                <w:color w:val="auto"/>
              </w:rPr>
              <w:t xml:space="preserve">Income (loss) before income taxes </w:t>
            </w:r>
            <w:r>
              <w:rPr>
                <w:rFonts w:ascii="Arial" w:cs="Arial" w:eastAsia="Arial" w:hAnsi="Arial"/>
                <w:sz w:val="23"/>
                <w:szCs w:val="23"/>
                <w:color w:val="auto"/>
                <w:vertAlign w:val="superscript"/>
              </w:rPr>
              <w:t>(2)</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(3,175.0)</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expense primarily includes corporate staff expenses, share-based compensation expenses, and other employee benefits.</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6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17 of 27</w:t>
      </w:r>
    </w:p>
    <w:p>
      <w:pPr>
        <w:sectPr>
          <w:pgSz w:w="11900" w:h="16838" w:orient="portrait"/>
          <w:cols w:equalWidth="0" w:num="1">
            <w:col w:w="11240"/>
          </w:cols>
          <w:pgMar w:left="320" w:top="1053"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b w:val="1"/>
          <w:bCs w:val="1"/>
          <w:color w:val="auto"/>
        </w:rPr>
        <w:t>Exhibit 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c>
          <w:tcPr>
            <w:tcW w:w="26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56"/>
        </w:trPr>
        <w:tc>
          <w:tcPr>
            <w:tcW w:w="5180" w:type="dxa"/>
            <w:vAlign w:val="bottom"/>
            <w:gridSpan w:val="2"/>
          </w:tcPr>
          <w:p>
            <w:pPr>
              <w:spacing w:after="0" w:line="256" w:lineRule="exact"/>
              <w:rPr>
                <w:sz w:val="20"/>
                <w:szCs w:val="20"/>
                <w:color w:val="auto"/>
              </w:rPr>
            </w:pPr>
            <w:r>
              <w:rPr>
                <w:rFonts w:ascii="Arial" w:cs="Arial" w:eastAsia="Arial" w:hAnsi="Arial"/>
                <w:sz w:val="18"/>
                <w:szCs w:val="18"/>
                <w:b w:val="1"/>
                <w:bCs w:val="1"/>
                <w:color w:val="auto"/>
              </w:rPr>
              <w:t xml:space="preserve">Inbound Orders </w:t>
            </w:r>
            <w:r>
              <w:rPr>
                <w:rFonts w:ascii="Arial" w:cs="Arial" w:eastAsia="Arial" w:hAnsi="Arial"/>
                <w:sz w:val="23"/>
                <w:szCs w:val="23"/>
                <w:b w:val="1"/>
                <w:bCs w:val="1"/>
                <w:color w:val="auto"/>
                <w:vertAlign w:val="superscript"/>
              </w:rPr>
              <w:t>(1)</w:t>
            </w:r>
          </w:p>
        </w:tc>
        <w:tc>
          <w:tcPr>
            <w:tcW w:w="320" w:type="dxa"/>
            <w:vAlign w:val="bottom"/>
          </w:tcPr>
          <w:p>
            <w:pPr>
              <w:spacing w:after="0"/>
              <w:rPr>
                <w:sz w:val="22"/>
                <w:szCs w:val="22"/>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2"/>
                <w:szCs w:val="22"/>
                <w:color w:val="auto"/>
              </w:rPr>
            </w:pPr>
          </w:p>
        </w:tc>
      </w:tr>
      <w:tr>
        <w:trPr>
          <w:trHeight w:val="21"/>
        </w:trPr>
        <w:tc>
          <w:tcPr>
            <w:tcW w:w="130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39"/>
        </w:trPr>
        <w:tc>
          <w:tcPr>
            <w:tcW w:w="5180" w:type="dxa"/>
            <w:vAlign w:val="bottom"/>
            <w:gridSpan w:val="2"/>
          </w:tcPr>
          <w:p>
            <w:pPr>
              <w:spacing w:after="0"/>
              <w:rPr>
                <w:sz w:val="20"/>
                <w:szCs w:val="20"/>
                <w:color w:val="auto"/>
              </w:rPr>
            </w:pPr>
            <w:r>
              <w:rPr>
                <w:rFonts w:ascii="Arial" w:cs="Arial" w:eastAsia="Arial" w:hAnsi="Arial"/>
                <w:sz w:val="18"/>
                <w:szCs w:val="18"/>
                <w:color w:val="auto"/>
              </w:rPr>
              <w:t>Subsea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511.7</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2,632.7</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1,683.8</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5,310.4</w:t>
            </w:r>
          </w:p>
        </w:tc>
      </w:tr>
      <w:tr>
        <w:trPr>
          <w:trHeight w:val="270"/>
        </w:trPr>
        <w:tc>
          <w:tcPr>
            <w:tcW w:w="5180" w:type="dxa"/>
            <w:vAlign w:val="bottom"/>
            <w:gridSpan w:val="2"/>
          </w:tcPr>
          <w:p>
            <w:pPr>
              <w:spacing w:after="0"/>
              <w:rPr>
                <w:sz w:val="20"/>
                <w:szCs w:val="20"/>
                <w:color w:val="auto"/>
              </w:rPr>
            </w:pPr>
            <w:r>
              <w:rPr>
                <w:rFonts w:ascii="Arial" w:cs="Arial" w:eastAsia="Arial" w:hAnsi="Arial"/>
                <w:sz w:val="18"/>
                <w:szCs w:val="18"/>
                <w:color w:val="auto"/>
              </w:rPr>
              <w:t>Technip Energies</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835.8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8,131.2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1,396.4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11,270.0</w:t>
            </w:r>
          </w:p>
        </w:tc>
      </w:tr>
      <w:tr>
        <w:trPr>
          <w:trHeight w:val="270"/>
        </w:trPr>
        <w:tc>
          <w:tcPr>
            <w:tcW w:w="518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553.4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783.6</w:t>
            </w: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8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1,534.6</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11,179.6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3,633.6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17,364.0</w:t>
            </w:r>
          </w:p>
        </w:tc>
      </w:tr>
      <w:tr>
        <w:trPr>
          <w:trHeight w:val="20"/>
        </w:trPr>
        <w:tc>
          <w:tcPr>
            <w:tcW w:w="1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Order Backlog </w:t>
            </w:r>
            <w:r>
              <w:rPr>
                <w:rFonts w:ascii="Arial" w:cs="Arial" w:eastAsia="Arial" w:hAnsi="Arial"/>
                <w:sz w:val="23"/>
                <w:szCs w:val="23"/>
                <w:b w:val="1"/>
                <w:bCs w:val="1"/>
                <w:color w:val="auto"/>
                <w:vertAlign w:val="superscript"/>
              </w:rPr>
              <w:t>(2)</w:t>
            </w:r>
          </w:p>
        </w:tc>
        <w:tc>
          <w:tcPr>
            <w:tcW w:w="320" w:type="dxa"/>
            <w:vAlign w:val="bottom"/>
          </w:tcPr>
          <w:p>
            <w:pPr>
              <w:spacing w:after="0"/>
              <w:rPr>
                <w:sz w:val="22"/>
                <w:szCs w:val="22"/>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2"/>
                <w:szCs w:val="22"/>
                <w:color w:val="auto"/>
              </w:rPr>
            </w:pPr>
          </w:p>
        </w:tc>
      </w:tr>
      <w:tr>
        <w:trPr>
          <w:trHeight w:val="20"/>
        </w:trPr>
        <w:tc>
          <w:tcPr>
            <w:tcW w:w="1140" w:type="dxa"/>
            <w:vAlign w:val="bottom"/>
            <w:tcBorders>
              <w:top w:val="single" w:sz="8" w:color="auto"/>
            </w:tcBorders>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11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39"/>
        </w:trPr>
        <w:tc>
          <w:tcPr>
            <w:tcW w:w="8220" w:type="dxa"/>
            <w:vAlign w:val="bottom"/>
            <w:gridSpan w:val="2"/>
          </w:tcPr>
          <w:p>
            <w:pPr>
              <w:spacing w:after="0"/>
              <w:rPr>
                <w:sz w:val="20"/>
                <w:szCs w:val="20"/>
                <w:color w:val="auto"/>
              </w:rPr>
            </w:pPr>
            <w:r>
              <w:rPr>
                <w:rFonts w:ascii="Arial" w:cs="Arial" w:eastAsia="Arial" w:hAnsi="Arial"/>
                <w:sz w:val="18"/>
                <w:szCs w:val="18"/>
                <w:color w:val="auto"/>
              </w:rPr>
              <w:t>Subsea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7,085.3</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8,747.0</w:t>
            </w:r>
          </w:p>
        </w:tc>
      </w:tr>
      <w:tr>
        <w:trPr>
          <w:trHeight w:val="270"/>
        </w:trPr>
        <w:tc>
          <w:tcPr>
            <w:tcW w:w="8220" w:type="dxa"/>
            <w:vAlign w:val="bottom"/>
            <w:gridSpan w:val="2"/>
          </w:tcPr>
          <w:p>
            <w:pPr>
              <w:spacing w:after="0"/>
              <w:rPr>
                <w:sz w:val="20"/>
                <w:szCs w:val="20"/>
                <w:color w:val="auto"/>
              </w:rPr>
            </w:pPr>
            <w:r>
              <w:rPr>
                <w:rFonts w:ascii="Arial" w:cs="Arial" w:eastAsia="Arial" w:hAnsi="Arial"/>
                <w:sz w:val="18"/>
                <w:szCs w:val="18"/>
                <w:color w:val="auto"/>
              </w:rPr>
              <w:t>Technip Energies</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13,132.6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16,608.3</w:t>
            </w:r>
          </w:p>
        </w:tc>
      </w:tr>
      <w:tr>
        <w:trPr>
          <w:trHeight w:val="270"/>
        </w:trPr>
        <w:tc>
          <w:tcPr>
            <w:tcW w:w="822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32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426.6</w:t>
            </w:r>
          </w:p>
        </w:tc>
      </w:tr>
      <w:tr>
        <w:trPr>
          <w:trHeight w:val="27"/>
        </w:trPr>
        <w:tc>
          <w:tcPr>
            <w:tcW w:w="11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22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20,603.8</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25,781.9</w:t>
            </w:r>
          </w:p>
        </w:tc>
      </w:tr>
      <w:tr>
        <w:trPr>
          <w:trHeight w:val="20"/>
        </w:trPr>
        <w:tc>
          <w:tcPr>
            <w:tcW w:w="11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6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18 of 27</w:t>
      </w:r>
    </w:p>
    <w:p>
      <w:pPr>
        <w:sectPr>
          <w:pgSz w:w="11900" w:h="16838" w:orient="portrait"/>
          <w:cols w:equalWidth="0" w:num="1">
            <w:col w:w="11240"/>
          </w:cols>
          <w:pgMar w:left="320" w:top="105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4"/>
        </w:trPr>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760"/>
              <w:spacing w:after="0"/>
              <w:rPr>
                <w:sz w:val="20"/>
                <w:szCs w:val="20"/>
                <w:color w:val="auto"/>
              </w:rPr>
            </w:pPr>
            <w:r>
              <w:rPr>
                <w:rFonts w:ascii="Arial" w:cs="Arial" w:eastAsia="Arial" w:hAnsi="Arial"/>
                <w:sz w:val="13"/>
                <w:szCs w:val="13"/>
                <w:b w:val="1"/>
                <w:bCs w:val="1"/>
                <w:color w:val="auto"/>
                <w:w w:val="88"/>
              </w:rPr>
              <w:t>Exhibit 4</w:t>
            </w:r>
          </w:p>
        </w:tc>
      </w:tr>
      <w:tr>
        <w:trPr>
          <w:trHeight w:val="340"/>
        </w:trPr>
        <w:tc>
          <w:tcPr>
            <w:tcW w:w="3140" w:type="dxa"/>
            <w:vAlign w:val="bottom"/>
          </w:tcPr>
          <w:p>
            <w:pPr>
              <w:spacing w:after="0"/>
              <w:rPr>
                <w:sz w:val="24"/>
                <w:szCs w:val="24"/>
                <w:color w:val="auto"/>
              </w:rPr>
            </w:pPr>
          </w:p>
        </w:tc>
        <w:tc>
          <w:tcPr>
            <w:tcW w:w="50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rPr>
              <w:t>TECHNIPFMC PLC AND CONSOLIDATED SUBSIDIARIES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98"/>
              </w:rPr>
              <w:t>CONDENSED CONSOLIDATED BALANCE SHEETS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50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3"/>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800"/>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3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33"/>
        </w:trPr>
        <w:tc>
          <w:tcPr>
            <w:tcW w:w="8220" w:type="dxa"/>
            <w:vAlign w:val="bottom"/>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39"/>
        </w:trPr>
        <w:tc>
          <w:tcPr>
            <w:tcW w:w="822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4,809.5</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5,190.2</w:t>
            </w:r>
          </w:p>
        </w:tc>
        <w:tc>
          <w:tcPr>
            <w:tcW w:w="20" w:type="dxa"/>
            <w:vAlign w:val="bottom"/>
          </w:tcPr>
          <w:p>
            <w:pPr>
              <w:spacing w:after="0"/>
              <w:rPr>
                <w:sz w:val="24"/>
                <w:szCs w:val="24"/>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Trade receivables, net</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2,226.1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2,287.1</w:t>
            </w:r>
          </w:p>
        </w:tc>
        <w:tc>
          <w:tcPr>
            <w:tcW w:w="20" w:type="dxa"/>
            <w:vAlign w:val="bottom"/>
          </w:tcPr>
          <w:p>
            <w:pPr>
              <w:spacing w:after="0"/>
              <w:rPr>
                <w:sz w:val="23"/>
                <w:szCs w:val="23"/>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Contract assets</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1,414.4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1,520.0</w:t>
            </w:r>
          </w:p>
        </w:tc>
        <w:tc>
          <w:tcPr>
            <w:tcW w:w="20" w:type="dxa"/>
            <w:vAlign w:val="bottom"/>
          </w:tcPr>
          <w:p>
            <w:pPr>
              <w:spacing w:after="0"/>
              <w:rPr>
                <w:sz w:val="23"/>
                <w:szCs w:val="23"/>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1,370.2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1,416.0</w:t>
            </w:r>
          </w:p>
        </w:tc>
        <w:tc>
          <w:tcPr>
            <w:tcW w:w="20" w:type="dxa"/>
            <w:vAlign w:val="bottom"/>
          </w:tcPr>
          <w:p>
            <w:pPr>
              <w:spacing w:after="0"/>
              <w:rPr>
                <w:sz w:val="23"/>
                <w:szCs w:val="23"/>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1,661.5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1,473.1</w:t>
            </w:r>
          </w:p>
        </w:tc>
        <w:tc>
          <w:tcPr>
            <w:tcW w:w="20" w:type="dxa"/>
            <w:vAlign w:val="bottom"/>
          </w:tcPr>
          <w:p>
            <w:pPr>
              <w:spacing w:after="0"/>
              <w:rPr>
                <w:sz w:val="23"/>
                <w:szCs w:val="23"/>
                <w:color w:val="auto"/>
              </w:rPr>
            </w:pPr>
          </w:p>
        </w:tc>
      </w:tr>
      <w:tr>
        <w:trPr>
          <w:trHeight w:val="27"/>
        </w:trPr>
        <w:tc>
          <w:tcPr>
            <w:tcW w:w="8220" w:type="dxa"/>
            <w:vAlign w:val="bottom"/>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8220" w:type="dxa"/>
            <w:vAlign w:val="bottom"/>
            <w:gridSpan w:val="5"/>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11,481.7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11,886.4</w:t>
            </w:r>
          </w:p>
        </w:tc>
        <w:tc>
          <w:tcPr>
            <w:tcW w:w="20" w:type="dxa"/>
            <w:vAlign w:val="bottom"/>
          </w:tcPr>
          <w:p>
            <w:pPr>
              <w:spacing w:after="0"/>
              <w:rPr>
                <w:sz w:val="20"/>
                <w:szCs w:val="20"/>
                <w:color w:val="auto"/>
              </w:rPr>
            </w:pPr>
          </w:p>
        </w:tc>
      </w:tr>
      <w:tr>
        <w:trPr>
          <w:trHeight w:val="486"/>
        </w:trPr>
        <w:tc>
          <w:tcPr>
            <w:tcW w:w="8220" w:type="dxa"/>
            <w:vAlign w:val="bottom"/>
            <w:gridSpan w:val="5"/>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4"/>
                <w:szCs w:val="24"/>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2,850.8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3,162.0</w:t>
            </w:r>
          </w:p>
        </w:tc>
        <w:tc>
          <w:tcPr>
            <w:tcW w:w="20" w:type="dxa"/>
            <w:vAlign w:val="bottom"/>
          </w:tcPr>
          <w:p>
            <w:pPr>
              <w:spacing w:after="0"/>
              <w:rPr>
                <w:sz w:val="24"/>
                <w:szCs w:val="24"/>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2,470.7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5,598.3</w:t>
            </w:r>
          </w:p>
        </w:tc>
        <w:tc>
          <w:tcPr>
            <w:tcW w:w="20" w:type="dxa"/>
            <w:vAlign w:val="bottom"/>
          </w:tcPr>
          <w:p>
            <w:pPr>
              <w:spacing w:after="0"/>
              <w:rPr>
                <w:sz w:val="23"/>
                <w:szCs w:val="23"/>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1,026.9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1,086.6</w:t>
            </w:r>
          </w:p>
        </w:tc>
        <w:tc>
          <w:tcPr>
            <w:tcW w:w="20" w:type="dxa"/>
            <w:vAlign w:val="bottom"/>
          </w:tcPr>
          <w:p>
            <w:pPr>
              <w:spacing w:after="0"/>
              <w:rPr>
                <w:sz w:val="23"/>
                <w:szCs w:val="23"/>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1,764.3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1,785.5</w:t>
            </w:r>
          </w:p>
        </w:tc>
        <w:tc>
          <w:tcPr>
            <w:tcW w:w="20" w:type="dxa"/>
            <w:vAlign w:val="bottom"/>
          </w:tcPr>
          <w:p>
            <w:pPr>
              <w:spacing w:after="0"/>
              <w:rPr>
                <w:sz w:val="23"/>
                <w:szCs w:val="23"/>
                <w:color w:val="auto"/>
              </w:rPr>
            </w:pPr>
          </w:p>
        </w:tc>
      </w:tr>
      <w:tr>
        <w:trPr>
          <w:trHeight w:val="27"/>
        </w:trPr>
        <w:tc>
          <w:tcPr>
            <w:tcW w:w="8220" w:type="dxa"/>
            <w:vAlign w:val="bottom"/>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822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19,594.4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23,518.8</w:t>
            </w:r>
          </w:p>
        </w:tc>
        <w:tc>
          <w:tcPr>
            <w:tcW w:w="20" w:type="dxa"/>
            <w:vAlign w:val="bottom"/>
          </w:tcPr>
          <w:p>
            <w:pPr>
              <w:spacing w:after="0"/>
              <w:rPr>
                <w:sz w:val="22"/>
                <w:szCs w:val="22"/>
                <w:color w:val="auto"/>
              </w:rPr>
            </w:pPr>
          </w:p>
        </w:tc>
      </w:tr>
      <w:tr>
        <w:trPr>
          <w:trHeight w:val="20"/>
        </w:trPr>
        <w:tc>
          <w:tcPr>
            <w:tcW w:w="8220" w:type="dxa"/>
            <w:vAlign w:val="bottom"/>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8220" w:type="dxa"/>
            <w:vAlign w:val="bottom"/>
            <w:gridSpan w:val="5"/>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524.1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495.4</w:t>
            </w:r>
          </w:p>
        </w:tc>
        <w:tc>
          <w:tcPr>
            <w:tcW w:w="20" w:type="dxa"/>
            <w:vAlign w:val="bottom"/>
          </w:tcPr>
          <w:p>
            <w:pPr>
              <w:spacing w:after="0"/>
              <w:rPr>
                <w:sz w:val="24"/>
                <w:szCs w:val="24"/>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Accounts payable, trade</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2,476.1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2,659.8</w:t>
            </w:r>
          </w:p>
        </w:tc>
        <w:tc>
          <w:tcPr>
            <w:tcW w:w="20" w:type="dxa"/>
            <w:vAlign w:val="bottom"/>
          </w:tcPr>
          <w:p>
            <w:pPr>
              <w:spacing w:after="0"/>
              <w:rPr>
                <w:sz w:val="23"/>
                <w:szCs w:val="23"/>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4,685.4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4,585.1</w:t>
            </w:r>
          </w:p>
        </w:tc>
        <w:tc>
          <w:tcPr>
            <w:tcW w:w="20" w:type="dxa"/>
            <w:vAlign w:val="bottom"/>
          </w:tcPr>
          <w:p>
            <w:pPr>
              <w:spacing w:after="0"/>
              <w:rPr>
                <w:sz w:val="23"/>
                <w:szCs w:val="23"/>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2,212.0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2,398.1</w:t>
            </w:r>
          </w:p>
        </w:tc>
        <w:tc>
          <w:tcPr>
            <w:tcW w:w="20" w:type="dxa"/>
            <w:vAlign w:val="bottom"/>
          </w:tcPr>
          <w:p>
            <w:pPr>
              <w:spacing w:after="0"/>
              <w:rPr>
                <w:sz w:val="23"/>
                <w:szCs w:val="23"/>
                <w:color w:val="auto"/>
              </w:rPr>
            </w:pPr>
          </w:p>
        </w:tc>
      </w:tr>
      <w:tr>
        <w:trPr>
          <w:trHeight w:val="27"/>
        </w:trPr>
        <w:tc>
          <w:tcPr>
            <w:tcW w:w="8220" w:type="dxa"/>
            <w:vAlign w:val="bottom"/>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8220" w:type="dxa"/>
            <w:vAlign w:val="bottom"/>
            <w:gridSpan w:val="5"/>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9,897.6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10,138.4</w:t>
            </w:r>
          </w:p>
        </w:tc>
        <w:tc>
          <w:tcPr>
            <w:tcW w:w="20" w:type="dxa"/>
            <w:vAlign w:val="bottom"/>
          </w:tcPr>
          <w:p>
            <w:pPr>
              <w:spacing w:after="0"/>
              <w:rPr>
                <w:sz w:val="20"/>
                <w:szCs w:val="20"/>
                <w:color w:val="auto"/>
              </w:rPr>
            </w:pPr>
          </w:p>
        </w:tc>
      </w:tr>
      <w:tr>
        <w:trPr>
          <w:trHeight w:val="486"/>
        </w:trPr>
        <w:tc>
          <w:tcPr>
            <w:tcW w:w="8220" w:type="dxa"/>
            <w:vAlign w:val="bottom"/>
            <w:gridSpan w:val="5"/>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4"/>
                <w:szCs w:val="24"/>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3,982.9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3,980.0</w:t>
            </w:r>
          </w:p>
        </w:tc>
        <w:tc>
          <w:tcPr>
            <w:tcW w:w="20" w:type="dxa"/>
            <w:vAlign w:val="bottom"/>
          </w:tcPr>
          <w:p>
            <w:pPr>
              <w:spacing w:after="0"/>
              <w:rPr>
                <w:sz w:val="24"/>
                <w:szCs w:val="24"/>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1,497.2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1,671.2</w:t>
            </w:r>
          </w:p>
        </w:tc>
        <w:tc>
          <w:tcPr>
            <w:tcW w:w="20" w:type="dxa"/>
            <w:vAlign w:val="bottom"/>
          </w:tcPr>
          <w:p>
            <w:pPr>
              <w:spacing w:after="0"/>
              <w:rPr>
                <w:sz w:val="23"/>
                <w:szCs w:val="23"/>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Redeemable non-controlling interest</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3"/>
                <w:szCs w:val="23"/>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TechnipFMC plc stockholders’ equity</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4,141.1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7,659.3</w:t>
            </w:r>
          </w:p>
        </w:tc>
        <w:tc>
          <w:tcPr>
            <w:tcW w:w="20" w:type="dxa"/>
            <w:vAlign w:val="bottom"/>
          </w:tcPr>
          <w:p>
            <w:pPr>
              <w:spacing w:after="0"/>
              <w:rPr>
                <w:sz w:val="23"/>
                <w:szCs w:val="23"/>
                <w:color w:val="auto"/>
              </w:rPr>
            </w:pPr>
          </w:p>
        </w:tc>
      </w:tr>
      <w:tr>
        <w:trPr>
          <w:trHeight w:val="270"/>
        </w:trPr>
        <w:tc>
          <w:tcPr>
            <w:tcW w:w="8220" w:type="dxa"/>
            <w:vAlign w:val="bottom"/>
            <w:gridSpan w:val="5"/>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3"/>
                <w:szCs w:val="23"/>
                <w:color w:val="auto"/>
              </w:rPr>
            </w:pPr>
          </w:p>
        </w:tc>
      </w:tr>
      <w:tr>
        <w:trPr>
          <w:trHeight w:val="27"/>
        </w:trPr>
        <w:tc>
          <w:tcPr>
            <w:tcW w:w="8220" w:type="dxa"/>
            <w:vAlign w:val="bottom"/>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8220" w:type="dxa"/>
            <w:vAlign w:val="bottom"/>
            <w:gridSpan w:val="5"/>
          </w:tcPr>
          <w:p>
            <w:pPr>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19,594.4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23,518.8</w:t>
            </w:r>
          </w:p>
        </w:tc>
        <w:tc>
          <w:tcPr>
            <w:tcW w:w="20" w:type="dxa"/>
            <w:vAlign w:val="bottom"/>
          </w:tcPr>
          <w:p>
            <w:pPr>
              <w:spacing w:after="0"/>
              <w:rPr>
                <w:sz w:val="22"/>
                <w:szCs w:val="22"/>
                <w:color w:val="auto"/>
              </w:rPr>
            </w:pPr>
          </w:p>
        </w:tc>
      </w:tr>
      <w:tr>
        <w:trPr>
          <w:trHeight w:val="21"/>
        </w:trPr>
        <w:tc>
          <w:tcPr>
            <w:tcW w:w="3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20"/>
        <w:spacing w:after="0"/>
        <w:tabs>
          <w:tab w:leader="none" w:pos="1022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19 of 27</w:t>
      </w:r>
    </w:p>
    <w:p>
      <w:pPr>
        <w:sectPr>
          <w:pgSz w:w="11900" w:h="16838" w:orient="portrait"/>
          <w:cols w:equalWidth="0" w:num="1">
            <w:col w:w="11200"/>
          </w:cols>
          <w:pgMar w:left="360" w:top="105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4"/>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ind w:left="480"/>
              <w:spacing w:after="0"/>
              <w:rPr>
                <w:sz w:val="20"/>
                <w:szCs w:val="20"/>
                <w:color w:val="auto"/>
              </w:rPr>
            </w:pPr>
            <w:r>
              <w:rPr>
                <w:rFonts w:ascii="Arial" w:cs="Arial" w:eastAsia="Arial" w:hAnsi="Arial"/>
                <w:sz w:val="13"/>
                <w:szCs w:val="13"/>
                <w:b w:val="1"/>
                <w:bCs w:val="1"/>
                <w:color w:val="auto"/>
                <w:w w:val="88"/>
              </w:rPr>
              <w:t>Exhibit 5</w:t>
            </w:r>
          </w:p>
        </w:tc>
        <w:tc>
          <w:tcPr>
            <w:tcW w:w="0" w:type="dxa"/>
            <w:vAlign w:val="bottom"/>
          </w:tcPr>
          <w:p>
            <w:pPr>
              <w:spacing w:after="0"/>
              <w:rPr>
                <w:sz w:val="1"/>
                <w:szCs w:val="1"/>
                <w:color w:val="auto"/>
              </w:rPr>
            </w:pPr>
          </w:p>
        </w:tc>
      </w:tr>
      <w:tr>
        <w:trPr>
          <w:trHeight w:val="326"/>
        </w:trPr>
        <w:tc>
          <w:tcPr>
            <w:tcW w:w="3380" w:type="dxa"/>
            <w:vAlign w:val="bottom"/>
          </w:tcPr>
          <w:p>
            <w:pPr>
              <w:spacing w:after="0"/>
              <w:rPr>
                <w:sz w:val="24"/>
                <w:szCs w:val="24"/>
                <w:color w:val="auto"/>
              </w:rPr>
            </w:pPr>
          </w:p>
        </w:tc>
        <w:tc>
          <w:tcPr>
            <w:tcW w:w="4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TECHNIPFMC PLC AND CONSOLIDATED SUBSIDIARIES</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4400" w:type="dxa"/>
            <w:vAlign w:val="bottom"/>
            <w:gridSpan w:val="3"/>
          </w:tcPr>
          <w:p>
            <w:pPr>
              <w:jc w:val="center"/>
              <w:spacing w:after="0" w:line="169" w:lineRule="exact"/>
              <w:rPr>
                <w:sz w:val="20"/>
                <w:szCs w:val="20"/>
                <w:color w:val="auto"/>
              </w:rPr>
            </w:pPr>
            <w:r>
              <w:rPr>
                <w:rFonts w:ascii="Arial" w:cs="Arial" w:eastAsia="Arial" w:hAnsi="Arial"/>
                <w:sz w:val="16"/>
                <w:szCs w:val="16"/>
                <w:b w:val="1"/>
                <w:bCs w:val="1"/>
                <w:color w:val="auto"/>
              </w:rPr>
              <w:t>CONSOLIDATED STATEMENTS OF CASH FLOWS</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w w:val="94"/>
              </w:rPr>
              <w:t>(Unaudited)</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w w:val="87"/>
              </w:rPr>
              <w:t>June 30,</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gridSpan w:val="4"/>
            <w:vMerge w:val="restart"/>
          </w:tcPr>
          <w:p>
            <w:pPr>
              <w:spacing w:after="0"/>
              <w:rPr>
                <w:sz w:val="20"/>
                <w:szCs w:val="20"/>
                <w:color w:val="auto"/>
              </w:rPr>
            </w:pPr>
            <w:r>
              <w:rPr>
                <w:rFonts w:ascii="Arial" w:cs="Arial" w:eastAsia="Arial" w:hAnsi="Arial"/>
                <w:sz w:val="16"/>
                <w:szCs w:val="16"/>
                <w:color w:val="auto"/>
              </w:rPr>
              <w:t>Cash provided (required) by operating activities</w:t>
            </w: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100"/>
              <w:spacing w:after="0"/>
              <w:rPr>
                <w:sz w:val="20"/>
                <w:szCs w:val="20"/>
                <w:color w:val="auto"/>
              </w:rPr>
            </w:pPr>
            <w:r>
              <w:rPr>
                <w:rFonts w:ascii="Arial" w:cs="Arial" w:eastAsia="Arial" w:hAnsi="Arial"/>
                <w:sz w:val="16"/>
                <w:szCs w:val="16"/>
                <w:color w:val="auto"/>
              </w:rPr>
              <w:t>Net income (loss)</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(3,230.4)</w:t>
            </w:r>
          </w:p>
        </w:tc>
        <w:tc>
          <w:tcPr>
            <w:tcW w:w="120" w:type="dxa"/>
            <w:vAlign w:val="bottom"/>
          </w:tcPr>
          <w:p>
            <w:pPr>
              <w:spacing w:after="0"/>
              <w:rPr>
                <w:sz w:val="22"/>
                <w:szCs w:val="22"/>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spacing w:after="0"/>
              <w:rPr>
                <w:sz w:val="20"/>
                <w:szCs w:val="20"/>
                <w:color w:val="auto"/>
              </w:rPr>
            </w:pPr>
            <w:r>
              <w:rPr>
                <w:rFonts w:ascii="Arial" w:cs="Arial" w:eastAsia="Arial" w:hAnsi="Arial"/>
                <w:sz w:val="16"/>
                <w:szCs w:val="16"/>
                <w:color w:val="auto"/>
              </w:rPr>
              <w:t>Adjustments to reconcile net income to cash provided (required) by operating activities</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Depreciation</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166.0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Amortization</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Impairments</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3,221.7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Employee benefit plan and share-based compensation costs</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Deferred income tax provision (benefit), net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Unrealized loss on derivative instruments and foreign exchange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Income from equity affiliates, net of dividends received</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Other</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233.3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Trade receivables, net and contract assets</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Inventories, net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Accounts payable, trade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Contract liabilities</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147.5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274.2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Income taxes payable (receivable), net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Other current assets and liabilities, net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(414.8)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Other noncurrent assets and liabilities, net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gridSpan w:val="4"/>
          </w:tcPr>
          <w:p>
            <w:pPr>
              <w:spacing w:after="0"/>
              <w:rPr>
                <w:sz w:val="20"/>
                <w:szCs w:val="20"/>
                <w:color w:val="auto"/>
              </w:rPr>
            </w:pPr>
            <w:r>
              <w:rPr>
                <w:rFonts w:ascii="Arial" w:cs="Arial" w:eastAsia="Arial" w:hAnsi="Arial"/>
                <w:sz w:val="16"/>
                <w:szCs w:val="16"/>
                <w:color w:val="auto"/>
              </w:rPr>
              <w:t>Cash provided (required) by operating activities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gridSpan w:val="4"/>
            <w:vMerge w:val="restart"/>
          </w:tcPr>
          <w:p>
            <w:pPr>
              <w:spacing w:after="0"/>
              <w:rPr>
                <w:sz w:val="20"/>
                <w:szCs w:val="20"/>
                <w:color w:val="auto"/>
              </w:rPr>
            </w:pPr>
            <w:r>
              <w:rPr>
                <w:rFonts w:ascii="Arial" w:cs="Arial" w:eastAsia="Arial" w:hAnsi="Arial"/>
                <w:sz w:val="16"/>
                <w:szCs w:val="16"/>
                <w:color w:val="auto"/>
              </w:rPr>
              <w:t>Cash provided (required) by investing activities</w:t>
            </w: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778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Capital expenditures</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(177.7)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Payment to acquire debt securities</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Proceeds from sale of debt securities</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Cash received from divestiture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Proceeds from sale of assets</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Proceeds from repayment of advance to joint venture</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gridSpan w:val="4"/>
          </w:tcPr>
          <w:p>
            <w:pPr>
              <w:spacing w:after="0"/>
              <w:rPr>
                <w:sz w:val="20"/>
                <w:szCs w:val="20"/>
                <w:color w:val="auto"/>
              </w:rPr>
            </w:pPr>
            <w:r>
              <w:rPr>
                <w:rFonts w:ascii="Arial" w:cs="Arial" w:eastAsia="Arial" w:hAnsi="Arial"/>
                <w:sz w:val="16"/>
                <w:szCs w:val="16"/>
                <w:color w:val="auto"/>
              </w:rPr>
              <w:t>Cash required by investing activities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gridSpan w:val="4"/>
            <w:vMerge w:val="restart"/>
          </w:tcPr>
          <w:p>
            <w:pPr>
              <w:spacing w:after="0"/>
              <w:rPr>
                <w:sz w:val="20"/>
                <w:szCs w:val="20"/>
                <w:color w:val="auto"/>
              </w:rPr>
            </w:pPr>
            <w:r>
              <w:rPr>
                <w:rFonts w:ascii="Arial" w:cs="Arial" w:eastAsia="Arial" w:hAnsi="Arial"/>
                <w:sz w:val="16"/>
                <w:szCs w:val="16"/>
                <w:color w:val="auto"/>
              </w:rPr>
              <w:t>Cash required by financing activities</w:t>
            </w: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778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Net increase (decrease) in short-term debt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Net decrease in commercial paper</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(479.5)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Proceeds from issuance of long-term debt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163.6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Purchase of ordinary shares</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Dividends paid</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Payments related to taxes withheld on share-based compensation</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Settlements of mandatorily redeemable financial liability</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(135.3)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gridSpan w:val="4"/>
          </w:tcPr>
          <w:p>
            <w:pPr>
              <w:spacing w:after="0"/>
              <w:rPr>
                <w:sz w:val="20"/>
                <w:szCs w:val="20"/>
                <w:color w:val="auto"/>
              </w:rPr>
            </w:pPr>
            <w:r>
              <w:rPr>
                <w:rFonts w:ascii="Arial" w:cs="Arial" w:eastAsia="Arial" w:hAnsi="Arial"/>
                <w:sz w:val="16"/>
                <w:szCs w:val="16"/>
                <w:color w:val="auto"/>
              </w:rPr>
              <w:t>Cash required by financing activities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Effect of changes in foreign exchange rates on cash and cash equivalents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gridSpan w:val="4"/>
          </w:tcPr>
          <w:p>
            <w:pPr>
              <w:ind w:left="300"/>
              <w:spacing w:after="0"/>
              <w:rPr>
                <w:sz w:val="20"/>
                <w:szCs w:val="20"/>
                <w:color w:val="auto"/>
              </w:rPr>
            </w:pPr>
            <w:r>
              <w:rPr>
                <w:rFonts w:ascii="Arial" w:cs="Arial" w:eastAsia="Arial" w:hAnsi="Arial"/>
                <w:sz w:val="16"/>
                <w:szCs w:val="16"/>
                <w:color w:val="auto"/>
              </w:rPr>
              <w:t>Decrease in cash and cash equivalents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(380.7)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780" w:type="dxa"/>
            <w:vAlign w:val="bottom"/>
            <w:gridSpan w:val="4"/>
          </w:tcPr>
          <w:p>
            <w:pPr>
              <w:spacing w:after="0"/>
              <w:rPr>
                <w:sz w:val="20"/>
                <w:szCs w:val="20"/>
                <w:color w:val="auto"/>
              </w:rPr>
            </w:pPr>
            <w:r>
              <w:rPr>
                <w:rFonts w:ascii="Arial" w:cs="Arial" w:eastAsia="Arial" w:hAnsi="Arial"/>
                <w:sz w:val="16"/>
                <w:szCs w:val="16"/>
                <w:color w:val="auto"/>
              </w:rPr>
              <w:t>Cash and cash equivalents, beginning of period</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5,190.2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5,540.0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780" w:type="dxa"/>
            <w:vAlign w:val="bottom"/>
            <w:gridSpan w:val="4"/>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780" w:type="dxa"/>
            <w:vAlign w:val="bottom"/>
            <w:gridSpan w:val="4"/>
          </w:tcPr>
          <w:p>
            <w:pPr>
              <w:spacing w:after="0"/>
              <w:rPr>
                <w:sz w:val="20"/>
                <w:szCs w:val="20"/>
                <w:color w:val="auto"/>
              </w:rPr>
            </w:pPr>
            <w:r>
              <w:rPr>
                <w:rFonts w:ascii="Arial" w:cs="Arial" w:eastAsia="Arial" w:hAnsi="Arial"/>
                <w:sz w:val="16"/>
                <w:szCs w:val="16"/>
                <w:color w:val="auto"/>
              </w:rPr>
              <w:t>Cash and cash equivalents, end of period</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4,809.5</w:t>
            </w:r>
          </w:p>
        </w:tc>
        <w:tc>
          <w:tcPr>
            <w:tcW w:w="12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4,621.3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60" w:top="1053"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5020"/>
        <w:spacing w:after="0"/>
        <w:tabs>
          <w:tab w:leader="none" w:pos="1022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20 of 27</w:t>
      </w:r>
    </w:p>
    <w:p>
      <w:pPr>
        <w:sectPr>
          <w:pgSz w:w="11900" w:h="16838" w:orient="portrait"/>
          <w:cols w:equalWidth="0" w:num="1">
            <w:col w:w="11200"/>
          </w:cols>
          <w:pgMar w:left="360" w:top="1053" w:right="3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3"/>
          <w:szCs w:val="13"/>
          <w:b w:val="1"/>
          <w:bCs w:val="1"/>
          <w:color w:val="auto"/>
        </w:rPr>
        <w:t>Exhibit 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6560" w:type="dxa"/>
            <w:vAlign w:val="bottom"/>
            <w:gridSpan w:val="5"/>
          </w:tcPr>
          <w:p>
            <w:pPr>
              <w:jc w:val="center"/>
              <w:ind w:right="1680"/>
              <w:spacing w:after="0"/>
              <w:rPr>
                <w:sz w:val="20"/>
                <w:szCs w:val="20"/>
                <w:color w:val="auto"/>
              </w:rPr>
            </w:pPr>
            <w:r>
              <w:rPr>
                <w:rFonts w:ascii="Arial" w:cs="Arial" w:eastAsia="Arial" w:hAnsi="Arial"/>
                <w:sz w:val="18"/>
                <w:szCs w:val="18"/>
                <w:b w:val="1"/>
                <w:bCs w:val="1"/>
                <w:color w:val="auto"/>
              </w:rPr>
              <w:t>TECHNIPFMC PLC AND CONSOLIDATED SUBSIDIARIES</w:t>
            </w:r>
          </w:p>
        </w:tc>
        <w:tc>
          <w:tcPr>
            <w:tcW w:w="1480" w:type="dxa"/>
            <w:vAlign w:val="bottom"/>
          </w:tcPr>
          <w:p>
            <w:pPr>
              <w:spacing w:after="0"/>
              <w:rPr>
                <w:sz w:val="17"/>
                <w:szCs w:val="17"/>
                <w:color w:val="auto"/>
              </w:rPr>
            </w:pPr>
          </w:p>
        </w:tc>
      </w:tr>
      <w:tr>
        <w:trPr>
          <w:trHeight w:val="196"/>
        </w:trPr>
        <w:tc>
          <w:tcPr>
            <w:tcW w:w="31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840" w:type="dxa"/>
            <w:vAlign w:val="bottom"/>
            <w:tcBorders>
              <w:top w:val="single" w:sz="8" w:color="auto"/>
            </w:tcBorders>
            <w:gridSpan w:val="2"/>
          </w:tcPr>
          <w:p>
            <w:pPr>
              <w:jc w:val="center"/>
              <w:ind w:right="1040"/>
              <w:spacing w:after="0" w:line="196" w:lineRule="exact"/>
              <w:rPr>
                <w:sz w:val="20"/>
                <w:szCs w:val="20"/>
                <w:color w:val="auto"/>
              </w:rPr>
            </w:pPr>
            <w:r>
              <w:rPr>
                <w:rFonts w:ascii="Arial" w:cs="Arial" w:eastAsia="Arial" w:hAnsi="Arial"/>
                <w:sz w:val="18"/>
                <w:szCs w:val="18"/>
                <w:b w:val="1"/>
                <w:bCs w:val="1"/>
                <w:color w:val="auto"/>
                <w:w w:val="98"/>
              </w:rPr>
              <w:t>CASH AND CASH EQUIVALENTS</w:t>
            </w:r>
          </w:p>
        </w:tc>
        <w:tc>
          <w:tcPr>
            <w:tcW w:w="168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billions, unaudited)</w:t>
            </w:r>
          </w:p>
        </w:tc>
        <w:tc>
          <w:tcPr>
            <w:tcW w:w="2720" w:type="dxa"/>
            <w:vAlign w:val="bottom"/>
            <w:gridSpan w:val="3"/>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3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7"/>
        </w:trPr>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554"/>
              <w:spacing w:after="0"/>
              <w:rPr>
                <w:sz w:val="20"/>
                <w:szCs w:val="20"/>
                <w:color w:val="auto"/>
              </w:rPr>
            </w:pPr>
            <w:r>
              <w:rPr>
                <w:rFonts w:ascii="Arial" w:cs="Arial" w:eastAsia="Arial" w:hAnsi="Arial"/>
                <w:sz w:val="16"/>
                <w:szCs w:val="16"/>
                <w:b w:val="1"/>
                <w:bCs w:val="1"/>
                <w:color w:val="auto"/>
              </w:rPr>
              <w:t>June 30,</w:t>
            </w:r>
          </w:p>
        </w:tc>
      </w:tr>
      <w:tr>
        <w:trPr>
          <w:trHeight w:val="257"/>
        </w:trPr>
        <w:tc>
          <w:tcPr>
            <w:tcW w:w="3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jc w:val="right"/>
              <w:ind w:right="674"/>
              <w:spacing w:after="0"/>
              <w:rPr>
                <w:sz w:val="20"/>
                <w:szCs w:val="20"/>
                <w:color w:val="auto"/>
              </w:rPr>
            </w:pPr>
            <w:r>
              <w:rPr>
                <w:rFonts w:ascii="Arial" w:cs="Arial" w:eastAsia="Arial" w:hAnsi="Arial"/>
                <w:sz w:val="16"/>
                <w:szCs w:val="16"/>
                <w:b w:val="1"/>
                <w:bCs w:val="1"/>
                <w:color w:val="auto"/>
              </w:rPr>
              <w:t>2020</w:t>
            </w:r>
          </w:p>
        </w:tc>
      </w:tr>
      <w:tr>
        <w:trPr>
          <w:trHeight w:val="33"/>
        </w:trPr>
        <w:tc>
          <w:tcPr>
            <w:tcW w:w="3140" w:type="dxa"/>
            <w:vAlign w:val="bottom"/>
          </w:tcPr>
          <w:p>
            <w:pPr>
              <w:spacing w:after="0"/>
              <w:rPr>
                <w:sz w:val="2"/>
                <w:szCs w:val="2"/>
                <w:color w:val="auto"/>
              </w:rPr>
            </w:pPr>
          </w:p>
        </w:tc>
        <w:tc>
          <w:tcPr>
            <w:tcW w:w="6200" w:type="dxa"/>
            <w:vAlign w:val="bottom"/>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8"/>
                <w:szCs w:val="18"/>
                <w:color w:val="auto"/>
              </w:rPr>
              <w:t>Held by joint ventures</w:t>
            </w:r>
          </w:p>
        </w:tc>
        <w:tc>
          <w:tcPr>
            <w:tcW w:w="656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2.8</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Operating cash and cash equivalents</w:t>
            </w:r>
          </w:p>
        </w:tc>
        <w:tc>
          <w:tcPr>
            <w:tcW w:w="10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2.0</w:t>
            </w:r>
          </w:p>
        </w:tc>
      </w:tr>
      <w:tr>
        <w:trPr>
          <w:trHeight w:val="27"/>
        </w:trPr>
        <w:tc>
          <w:tcPr>
            <w:tcW w:w="3140" w:type="dxa"/>
            <w:vAlign w:val="bottom"/>
          </w:tcPr>
          <w:p>
            <w:pPr>
              <w:spacing w:after="0"/>
              <w:rPr>
                <w:sz w:val="2"/>
                <w:szCs w:val="2"/>
                <w:color w:val="auto"/>
              </w:rPr>
            </w:pPr>
          </w:p>
        </w:tc>
        <w:tc>
          <w:tcPr>
            <w:tcW w:w="6200" w:type="dxa"/>
            <w:vAlign w:val="bottom"/>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3140" w:type="dxa"/>
            <w:vAlign w:val="bottom"/>
          </w:tcPr>
          <w:p>
            <w:pPr>
              <w:spacing w:after="0"/>
              <w:rPr>
                <w:sz w:val="20"/>
                <w:szCs w:val="20"/>
                <w:color w:val="auto"/>
              </w:rPr>
            </w:pPr>
            <w:r>
              <w:rPr>
                <w:rFonts w:ascii="Arial" w:cs="Arial" w:eastAsia="Arial" w:hAnsi="Arial"/>
                <w:sz w:val="18"/>
                <w:szCs w:val="18"/>
                <w:color w:val="auto"/>
              </w:rPr>
              <w:t>Total cash and cash equivalents</w:t>
            </w:r>
          </w:p>
        </w:tc>
        <w:tc>
          <w:tcPr>
            <w:tcW w:w="656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4.8</w:t>
            </w:r>
          </w:p>
        </w:tc>
      </w:tr>
      <w:tr>
        <w:trPr>
          <w:trHeight w:val="21"/>
        </w:trPr>
        <w:tc>
          <w:tcPr>
            <w:tcW w:w="3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020"/>
        <w:spacing w:after="0"/>
        <w:tabs>
          <w:tab w:leader="none" w:pos="1022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21 of 27</w:t>
      </w:r>
    </w:p>
    <w:p>
      <w:pPr>
        <w:sectPr>
          <w:pgSz w:w="11900" w:h="16838" w:orient="portrait"/>
          <w:cols w:equalWidth="0" w:num="1">
            <w:col w:w="11200"/>
          </w:cols>
          <w:pgMar w:left="360" w:top="1053"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3"/>
          <w:szCs w:val="13"/>
          <w:b w:val="1"/>
          <w:bCs w:val="1"/>
          <w:color w:val="auto"/>
        </w:rPr>
        <w:t>Exhibit 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 FOR YAMAL LNG JOINT VENTURE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control the voting control interests in the legal Technip Energies contract entities which own and account for the design, engineering, and construction of the Yamal LNG plant. Our partners have a 50% joint interest in these entities. Below is summarized financial information for the consolidated Yamal LNG joint venture as reflected at 100%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382905</wp:posOffset>
            </wp:positionV>
            <wp:extent cx="9086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175"/>
              <w:spacing w:after="0"/>
              <w:rPr>
                <w:sz w:val="20"/>
                <w:szCs w:val="20"/>
                <w:color w:val="auto"/>
              </w:rPr>
            </w:pPr>
            <w:r>
              <w:rPr>
                <w:rFonts w:ascii="Arial" w:cs="Arial" w:eastAsia="Arial" w:hAnsi="Arial"/>
                <w:sz w:val="16"/>
                <w:szCs w:val="16"/>
                <w:b w:val="1"/>
                <w:bCs w:val="1"/>
                <w:color w:val="auto"/>
                <w:w w:val="90"/>
              </w:rPr>
              <w:t>June 30,</w:t>
            </w:r>
          </w:p>
        </w:tc>
        <w:tc>
          <w:tcPr>
            <w:tcW w:w="20" w:type="dxa"/>
            <w:vAlign w:val="bottom"/>
          </w:tcPr>
          <w:p>
            <w:pPr>
              <w:spacing w:after="0"/>
              <w:rPr>
                <w:sz w:val="18"/>
                <w:szCs w:val="18"/>
                <w:color w:val="auto"/>
              </w:rPr>
            </w:pPr>
          </w:p>
        </w:tc>
      </w:tr>
      <w:tr>
        <w:trPr>
          <w:trHeight w:val="257"/>
        </w:trPr>
        <w:tc>
          <w:tcPr>
            <w:tcW w:w="45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ind w:left="280"/>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22"/>
                <w:szCs w:val="22"/>
                <w:color w:val="auto"/>
              </w:rPr>
            </w:pPr>
          </w:p>
        </w:tc>
      </w:tr>
      <w:tr>
        <w:trPr>
          <w:trHeight w:val="33"/>
        </w:trPr>
        <w:tc>
          <w:tcPr>
            <w:tcW w:w="45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1,096.9</w:t>
            </w:r>
          </w:p>
        </w:tc>
        <w:tc>
          <w:tcPr>
            <w:tcW w:w="20" w:type="dxa"/>
            <w:vAlign w:val="bottom"/>
          </w:tcPr>
          <w:p>
            <w:pPr>
              <w:spacing w:after="0"/>
              <w:rPr>
                <w:sz w:val="20"/>
                <w:szCs w:val="20"/>
                <w:color w:val="auto"/>
              </w:rPr>
            </w:pPr>
          </w:p>
        </w:tc>
      </w:tr>
      <w:tr>
        <w:trPr>
          <w:trHeight w:val="270"/>
        </w:trPr>
        <w:tc>
          <w:tcPr>
            <w:tcW w:w="4560" w:type="dxa"/>
            <w:vAlign w:val="bottom"/>
          </w:tcPr>
          <w:p>
            <w:pPr>
              <w:ind w:left="20"/>
              <w:spacing w:after="0"/>
              <w:rPr>
                <w:sz w:val="20"/>
                <w:szCs w:val="20"/>
                <w:color w:val="auto"/>
              </w:rPr>
            </w:pPr>
            <w:r>
              <w:rPr>
                <w:rFonts w:ascii="Arial" w:cs="Arial" w:eastAsia="Arial" w:hAnsi="Arial"/>
                <w:sz w:val="18"/>
                <w:szCs w:val="18"/>
                <w:color w:val="auto"/>
              </w:rPr>
              <w:t>Mandatorily redeemable financial liability</w:t>
            </w:r>
          </w:p>
        </w:tc>
        <w:tc>
          <w:tcPr>
            <w:tcW w:w="3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219.8</w:t>
            </w:r>
          </w:p>
        </w:tc>
        <w:tc>
          <w:tcPr>
            <w:tcW w:w="20" w:type="dxa"/>
            <w:vAlign w:val="bottom"/>
          </w:tcPr>
          <w:p>
            <w:pPr>
              <w:spacing w:after="0"/>
              <w:rPr>
                <w:sz w:val="23"/>
                <w:szCs w:val="23"/>
                <w:color w:val="auto"/>
              </w:rPr>
            </w:pPr>
          </w:p>
        </w:tc>
      </w:tr>
      <w:tr>
        <w:trPr>
          <w:trHeight w:val="648"/>
        </w:trPr>
        <w:tc>
          <w:tcPr>
            <w:tcW w:w="4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9"/>
        </w:trPr>
        <w:tc>
          <w:tcPr>
            <w:tcW w:w="4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Three Months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20" w:type="dxa"/>
            <w:vAlign w:val="bottom"/>
          </w:tcPr>
          <w:p>
            <w:pPr>
              <w:spacing w:after="0"/>
              <w:rPr>
                <w:sz w:val="18"/>
                <w:szCs w:val="18"/>
                <w:color w:val="auto"/>
              </w:rPr>
            </w:pPr>
          </w:p>
        </w:tc>
      </w:tr>
      <w:tr>
        <w:trPr>
          <w:trHeight w:val="257"/>
        </w:trPr>
        <w:tc>
          <w:tcPr>
            <w:tcW w:w="45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June 30,</w:t>
            </w:r>
          </w:p>
        </w:tc>
        <w:tc>
          <w:tcPr>
            <w:tcW w:w="260" w:type="dxa"/>
            <w:vAlign w:val="bottom"/>
          </w:tcPr>
          <w:p>
            <w:pPr>
              <w:spacing w:after="0"/>
              <w:rPr>
                <w:sz w:val="22"/>
                <w:szCs w:val="22"/>
                <w:color w:val="auto"/>
              </w:rPr>
            </w:pPr>
          </w:p>
        </w:tc>
        <w:tc>
          <w:tcPr>
            <w:tcW w:w="1160" w:type="dxa"/>
            <w:vAlign w:val="bottom"/>
          </w:tcPr>
          <w:p>
            <w:pPr>
              <w:jc w:val="center"/>
              <w:ind w:right="135"/>
              <w:spacing w:after="0"/>
              <w:rPr>
                <w:sz w:val="20"/>
                <w:szCs w:val="20"/>
                <w:color w:val="auto"/>
              </w:rPr>
            </w:pPr>
            <w:r>
              <w:rPr>
                <w:rFonts w:ascii="Arial" w:cs="Arial" w:eastAsia="Arial" w:hAnsi="Arial"/>
                <w:sz w:val="16"/>
                <w:szCs w:val="16"/>
                <w:b w:val="1"/>
                <w:bCs w:val="1"/>
                <w:color w:val="auto"/>
                <w:w w:val="90"/>
              </w:rPr>
              <w:t>June 30,</w:t>
            </w:r>
          </w:p>
        </w:tc>
        <w:tc>
          <w:tcPr>
            <w:tcW w:w="20" w:type="dxa"/>
            <w:vAlign w:val="bottom"/>
          </w:tcPr>
          <w:p>
            <w:pPr>
              <w:spacing w:after="0"/>
              <w:rPr>
                <w:sz w:val="22"/>
                <w:szCs w:val="22"/>
                <w:color w:val="auto"/>
              </w:rPr>
            </w:pPr>
          </w:p>
        </w:tc>
      </w:tr>
      <w:tr>
        <w:trPr>
          <w:trHeight w:val="276"/>
        </w:trPr>
        <w:tc>
          <w:tcPr>
            <w:tcW w:w="4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75"/>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4"/>
                <w:szCs w:val="24"/>
                <w:color w:val="auto"/>
              </w:rPr>
            </w:pPr>
          </w:p>
        </w:tc>
      </w:tr>
      <w:tr>
        <w:trPr>
          <w:trHeight w:val="27"/>
        </w:trPr>
        <w:tc>
          <w:tcPr>
            <w:tcW w:w="45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3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20"/>
                <w:szCs w:val="20"/>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8"/>
                <w:szCs w:val="18"/>
                <w:color w:val="auto"/>
              </w:rPr>
              <w:t>Settlements of mandatorily redeemable financial liability</w:t>
            </w:r>
          </w:p>
        </w:tc>
        <w:tc>
          <w:tcPr>
            <w:tcW w:w="3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(131.1)</w:t>
            </w:r>
          </w:p>
        </w:tc>
        <w:tc>
          <w:tcPr>
            <w:tcW w:w="80" w:type="dxa"/>
            <w:vAlign w:val="bottom"/>
          </w:tcPr>
          <w:p>
            <w:pPr>
              <w:spacing w:after="0"/>
              <w:rPr>
                <w:sz w:val="23"/>
                <w:szCs w:val="23"/>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(135.3)</w:t>
            </w:r>
          </w:p>
        </w:tc>
        <w:tc>
          <w:tcPr>
            <w:tcW w:w="20" w:type="dxa"/>
            <w:vAlign w:val="bottom"/>
          </w:tcPr>
          <w:p>
            <w:pPr>
              <w:spacing w:after="0"/>
              <w:rPr>
                <w:sz w:val="23"/>
                <w:szCs w:val="23"/>
                <w:color w:val="auto"/>
              </w:rPr>
            </w:pPr>
          </w:p>
        </w:tc>
      </w:tr>
      <w:tr>
        <w:trPr>
          <w:trHeight w:val="906"/>
        </w:trPr>
        <w:tc>
          <w:tcPr>
            <w:tcW w:w="4560" w:type="dxa"/>
            <w:vAlign w:val="bottom"/>
          </w:tcPr>
          <w:p>
            <w:pPr>
              <w:spacing w:after="0"/>
              <w:rPr>
                <w:sz w:val="24"/>
                <w:szCs w:val="24"/>
                <w:color w:val="auto"/>
              </w:rPr>
            </w:pPr>
          </w:p>
        </w:tc>
        <w:tc>
          <w:tcPr>
            <w:tcW w:w="3860" w:type="dxa"/>
            <w:vAlign w:val="bottom"/>
            <w:gridSpan w:val="2"/>
          </w:tcPr>
          <w:p>
            <w:pPr>
              <w:jc w:val="right"/>
              <w:ind w:right="2200"/>
              <w:spacing w:after="0"/>
              <w:rPr>
                <w:sz w:val="20"/>
                <w:szCs w:val="20"/>
                <w:color w:val="auto"/>
              </w:rPr>
            </w:pPr>
            <w:r>
              <w:rPr>
                <w:rFonts w:ascii="Arial" w:cs="Arial" w:eastAsia="Arial" w:hAnsi="Arial"/>
                <w:sz w:val="14"/>
                <w:szCs w:val="14"/>
                <w:b w:val="1"/>
                <w:bCs w:val="1"/>
                <w:color w:val="auto"/>
              </w:rPr>
              <w:t>TechnipFMC.com</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Page 22 of 27</w:t>
            </w:r>
          </w:p>
        </w:tc>
        <w:tc>
          <w:tcPr>
            <w:tcW w:w="20" w:type="dxa"/>
            <w:vAlign w:val="bottom"/>
          </w:tcPr>
          <w:p>
            <w:pPr>
              <w:spacing w:after="0"/>
              <w:rPr>
                <w:sz w:val="24"/>
                <w:szCs w:val="24"/>
                <w:color w:val="auto"/>
              </w:rPr>
            </w:pPr>
          </w:p>
        </w:tc>
      </w:tr>
    </w:tbl>
    <w:p>
      <w:pPr>
        <w:sectPr>
          <w:pgSz w:w="11900" w:h="16838" w:orient="portrait"/>
          <w:cols w:equalWidth="0" w:num="1">
            <w:col w:w="11240"/>
          </w:cols>
          <w:pgMar w:left="320" w:top="1053"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3"/>
          <w:szCs w:val="13"/>
          <w:b w:val="1"/>
          <w:bCs w:val="1"/>
          <w:color w:val="auto"/>
        </w:rPr>
        <w:t>Exhibit 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In addition to financial results determined in accordance with U.S. generally accepted accounting principles (GAAP), the second quarter 2020 Earnings Release also includes non-GAAP financial measures (as defined in Item 10 of Regulation S-K of the Securities Exchange Act of 1934, as amended) and describes performance on a year-over-year basis against 2019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465455</wp:posOffset>
            </wp:positionV>
            <wp:extent cx="5212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1"/>
          <w:szCs w:val="11"/>
          <w:color w:val="auto"/>
        </w:rPr>
        <w:t>TechnipFMC plc, as reported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1"/>
          <w:szCs w:val="11"/>
          <w:color w:val="auto"/>
        </w:rPr>
        <w:t>Charges and (credits):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Impairment and other charges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Restructuring and other charges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Direct COVID-19 expenses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Litigation settlement</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Valuation allowance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1"/>
          <w:szCs w:val="11"/>
          <w:color w:val="auto"/>
        </w:rPr>
        <w:t>Adjusted financial measures</w:t>
      </w:r>
    </w:p>
    <w:p>
      <w:pPr>
        <w:spacing w:after="0" w:line="211" w:lineRule="exact"/>
        <w:rPr>
          <w:sz w:val="20"/>
          <w:szCs w:val="20"/>
          <w:color w:val="auto"/>
        </w:rPr>
      </w:pPr>
    </w:p>
    <w:p>
      <w:pPr>
        <w:ind w:left="40"/>
        <w:spacing w:after="0" w:line="249" w:lineRule="auto"/>
        <w:rPr>
          <w:sz w:val="20"/>
          <w:szCs w:val="20"/>
          <w:color w:val="auto"/>
        </w:rPr>
      </w:pPr>
      <w:r>
        <w:rPr>
          <w:rFonts w:ascii="Arial" w:cs="Arial" w:eastAsia="Arial" w:hAnsi="Arial"/>
          <w:sz w:val="11"/>
          <w:szCs w:val="11"/>
          <w:color w:val="auto"/>
        </w:rPr>
        <w:t>Diluted earnings (loss) per share attributable to TechnipFMC plc, as reported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9"/>
          <w:szCs w:val="9"/>
          <w:color w:val="auto"/>
        </w:rPr>
        <w:t>Adjusted diluted earnings per share attributable to TechnipFMC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Three Months Ended</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5212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Earnings before net</w:t>
            </w:r>
          </w:p>
        </w:tc>
      </w:tr>
      <w:tr>
        <w:trPr>
          <w:trHeight w:val="122"/>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4"/>
              </w:rPr>
              <w:t>interest expense,</w:t>
            </w:r>
          </w:p>
        </w:tc>
      </w:tr>
      <w:tr>
        <w:trPr>
          <w:trHeight w:val="122"/>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Income before net</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5"/>
              </w:rPr>
              <w:t>income taxes,</w:t>
            </w:r>
          </w:p>
        </w:tc>
      </w:tr>
      <w:tr>
        <w:trPr>
          <w:trHeight w:val="122"/>
        </w:trPr>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Net income</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Net income (loss)</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interest expense and</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8"/>
              </w:rPr>
              <w:t>depreciation and</w:t>
            </w:r>
          </w:p>
        </w:tc>
      </w:tr>
      <w:tr>
        <w:trPr>
          <w:trHeight w:val="121"/>
        </w:trPr>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attributable to</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attributable to non-</w:t>
            </w:r>
          </w:p>
        </w:tc>
        <w:tc>
          <w:tcPr>
            <w:tcW w:w="11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Provision for income</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3"/>
              </w:rPr>
              <w:t>income taxes</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10"/>
                <w:szCs w:val="10"/>
                <w:color w:val="auto"/>
              </w:rPr>
            </w:pPr>
          </w:p>
        </w:tc>
        <w:tc>
          <w:tcPr>
            <w:tcW w:w="10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1"/>
              </w:rPr>
              <w:t>amortization</w:t>
            </w:r>
          </w:p>
        </w:tc>
      </w:tr>
      <w:tr>
        <w:trPr>
          <w:trHeight w:val="140"/>
        </w:trPr>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TechnipFMC plc</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controlling interests</w:t>
            </w:r>
          </w:p>
        </w:tc>
        <w:tc>
          <w:tcPr>
            <w:tcW w:w="240" w:type="dxa"/>
            <w:vAlign w:val="bottom"/>
          </w:tcPr>
          <w:p>
            <w:pPr>
              <w:spacing w:after="0"/>
              <w:rPr>
                <w:sz w:val="12"/>
                <w:szCs w:val="12"/>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5"/>
              </w:rPr>
              <w:t>taxes</w:t>
            </w:r>
          </w:p>
        </w:tc>
        <w:tc>
          <w:tcPr>
            <w:tcW w:w="8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1"/>
                <w:szCs w:val="11"/>
                <w:b w:val="1"/>
                <w:bCs w:val="1"/>
                <w:color w:val="auto"/>
              </w:rPr>
              <w:t>Net interest expense</w:t>
            </w:r>
          </w:p>
        </w:tc>
        <w:tc>
          <w:tcPr>
            <w:tcW w:w="6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(Operating profit)</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100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7"/>
        </w:trPr>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ind w:left="660"/>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17.7</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74.4</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107.4</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106.6</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214.0</w:t>
            </w:r>
          </w:p>
        </w:tc>
      </w:tr>
      <w:tr>
        <w:trPr>
          <w:trHeight w:val="513"/>
        </w:trPr>
        <w:tc>
          <w:tcPr>
            <w:tcW w:w="100" w:type="dxa"/>
            <w:vAlign w:val="bottom"/>
          </w:tcPr>
          <w:p>
            <w:pPr>
              <w:spacing w:after="0"/>
              <w:rPr>
                <w:sz w:val="24"/>
                <w:szCs w:val="24"/>
                <w:color w:val="auto"/>
              </w:rPr>
            </w:pPr>
          </w:p>
        </w:tc>
        <w:tc>
          <w:tcPr>
            <w:tcW w:w="980" w:type="dxa"/>
            <w:vAlign w:val="bottom"/>
          </w:tcPr>
          <w:p>
            <w:pPr>
              <w:ind w:left="660"/>
              <w:spacing w:after="0"/>
              <w:rPr>
                <w:sz w:val="20"/>
                <w:szCs w:val="20"/>
                <w:color w:val="auto"/>
              </w:rPr>
            </w:pPr>
            <w:r>
              <w:rPr>
                <w:rFonts w:ascii="Arial" w:cs="Arial" w:eastAsia="Arial" w:hAnsi="Arial"/>
                <w:sz w:val="11"/>
                <w:szCs w:val="11"/>
                <w:color w:val="auto"/>
              </w:rPr>
              <w:t>53.5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33.7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33.7</w:t>
            </w:r>
          </w:p>
        </w:tc>
      </w:tr>
      <w:tr>
        <w:trPr>
          <w:trHeight w:val="175"/>
        </w:trPr>
        <w:tc>
          <w:tcPr>
            <w:tcW w:w="100" w:type="dxa"/>
            <w:vAlign w:val="bottom"/>
          </w:tcPr>
          <w:p>
            <w:pPr>
              <w:spacing w:after="0"/>
              <w:rPr>
                <w:sz w:val="15"/>
                <w:szCs w:val="15"/>
                <w:color w:val="auto"/>
              </w:rPr>
            </w:pPr>
          </w:p>
        </w:tc>
        <w:tc>
          <w:tcPr>
            <w:tcW w:w="980" w:type="dxa"/>
            <w:vAlign w:val="bottom"/>
          </w:tcPr>
          <w:p>
            <w:pPr>
              <w:ind w:left="660"/>
              <w:spacing w:after="0"/>
              <w:rPr>
                <w:sz w:val="20"/>
                <w:szCs w:val="20"/>
                <w:color w:val="auto"/>
              </w:rPr>
            </w:pPr>
            <w:r>
              <w:rPr>
                <w:rFonts w:ascii="Arial" w:cs="Arial" w:eastAsia="Arial" w:hAnsi="Arial"/>
                <w:sz w:val="11"/>
                <w:szCs w:val="11"/>
                <w:color w:val="auto"/>
              </w:rPr>
              <w:t>47.6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50.2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50.2</w:t>
            </w:r>
          </w:p>
        </w:tc>
      </w:tr>
      <w:tr>
        <w:trPr>
          <w:trHeight w:val="176"/>
        </w:trPr>
        <w:tc>
          <w:tcPr>
            <w:tcW w:w="100" w:type="dxa"/>
            <w:vAlign w:val="bottom"/>
          </w:tcPr>
          <w:p>
            <w:pPr>
              <w:spacing w:after="0"/>
              <w:rPr>
                <w:sz w:val="15"/>
                <w:szCs w:val="15"/>
                <w:color w:val="auto"/>
              </w:rPr>
            </w:pPr>
          </w:p>
        </w:tc>
        <w:tc>
          <w:tcPr>
            <w:tcW w:w="980" w:type="dxa"/>
            <w:vAlign w:val="bottom"/>
          </w:tcPr>
          <w:p>
            <w:pPr>
              <w:ind w:left="660"/>
              <w:spacing w:after="0"/>
              <w:rPr>
                <w:sz w:val="20"/>
                <w:szCs w:val="20"/>
                <w:color w:val="auto"/>
              </w:rPr>
            </w:pPr>
            <w:r>
              <w:rPr>
                <w:rFonts w:ascii="Arial" w:cs="Arial" w:eastAsia="Arial" w:hAnsi="Arial"/>
                <w:sz w:val="11"/>
                <w:szCs w:val="11"/>
                <w:color w:val="auto"/>
              </w:rPr>
              <w:t>47.8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56.4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56.4</w:t>
            </w:r>
          </w:p>
        </w:tc>
      </w:tr>
      <w:tr>
        <w:trPr>
          <w:trHeight w:val="176"/>
        </w:trPr>
        <w:tc>
          <w:tcPr>
            <w:tcW w:w="100" w:type="dxa"/>
            <w:vAlign w:val="bottom"/>
          </w:tcPr>
          <w:p>
            <w:pPr>
              <w:spacing w:after="0"/>
              <w:rPr>
                <w:sz w:val="15"/>
                <w:szCs w:val="15"/>
                <w:color w:val="auto"/>
              </w:rPr>
            </w:pPr>
          </w:p>
        </w:tc>
        <w:tc>
          <w:tcPr>
            <w:tcW w:w="980" w:type="dxa"/>
            <w:vAlign w:val="bottom"/>
          </w:tcPr>
          <w:p>
            <w:pPr>
              <w:ind w:left="560"/>
              <w:spacing w:after="0"/>
              <w:rPr>
                <w:sz w:val="20"/>
                <w:szCs w:val="20"/>
                <w:color w:val="auto"/>
              </w:rPr>
            </w:pPr>
            <w:r>
              <w:rPr>
                <w:rFonts w:ascii="Arial" w:cs="Arial" w:eastAsia="Arial" w:hAnsi="Arial"/>
                <w:sz w:val="11"/>
                <w:szCs w:val="11"/>
                <w:color w:val="auto"/>
              </w:rPr>
              <w:t>(113.2)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(113.2)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46"/>
              <w:spacing w:after="0"/>
              <w:rPr>
                <w:sz w:val="20"/>
                <w:szCs w:val="20"/>
                <w:color w:val="auto"/>
              </w:rPr>
            </w:pPr>
            <w:r>
              <w:rPr>
                <w:rFonts w:ascii="Arial" w:cs="Arial" w:eastAsia="Arial" w:hAnsi="Arial"/>
                <w:sz w:val="11"/>
                <w:szCs w:val="11"/>
                <w:color w:val="auto"/>
              </w:rPr>
              <w:t>(113.2)</w:t>
            </w:r>
          </w:p>
        </w:tc>
      </w:tr>
      <w:tr>
        <w:trPr>
          <w:trHeight w:val="175"/>
        </w:trPr>
        <w:tc>
          <w:tcPr>
            <w:tcW w:w="100" w:type="dxa"/>
            <w:vAlign w:val="bottom"/>
          </w:tcPr>
          <w:p>
            <w:pPr>
              <w:spacing w:after="0"/>
              <w:rPr>
                <w:sz w:val="15"/>
                <w:szCs w:val="15"/>
                <w:color w:val="auto"/>
              </w:rPr>
            </w:pPr>
          </w:p>
        </w:tc>
        <w:tc>
          <w:tcPr>
            <w:tcW w:w="980" w:type="dxa"/>
            <w:vAlign w:val="bottom"/>
          </w:tcPr>
          <w:p>
            <w:pPr>
              <w:ind w:left="660"/>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7"/>
        </w:trPr>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ind w:left="660"/>
              <w:spacing w:after="0"/>
              <w:rPr>
                <w:sz w:val="20"/>
                <w:szCs w:val="20"/>
                <w:color w:val="auto"/>
              </w:rPr>
            </w:pPr>
            <w:r>
              <w:rPr>
                <w:rFonts w:ascii="Arial" w:cs="Arial" w:eastAsia="Arial" w:hAnsi="Arial"/>
                <w:sz w:val="11"/>
                <w:szCs w:val="11"/>
                <w:color w:val="auto"/>
              </w:rPr>
              <w:t>42.2</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86"/>
              <w:spacing w:after="0"/>
              <w:rPr>
                <w:sz w:val="20"/>
                <w:szCs w:val="20"/>
                <w:color w:val="auto"/>
              </w:rPr>
            </w:pPr>
            <w:r>
              <w:rPr>
                <w:rFonts w:ascii="Arial" w:cs="Arial" w:eastAsia="Arial" w:hAnsi="Arial"/>
                <w:sz w:val="11"/>
                <w:szCs w:val="11"/>
                <w:color w:val="auto"/>
              </w:rPr>
              <w:t>14.3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74.4</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134.5</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106.6</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241.1</w:t>
            </w: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760" w:hanging="744"/>
        <w:spacing w:after="0"/>
        <w:tabs>
          <w:tab w:leader="none" w:pos="7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0.03</w:t>
      </w:r>
    </w:p>
    <w:p>
      <w:pPr>
        <w:spacing w:after="0" w:line="49" w:lineRule="exact"/>
        <w:rPr>
          <w:rFonts w:ascii="Arial" w:cs="Arial" w:eastAsia="Arial" w:hAnsi="Arial"/>
          <w:sz w:val="11"/>
          <w:szCs w:val="11"/>
          <w:color w:val="auto"/>
        </w:rPr>
      </w:pPr>
    </w:p>
    <w:p>
      <w:pPr>
        <w:ind w:left="760" w:hanging="744"/>
        <w:spacing w:after="0"/>
        <w:tabs>
          <w:tab w:leader="none" w:pos="7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414655</wp:posOffset>
            </wp:positionV>
            <wp:extent cx="5212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40"/>
            <w:col w:w="8220"/>
          </w:cols>
          <w:pgMar w:left="320" w:top="1053"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Three Months Ended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June 30, 2019</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Earnings before net</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4"/>
              </w:rPr>
              <w:t>interest expense,</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Income before net</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5"/>
              </w:rPr>
              <w:t>income taxes,</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Net income (loss)</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Net income (loss)</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interest expense and</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8"/>
              </w:rPr>
              <w:t>depreciation and</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attributable to</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attributable to non-</w:t>
            </w:r>
          </w:p>
        </w:tc>
        <w:tc>
          <w:tcPr>
            <w:tcW w:w="11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9"/>
              </w:rPr>
              <w:t>Provision (benefit) for</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3"/>
              </w:rPr>
              <w:t>income taxes</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10"/>
                <w:szCs w:val="10"/>
                <w:color w:val="auto"/>
              </w:rPr>
            </w:pPr>
          </w:p>
        </w:tc>
        <w:tc>
          <w:tcPr>
            <w:tcW w:w="10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1"/>
              </w:rPr>
              <w:t>amortization</w:t>
            </w: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TechnipFMC plc</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controlling interests</w:t>
            </w:r>
          </w:p>
        </w:tc>
        <w:tc>
          <w:tcPr>
            <w:tcW w:w="16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income taxes</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Net interest expense</w:t>
            </w:r>
          </w:p>
        </w:tc>
        <w:tc>
          <w:tcPr>
            <w:tcW w:w="6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(Operating profit)</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100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97.0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16.7</w:t>
            </w:r>
          </w:p>
        </w:tc>
        <w:tc>
          <w:tcPr>
            <w:tcW w:w="12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0.9</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140.6</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255.2</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117.5</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372.7</w:t>
            </w:r>
          </w:p>
        </w:tc>
        <w:tc>
          <w:tcPr>
            <w:tcW w:w="0" w:type="dxa"/>
            <w:vAlign w:val="bottom"/>
          </w:tcPr>
          <w:p>
            <w:pPr>
              <w:spacing w:after="0"/>
              <w:rPr>
                <w:sz w:val="1"/>
                <w:szCs w:val="1"/>
                <w:color w:val="auto"/>
              </w:rPr>
            </w:pPr>
          </w:p>
        </w:tc>
      </w:tr>
      <w:tr>
        <w:trPr>
          <w:trHeight w:val="338"/>
        </w:trPr>
        <w:tc>
          <w:tcPr>
            <w:tcW w:w="2980" w:type="dxa"/>
            <w:vAlign w:val="bottom"/>
          </w:tcPr>
          <w:p>
            <w:pPr>
              <w:spacing w:after="0"/>
              <w:rPr>
                <w:sz w:val="20"/>
                <w:szCs w:val="20"/>
                <w:color w:val="auto"/>
              </w:rPr>
            </w:pPr>
            <w:r>
              <w:rPr>
                <w:rFonts w:ascii="Arial" w:cs="Arial" w:eastAsia="Arial" w:hAnsi="Arial"/>
                <w:sz w:val="11"/>
                <w:szCs w:val="11"/>
                <w:color w:val="auto"/>
              </w:rPr>
              <w:t>Charges and (credits):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Impairment and other charges</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76"/>
        </w:trPr>
        <w:tc>
          <w:tcPr>
            <w:tcW w:w="2980" w:type="dxa"/>
            <w:vAlign w:val="bottom"/>
          </w:tcPr>
          <w:p>
            <w:pPr>
              <w:ind w:left="180"/>
              <w:spacing w:after="0"/>
              <w:rPr>
                <w:sz w:val="20"/>
                <w:szCs w:val="20"/>
                <w:color w:val="auto"/>
              </w:rPr>
            </w:pPr>
            <w:r>
              <w:rPr>
                <w:rFonts w:ascii="Arial" w:cs="Arial" w:eastAsia="Arial" w:hAnsi="Arial"/>
                <w:sz w:val="11"/>
                <w:szCs w:val="11"/>
                <w:color w:val="auto"/>
              </w:rPr>
              <w:t>Restructuring and other severance charges</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Business combination transaction and integration costs</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9.8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12.9</w:t>
            </w: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Legal provision, net</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55.2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55.2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55.2</w:t>
            </w: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Purchase price accounting adjustment</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175.6</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16.7</w:t>
            </w:r>
          </w:p>
        </w:tc>
        <w:tc>
          <w:tcPr>
            <w:tcW w:w="12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140.6</w:t>
            </w:r>
          </w:p>
        </w:tc>
        <w:tc>
          <w:tcPr>
            <w:tcW w:w="1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341.0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109.0</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450.0</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1"/>
                <w:szCs w:val="11"/>
                <w:color w:val="auto"/>
                <w:w w:val="98"/>
              </w:rPr>
              <w:t>Diluted earnings per share attributable to TechnipFMC plc, as</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7"/>
        </w:trPr>
        <w:tc>
          <w:tcPr>
            <w:tcW w:w="29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980" w:type="dxa"/>
            <w:vAlign w:val="bottom"/>
          </w:tcPr>
          <w:p>
            <w:pPr>
              <w:spacing w:after="0"/>
              <w:rPr>
                <w:sz w:val="20"/>
                <w:szCs w:val="20"/>
                <w:color w:val="auto"/>
              </w:rPr>
            </w:pPr>
            <w:r>
              <w:rPr>
                <w:rFonts w:ascii="Arial" w:cs="Arial" w:eastAsia="Arial" w:hAnsi="Arial"/>
                <w:sz w:val="11"/>
                <w:szCs w:val="11"/>
                <w:color w:val="auto"/>
              </w:rPr>
              <w:t>reported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0.21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20"/>
                <w:szCs w:val="20"/>
                <w:color w:val="auto"/>
              </w:rPr>
            </w:pPr>
            <w:r>
              <w:rPr>
                <w:rFonts w:ascii="Arial" w:cs="Arial" w:eastAsia="Arial" w:hAnsi="Arial"/>
                <w:sz w:val="11"/>
                <w:szCs w:val="11"/>
                <w:color w:val="auto"/>
                <w:w w:val="90"/>
              </w:rPr>
              <w:t>Adjusted diluted earnings per share attributable to TechnipFMC plc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0.39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6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23 of 27</w:t>
      </w:r>
    </w:p>
    <w:p>
      <w:pPr>
        <w:sectPr>
          <w:pgSz w:w="11900" w:h="16838" w:orient="portrait"/>
          <w:cols w:equalWidth="0" w:num="1">
            <w:col w:w="11240"/>
          </w:cols>
          <w:pgMar w:left="320" w:top="1053" w:right="3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3"/>
          <w:szCs w:val="13"/>
          <w:b w:val="1"/>
          <w:bCs w:val="1"/>
          <w:color w:val="auto"/>
        </w:rPr>
        <w:t>Exhibit 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In addition to financial results determined in accordance with U.S. generally accepted accounting principles (GAAP), the second quarter 2020 Earnings Release also includes non-GAAP financial measures (as defined in Item 10 of Regulation S-K of the Securities Exchange Act of 1934, as amended) and describes performance on a year-over-year basis against 2019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156845</wp:posOffset>
            </wp:positionV>
            <wp:extent cx="5212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Six Months Ended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June 30, 2020</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Earnings before net</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4"/>
              </w:rPr>
              <w:t>interest expense,</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Income (loss) before</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5"/>
              </w:rPr>
              <w:t>income taxes,</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Net income (loss)</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Net income (loss)</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4"/>
              </w:rPr>
              <w:t>net interest expense</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8"/>
              </w:rPr>
              <w:t>depreciation and</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attributable to</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attributable to non-</w:t>
            </w:r>
          </w:p>
        </w:tc>
        <w:tc>
          <w:tcPr>
            <w:tcW w:w="11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9"/>
              </w:rPr>
              <w:t>Provision (benefit) for</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4"/>
              </w:rPr>
              <w:t>and income taxes</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10"/>
                <w:szCs w:val="10"/>
                <w:color w:val="auto"/>
              </w:rPr>
            </w:pPr>
          </w:p>
        </w:tc>
        <w:tc>
          <w:tcPr>
            <w:tcW w:w="10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1"/>
              </w:rPr>
              <w:t>amortization</w:t>
            </w: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TechnipFMC plc</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controlling interests</w:t>
            </w:r>
          </w:p>
        </w:tc>
        <w:tc>
          <w:tcPr>
            <w:tcW w:w="16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income taxes</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Net interest expense</w:t>
            </w:r>
          </w:p>
        </w:tc>
        <w:tc>
          <w:tcPr>
            <w:tcW w:w="6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(Operating profit)</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100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(3,244.4)</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55.4</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146.7</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(3,028.3)</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227.0</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46"/>
              <w:spacing w:after="0"/>
              <w:rPr>
                <w:sz w:val="20"/>
                <w:szCs w:val="20"/>
                <w:color w:val="auto"/>
              </w:rPr>
            </w:pPr>
            <w:r>
              <w:rPr>
                <w:rFonts w:ascii="Arial" w:cs="Arial" w:eastAsia="Arial" w:hAnsi="Arial"/>
                <w:sz w:val="11"/>
                <w:szCs w:val="11"/>
                <w:color w:val="auto"/>
              </w:rPr>
              <w:t>(2,801.3)</w:t>
            </w:r>
          </w:p>
        </w:tc>
        <w:tc>
          <w:tcPr>
            <w:tcW w:w="0" w:type="dxa"/>
            <w:vAlign w:val="bottom"/>
          </w:tcPr>
          <w:p>
            <w:pPr>
              <w:spacing w:after="0"/>
              <w:rPr>
                <w:sz w:val="1"/>
                <w:szCs w:val="1"/>
                <w:color w:val="auto"/>
              </w:rPr>
            </w:pPr>
          </w:p>
        </w:tc>
      </w:tr>
      <w:tr>
        <w:trPr>
          <w:trHeight w:val="338"/>
        </w:trPr>
        <w:tc>
          <w:tcPr>
            <w:tcW w:w="2980" w:type="dxa"/>
            <w:vAlign w:val="bottom"/>
          </w:tcPr>
          <w:p>
            <w:pPr>
              <w:spacing w:after="0"/>
              <w:rPr>
                <w:sz w:val="20"/>
                <w:szCs w:val="20"/>
                <w:color w:val="auto"/>
              </w:rPr>
            </w:pPr>
            <w:r>
              <w:rPr>
                <w:rFonts w:ascii="Arial" w:cs="Arial" w:eastAsia="Arial" w:hAnsi="Arial"/>
                <w:sz w:val="11"/>
                <w:szCs w:val="11"/>
                <w:color w:val="auto"/>
              </w:rPr>
              <w:t>Charges and (credits):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180"/>
              <w:spacing w:after="0"/>
              <w:rPr>
                <w:sz w:val="20"/>
                <w:szCs w:val="20"/>
                <w:color w:val="auto"/>
              </w:rPr>
            </w:pPr>
            <w:r>
              <w:rPr>
                <w:rFonts w:ascii="Arial" w:cs="Arial" w:eastAsia="Arial" w:hAnsi="Arial"/>
                <w:sz w:val="11"/>
                <w:szCs w:val="11"/>
                <w:color w:val="auto"/>
              </w:rPr>
              <w:t>Impairment and other charges</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3,213.4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3,221.7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3,221.7</w:t>
            </w: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Restructuring and other charges</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56.2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61.6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61.6</w:t>
            </w:r>
          </w:p>
        </w:tc>
        <w:tc>
          <w:tcPr>
            <w:tcW w:w="0" w:type="dxa"/>
            <w:vAlign w:val="bottom"/>
          </w:tcPr>
          <w:p>
            <w:pPr>
              <w:spacing w:after="0"/>
              <w:rPr>
                <w:sz w:val="1"/>
                <w:szCs w:val="1"/>
                <w:color w:val="auto"/>
              </w:rPr>
            </w:pPr>
          </w:p>
        </w:tc>
      </w:tr>
      <w:tr>
        <w:trPr>
          <w:trHeight w:val="176"/>
        </w:trPr>
        <w:tc>
          <w:tcPr>
            <w:tcW w:w="2980" w:type="dxa"/>
            <w:vAlign w:val="bottom"/>
          </w:tcPr>
          <w:p>
            <w:pPr>
              <w:ind w:left="180"/>
              <w:spacing w:after="0"/>
              <w:rPr>
                <w:sz w:val="20"/>
                <w:szCs w:val="20"/>
                <w:color w:val="auto"/>
              </w:rPr>
            </w:pPr>
            <w:r>
              <w:rPr>
                <w:rFonts w:ascii="Arial" w:cs="Arial" w:eastAsia="Arial" w:hAnsi="Arial"/>
                <w:sz w:val="11"/>
                <w:szCs w:val="11"/>
                <w:color w:val="auto"/>
              </w:rPr>
              <w:t>Direct COVID-19 expenses</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54.6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10.8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65.4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65.4</w:t>
            </w: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Litigation settlement</w:t>
            </w:r>
          </w:p>
        </w:tc>
        <w:tc>
          <w:tcPr>
            <w:tcW w:w="100" w:type="dxa"/>
            <w:vAlign w:val="bottom"/>
          </w:tcPr>
          <w:p>
            <w:pPr>
              <w:spacing w:after="0"/>
              <w:rPr>
                <w:sz w:val="15"/>
                <w:szCs w:val="15"/>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(113.2)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(113.2)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46"/>
              <w:spacing w:after="0"/>
              <w:rPr>
                <w:sz w:val="20"/>
                <w:szCs w:val="20"/>
                <w:color w:val="auto"/>
              </w:rPr>
            </w:pPr>
            <w:r>
              <w:rPr>
                <w:rFonts w:ascii="Arial" w:cs="Arial" w:eastAsia="Arial" w:hAnsi="Arial"/>
                <w:sz w:val="11"/>
                <w:szCs w:val="11"/>
                <w:color w:val="auto"/>
              </w:rPr>
              <w:t>(113.2)</w:t>
            </w:r>
          </w:p>
        </w:tc>
        <w:tc>
          <w:tcPr>
            <w:tcW w:w="0" w:type="dxa"/>
            <w:vAlign w:val="bottom"/>
          </w:tcPr>
          <w:p>
            <w:pPr>
              <w:spacing w:after="0"/>
              <w:rPr>
                <w:sz w:val="1"/>
                <w:szCs w:val="1"/>
                <w:color w:val="auto"/>
              </w:rPr>
            </w:pPr>
          </w:p>
        </w:tc>
      </w:tr>
      <w:tr>
        <w:trPr>
          <w:trHeight w:val="176"/>
        </w:trPr>
        <w:tc>
          <w:tcPr>
            <w:tcW w:w="2980" w:type="dxa"/>
            <w:vAlign w:val="bottom"/>
          </w:tcPr>
          <w:p>
            <w:pPr>
              <w:ind w:left="180"/>
              <w:spacing w:after="0"/>
              <w:rPr>
                <w:sz w:val="20"/>
                <w:szCs w:val="20"/>
                <w:color w:val="auto"/>
              </w:rPr>
            </w:pPr>
            <w:r>
              <w:rPr>
                <w:rFonts w:ascii="Arial" w:cs="Arial" w:eastAsia="Arial" w:hAnsi="Arial"/>
                <w:sz w:val="11"/>
                <w:szCs w:val="11"/>
                <w:color w:val="auto"/>
              </w:rPr>
              <w:t>Separation costs</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20.2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27.1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76"/>
        </w:trPr>
        <w:tc>
          <w:tcPr>
            <w:tcW w:w="2980" w:type="dxa"/>
            <w:vAlign w:val="bottom"/>
          </w:tcPr>
          <w:p>
            <w:pPr>
              <w:ind w:left="180"/>
              <w:spacing w:after="0"/>
              <w:rPr>
                <w:sz w:val="20"/>
                <w:szCs w:val="20"/>
                <w:color w:val="auto"/>
              </w:rPr>
            </w:pPr>
            <w:r>
              <w:rPr>
                <w:rFonts w:ascii="Arial" w:cs="Arial" w:eastAsia="Arial" w:hAnsi="Arial"/>
                <w:sz w:val="11"/>
                <w:szCs w:val="11"/>
                <w:color w:val="auto"/>
              </w:rPr>
              <w:t>Purchase price accounting adjustment</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Valuation allowance</w:t>
            </w:r>
          </w:p>
        </w:tc>
        <w:tc>
          <w:tcPr>
            <w:tcW w:w="100" w:type="dxa"/>
            <w:vAlign w:val="bottom"/>
          </w:tcPr>
          <w:p>
            <w:pPr>
              <w:spacing w:after="0"/>
              <w:rPr>
                <w:sz w:val="15"/>
                <w:szCs w:val="15"/>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89.0</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146.7</w:t>
            </w:r>
          </w:p>
        </w:tc>
        <w:tc>
          <w:tcPr>
            <w:tcW w:w="1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242.8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218.5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461.3</w:t>
            </w:r>
          </w:p>
        </w:tc>
        <w:tc>
          <w:tcPr>
            <w:tcW w:w="0" w:type="dxa"/>
            <w:vAlign w:val="bottom"/>
          </w:tcPr>
          <w:p>
            <w:pPr>
              <w:spacing w:after="0"/>
              <w:rPr>
                <w:sz w:val="1"/>
                <w:szCs w:val="1"/>
                <w:color w:val="auto"/>
              </w:rPr>
            </w:pPr>
          </w:p>
        </w:tc>
      </w:tr>
      <w:tr>
        <w:trPr>
          <w:trHeight w:val="21"/>
        </w:trPr>
        <w:tc>
          <w:tcPr>
            <w:tcW w:w="2980" w:type="dxa"/>
            <w:vAlign w:val="bottom"/>
            <w:vMerge w:val="restart"/>
          </w:tcPr>
          <w:p>
            <w:pPr>
              <w:spacing w:after="0"/>
              <w:rPr>
                <w:sz w:val="20"/>
                <w:szCs w:val="20"/>
                <w:color w:val="auto"/>
              </w:rPr>
            </w:pPr>
            <w:r>
              <w:rPr>
                <w:rFonts w:ascii="Arial" w:cs="Arial" w:eastAsia="Arial" w:hAnsi="Arial"/>
                <w:sz w:val="11"/>
                <w:szCs w:val="11"/>
                <w:color w:val="auto"/>
                <w:w w:val="89"/>
              </w:rPr>
              <w:t>Diluted earnings (loss) per share attributable to TechnipFMC plc, as</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2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980" w:type="dxa"/>
            <w:vAlign w:val="bottom"/>
          </w:tcPr>
          <w:p>
            <w:pPr>
              <w:spacing w:after="0"/>
              <w:rPr>
                <w:sz w:val="20"/>
                <w:szCs w:val="20"/>
                <w:color w:val="auto"/>
              </w:rPr>
            </w:pPr>
            <w:r>
              <w:rPr>
                <w:rFonts w:ascii="Arial" w:cs="Arial" w:eastAsia="Arial" w:hAnsi="Arial"/>
                <w:sz w:val="11"/>
                <w:szCs w:val="11"/>
                <w:color w:val="auto"/>
              </w:rPr>
              <w:t>reported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(7.24)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20"/>
                <w:szCs w:val="20"/>
                <w:color w:val="auto"/>
              </w:rPr>
            </w:pPr>
            <w:r>
              <w:rPr>
                <w:rFonts w:ascii="Arial" w:cs="Arial" w:eastAsia="Arial" w:hAnsi="Arial"/>
                <w:sz w:val="11"/>
                <w:szCs w:val="11"/>
                <w:color w:val="auto"/>
                <w:w w:val="90"/>
              </w:rPr>
              <w:t>Adjusted diluted earnings per share attributable to TechnipFMC plc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Six Months Ended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June 30, 2019</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Earnings before net</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4"/>
              </w:rPr>
              <w:t>interest expense,</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Income (loss) before</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5"/>
              </w:rPr>
              <w:t>income taxes,</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Net income (loss)</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Net income (loss)</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4"/>
              </w:rPr>
              <w:t>net interest expense</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8"/>
              </w:rPr>
              <w:t>depreciation and</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attributable to</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attributable to non-</w:t>
            </w:r>
          </w:p>
        </w:tc>
        <w:tc>
          <w:tcPr>
            <w:tcW w:w="11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9"/>
              </w:rPr>
              <w:t>Provision (benefit) for</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4"/>
              </w:rPr>
              <w:t>and income taxes</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10"/>
                <w:szCs w:val="10"/>
                <w:color w:val="auto"/>
              </w:rPr>
            </w:pPr>
          </w:p>
        </w:tc>
        <w:tc>
          <w:tcPr>
            <w:tcW w:w="10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1"/>
              </w:rPr>
              <w:t>amortization</w:t>
            </w: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TechnipFMC plc</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controlling interests</w:t>
            </w:r>
          </w:p>
        </w:tc>
        <w:tc>
          <w:tcPr>
            <w:tcW w:w="16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income taxes</w:t>
            </w: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Net interest expense</w:t>
            </w:r>
          </w:p>
        </w:tc>
        <w:tc>
          <w:tcPr>
            <w:tcW w:w="6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(Operating profit)</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100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98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117.9</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15.6</w:t>
            </w:r>
          </w:p>
        </w:tc>
        <w:tc>
          <w:tcPr>
            <w:tcW w:w="12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15.4</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228.8</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377.7</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236.9</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614.6</w:t>
            </w:r>
          </w:p>
        </w:tc>
        <w:tc>
          <w:tcPr>
            <w:tcW w:w="0" w:type="dxa"/>
            <w:vAlign w:val="bottom"/>
          </w:tcPr>
          <w:p>
            <w:pPr>
              <w:spacing w:after="0"/>
              <w:rPr>
                <w:sz w:val="1"/>
                <w:szCs w:val="1"/>
                <w:color w:val="auto"/>
              </w:rPr>
            </w:pPr>
          </w:p>
        </w:tc>
      </w:tr>
      <w:tr>
        <w:trPr>
          <w:trHeight w:val="338"/>
        </w:trPr>
        <w:tc>
          <w:tcPr>
            <w:tcW w:w="2980" w:type="dxa"/>
            <w:vAlign w:val="bottom"/>
          </w:tcPr>
          <w:p>
            <w:pPr>
              <w:spacing w:after="0"/>
              <w:rPr>
                <w:sz w:val="20"/>
                <w:szCs w:val="20"/>
                <w:color w:val="auto"/>
              </w:rPr>
            </w:pPr>
            <w:r>
              <w:rPr>
                <w:rFonts w:ascii="Arial" w:cs="Arial" w:eastAsia="Arial" w:hAnsi="Arial"/>
                <w:sz w:val="11"/>
                <w:szCs w:val="11"/>
                <w:color w:val="auto"/>
              </w:rPr>
              <w:t>Charges and (credits):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Impairment and other charges</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0.9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Restructuring and other severance charges</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24.5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24.5</w:t>
            </w: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Business combinations transaction and integration costs</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Reorganization</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25.3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Legal provision, net</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55.2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55.2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55.2</w:t>
            </w:r>
          </w:p>
        </w:tc>
        <w:tc>
          <w:tcPr>
            <w:tcW w:w="0" w:type="dxa"/>
            <w:vAlign w:val="bottom"/>
          </w:tcPr>
          <w:p>
            <w:pPr>
              <w:spacing w:after="0"/>
              <w:rPr>
                <w:sz w:val="1"/>
                <w:szCs w:val="1"/>
                <w:color w:val="auto"/>
              </w:rPr>
            </w:pPr>
          </w:p>
        </w:tc>
      </w:tr>
      <w:tr>
        <w:trPr>
          <w:trHeight w:val="176"/>
        </w:trPr>
        <w:tc>
          <w:tcPr>
            <w:tcW w:w="2980" w:type="dxa"/>
            <w:vAlign w:val="bottom"/>
          </w:tcPr>
          <w:p>
            <w:pPr>
              <w:ind w:left="180"/>
              <w:spacing w:after="0"/>
              <w:rPr>
                <w:sz w:val="20"/>
                <w:szCs w:val="20"/>
                <w:color w:val="auto"/>
              </w:rPr>
            </w:pPr>
            <w:r>
              <w:rPr>
                <w:rFonts w:ascii="Arial" w:cs="Arial" w:eastAsia="Arial" w:hAnsi="Arial"/>
                <w:sz w:val="11"/>
                <w:szCs w:val="11"/>
                <w:color w:val="auto"/>
              </w:rPr>
              <w:t>Purchase price accounting adjustment</w:t>
            </w:r>
          </w:p>
        </w:tc>
        <w:tc>
          <w:tcPr>
            <w:tcW w:w="100" w:type="dxa"/>
            <w:vAlign w:val="bottom"/>
          </w:tcPr>
          <w:p>
            <w:pPr>
              <w:spacing w:after="0"/>
              <w:rPr>
                <w:sz w:val="15"/>
                <w:szCs w:val="15"/>
                <w:color w:val="auto"/>
              </w:rPr>
            </w:pP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(17.0)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180"/>
              <w:spacing w:after="0"/>
              <w:rPr>
                <w:sz w:val="20"/>
                <w:szCs w:val="20"/>
                <w:color w:val="auto"/>
              </w:rPr>
            </w:pPr>
            <w:r>
              <w:rPr>
                <w:rFonts w:ascii="Arial" w:cs="Arial" w:eastAsia="Arial" w:hAnsi="Arial"/>
                <w:sz w:val="11"/>
                <w:szCs w:val="11"/>
                <w:color w:val="auto"/>
              </w:rPr>
              <w:t>Valuation allowance</w:t>
            </w:r>
          </w:p>
        </w:tc>
        <w:tc>
          <w:tcPr>
            <w:tcW w:w="100" w:type="dxa"/>
            <w:vAlign w:val="bottom"/>
          </w:tcPr>
          <w:p>
            <w:pPr>
              <w:spacing w:after="0"/>
              <w:rPr>
                <w:sz w:val="15"/>
                <w:szCs w:val="15"/>
                <w:color w:val="auto"/>
              </w:rPr>
            </w:pPr>
          </w:p>
        </w:tc>
        <w:tc>
          <w:tcPr>
            <w:tcW w:w="980" w:type="dxa"/>
            <w:vAlign w:val="bottom"/>
          </w:tcPr>
          <w:p>
            <w:pPr>
              <w:jc w:val="right"/>
              <w:ind w:right="46"/>
              <w:spacing w:after="0"/>
              <w:rPr>
                <w:sz w:val="20"/>
                <w:szCs w:val="20"/>
                <w:color w:val="auto"/>
              </w:rPr>
            </w:pPr>
            <w:r>
              <w:rPr>
                <w:rFonts w:ascii="Arial" w:cs="Arial" w:eastAsia="Arial" w:hAnsi="Arial"/>
                <w:sz w:val="11"/>
                <w:szCs w:val="11"/>
                <w:color w:val="auto"/>
              </w:rPr>
              <w:t>(40.3)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40.3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202.9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15.6</w:t>
            </w:r>
          </w:p>
        </w:tc>
        <w:tc>
          <w:tcPr>
            <w:tcW w:w="12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78.6</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228.8</w:t>
            </w:r>
          </w:p>
        </w:tc>
        <w:tc>
          <w:tcPr>
            <w:tcW w:w="1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525.9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219.9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745.8</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1"/>
                <w:szCs w:val="11"/>
                <w:color w:val="auto"/>
                <w:w w:val="89"/>
              </w:rPr>
              <w:t>Diluted earnings (loss) per share attributable to TechnipFMC plc, as</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2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980" w:type="dxa"/>
            <w:vAlign w:val="bottom"/>
          </w:tcPr>
          <w:p>
            <w:pPr>
              <w:spacing w:after="0"/>
              <w:rPr>
                <w:sz w:val="20"/>
                <w:szCs w:val="20"/>
                <w:color w:val="auto"/>
              </w:rPr>
            </w:pPr>
            <w:r>
              <w:rPr>
                <w:rFonts w:ascii="Arial" w:cs="Arial" w:eastAsia="Arial" w:hAnsi="Arial"/>
                <w:sz w:val="11"/>
                <w:szCs w:val="11"/>
                <w:color w:val="auto"/>
              </w:rPr>
              <w:t>reported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0.26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20"/>
                <w:szCs w:val="20"/>
                <w:color w:val="auto"/>
              </w:rPr>
            </w:pPr>
            <w:r>
              <w:rPr>
                <w:rFonts w:ascii="Arial" w:cs="Arial" w:eastAsia="Arial" w:hAnsi="Arial"/>
                <w:sz w:val="11"/>
                <w:szCs w:val="11"/>
                <w:color w:val="auto"/>
                <w:w w:val="90"/>
              </w:rPr>
              <w:t>Adjusted diluted earnings per share attributable to TechnipFMC plc</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6"/>
              <w:spacing w:after="0"/>
              <w:rPr>
                <w:sz w:val="20"/>
                <w:szCs w:val="20"/>
                <w:color w:val="auto"/>
              </w:rPr>
            </w:pPr>
            <w:r>
              <w:rPr>
                <w:rFonts w:ascii="Arial" w:cs="Arial" w:eastAsia="Arial" w:hAnsi="Arial"/>
                <w:sz w:val="11"/>
                <w:szCs w:val="11"/>
                <w:color w:val="auto"/>
              </w:rPr>
              <w:t>0.45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06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24 of 27</w:t>
      </w:r>
    </w:p>
    <w:p>
      <w:pPr>
        <w:sectPr>
          <w:pgSz w:w="11900" w:h="16838" w:orient="portrait"/>
          <w:cols w:equalWidth="0" w:num="1">
            <w:col w:w="11240"/>
          </w:cols>
          <w:pgMar w:left="320" w:top="1053"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3"/>
          <w:szCs w:val="13"/>
          <w:b w:val="1"/>
          <w:bCs w:val="1"/>
          <w:color w:val="auto"/>
        </w:rPr>
        <w:t>Exhibit 10</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RECONCILIATION OF GAAP TO NON-GAAP FINANCIAL MEASURES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19050</wp:posOffset>
            </wp:positionV>
            <wp:extent cx="45516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8" w:lineRule="exact"/>
        <w:rPr>
          <w:sz w:val="20"/>
          <w:szCs w:val="20"/>
          <w:color w:val="auto"/>
        </w:rPr>
      </w:pPr>
    </w:p>
    <w:p>
      <w:pPr>
        <w:jc w:val="center"/>
        <w:ind w:left="40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406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23495</wp:posOffset>
            </wp:positionV>
            <wp:extent cx="45516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pacing w:after="0" w:line="23" w:lineRule="exact"/>
        <w:rPr>
          <w:sz w:val="20"/>
          <w:szCs w:val="20"/>
          <w:color w:val="auto"/>
        </w:rPr>
      </w:pPr>
    </w:p>
    <w:tbl>
      <w:tblPr>
        <w:tblLayout w:type="fixed"/>
        <w:tblInd w:w="440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Subsea</w:t>
            </w:r>
          </w:p>
        </w:tc>
        <w:tc>
          <w:tcPr>
            <w:tcW w:w="14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Technip Energies</w:t>
            </w:r>
          </w:p>
        </w:tc>
        <w:tc>
          <w:tcPr>
            <w:tcW w:w="12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Surface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3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Foreign</w:t>
            </w:r>
          </w:p>
        </w:tc>
        <w:tc>
          <w:tcPr>
            <w:tcW w:w="62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6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200" w:type="dxa"/>
            <w:vAlign w:val="bottom"/>
          </w:tcPr>
          <w:p>
            <w:pPr>
              <w:jc w:val="center"/>
              <w:ind w:right="28"/>
              <w:spacing w:after="0"/>
              <w:rPr>
                <w:sz w:val="20"/>
                <w:szCs w:val="20"/>
                <w:color w:val="auto"/>
              </w:rPr>
            </w:pPr>
            <w:r>
              <w:rPr>
                <w:rFonts w:ascii="Arial" w:cs="Arial" w:eastAsia="Arial" w:hAnsi="Arial"/>
                <w:sz w:val="14"/>
                <w:szCs w:val="14"/>
                <w:b w:val="1"/>
                <w:bCs w:val="1"/>
                <w:color w:val="auto"/>
                <w:w w:val="86"/>
              </w:rPr>
              <w:t>Technologies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138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Exchange, net</w:t>
            </w: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7620</wp:posOffset>
            </wp:positionV>
            <wp:extent cx="45516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ectPr>
          <w:pgSz w:w="11900" w:h="16838" w:orient="portrait"/>
          <w:cols w:equalWidth="0" w:num="1">
            <w:col w:w="11220"/>
          </w:cols>
          <w:pgMar w:left="340" w:top="1053" w:right="33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Revenue</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Operating profit (loss), as reported (pre-tax)</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Charges and (credits):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Impairment and other charges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Restructuring and other charges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Direct COVID-19 expenses</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Litigation settlement</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Subtotal</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1,378.5</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1,538.3</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3,158.5</w:t>
            </w:r>
          </w:p>
        </w:tc>
      </w:tr>
      <w:tr>
        <w:trPr>
          <w:trHeight w:val="364"/>
        </w:trPr>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231.3</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4"/>
                <w:szCs w:val="24"/>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tcPr>
          <w:p>
            <w:pPr>
              <w:ind w:left="28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107.4</w:t>
            </w:r>
          </w:p>
        </w:tc>
      </w:tr>
      <w:tr>
        <w:trPr>
          <w:trHeight w:val="567"/>
        </w:trPr>
        <w:tc>
          <w:tcPr>
            <w:tcW w:w="280" w:type="dxa"/>
            <w:vAlign w:val="bottom"/>
          </w:tcPr>
          <w:p>
            <w:pPr>
              <w:spacing w:after="0"/>
              <w:rPr>
                <w:sz w:val="24"/>
                <w:szCs w:val="2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33.7</w:t>
            </w:r>
          </w:p>
        </w:tc>
      </w:tr>
      <w:tr>
        <w:trPr>
          <w:trHeight w:val="203"/>
        </w:trPr>
        <w:tc>
          <w:tcPr>
            <w:tcW w:w="2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50.2</w:t>
            </w:r>
          </w:p>
        </w:tc>
      </w:tr>
      <w:tr>
        <w:trPr>
          <w:trHeight w:val="203"/>
        </w:trPr>
        <w:tc>
          <w:tcPr>
            <w:tcW w:w="28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56.4</w:t>
            </w:r>
          </w:p>
        </w:tc>
      </w:tr>
      <w:tr>
        <w:trPr>
          <w:trHeight w:val="209"/>
        </w:trPr>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(113.2)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(113.2)</w:t>
            </w:r>
          </w:p>
        </w:tc>
      </w:tr>
      <w:tr>
        <w:trPr>
          <w:trHeight w:val="190"/>
        </w:trPr>
        <w:tc>
          <w:tcPr>
            <w:tcW w:w="28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45516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3340" w:space="720"/>
            <w:col w:w="7160"/>
          </w:cols>
          <w:pgMar w:left="340" w:top="1053"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06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154.0</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134.5</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40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4"/>
                <w:szCs w:val="14"/>
                <w:color w:val="auto"/>
              </w:rPr>
              <w:t>Adjusted EBITDA</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2"/>
          </w:tcPr>
          <w:p>
            <w:pPr>
              <w:jc w:val="right"/>
              <w:ind w:right="1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162.6</w:t>
            </w:r>
          </w:p>
        </w:tc>
        <w:tc>
          <w:tcPr>
            <w:tcW w:w="42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8.3</w:t>
            </w:r>
          </w:p>
        </w:tc>
        <w:tc>
          <w:tcPr>
            <w:tcW w:w="420" w:type="dxa"/>
            <w:vAlign w:val="bottom"/>
            <w:gridSpan w:val="5"/>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ind w:left="56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9"/>
        </w:trPr>
        <w:tc>
          <w:tcPr>
            <w:tcW w:w="40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-5.5 %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65"/>
        </w:trPr>
        <w:tc>
          <w:tcPr>
            <w:tcW w:w="40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65"/>
        </w:trPr>
        <w:tc>
          <w:tcPr>
            <w:tcW w:w="406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3.4 %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633"/>
        </w:trPr>
        <w:tc>
          <w:tcPr>
            <w:tcW w:w="4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2"/>
              </w:rPr>
              <w:t>June 30, 2019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2"/>
              </w:rPr>
              <w:t>Technip Energies</w:t>
            </w:r>
          </w:p>
        </w:tc>
        <w:tc>
          <w:tcPr>
            <w:tcW w:w="100" w:type="dxa"/>
            <w:vAlign w:val="bottom"/>
            <w:gridSpan w:val="2"/>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84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Surface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3"/>
                <w:szCs w:val="13"/>
                <w:color w:val="auto"/>
              </w:rPr>
            </w:pPr>
          </w:p>
        </w:tc>
        <w:tc>
          <w:tcPr>
            <w:tcW w:w="7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Technologies</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Exchange, net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1,508.7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1,505.0</w:t>
            </w:r>
          </w:p>
        </w:tc>
        <w:tc>
          <w:tcPr>
            <w:tcW w:w="42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420.5</w:t>
            </w:r>
          </w:p>
        </w:tc>
        <w:tc>
          <w:tcPr>
            <w:tcW w:w="42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3,434.2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06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94.6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274.0</w:t>
            </w:r>
          </w:p>
        </w:tc>
        <w:tc>
          <w:tcPr>
            <w:tcW w:w="42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25.5</w:t>
            </w:r>
          </w:p>
        </w:tc>
        <w:tc>
          <w:tcPr>
            <w:tcW w:w="42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(120.9)</w:t>
            </w:r>
          </w:p>
        </w:tc>
        <w:tc>
          <w:tcPr>
            <w:tcW w:w="8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255.2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60" w:type="dxa"/>
            <w:vAlign w:val="bottom"/>
          </w:tcPr>
          <w:p>
            <w:pPr>
              <w:spacing w:after="0"/>
              <w:rPr>
                <w:sz w:val="20"/>
                <w:szCs w:val="20"/>
                <w:color w:val="auto"/>
              </w:rPr>
            </w:pPr>
            <w:r>
              <w:rPr>
                <w:rFonts w:ascii="Arial" w:cs="Arial" w:eastAsia="Arial" w:hAnsi="Arial"/>
                <w:sz w:val="14"/>
                <w:szCs w:val="14"/>
                <w:color w:val="auto"/>
              </w:rPr>
              <w:t>Charges and (credits):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Restructuring and other severance charges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Business combination transaction and integration costs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Legal provision, net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55.2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60" w:type="dxa"/>
            <w:vAlign w:val="bottom"/>
          </w:tcPr>
          <w:p>
            <w:pPr>
              <w:ind w:left="200"/>
              <w:spacing w:after="0"/>
              <w:rPr>
                <w:sz w:val="20"/>
                <w:szCs w:val="20"/>
                <w:color w:val="auto"/>
              </w:rPr>
            </w:pPr>
            <w:r>
              <w:rPr>
                <w:rFonts w:ascii="Arial" w:cs="Arial" w:eastAsia="Arial" w:hAnsi="Arial"/>
                <w:sz w:val="14"/>
                <w:szCs w:val="14"/>
                <w:color w:val="auto"/>
              </w:rPr>
              <w:t>Purchase price accounting adjustments - amortization related</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60" w:type="dxa"/>
            <w:vAlign w:val="bottom"/>
          </w:tcPr>
          <w:p>
            <w:pPr>
              <w:ind w:left="440"/>
              <w:spacing w:after="0"/>
              <w:rPr>
                <w:sz w:val="20"/>
                <w:szCs w:val="20"/>
                <w:color w:val="auto"/>
              </w:rPr>
            </w:pPr>
            <w:r>
              <w:rPr>
                <w:rFonts w:ascii="Arial" w:cs="Arial" w:eastAsia="Arial" w:hAnsi="Arial"/>
                <w:sz w:val="14"/>
                <w:szCs w:val="14"/>
                <w:color w:val="auto"/>
              </w:rPr>
              <w:t>Subtotal</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69.5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276.1</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341.0</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40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4"/>
                <w:szCs w:val="14"/>
                <w:color w:val="auto"/>
              </w:rPr>
              <w:t>Adjusted EBITDA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281.9</w:t>
            </w:r>
          </w:p>
        </w:tc>
        <w:tc>
          <w:tcPr>
            <w:tcW w:w="420" w:type="dxa"/>
            <w:vAlign w:val="bottom"/>
            <w:gridSpan w:val="5"/>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46.7</w:t>
            </w:r>
          </w:p>
        </w:tc>
        <w:tc>
          <w:tcPr>
            <w:tcW w:w="42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9"/>
        </w:trPr>
        <w:tc>
          <w:tcPr>
            <w:tcW w:w="40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64"/>
        </w:trPr>
        <w:tc>
          <w:tcPr>
            <w:tcW w:w="40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64"/>
        </w:trPr>
        <w:tc>
          <w:tcPr>
            <w:tcW w:w="406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53" w:right="33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ind w:left="5040"/>
        <w:spacing w:after="0"/>
        <w:tabs>
          <w:tab w:leader="none" w:pos="1024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25 of 27</w:t>
      </w:r>
    </w:p>
    <w:p>
      <w:pPr>
        <w:sectPr>
          <w:pgSz w:w="11900" w:h="16838" w:orient="portrait"/>
          <w:cols w:equalWidth="0" w:num="1">
            <w:col w:w="11220"/>
          </w:cols>
          <w:pgMar w:left="340" w:top="1053" w:right="3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3"/>
          <w:szCs w:val="13"/>
          <w:b w:val="1"/>
          <w:bCs w:val="1"/>
          <w:color w:val="auto"/>
        </w:rPr>
        <w:t>Exhibit 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173355</wp:posOffset>
            </wp:positionV>
            <wp:extent cx="45516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2"/>
              </w:rPr>
              <w:t>June 30, 2020</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Subsea</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Technip Energies</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8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Surface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3"/>
                <w:szCs w:val="13"/>
                <w:color w:val="auto"/>
              </w:rPr>
            </w:pPr>
          </w:p>
        </w:tc>
        <w:tc>
          <w:tcPr>
            <w:tcW w:w="10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3"/>
                <w:szCs w:val="13"/>
                <w:color w:val="auto"/>
              </w:rPr>
            </w:pPr>
          </w:p>
        </w:tc>
        <w:tc>
          <w:tcPr>
            <w:tcW w:w="7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Technologies</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Exchange, net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20"/>
                <w:szCs w:val="20"/>
                <w:color w:val="auto"/>
              </w:rPr>
            </w:pPr>
            <w:r>
              <w:rPr>
                <w:rFonts w:ascii="Arial" w:cs="Arial" w:eastAsia="Arial" w:hAnsi="Arial"/>
                <w:sz w:val="14"/>
                <w:szCs w:val="14"/>
                <w:color w:val="auto"/>
              </w:rPr>
              <w:t>Revenue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2,631.6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3,086.0</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571.2</w:t>
            </w:r>
          </w:p>
        </w:tc>
        <w:tc>
          <w:tcPr>
            <w:tcW w:w="4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6,288.8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06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(2,826.3)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382.5</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(437.4)</w:t>
            </w:r>
          </w:p>
        </w:tc>
        <w:tc>
          <w:tcPr>
            <w:tcW w:w="4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(3,028.3)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60" w:type="dxa"/>
            <w:vAlign w:val="bottom"/>
          </w:tcPr>
          <w:p>
            <w:pPr>
              <w:spacing w:after="0"/>
              <w:rPr>
                <w:sz w:val="20"/>
                <w:szCs w:val="20"/>
                <w:color w:val="auto"/>
              </w:rPr>
            </w:pPr>
            <w:r>
              <w:rPr>
                <w:rFonts w:ascii="Arial" w:cs="Arial" w:eastAsia="Arial" w:hAnsi="Arial"/>
                <w:sz w:val="14"/>
                <w:szCs w:val="14"/>
                <w:color w:val="auto"/>
              </w:rPr>
              <w:t>Charges and (credits):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2,809.0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412.7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3,221.7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Restructuring and other charges*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Direct COVID-19 expenses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Litigation settlement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Separation costs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0"/>
              <w:spacing w:after="0"/>
              <w:rPr>
                <w:sz w:val="20"/>
                <w:szCs w:val="20"/>
                <w:color w:val="auto"/>
              </w:rPr>
            </w:pPr>
            <w:r>
              <w:rPr>
                <w:rFonts w:ascii="Arial" w:cs="Arial" w:eastAsia="Arial" w:hAnsi="Arial"/>
                <w:sz w:val="14"/>
                <w:szCs w:val="14"/>
                <w:color w:val="auto"/>
              </w:rPr>
              <w:t>Purchase price accounting adjustments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60" w:type="dxa"/>
            <w:vAlign w:val="bottom"/>
          </w:tcPr>
          <w:p>
            <w:pPr>
              <w:ind w:left="440"/>
              <w:spacing w:after="0"/>
              <w:rPr>
                <w:sz w:val="20"/>
                <w:szCs w:val="20"/>
                <w:color w:val="auto"/>
              </w:rPr>
            </w:pPr>
            <w:r>
              <w:rPr>
                <w:rFonts w:ascii="Arial" w:cs="Arial" w:eastAsia="Arial" w:hAnsi="Arial"/>
                <w:sz w:val="14"/>
                <w:szCs w:val="14"/>
                <w:color w:val="auto"/>
              </w:rPr>
              <w:t>Subtotal</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2,877.9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431.1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3,271.1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242.8</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40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152.8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218.5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4"/>
                <w:szCs w:val="14"/>
                <w:color w:val="auto"/>
              </w:rPr>
              <w:t>Adjusted EBITDA</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329.7</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32.8</w:t>
            </w:r>
          </w:p>
        </w:tc>
        <w:tc>
          <w:tcPr>
            <w:tcW w:w="4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9"/>
        </w:trPr>
        <w:tc>
          <w:tcPr>
            <w:tcW w:w="40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-107.4 %</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-76.6 %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-48.2 %</w:t>
            </w:r>
          </w:p>
        </w:tc>
        <w:tc>
          <w:tcPr>
            <w:tcW w:w="0" w:type="dxa"/>
            <w:vAlign w:val="bottom"/>
          </w:tcPr>
          <w:p>
            <w:pPr>
              <w:spacing w:after="0"/>
              <w:rPr>
                <w:sz w:val="1"/>
                <w:szCs w:val="1"/>
                <w:color w:val="auto"/>
              </w:rPr>
            </w:pPr>
          </w:p>
        </w:tc>
      </w:tr>
      <w:tr>
        <w:trPr>
          <w:trHeight w:val="364"/>
        </w:trPr>
        <w:tc>
          <w:tcPr>
            <w:tcW w:w="40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365"/>
        </w:trPr>
        <w:tc>
          <w:tcPr>
            <w:tcW w:w="406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right="120"/>
        <w:spacing w:after="0" w:line="273" w:lineRule="auto"/>
        <w:rPr>
          <w:sz w:val="20"/>
          <w:szCs w:val="20"/>
          <w:color w:val="auto"/>
        </w:rPr>
      </w:pPr>
      <w:r>
        <w:rPr>
          <w:rFonts w:ascii="Arial" w:cs="Arial" w:eastAsia="Arial" w:hAnsi="Arial"/>
          <w:sz w:val="14"/>
          <w:szCs w:val="14"/>
          <w:color w:val="auto"/>
        </w:rPr>
        <w:t>*On December 30, 2019, we completed the acquisition of the remaining 50% of Technip Odebrecht PLSV CV. A $7.3 million gain recorded within restructuring and other charges in the Subsea segment during the 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224790</wp:posOffset>
            </wp:positionV>
            <wp:extent cx="45434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Subsea</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Technip Energies</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84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Surface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3"/>
                <w:szCs w:val="13"/>
                <w:color w:val="auto"/>
              </w:rPr>
            </w:pPr>
          </w:p>
        </w:tc>
        <w:tc>
          <w:tcPr>
            <w:tcW w:w="10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3"/>
                <w:szCs w:val="13"/>
                <w:color w:val="auto"/>
              </w:rPr>
            </w:pPr>
          </w:p>
        </w:tc>
        <w:tc>
          <w:tcPr>
            <w:tcW w:w="7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Technologies</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Expense</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8"/>
              </w:rPr>
              <w:t>Exchange, net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2,694.0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2,840.1</w:t>
            </w:r>
          </w:p>
        </w:tc>
        <w:tc>
          <w:tcPr>
            <w:tcW w:w="4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813.1</w:t>
            </w: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6,347.2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06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144.5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429.7</w:t>
            </w:r>
          </w:p>
        </w:tc>
        <w:tc>
          <w:tcPr>
            <w:tcW w:w="4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36.0</w:t>
            </w: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(202.9)</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377.7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60" w:type="dxa"/>
            <w:vAlign w:val="bottom"/>
          </w:tcPr>
          <w:p>
            <w:pPr>
              <w:spacing w:after="0"/>
              <w:rPr>
                <w:sz w:val="20"/>
                <w:szCs w:val="20"/>
                <w:color w:val="auto"/>
              </w:rPr>
            </w:pPr>
            <w:r>
              <w:rPr>
                <w:rFonts w:ascii="Arial" w:cs="Arial" w:eastAsia="Arial" w:hAnsi="Arial"/>
                <w:sz w:val="14"/>
                <w:szCs w:val="14"/>
                <w:color w:val="auto"/>
              </w:rPr>
              <w:t>Charges and (credits):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Restructuring and other severance charges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Business combination transaction and integration costs</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Reorganization</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0"/>
              <w:spacing w:after="0"/>
              <w:rPr>
                <w:sz w:val="20"/>
                <w:szCs w:val="20"/>
                <w:color w:val="auto"/>
              </w:rPr>
            </w:pPr>
            <w:r>
              <w:rPr>
                <w:rFonts w:ascii="Arial" w:cs="Arial" w:eastAsia="Arial" w:hAnsi="Arial"/>
                <w:sz w:val="14"/>
                <w:szCs w:val="14"/>
                <w:color w:val="auto"/>
              </w:rPr>
              <w:t>Legal provision, net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60" w:type="dxa"/>
            <w:vAlign w:val="bottom"/>
          </w:tcPr>
          <w:p>
            <w:pPr>
              <w:ind w:left="200"/>
              <w:spacing w:after="0"/>
              <w:rPr>
                <w:sz w:val="20"/>
                <w:szCs w:val="20"/>
                <w:color w:val="auto"/>
              </w:rPr>
            </w:pPr>
            <w:r>
              <w:rPr>
                <w:rFonts w:ascii="Arial" w:cs="Arial" w:eastAsia="Arial" w:hAnsi="Arial"/>
                <w:sz w:val="14"/>
                <w:szCs w:val="14"/>
                <w:color w:val="auto"/>
              </w:rPr>
              <w:t>Purchase price accounting adjustments - amortization related</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60" w:type="dxa"/>
            <w:vAlign w:val="bottom"/>
          </w:tcPr>
          <w:p>
            <w:pPr>
              <w:ind w:left="440"/>
              <w:spacing w:after="0"/>
              <w:rPr>
                <w:sz w:val="20"/>
                <w:szCs w:val="20"/>
                <w:color w:val="auto"/>
              </w:rPr>
            </w:pPr>
            <w:r>
              <w:rPr>
                <w:rFonts w:ascii="Arial" w:cs="Arial" w:eastAsia="Arial" w:hAnsi="Arial"/>
                <w:sz w:val="14"/>
                <w:szCs w:val="14"/>
                <w:color w:val="auto"/>
              </w:rPr>
              <w:t>Subtotal</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148.2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168.3</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460.9</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525.9</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40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Arial" w:cs="Arial" w:eastAsia="Arial" w:hAnsi="Arial"/>
                <w:sz w:val="14"/>
                <w:szCs w:val="14"/>
                <w:color w:val="auto"/>
              </w:rPr>
              <w:t>Adjusted EBITDA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476.7</w:t>
            </w:r>
          </w:p>
        </w:tc>
        <w:tc>
          <w:tcPr>
            <w:tcW w:w="4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76.8</w:t>
            </w: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(104.0)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745.8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40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51"/>
        </w:trPr>
        <w:tc>
          <w:tcPr>
            <w:tcW w:w="40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51"/>
        </w:trPr>
        <w:tc>
          <w:tcPr>
            <w:tcW w:w="406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506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26 of 27</w:t>
      </w:r>
    </w:p>
    <w:p>
      <w:pPr>
        <w:sectPr>
          <w:pgSz w:w="11900" w:h="16838" w:orient="portrait"/>
          <w:cols w:equalWidth="0" w:num="1">
            <w:col w:w="11240"/>
          </w:cols>
          <w:pgMar w:left="320" w:top="1053" w:right="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3"/>
          <w:szCs w:val="13"/>
          <w:b w:val="1"/>
          <w:bCs w:val="1"/>
          <w:color w:val="auto"/>
        </w:rPr>
        <w:t>Exhibit 12</w:t>
      </w:r>
    </w:p>
    <w:p>
      <w:pPr>
        <w:spacing w:after="0" w:line="1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260" w:type="dxa"/>
            <w:vAlign w:val="bottom"/>
          </w:tcPr>
          <w:p>
            <w:pPr>
              <w:jc w:val="right"/>
              <w:ind w:right="153"/>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r>
      <w:tr>
        <w:trPr>
          <w:trHeight w:val="33"/>
        </w:trPr>
        <w:tc>
          <w:tcPr>
            <w:tcW w:w="6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4,809.5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4,999.4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5,190.2</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6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(586.7)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(495.4)</w:t>
            </w:r>
          </w:p>
        </w:tc>
      </w:tr>
      <w:tr>
        <w:trPr>
          <w:trHeight w:val="270"/>
        </w:trPr>
        <w:tc>
          <w:tcPr>
            <w:tcW w:w="67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(3,982.9)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(3,823.9)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(3,980.0)</w:t>
            </w:r>
          </w:p>
        </w:tc>
      </w:tr>
      <w:tr>
        <w:trPr>
          <w:trHeight w:val="27"/>
        </w:trPr>
        <w:tc>
          <w:tcPr>
            <w:tcW w:w="6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6720" w:type="dxa"/>
            <w:vAlign w:val="bottom"/>
          </w:tcPr>
          <w:p>
            <w:pPr>
              <w:spacing w:after="0"/>
              <w:rPr>
                <w:sz w:val="20"/>
                <w:szCs w:val="20"/>
                <w:color w:val="auto"/>
              </w:rPr>
            </w:pPr>
            <w:r>
              <w:rPr>
                <w:rFonts w:ascii="Arial" w:cs="Arial" w:eastAsia="Arial" w:hAnsi="Arial"/>
                <w:sz w:val="18"/>
                <w:szCs w:val="18"/>
                <w:color w:val="auto"/>
              </w:rPr>
              <w:t>Net cash</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714.8</w:t>
            </w:r>
          </w:p>
        </w:tc>
      </w:tr>
      <w:tr>
        <w:trPr>
          <w:trHeight w:val="21"/>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(debt) cash, is a non-GAAP financial measure reflecting cash and cash equivalents, net of debt. Management uses 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200" w:lineRule="exact"/>
        <w:rPr>
          <w:sz w:val="20"/>
          <w:szCs w:val="20"/>
          <w:color w:val="auto"/>
        </w:rPr>
      </w:pPr>
    </w:p>
    <w:p>
      <w:pPr>
        <w:spacing w:after="0" w:line="353" w:lineRule="exact"/>
        <w:rPr>
          <w:sz w:val="20"/>
          <w:szCs w:val="20"/>
          <w:color w:val="auto"/>
        </w:rPr>
      </w:pPr>
    </w:p>
    <w:p>
      <w:pPr>
        <w:ind w:left="5060"/>
        <w:spacing w:after="0"/>
        <w:tabs>
          <w:tab w:leader="none" w:pos="10260" w:val="left"/>
        </w:tabs>
        <w:rPr>
          <w:sz w:val="20"/>
          <w:szCs w:val="20"/>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Page 27 of 27</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lvl w:ilvl="1">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lvl w:ilvl="1">
      <w:lvlJc w:val="left"/>
      <w:lvlText w:val="*"/>
      <w:numFmt w:val="bullet"/>
      <w:start w:val="1"/>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2020-07-29T15:14:14Z</dcterms:created>
  <dcterms:modified xsi:type="dcterms:W3CDTF">2020-07-29T15:14:14Z</dcterms:modified>
</cp:coreProperties>
</file>