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1846" w:hAnchor="page" w:vAnchor="page" w:x="276" w:y="1071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All terms used but not defined herein have the meanings assigned to such terms in the Form 10-K, Form 10-Q and Form 8-K.</w:t>
      </w:r>
    </w:p>
    <w:p>
      <w:pPr>
        <w:pStyle w:val="Normal"/>
        <w:framePr w:w="11429" w:hAnchor="page" w:vAnchor="page" w:x="276" w:y="102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Please note that the “Company” or “TechnipFMC” refers to TechnipFMC plc, together with its consolidated subsidiaries.</w:t>
      </w:r>
    </w:p>
    <w:p>
      <w:pPr>
        <w:pStyle w:val="Normal"/>
        <w:framePr w:w="4424" w:hAnchor="page" w:vAnchor="page" w:x="276" w:y="97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 the Company’s response to the comments.</w:t>
      </w:r>
    </w:p>
    <w:p>
      <w:pPr>
        <w:pStyle w:val="Normal"/>
        <w:framePr w:w="14360" w:hAnchor="page" w:vAnchor="page" w:x="276" w:y="95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“Form 10-Q”) and Form 8-K furnished with the SEC on October 26, 2023 (the “Form 8-K”). The Staff’s comments are set forth below in bold, followed</w:t>
      </w:r>
    </w:p>
    <w:p>
      <w:pPr>
        <w:pStyle w:val="Normal"/>
        <w:framePr w:w="13921" w:hAnchor="page" w:vAnchor="page" w:x="276" w:y="93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February 24, 2023 (the “Form 10-K”), Form 10-Q for the Quarterly Period Ended September 30, 2023, filed with the SEC on October 26, 2023 (the</w:t>
      </w:r>
    </w:p>
    <w:p>
      <w:pPr>
        <w:pStyle w:val="Normal"/>
        <w:framePr w:w="13438" w:hAnchor="page" w:vAnchor="page" w:x="276" w:y="90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Exchange Commission (the “SEC”), relating to the above-referenced Form 10-K for the year ended December 31, 2022, filed with the SEC on</w:t>
      </w:r>
    </w:p>
    <w:p>
      <w:pPr>
        <w:pStyle w:val="Normal"/>
        <w:framePr w:w="13699" w:hAnchor="page" w:vAnchor="page" w:x="276" w:y="88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letter responds to the letter dated November 8, 2023, from the staff of the Division of Corporation Finance (the “Staff”) of the Securities and</w:t>
      </w:r>
    </w:p>
    <w:p>
      <w:pPr>
        <w:pStyle w:val="Normal"/>
        <w:framePr w:w="3229" w:hAnchor="page" w:vAnchor="page" w:x="276" w:y="85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Dear Ms. Collins and Ms. Chen:</w:t>
      </w:r>
    </w:p>
    <w:p>
      <w:pPr>
        <w:pStyle w:val="Normal"/>
        <w:framePr w:w="2059" w:hAnchor="page" w:vAnchor="page" w:x="748" w:y="80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File No. 001-37983</w:t>
      </w:r>
    </w:p>
    <w:p>
      <w:pPr>
        <w:pStyle w:val="Normal"/>
        <w:framePr w:w="4253" w:hAnchor="page" w:vAnchor="page" w:x="748" w:y="78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Form 8-K furnished on October 26, 2023</w:t>
      </w:r>
    </w:p>
    <w:p>
      <w:pPr>
        <w:pStyle w:val="Normal"/>
        <w:framePr w:w="6495" w:hAnchor="page" w:vAnchor="page" w:x="748" w:y="75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Form 10-Q for the Quarterly Period Ended September 30, 2023</w:t>
      </w:r>
    </w:p>
    <w:p>
      <w:pPr>
        <w:pStyle w:val="Normal"/>
        <w:framePr w:w="5191" w:hAnchor="page" w:vAnchor="page" w:x="748" w:y="73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Form 10-K for the Year Ended December 31, 2022</w:t>
      </w:r>
    </w:p>
    <w:p>
      <w:pPr>
        <w:pStyle w:val="Normal"/>
        <w:framePr w:w="2453" w:hAnchor="page" w:vAnchor="page" w:x="276" w:y="71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Re:    TechnipFMC plc</w:t>
      </w:r>
    </w:p>
    <w:p>
      <w:pPr>
        <w:pStyle w:val="Normal"/>
        <w:framePr w:w="4270" w:hAnchor="page" w:vAnchor="page" w:x="276" w:y="66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Attention: Kathleen Collins and Chen Chen</w:t>
      </w:r>
    </w:p>
    <w:p>
      <w:pPr>
        <w:pStyle w:val="Normal"/>
        <w:framePr w:w="2401" w:hAnchor="page" w:vAnchor="page" w:x="276" w:y="61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Washington, DC 20549</w:t>
      </w:r>
    </w:p>
    <w:p>
      <w:pPr>
        <w:pStyle w:val="Normal"/>
        <w:framePr w:w="1899" w:hAnchor="page" w:vAnchor="page" w:x="276" w:y="594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100 F Street, N.E.</w:t>
      </w:r>
    </w:p>
    <w:p>
      <w:pPr>
        <w:pStyle w:val="Normal"/>
        <w:framePr w:w="3242" w:hAnchor="page" w:vAnchor="page" w:x="276" w:y="57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Division of Corporation Finance</w:t>
      </w:r>
    </w:p>
    <w:p>
      <w:pPr>
        <w:pStyle w:val="Normal"/>
        <w:framePr w:w="4199" w:hAnchor="page" w:vAnchor="page" w:x="276" w:y="548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U.S. Securities and Exchange Commission</w:t>
      </w:r>
    </w:p>
    <w:p>
      <w:pPr>
        <w:pStyle w:val="Normal"/>
        <w:framePr w:w="1403" w:hAnchor="page" w:vAnchor="page" w:x="276" w:y="501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Via EDGAR</w:t>
      </w:r>
    </w:p>
    <w:p>
      <w:pPr>
        <w:pStyle w:val="Normal"/>
        <w:framePr w:w="1065" w:hAnchor="page" w:vAnchor="page" w:x="5599" w:y="45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Madrid</w:t>
      </w:r>
    </w:p>
    <w:p>
      <w:pPr>
        <w:pStyle w:val="Normal"/>
        <w:framePr w:w="344" w:hAnchor="page" w:vAnchor="page" w:x="6901" w:y="45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547" w:hAnchor="page" w:vAnchor="page" w:x="5599" w:y="43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Los Angeles</w:t>
      </w:r>
    </w:p>
    <w:p>
      <w:pPr>
        <w:pStyle w:val="Normal"/>
        <w:framePr w:w="2019" w:hAnchor="page" w:vAnchor="page" w:x="6901" w:y="43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Washington, D.C.</w:t>
      </w:r>
    </w:p>
    <w:p>
      <w:pPr>
        <w:pStyle w:val="Normal"/>
        <w:framePr w:w="1104" w:hAnchor="page" w:vAnchor="page" w:x="5599" w:y="40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London</w:t>
      </w:r>
    </w:p>
    <w:p>
      <w:pPr>
        <w:pStyle w:val="Normal"/>
        <w:framePr w:w="955" w:hAnchor="page" w:vAnchor="page" w:x="6901" w:y="40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Tokyo</w:t>
      </w:r>
    </w:p>
    <w:p>
      <w:pPr>
        <w:pStyle w:val="Normal"/>
        <w:framePr w:w="1168" w:hAnchor="page" w:vAnchor="page" w:x="5599" w:y="38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Houston</w:t>
      </w:r>
    </w:p>
    <w:p>
      <w:pPr>
        <w:pStyle w:val="Normal"/>
        <w:framePr w:w="1162" w:hAnchor="page" w:vAnchor="page" w:x="6901" w:y="38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Tel Aviv</w:t>
      </w:r>
    </w:p>
    <w:p>
      <w:pPr>
        <w:pStyle w:val="Normal"/>
        <w:framePr w:w="1470" w:hAnchor="page" w:vAnchor="page" w:x="5599" w:y="36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Hong Kong</w:t>
      </w:r>
    </w:p>
    <w:p>
      <w:pPr>
        <w:pStyle w:val="Normal"/>
        <w:framePr w:w="1305" w:hAnchor="page" w:vAnchor="page" w:x="6901" w:y="36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Singapore</w:t>
      </w:r>
    </w:p>
    <w:p>
      <w:pPr>
        <w:pStyle w:val="Normal"/>
        <w:framePr w:w="1254" w:hAnchor="page" w:vAnchor="page" w:x="5599" w:y="33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Hamburg</w:t>
      </w:r>
    </w:p>
    <w:p>
      <w:pPr>
        <w:pStyle w:val="Normal"/>
        <w:framePr w:w="1671" w:hAnchor="page" w:vAnchor="page" w:x="6901" w:y="33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Silicon Valley</w:t>
      </w:r>
    </w:p>
    <w:p>
      <w:pPr>
        <w:pStyle w:val="Normal"/>
        <w:framePr w:w="1258" w:hAnchor="page" w:vAnchor="page" w:x="5599" w:y="31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Frankfurt</w:t>
      </w:r>
    </w:p>
    <w:p>
      <w:pPr>
        <w:pStyle w:val="Normal"/>
        <w:framePr w:w="894" w:hAnchor="page" w:vAnchor="page" w:x="6901" w:y="31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Seoul</w:t>
      </w:r>
    </w:p>
    <w:p>
      <w:pPr>
        <w:pStyle w:val="Normal"/>
        <w:framePr w:w="1400" w:hAnchor="page" w:vAnchor="page" w:x="5599" w:y="293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Düsseldorf</w:t>
      </w:r>
    </w:p>
    <w:p>
      <w:pPr>
        <w:pStyle w:val="Normal"/>
        <w:framePr w:w="1671" w:hAnchor="page" w:vAnchor="page" w:x="6901" w:y="293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San Francisco</w:t>
      </w:r>
    </w:p>
    <w:p>
      <w:pPr>
        <w:pStyle w:val="Normal"/>
        <w:framePr w:w="1930" w:hAnchor="page" w:vAnchor="page" w:x="276" w:y="27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December 8, 2023</w:t>
      </w:r>
    </w:p>
    <w:p>
      <w:pPr>
        <w:pStyle w:val="Normal"/>
        <w:framePr w:w="950" w:hAnchor="page" w:vAnchor="page" w:x="5599" w:y="27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Dubai</w:t>
      </w:r>
    </w:p>
    <w:p>
      <w:pPr>
        <w:pStyle w:val="Normal"/>
        <w:framePr w:w="1337" w:hAnchor="page" w:vAnchor="page" w:x="6901" w:y="27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San Diego</w:t>
      </w:r>
    </w:p>
    <w:p>
      <w:pPr>
        <w:pStyle w:val="Normal"/>
        <w:framePr w:w="1155" w:hAnchor="page" w:vAnchor="page" w:x="5599" w:y="24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Chicago</w:t>
      </w:r>
    </w:p>
    <w:p>
      <w:pPr>
        <w:pStyle w:val="Normal"/>
        <w:framePr w:w="1035" w:hAnchor="page" w:vAnchor="page" w:x="6901" w:y="24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Riyadh</w:t>
      </w:r>
    </w:p>
    <w:p>
      <w:pPr>
        <w:pStyle w:val="Normal"/>
        <w:framePr w:w="2392" w:hAnchor="page" w:vAnchor="page" w:x="5599" w:y="22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Century City     Paris</w:t>
      </w:r>
    </w:p>
    <w:p>
      <w:pPr>
        <w:pStyle w:val="Normal"/>
        <w:framePr w:w="1168" w:hAnchor="page" w:vAnchor="page" w:x="5599" w:y="20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Brussels</w:t>
      </w:r>
    </w:p>
    <w:p>
      <w:pPr>
        <w:pStyle w:val="Normal"/>
        <w:framePr w:w="1787" w:hAnchor="page" w:vAnchor="page" w:x="6901" w:y="20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Orange County</w:t>
      </w:r>
    </w:p>
    <w:p>
      <w:pPr>
        <w:pStyle w:val="Normal"/>
        <w:framePr w:w="1040" w:hAnchor="page" w:vAnchor="page" w:x="5599" w:y="17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Boston</w:t>
      </w:r>
    </w:p>
    <w:p>
      <w:pPr>
        <w:pStyle w:val="Normal"/>
        <w:framePr w:w="1314" w:hAnchor="page" w:vAnchor="page" w:x="6901" w:y="17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New York</w:t>
      </w:r>
    </w:p>
    <w:p>
      <w:pPr>
        <w:pStyle w:val="Normal"/>
        <w:framePr w:w="1065" w:hAnchor="page" w:vAnchor="page" w:x="5599" w:y="15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Beijing</w:t>
      </w:r>
    </w:p>
    <w:p>
      <w:pPr>
        <w:pStyle w:val="Normal"/>
        <w:framePr w:w="1087" w:hAnchor="page" w:vAnchor="page" w:x="6901" w:y="15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Munich</w:t>
      </w:r>
    </w:p>
    <w:p>
      <w:pPr>
        <w:pStyle w:val="Normal"/>
        <w:framePr w:w="1001" w:hAnchor="page" w:vAnchor="page" w:x="5599" w:y="13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Austin</w:t>
      </w:r>
    </w:p>
    <w:p>
      <w:pPr>
        <w:pStyle w:val="Normal"/>
        <w:framePr w:w="920" w:hAnchor="page" w:vAnchor="page" w:x="6901" w:y="13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Milan</w:t>
      </w:r>
    </w:p>
    <w:p>
      <w:pPr>
        <w:pStyle w:val="Normal"/>
        <w:framePr w:w="344" w:hAnchor="page" w:vAnchor="page" w:x="5599" w:y="10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101" w:hAnchor="page" w:vAnchor="page" w:x="5729" w:y="9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FIRM / AFFILIATE OFFICES</w:t>
      </w:r>
    </w:p>
    <w:p>
      <w:pPr>
        <w:pStyle w:val="Normal"/>
        <w:framePr w:w="5695" w:hAnchor="page" w:vAnchor="page" w:x="5599" w:y="6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Tel: +1.202.637.2200 Fax: +1.202.637.2201www.lw.com</w:t>
      </w:r>
    </w:p>
    <w:p>
      <w:pPr>
        <w:pStyle w:val="Normal"/>
        <w:framePr w:w="3213" w:hAnchor="page" w:vAnchor="page" w:x="5599" w:y="3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Washington, D.C. 20004-1304</w:t>
      </w:r>
    </w:p>
    <w:p>
      <w:pPr>
        <w:pStyle w:val="Normal"/>
        <w:framePr w:w="3916" w:hAnchor="page" w:vAnchor="page" w:x="5599" w:y="1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555 Eleventh Street, N.W., Suite 1000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8pt;margin-top:48.3pt;z-index:-16777208;width:177.95pt;height:17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2.8pt;margin-top:259.2pt;z-index:-16777204;width:50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</w:p>
    <w:p>
      <w:pPr>
        <w:pStyle w:val="Normal"/>
        <w:framePr w:w="344" w:hAnchor="page" w:vAnchor="page" w:x="6130" w:y="82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</w:t>
      </w:r>
    </w:p>
    <w:p>
      <w:pPr>
        <w:pStyle w:val="Normal"/>
        <w:framePr w:w="10411" w:hAnchor="page" w:vAnchor="page" w:x="276" w:y="78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East resulting from recent project awards in support of longer-term customer production targets in the region.</w:t>
      </w:r>
    </w:p>
    <w:p>
      <w:pPr>
        <w:pStyle w:val="Normal"/>
        <w:framePr w:w="14291" w:hAnchor="page" w:vAnchor="page" w:x="276" w:y="75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year period. Surface Technologies revenue increased by $30.6 million, out of which $22.2 million iswas due to increased operator activity in the Middle</w:t>
      </w:r>
    </w:p>
    <w:p>
      <w:pPr>
        <w:pStyle w:val="Normal"/>
        <w:framePr w:w="14306" w:hAnchor="page" w:vAnchor="page" w:x="276" w:y="73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into an increase in project revenue over the2021, which resulted in increased revenue from flexible pipe and higher installation activities over the prior-</w:t>
      </w:r>
    </w:p>
    <w:p>
      <w:pPr>
        <w:pStyle w:val="Normal"/>
        <w:framePr w:w="14156" w:hAnchor="page" w:vAnchor="page" w:x="276" w:y="71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by $293.3 million, primarily driven by a 24.5% higher backlog as of December 31, 2021 than2022, when compared to December 31, 2022, converting</w:t>
      </w:r>
    </w:p>
    <w:p>
      <w:pPr>
        <w:pStyle w:val="Normal"/>
        <w:framePr w:w="14212" w:hAnchor="page" w:vAnchor="page" w:x="276" w:y="68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Revenue increased $323.9 million during the three months ended September 30, 2023, compared to the same period in 2022. Subsea revenue increased</w:t>
      </w:r>
    </w:p>
    <w:p>
      <w:pPr>
        <w:pStyle w:val="Normal"/>
        <w:framePr w:w="9907" w:hAnchor="page" w:vAnchor="page" w:x="276" w:y="64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below, there are no other material drivers on revenue for the relevant periods ended September 30, 2023.</w:t>
      </w:r>
    </w:p>
    <w:p>
      <w:pPr>
        <w:pStyle w:val="Normal"/>
        <w:framePr w:w="13927" w:hAnchor="page" w:vAnchor="page" w:x="276" w:y="62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Form 10-Q. The illustrative additions are denoted as underlined text and deleted text is denoted as struck through text. Besides the drivers discussed</w:t>
      </w:r>
    </w:p>
    <w:p>
      <w:pPr>
        <w:pStyle w:val="Normal"/>
        <w:framePr w:w="14120" w:hAnchor="page" w:vAnchor="page" w:x="276" w:y="59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narratives on revenue in the “Management’s Discussion and Analysis of Financial Condition and Results of Operations” section of the Company’s</w:t>
      </w:r>
    </w:p>
    <w:p>
      <w:pPr>
        <w:pStyle w:val="Normal"/>
        <w:framePr w:w="14120" w:hAnchor="page" w:vAnchor="page" w:x="276" w:y="57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 an example of how the Company plans to address the Staff’s comment in future filings and for illustrative purposes only, the Company has revised</w:t>
      </w:r>
    </w:p>
    <w:p>
      <w:pPr>
        <w:pStyle w:val="Normal"/>
        <w:framePr w:w="4546" w:hAnchor="page" w:vAnchor="page" w:x="276" w:y="52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Form 10-K or quarterly reports on Form 10-Q.</w:t>
      </w:r>
    </w:p>
    <w:p>
      <w:pPr>
        <w:pStyle w:val="Normal"/>
        <w:framePr w:w="14313" w:hAnchor="page" w:vAnchor="page" w:x="276" w:y="50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Outlook” in the “Management’s Discussion and Analysis of Financial Condition and Results of Operations” section of the Company’s annual reports on</w:t>
      </w:r>
    </w:p>
    <w:p>
      <w:pPr>
        <w:pStyle w:val="Normal"/>
        <w:framePr w:w="14145" w:hAnchor="page" w:vAnchor="page" w:x="276" w:y="481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additional discussion would be in addition to the Company’s current discussion of drivers of revenue under “Executive Overview” and “Business</w:t>
      </w:r>
    </w:p>
    <w:p>
      <w:pPr>
        <w:pStyle w:val="Normal"/>
        <w:framePr w:w="14118" w:hAnchor="page" w:vAnchor="page" w:x="276" w:y="45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including, on a qualitative basis, how a particular product-line or type of project activities has impacted revenue, to the extent applicable and material.</w:t>
      </w:r>
    </w:p>
    <w:p>
      <w:pPr>
        <w:pStyle w:val="Normal"/>
        <w:framePr w:w="13564" w:hAnchor="page" w:vAnchor="page" w:x="276" w:y="43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year ending December 31, 2023, the Company will provide further discussion on drivers where the Company discusses revenue specifically,</w:t>
      </w:r>
    </w:p>
    <w:p>
      <w:pPr>
        <w:pStyle w:val="Normal"/>
        <w:framePr w:w="14272" w:hAnchor="page" w:vAnchor="page" w:x="276" w:y="41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acknowledges the Staff’s comment and respectfully advises the Staff that beginning with the Company’s annual report on Form 10-K for</w:t>
      </w:r>
    </w:p>
    <w:p>
      <w:pPr>
        <w:pStyle w:val="Normal"/>
        <w:framePr w:w="1179" w:hAnchor="page" w:vAnchor="page" w:x="276" w:y="377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Response:</w:t>
      </w:r>
    </w:p>
    <w:p>
      <w:pPr>
        <w:pStyle w:val="Normal"/>
        <w:framePr w:w="13719" w:hAnchor="page" w:vAnchor="page" w:x="276" w:y="31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what other drivers impacted revenue for the geographic regions discussed and include a quantified discussion of such drivers, where possible.</w:t>
      </w:r>
    </w:p>
    <w:p>
      <w:pPr>
        <w:pStyle w:val="Normal"/>
        <w:framePr w:w="13883" w:hAnchor="page" w:vAnchor="page" w:x="276" w:y="29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consideration to include a qualitative discussion of how certain projects or product lines impacted revenue in such regions. Alternatively, tell us</w:t>
      </w:r>
    </w:p>
    <w:p>
      <w:pPr>
        <w:pStyle w:val="Normal"/>
        <w:framePr w:w="14251" w:hAnchor="page" w:vAnchor="page" w:x="276" w:y="27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discussion of specific projects or product line details may cause competitive harm or negatively impact negotiation with your customers, tell us your</w:t>
      </w:r>
    </w:p>
    <w:p>
      <w:pPr>
        <w:pStyle w:val="Normal"/>
        <w:framePr w:w="14291" w:hAnchor="page" w:vAnchor="page" w:x="276" w:y="25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quantifying the change in revenue for various geographic regions, however, the drivers behind such changes remain unclear. While you state that a</w:t>
      </w:r>
    </w:p>
    <w:p>
      <w:pPr>
        <w:pStyle w:val="Normal"/>
        <w:framePr w:w="14235" w:hAnchor="page" w:vAnchor="page" w:x="276" w:y="22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1. We note your response to prior comment 1 and the revised disclosures in your September 30, 2023 Form 10-Q. Such revisions appear to focus on</w:t>
      </w:r>
    </w:p>
    <w:p>
      <w:pPr>
        <w:pStyle w:val="Normal"/>
        <w:framePr w:w="12302" w:hAnchor="page" w:vAnchor="page" w:x="276" w:y="18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Management’s Discussion and Analysis of Financial Condition and Results of Operations Segment Results of Operations, page 36</w:t>
      </w:r>
    </w:p>
    <w:p>
      <w:pPr>
        <w:pStyle w:val="Normal"/>
        <w:framePr w:w="6101" w:hAnchor="page" w:vAnchor="page" w:x="276" w:y="134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Form 10-Q for the Quarterly Period Ended September 30, 2023</w:t>
      </w:r>
    </w:p>
    <w:p>
      <w:pPr>
        <w:pStyle w:val="Normal"/>
        <w:framePr w:w="935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Page  2</w:t>
      </w:r>
    </w:p>
    <w:p>
      <w:pPr>
        <w:pStyle w:val="Normal"/>
        <w:framePr w:w="1978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December 8, 2023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7pt;margin-top:1pt;z-index:-1677720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2.8pt;margin-top:1pt;z-index:-1677719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2.8pt;margin-top:2.45pt;z-index:-1677719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597.95pt;margin-top:1pt;z-index:-1677718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2.8pt;margin-top:1pt;z-index:-1677718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3.8pt;margin-top:46.1pt;z-index:-16777180;width:120.8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2.8pt;margin-top:75.5pt;z-index:-16777176;width:246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2.8pt;margin-top:98.65pt;z-index:-16777172;width:505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2.8pt;margin-top:197pt;z-index:-16777168;width:3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2.8pt;margin-top:360.5pt;z-index:-16777164;width:11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335.15pt;margin-top:360.5pt;z-index:-16777160;width:40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373.95pt;margin-top:364.8pt;z-index:-16777156;width:96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27.8pt;margin-top:360.5pt;z-index:-16777152;width:67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2.8pt;margin-top:372.05pt;z-index:-16777148;width:15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8.3pt;margin-top:376.4pt;z-index:-16777144;width:13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8.3pt;margin-top:372.05pt;z-index:-16777140;width:13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68.3pt;margin-top:372.05pt;z-index:-16777136;width:13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80.1pt;margin-top:376.4pt;z-index:-16777132;width:421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8pt;margin-top:387.95pt;z-index:-16777128;width:1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19.2pt;margin-top:383.65pt;z-index:-16777124;width:11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86.95pt;margin-top:383.65pt;z-index:-16777120;width:1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390.8pt;margin-top:383.65pt;z-index:-16777116;width:8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397.25pt;margin-top:387.95pt;z-index:-16777112;width:1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80.4pt;margin-top:387.95pt;z-index:-16777108;width:3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9.9pt;margin-top:399.55pt;z-index:-16777104;width:40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</w:p>
    <w:p>
      <w:pPr>
        <w:pStyle w:val="Normal"/>
        <w:framePr w:w="344" w:hAnchor="page" w:vAnchor="page" w:x="6130" w:y="93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</w:t>
      </w:r>
    </w:p>
    <w:p>
      <w:pPr>
        <w:pStyle w:val="Normal"/>
        <w:framePr w:w="11182" w:hAnchor="page" w:vAnchor="page" w:x="276" w:y="89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supporting higher drilling and completions activity that followed an extended period of underinvestment in the region.</w:t>
      </w:r>
    </w:p>
    <w:p>
      <w:pPr>
        <w:pStyle w:val="Normal"/>
        <w:framePr w:w="14236" w:hAnchor="page" w:vAnchor="page" w:x="276" w:y="87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driving increased supply of drilling and completions products. The increased revenue in North America was driven by improved commercial conditions</w:t>
      </w:r>
    </w:p>
    <w:p>
      <w:pPr>
        <w:pStyle w:val="Normal"/>
        <w:framePr w:w="14303" w:hAnchor="page" w:vAnchor="page" w:x="276" w:y="85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North America. The increase in the Middle East resulted from recent project awards in support of longer-term customer production targets in the region</w:t>
      </w:r>
    </w:p>
    <w:p>
      <w:pPr>
        <w:pStyle w:val="Normal"/>
        <w:framePr w:w="14122" w:hAnchor="page" w:vAnchor="page" w:x="276" w:y="82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America. During the nine months ended September 30, 2023 and 2022, 58% and 54% of total segment revenue, respectively, was generated outside of</w:t>
      </w:r>
    </w:p>
    <w:p>
      <w:pPr>
        <w:pStyle w:val="Normal"/>
        <w:framePr w:w="13774" w:hAnchor="page" w:vAnchor="page" w:x="276" w:y="80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$79.5 million of which iswas the result of increased activity in the Middle East and $26.9 million iswas due to increased operator activity in North</w:t>
      </w:r>
    </w:p>
    <w:p>
      <w:pPr>
        <w:pStyle w:val="Normal"/>
        <w:framePr w:w="14009" w:hAnchor="page" w:vAnchor="page" w:x="276" w:y="78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Surface Technologies revenue increased by $144.9 million, during the nine months ended September 30, 2023, compared to the same period in 2022,</w:t>
      </w:r>
    </w:p>
    <w:p>
      <w:pPr>
        <w:pStyle w:val="Normal"/>
        <w:framePr w:w="1276" w:hAnchor="page" w:vAnchor="page" w:x="276" w:y="73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operations.</w:t>
      </w:r>
    </w:p>
    <w:p>
      <w:pPr>
        <w:pStyle w:val="Normal"/>
        <w:framePr w:w="14218" w:hAnchor="page" w:vAnchor="page" w:x="276" w:y="71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North America was partially offset by an $8.7 million decline in North America due to lower drilling and completions activity and the exit of Canadian</w:t>
      </w:r>
    </w:p>
    <w:p>
      <w:pPr>
        <w:pStyle w:val="Normal"/>
        <w:framePr w:w="13859" w:hAnchor="page" w:vAnchor="page" w:x="276" w:y="68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Middle East resulted from recent project awards in support of longer-term customer production targets in the region. The higher revenue outside of</w:t>
      </w:r>
    </w:p>
    <w:p>
      <w:pPr>
        <w:pStyle w:val="Normal"/>
        <w:framePr w:w="13949" w:hAnchor="page" w:vAnchor="page" w:x="276" w:y="66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East represented 25.2% and 20.6%, respectively. and $20.3 million in European, Asian and African markets. The increase in operator activity in the</w:t>
      </w:r>
    </w:p>
    <w:p>
      <w:pPr>
        <w:pStyle w:val="Normal"/>
        <w:framePr w:w="13990" w:hAnchor="page" w:vAnchor="page" w:x="276" w:y="64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period in 2022, driven by higher levels of drilling and completions activity outside of North America, of whichincreasing $22.2 million in the Middle</w:t>
      </w:r>
    </w:p>
    <w:p>
      <w:pPr>
        <w:pStyle w:val="Normal"/>
        <w:framePr w:w="14092" w:hAnchor="page" w:vAnchor="page" w:x="276" w:y="62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the three months ended September 30, 2023 and 2022, 60.6% and 54.0% of total segment revenue, respectively, was generated, compared to the same</w:t>
      </w:r>
    </w:p>
    <w:p>
      <w:pPr>
        <w:pStyle w:val="Normal"/>
        <w:framePr w:w="14151" w:hAnchor="page" w:vAnchor="page" w:x="276" w:y="59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Surface Technologies revenue increased by $30.6 million, $22.2 million of which is attributable to increased activity in the Middle East. Duringduring</w:t>
      </w:r>
    </w:p>
    <w:p>
      <w:pPr>
        <w:pStyle w:val="Normal"/>
        <w:framePr w:w="11641" w:hAnchor="page" w:vAnchor="page" w:x="276" w:y="55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$321.8 million decline in Asia Pacific from lower activity as projects reached completion in the region reached completion.</w:t>
      </w:r>
    </w:p>
    <w:p>
      <w:pPr>
        <w:pStyle w:val="Normal"/>
        <w:framePr w:w="13761" w:hAnchor="page" w:vAnchor="page" w:x="276" w:y="52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installation activities across these geographies. The increase in revenue in Brazil, the United States, Norway and Guyana was partially offset by a</w:t>
      </w:r>
    </w:p>
    <w:p>
      <w:pPr>
        <w:pStyle w:val="Normal"/>
        <w:framePr w:w="14292" w:hAnchor="page" w:vAnchor="page" w:x="276" w:y="50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million from Norway, and $100.1 million from Guyana, due to increased supply of flexible pipe and subsea production equipment combined with higher</w:t>
      </w:r>
    </w:p>
    <w:p>
      <w:pPr>
        <w:pStyle w:val="Normal"/>
        <w:framePr w:w="14251" w:hAnchor="page" w:vAnchor="page" w:x="276" w:y="481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offerings. $410.2 million of the increase comesin revenue came from Brazil, $168.5 million from Norway, $172.9 million from the United States, $168.5</w:t>
      </w:r>
    </w:p>
    <w:p>
      <w:pPr>
        <w:pStyle w:val="Normal"/>
        <w:framePr w:w="13561" w:hAnchor="page" w:vAnchor="page" w:x="276" w:y="45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increasedan increase in backlog during 2022, related to higher energy demand and upstream spending, further aided by our unique commercial</w:t>
      </w:r>
    </w:p>
    <w:p>
      <w:pPr>
        <w:pStyle w:val="Normal"/>
        <w:framePr w:w="13554" w:hAnchor="page" w:vAnchor="page" w:x="276" w:y="43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Subsea revenue increased by $595.6 million during the nine months ended September 30, 2023, compared to the same period in 2022, driven by</w:t>
      </w:r>
    </w:p>
    <w:p>
      <w:pPr>
        <w:pStyle w:val="Normal"/>
        <w:framePr w:w="5908" w:hAnchor="page" w:vAnchor="page" w:x="276" w:y="38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primarily from lower activity as projects reached completion.</w:t>
      </w:r>
    </w:p>
    <w:p>
      <w:pPr>
        <w:pStyle w:val="Normal"/>
        <w:framePr w:w="13769" w:hAnchor="page" w:vAnchor="page" w:x="276" w:y="36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geographies. The increase in revenue in Brazil, Norway and the United States was offset by a net $20.9 million decrease from the rest of the world</w:t>
      </w:r>
    </w:p>
    <w:p>
      <w:pPr>
        <w:pStyle w:val="Normal"/>
        <w:framePr w:w="13971" w:hAnchor="page" w:vAnchor="page" w:x="276" w:y="34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million from Norway and $54.1 million from the United States, due to increased supply of flexible pipe and higher installation activities across these</w:t>
      </w:r>
    </w:p>
    <w:p>
      <w:pPr>
        <w:pStyle w:val="Normal"/>
        <w:framePr w:w="13937" w:hAnchor="page" w:vAnchor="page" w:x="276" w:y="31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and upstream spending, further aided by our unique commercial offerings. $143.6 million of the increase comesin revenue came from Brazil, $116.9</w:t>
      </w:r>
    </w:p>
    <w:p>
      <w:pPr>
        <w:pStyle w:val="Normal"/>
        <w:framePr w:w="14375" w:hAnchor="page" w:vAnchor="page" w:x="276" w:y="29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months ended September 30, 2023, compared to the same period in 2022, driven by an increase in backlog during 2022 related to higher energy demand</w:t>
      </w:r>
    </w:p>
    <w:p>
      <w:pPr>
        <w:pStyle w:val="Normal"/>
        <w:framePr w:w="13724" w:hAnchor="page" w:vAnchor="page" w:x="276" w:y="27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Subsea revenue increased $293.3 million, as a continued positive impact of the backlog increase in 2022, compared to prior year during the three</w:t>
      </w:r>
    </w:p>
    <w:p>
      <w:pPr>
        <w:pStyle w:val="Normal"/>
        <w:framePr w:w="13016" w:hAnchor="page" w:vAnchor="page" w:x="276" w:y="22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$79.5 million and $26.9 million arewere due to increase inincreased operator activity in the Middle East and North America, respectively.</w:t>
      </w:r>
    </w:p>
    <w:p>
      <w:pPr>
        <w:pStyle w:val="Normal"/>
        <w:framePr w:w="13153" w:hAnchor="page" w:vAnchor="page" w:x="276" w:y="20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equipment combined with higher installation activities. Surface Technologies revenue increased by $144.9 million, year-over-year, of which</w:t>
      </w:r>
    </w:p>
    <w:p>
      <w:pPr>
        <w:pStyle w:val="Normal"/>
        <w:framePr w:w="13949" w:hAnchor="page" w:vAnchor="page" w:x="276" w:y="18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converting into an increase of $530.2 million in project revenues2021, which resulted in increased revenue from flexible pipe and subsea production</w:t>
      </w:r>
    </w:p>
    <w:p>
      <w:pPr>
        <w:pStyle w:val="Normal"/>
        <w:framePr w:w="14199" w:hAnchor="page" w:vAnchor="page" w:x="276" w:y="15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wasincreased $595.6 million, primarily driven by a 24.5% higher backlog as of December 31, 2021, than2022, when compared to December 31, 2022,</w:t>
      </w:r>
    </w:p>
    <w:p>
      <w:pPr>
        <w:pStyle w:val="Normal"/>
        <w:framePr w:w="14304" w:hAnchor="page" w:vAnchor="page" w:x="276" w:y="134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Revenue increased by $740.5 million during the nine months ended September 30, 2023, compared to the same period in 2022. Subsea revenue increase</w:t>
      </w:r>
    </w:p>
    <w:p>
      <w:pPr>
        <w:pStyle w:val="Normal"/>
        <w:framePr w:w="935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Page  3</w:t>
      </w:r>
    </w:p>
    <w:p>
      <w:pPr>
        <w:pStyle w:val="Normal"/>
        <w:framePr w:w="1978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December 8, 2023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7pt;margin-top:1pt;z-index:-1677710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8pt;margin-top:1pt;z-index:-1677709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8pt;margin-top:2.45pt;z-index:-1677709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7.95pt;margin-top:1pt;z-index:-1677708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8pt;margin-top:1pt;z-index:-1677708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8pt;margin-top:46.1pt;z-index:-16777080;width:120.8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87.35pt;margin-top:71.15pt;z-index:-16777076;width:11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566.95pt;margin-top:71.15pt;z-index:-16777072;width:3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2.8pt;margin-top:82.75pt;z-index:-16777068;width:1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27.8pt;margin-top:87.05pt;z-index:-16777064;width:14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05.75pt;margin-top:87.05pt;z-index:-16777060;width:9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78.15pt;margin-top:82.75pt;z-index:-16777056;width:43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419.35pt;margin-top:87.05pt;z-index:-16777052;width:99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573.2pt;margin-top:82.75pt;z-index:-16777048;width:2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2.8pt;margin-top:94.3pt;z-index:-16777044;width:251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62.3pt;margin-top:98.65pt;z-index:-16777040;width:324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2.8pt;margin-top:110.2pt;z-index:-16777036;width:21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384.65pt;margin-top:105.9pt;z-index:-16777032;width:11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52.4pt;margin-top:105.9pt;z-index:-16777028;width: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37.3pt;margin-top:117.45pt;z-index:-16777024;width:14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49.8pt;margin-top:121.8pt;z-index:-16777020;width:20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96.8pt;margin-top:117.45pt;z-index:-16777016;width:44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39pt;margin-top:121.8pt;z-index:-16777012;width:3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73.25pt;margin-top:140.6pt;z-index:-16777008;width:339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510.95pt;margin-top:144.95pt;z-index:-16777004;width:6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2.8pt;margin-top:156.5pt;z-index:-16777000;width:591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2.8pt;margin-top:168.1pt;z-index:-16776996;width:287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361.5pt;margin-top:168.1pt;z-index:-16776992;width:2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0.3pt;margin-top:163.75pt;z-index:-16776988;width:22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44.35pt;margin-top:168.1pt;z-index:-16776984;width:64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57.35pt;margin-top:179.65pt;z-index:-16776980;width:330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2.8pt;margin-top:191.25pt;z-index:-16776976;width:32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367.9pt;margin-top:191.25pt;z-index:-16776972;width:9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8pt;margin-top:202.8pt;z-index:-16776968;width:236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14.6pt;margin-top:221.6pt;z-index:-16776964;width:11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82.35pt;margin-top:225.95pt;z-index:-16776960;width:3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8pt;margin-top:233.2pt;z-index:-16776956;width:3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9.9pt;margin-top:237.5pt;z-index:-16776952;width:56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86.9pt;margin-top:237.5pt;z-index:-16776948;width:383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2.8pt;margin-top:249.1pt;z-index:-16776944;width:36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10.5pt;margin-top:249.1pt;z-index:-16776940;width:2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69.3pt;margin-top:244.75pt;z-index:-16776936;width:26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93.4pt;margin-top:249.1pt;z-index:-16776932;width:64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307.25pt;margin-top:244.75pt;z-index:-16776928;width:115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565.75pt;margin-top:249.1pt;z-index:-16776924;width:33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2.8pt;margin-top:260.65pt;z-index:-16776920;width:8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29.25pt;margin-top:260.65pt;z-index:-16776916;width:371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12.8pt;margin-top:272.25pt;z-index:-16776912;width:526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71.85pt;margin-top:272.25pt;z-index:-16776908;width: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60.85pt;margin-top:283.8pt;z-index:-16776904;width: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80.35pt;margin-top:279.45pt;z-index:-16776900;width:77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07.55pt;margin-top:283.8pt;z-index:-16776896;width:8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69.65pt;margin-top:302.6pt;z-index:-16776892;width:11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37.4pt;margin-top:302.6pt;z-index:-16776888;width:331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67.2pt;margin-top:306.95pt;z-index:-16776884;width:27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183.75pt;margin-top:314.2pt;z-index:-16776880;width:319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01.1pt;margin-top:318.55pt;z-index:-16776876;width:91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2.8pt;margin-top:330.1pt;z-index:-16776872;width:28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405.3pt;margin-top:325.75pt;z-index:-16776868;width:34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38.2pt;margin-top:330.1pt;z-index:-16776864;width:10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2.35pt;margin-top:337.35pt;z-index:-16776860;width:170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03.4pt;margin-top:341.7pt;z-index:-16776856;width:38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2.8pt;margin-top:353.25pt;z-index:-16776852;width:56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2.8pt;margin-top:364.8pt;z-index:-16776848;width:584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2.8pt;margin-top:376.4pt;z-index:-16776844;width:45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69.65pt;margin-top:395.2pt;z-index:-16776840;width:11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37.4pt;margin-top:399.55pt;z-index:-16776836;width:34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01.95pt;margin-top:406.75pt;z-index:-16776832;width:8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08.4pt;margin-top:411.1pt;z-index:-16776828;width:1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388.25pt;margin-top:406.75pt;z-index:-16776824;width:8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4.65pt;margin-top:411.1pt;z-index:-16776820;width:1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.25pt;margin-top:418.35pt;z-index:-16776816;width:543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12.8pt;margin-top:429.9pt;z-index:-16776812;width:6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75.15pt;margin-top:434.25pt;z-index:-16776808;width:52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2.8pt;margin-top:445.85pt;z-index:-16776804;width:585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12.8pt;margin-top:457.4pt;z-index:-16776800;width:458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344" w:hAnchor="page" w:vAnchor="page" w:x="6130" w:y="83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4</w:t>
      </w:r>
    </w:p>
    <w:p>
      <w:pPr>
        <w:pStyle w:val="Normal"/>
        <w:framePr w:w="10494" w:hAnchor="page" w:vAnchor="page" w:x="276" w:y="79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valuation allowance consideration, in which case the tax effect of such item is estimated accordingly positions.</w:t>
      </w:r>
    </w:p>
    <w:p>
      <w:pPr>
        <w:pStyle w:val="Normal"/>
        <w:framePr w:w="14293" w:hAnchor="page" w:vAnchor="page" w:x="276" w:y="77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requires, the need of application of a specific tax rate, tax treatment orhistory of non-GAAP taxable income positions (i.e. NOLs) and concluding on the</w:t>
      </w:r>
    </w:p>
    <w:p>
      <w:pPr>
        <w:pStyle w:val="Normal"/>
        <w:framePr w:w="14382" w:hAnchor="page" w:vAnchor="page" w:x="276" w:y="74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tax rate to the pretax amount, unlessnon-GAAP amounts, analyzing the nature of the item and/or the tax jurisdiction in which the item has been recorded</w:t>
      </w:r>
    </w:p>
    <w:p>
      <w:pPr>
        <w:pStyle w:val="Normal"/>
        <w:framePr w:w="14350" w:hAnchor="page" w:vAnchor="page" w:x="276" w:y="72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applicable reconciliation table. Estimates of the tax effect of each adjustment is calculated item by item, applyingby reviewing the relevant jurisdictional</w:t>
      </w:r>
    </w:p>
    <w:p>
      <w:pPr>
        <w:pStyle w:val="Normal"/>
        <w:framePr w:w="13936" w:hAnchor="page" w:vAnchor="page" w:x="276" w:y="70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Non-GAAP adjustments are presented on a gross basis, and are not net ofthe tax impact of the non-GAAP adjustments is separately presented in the</w:t>
      </w:r>
    </w:p>
    <w:p>
      <w:pPr>
        <w:pStyle w:val="Normal"/>
        <w:framePr w:w="633" w:hAnchor="page" w:vAnchor="page" w:x="276" w:y="65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text.</w:t>
      </w:r>
    </w:p>
    <w:p>
      <w:pPr>
        <w:pStyle w:val="Normal"/>
        <w:framePr w:w="14207" w:hAnchor="page" w:vAnchor="page" w:x="276" w:y="63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adjustments. Updated language is set forth below. The illustrative additions are denoted as underlined text and deleted text is denoted as struck through</w:t>
      </w:r>
    </w:p>
    <w:p>
      <w:pPr>
        <w:pStyle w:val="Normal"/>
        <w:framePr w:w="14325" w:hAnchor="page" w:vAnchor="page" w:x="276" w:y="60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addition, the Company will update its future earnings releases and other investor communications to clarify how taxation is calculated for non-GAAP</w:t>
      </w:r>
    </w:p>
    <w:p>
      <w:pPr>
        <w:pStyle w:val="Normal"/>
        <w:framePr w:w="10482" w:hAnchor="page" w:vAnchor="page" w:x="276" w:y="56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valuation allowance was not considered to have been reversed for non-GAAP purposes in the relevant periods.</w:t>
      </w:r>
    </w:p>
    <w:p>
      <w:pPr>
        <w:pStyle w:val="Normal"/>
        <w:framePr w:w="13540" w:hAnchor="page" w:vAnchor="page" w:x="276" w:y="53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income. The Company confirms that the generation of future non-GAAP taxable income for these jurisdictions is limited. Therefore, the related</w:t>
      </w:r>
    </w:p>
    <w:p>
      <w:pPr>
        <w:pStyle w:val="Normal"/>
        <w:framePr w:w="13774" w:hAnchor="page" w:vAnchor="page" w:x="276" w:y="51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 the relevant periods referenced in the Staff’s comment above, on a non-GAAP basis, these jurisdictions do not have a recent history of taxable</w:t>
      </w:r>
    </w:p>
    <w:p>
      <w:pPr>
        <w:pStyle w:val="Normal"/>
        <w:framePr w:w="14130" w:hAnchor="page" w:vAnchor="page" w:x="276" w:y="49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investment in Technip Energies were recorded currently have a full valuation allowance against the respective jurisdiction’s cumulative GAAP NOLs.</w:t>
      </w:r>
    </w:p>
    <w:p>
      <w:pPr>
        <w:pStyle w:val="Normal"/>
        <w:framePr w:w="13689" w:hAnchor="page" w:vAnchor="page" w:x="276" w:y="470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acknowledges the Staff’s comment and respectfully advises the Staff that all jurisdictions where impairment charges and loss from</w:t>
      </w:r>
    </w:p>
    <w:p>
      <w:pPr>
        <w:pStyle w:val="Normal"/>
        <w:framePr w:w="1179" w:hAnchor="page" w:vAnchor="page" w:x="276" w:y="43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Response:</w:t>
      </w:r>
    </w:p>
    <w:p>
      <w:pPr>
        <w:pStyle w:val="Normal"/>
        <w:framePr w:w="4121" w:hAnchor="page" w:vAnchor="page" w:x="276" w:y="377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that at tax adjustment was not necessary.</w:t>
      </w:r>
    </w:p>
    <w:p>
      <w:pPr>
        <w:pStyle w:val="Normal"/>
        <w:framePr w:w="14157" w:hAnchor="page" w:vAnchor="page" w:x="276" w:y="35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losses but non-GAAP net income, tell us how you determined that the NOLs and valuation allowance would apply to the non-GAAP measure such</w:t>
      </w:r>
    </w:p>
    <w:p>
      <w:pPr>
        <w:pStyle w:val="Normal"/>
        <w:framePr w:w="13855" w:hAnchor="page" w:vAnchor="page" w:x="276" w:y="331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valuation allowance is based on the non-GAAP tax position in such jurisdictions. In this regard, to the extent these jurisdictions had GAAP net</w:t>
      </w:r>
    </w:p>
    <w:p>
      <w:pPr>
        <w:pStyle w:val="Normal"/>
        <w:framePr w:w="13743" w:hAnchor="page" w:vAnchor="page" w:x="276" w:y="30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carryforwards (NOL) and/or a full valuation allowance against the deferred tax assets. Please clarify whether your reference to the NOLs and</w:t>
      </w:r>
    </w:p>
    <w:p>
      <w:pPr>
        <w:pStyle w:val="Normal"/>
        <w:framePr w:w="13769" w:hAnchor="page" w:vAnchor="page" w:x="276" w:y="284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charges and loss from investment in Technip Energies, due to the fact, that these adjustments relate to jurisdictions that had net operating loss</w:t>
      </w:r>
    </w:p>
    <w:p>
      <w:pPr>
        <w:pStyle w:val="Normal"/>
        <w:framePr w:w="13901" w:hAnchor="page" w:vAnchor="page" w:x="276" w:y="26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2. We note from your response to prior comment 4 that you did not record the tax effect for certain non-GAAP adjustments, such as impairment</w:t>
      </w:r>
    </w:p>
    <w:p>
      <w:pPr>
        <w:pStyle w:val="Normal"/>
        <w:framePr w:w="6446" w:hAnchor="page" w:vAnchor="page" w:x="276" w:y="22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Reconciliation of GAAP to non-GAAP Financial Measures, page 1</w:t>
      </w:r>
    </w:p>
    <w:p>
      <w:pPr>
        <w:pStyle w:val="Normal"/>
        <w:framePr w:w="1372" w:hAnchor="page" w:vAnchor="page" w:x="276" w:y="18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Exhibit 99.1</w:t>
      </w:r>
    </w:p>
    <w:p>
      <w:pPr>
        <w:pStyle w:val="Normal"/>
        <w:framePr w:w="4090" w:hAnchor="page" w:vAnchor="page" w:x="276" w:y="134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Form 8-K Furnished on October 26, 2023</w:t>
      </w:r>
    </w:p>
    <w:p>
      <w:pPr>
        <w:pStyle w:val="Normal"/>
        <w:framePr w:w="935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Page  4</w:t>
      </w:r>
    </w:p>
    <w:p>
      <w:pPr>
        <w:pStyle w:val="Normal"/>
        <w:framePr w:w="1978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December 8, 2023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2.8pt;margin-top:1pt;z-index:-1677679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2.8pt;margin-top:2.45pt;z-index:-1677678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7.95pt;margin-top:1pt;z-index:-1677678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2.8pt;margin-top:1pt;z-index:-1677678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.8pt;margin-top:46.1pt;z-index:-16776776;width:120.8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12.8pt;margin-top:75.5pt;z-index:-16776772;width:162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2.8pt;margin-top:98.65pt;z-index:-16776768;width:4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12.8pt;margin-top:121.8pt;z-index:-16776764;width:261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2.8pt;margin-top:225.95pt;z-index:-16776760;width:41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24.05pt;margin-top:359.05pt;z-index:-16776756;width: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45.75pt;margin-top:354.7pt;z-index:-16776752;width:5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97.05pt;margin-top:359.05pt;z-index:-16776748;width:13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25.4pt;margin-top:359.05pt;z-index:-16776744;width:260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12.8pt;margin-top:370.6pt;z-index:-16776740;width:12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16.15pt;margin-top:366.25pt;z-index:-16776736;width:35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49.85pt;margin-top:370.6pt;z-index:-16776732;width:51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593.7pt;margin-top:370.6pt;z-index:-16776728;width:9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95.7pt;margin-top:377.85pt;z-index:-16776724;width:59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53.5pt;margin-top:382.2pt;z-index:-16776720;width:121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2.8pt;margin-top:389.4pt;z-index:-16776716;width:33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4.2pt;margin-top:393.75pt;z-index:-16776712;width:4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223.55pt;margin-top:389.4pt;z-index:-16776708;width:63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85.3pt;margin-top:393.75pt;z-index:-16776704;width:315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93.65pt;margin-top:401pt;z-index:-16776700;width:309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403.3pt;margin-top:405.35pt;z-index:-16776696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</w:p>
    <w:p>
      <w:pPr>
        <w:pStyle w:val="Normal"/>
        <w:framePr w:w="344" w:hAnchor="page" w:vAnchor="page" w:x="6130" w:y="75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5</w:t>
      </w:r>
    </w:p>
    <w:p>
      <w:pPr>
        <w:pStyle w:val="Normal"/>
        <w:framePr w:w="7486" w:hAnchor="page" w:vAnchor="page" w:x="748" w:y="71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Cristina Aalders, Executive Vice President, Chief Legal Officer, and Secretary</w:t>
      </w:r>
    </w:p>
    <w:p>
      <w:pPr>
        <w:pStyle w:val="Normal"/>
        <w:framePr w:w="8119" w:hAnchor="page" w:vAnchor="page" w:x="748" w:y="68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Krisztina Doroghazi, Senior Vice President, Controller and Chief Accounting Officer</w:t>
      </w:r>
    </w:p>
    <w:p>
      <w:pPr>
        <w:pStyle w:val="Normal"/>
        <w:framePr w:w="6747" w:hAnchor="page" w:vAnchor="page" w:x="276" w:y="66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Cc:    Alf Melin, Executive Vice President and Chief Financial Officer</w:t>
      </w:r>
    </w:p>
    <w:p>
      <w:pPr>
        <w:pStyle w:val="Normal"/>
        <w:framePr w:w="3223" w:hAnchor="page" w:vAnchor="page" w:x="7364" w:y="60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LATHAM &amp; WATKINS LLP</w:t>
      </w:r>
    </w:p>
    <w:p>
      <w:pPr>
        <w:pStyle w:val="Normal"/>
        <w:framePr w:w="1938" w:hAnchor="page" w:vAnchor="page" w:x="7364" w:y="57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Julia A Thompson</w:t>
      </w:r>
    </w:p>
    <w:p>
      <w:pPr>
        <w:pStyle w:val="Normal"/>
        <w:framePr w:w="2214" w:hAnchor="page" w:vAnchor="page" w:x="7364" w:y="55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/s/ Julia A Thompson</w:t>
      </w:r>
    </w:p>
    <w:p>
      <w:pPr>
        <w:pStyle w:val="Normal"/>
        <w:framePr w:w="1145" w:hAnchor="page" w:vAnchor="page" w:x="7364" w:y="50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Sincerely,</w:t>
      </w:r>
    </w:p>
    <w:p>
      <w:pPr>
        <w:pStyle w:val="Normal"/>
        <w:framePr w:w="4681" w:hAnchor="page" w:vAnchor="page" w:x="276" w:y="45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 telephone the undersigned at (202) 637-1073.</w:t>
      </w:r>
    </w:p>
    <w:p>
      <w:pPr>
        <w:pStyle w:val="Normal"/>
        <w:framePr w:w="14199" w:hAnchor="page" w:vAnchor="page" w:x="276" w:y="43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appreciate the Staff’s time and attention to this matter. If you have any questions or comments or require further information, please do not hesitate</w:t>
      </w:r>
    </w:p>
    <w:p>
      <w:pPr>
        <w:pStyle w:val="Normal"/>
        <w:framePr w:w="2137" w:hAnchor="page" w:vAnchor="page" w:x="5382" w:y="400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*        *        *         *</w:t>
      </w:r>
    </w:p>
    <w:p>
      <w:pPr>
        <w:pStyle w:val="Normal"/>
        <w:framePr w:w="10243" w:hAnchor="page" w:vAnchor="page" w:x="276" w:y="34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 the Staff in the Staff’s comment in the Company’s future earnings releases and investor communications.</w:t>
      </w:r>
    </w:p>
    <w:p>
      <w:pPr>
        <w:pStyle w:val="Normal"/>
        <w:framePr w:w="14178" w:hAnchor="page" w:vAnchor="page" w:x="276" w:y="31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acknowledges the Staff’s comment and will remove the subtotal for “Adjusted operating profit” from the reconciliation table referred to</w:t>
      </w:r>
    </w:p>
    <w:p>
      <w:pPr>
        <w:pStyle w:val="Normal"/>
        <w:framePr w:w="1179" w:hAnchor="page" w:vAnchor="page" w:x="276" w:y="284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Response:</w:t>
      </w:r>
    </w:p>
    <w:p>
      <w:pPr>
        <w:pStyle w:val="Normal"/>
        <w:framePr w:w="4200" w:hAnchor="page" w:vAnchor="page" w:x="276" w:y="22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that begins with GAAP operating income.</w:t>
      </w:r>
    </w:p>
    <w:p>
      <w:pPr>
        <w:pStyle w:val="Normal"/>
        <w:framePr w:w="13986" w:hAnchor="page" w:vAnchor="page" w:x="276" w:y="20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reconciliation. To the extent you want to present a measure for non-GAAP operating income, provide a separate reconciliation for such measure</w:t>
      </w:r>
    </w:p>
    <w:p>
      <w:pPr>
        <w:pStyle w:val="Normal"/>
        <w:framePr w:w="13453" w:hAnchor="page" w:vAnchor="page" w:x="276" w:y="18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reconciled to the most directly comparable GAAP measure of operating income. Therefore, please remove this subtotal from your proposed</w:t>
      </w:r>
    </w:p>
    <w:p>
      <w:pPr>
        <w:pStyle w:val="Normal"/>
        <w:framePr w:w="14080" w:hAnchor="page" w:vAnchor="page" w:x="276" w:y="15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“adjusted operating profit” in this reconciliation and what it is intended to convey. In this regard, as presented adjusted operating income is not</w:t>
      </w:r>
    </w:p>
    <w:p>
      <w:pPr>
        <w:pStyle w:val="Normal"/>
        <w:framePr w:w="14306" w:hAnchor="page" w:vAnchor="page" w:x="276" w:y="134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3. We note the revised non-GAAP reconciliation that you propose to include in future filings. Please explain further the inclusion of the subtotal for</w:t>
      </w:r>
    </w:p>
    <w:p>
      <w:pPr>
        <w:pStyle w:val="Normal"/>
        <w:framePr w:w="935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Page  5</w:t>
      </w:r>
    </w:p>
    <w:p>
      <w:pPr>
        <w:pStyle w:val="Normal"/>
        <w:framePr w:w="1978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December 8, 2023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7pt;margin-top:1pt;z-index:-16776692;width:598pt;height:39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2.8pt;margin-top:1pt;z-index:-1677668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2.8pt;margin-top:2.45pt;z-index:-1677668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597.95pt;margin-top:1pt;z-index:-1677668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2.8pt;margin-top:1pt;z-index:-1677667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67.2pt;margin-top:287.45pt;z-index:-16776672;width:237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.8pt;margin-top:46.1pt;z-index:-16776668;width:120.8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12.8pt;margin-top:150.7pt;z-index:-16776664;width:41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</w:p>
    <w:sectPr>
      <w:pgSz w:w="12240" w:h="20160"/>
      <w:pgMar w:top="400" w:right="400" w:bottom="400" w:left="400" w:header="720" w:footer="720"/>
      <w:pgNumType w:start="5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ItalicMT">
    <w:panose-1>"02020503050405090304"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520054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jpe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jpeg" Type="http://schemas.openxmlformats.org/officeDocument/2006/relationships/image"/><Relationship Id="rId138" Target="media/image138.png" Type="http://schemas.openxmlformats.org/officeDocument/2006/relationships/image"/><Relationship Id="rId139" Target="styles.xml" Type="http://schemas.openxmlformats.org/officeDocument/2006/relationships/styles"/><Relationship Id="rId14" Target="media/image14.png" Type="http://schemas.openxmlformats.org/officeDocument/2006/relationships/image"/><Relationship Id="rId140" Target="fontTable.xml" Type="http://schemas.openxmlformats.org/officeDocument/2006/relationships/fontTable"/><Relationship Id="rId141" Target="settings.xml" Type="http://schemas.openxmlformats.org/officeDocument/2006/relationships/settings"/><Relationship Id="rId142" Target="webSettings.xml" Type="http://schemas.openxmlformats.org/officeDocument/2006/relationships/webSettings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jpe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jpe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jpe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5</Pages>
  <Words>1963</Words>
  <Characters>10866</Characters>
  <Application>e-iceblue</Application>
  <DocSecurity>0</DocSecurity>
  <Lines>160</Lines>
  <Paragraphs>160</Paragraphs>
  <ScaleCrop>false</ScaleCrop>
  <Company>e-iceblue</Company>
  <LinksUpToDate>false</LinksUpToDate>
  <CharactersWithSpaces>12791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2024-01-11T23:15:55Z</dcterms:created>
  <dc:creator>root</dc:creator>
  <cp:lastModifiedBy>root</cp:lastModifiedBy>
  <dcterms:modified xsi:type="dcterms:W3CDTF">2024-01-11T23:15:55Z</dcterms:modified>
  <cp:revision>1</cp:revision>
</cp:coreProperties>
</file>