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gb00bdsfg982_071019.txt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BDSFG98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BDSFG98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19686045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22126715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22126715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ST. PAUL'S CHURCHYARD</w:t>
      </w:r>
    </w:p>
    <w:p>
      <w:pPr>
        <w:spacing w:after="0" w:line="238" w:lineRule="auto"/>
        <w:rPr>
          <w:sz w:val="20"/>
          <w:szCs w:val="20"/>
          <w:color w:val="auto"/>
        </w:rPr>
      </w:pPr>
      <w:r>
        <w:rPr>
          <w:rFonts w:ascii="Courier New" w:cs="Courier New" w:eastAsia="Courier New" w:hAnsi="Courier New"/>
          <w:sz w:val="18"/>
          <w:szCs w:val="18"/>
          <w:color w:val="auto"/>
        </w:rPr>
        <w:t>LONDON United Kingdom EC4M 8AP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22126715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19686045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22126715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75"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10,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Subsidiary</w:t>
            </w:r>
          </w:p>
        </w:tc>
        <w:tc>
          <w:tcPr>
            <w:tcW w:w="14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608"/>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BlackRock</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rPr>
              <w:t>Life Limited</w:t>
            </w:r>
          </w:p>
        </w:tc>
        <w:tc>
          <w:tcPr>
            <w:tcW w:w="3740" w:type="dxa"/>
            <w:vAlign w:val="bottom"/>
          </w:tcPr>
          <w:p>
            <w:pPr>
              <w:spacing w:after="0"/>
              <w:rPr>
                <w:sz w:val="24"/>
                <w:szCs w:val="24"/>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International</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Advisors, LLC</w:t>
            </w:r>
          </w:p>
        </w:tc>
        <w:tc>
          <w:tcPr>
            <w:tcW w:w="3740" w:type="dxa"/>
            <w:vAlign w:val="bottom"/>
          </w:tcPr>
          <w:p>
            <w:pPr>
              <w:spacing w:after="0"/>
              <w:rPr>
                <w:sz w:val="17"/>
                <w:szCs w:val="17"/>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(Netherlands)</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B.V.</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Institutional</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Trust Company, National Association</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 Ireland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Financial Management, Inc.</w:t>
            </w:r>
          </w:p>
        </w:tc>
      </w:tr>
    </w:tbl>
    <w:p>
      <w:pPr>
        <w:spacing w:after="0" w:line="4" w:lineRule="exact"/>
        <w:rPr>
          <w:sz w:val="20"/>
          <w:szCs w:val="20"/>
          <w:color w:val="auto"/>
        </w:rPr>
      </w:pPr>
    </w:p>
    <w:p>
      <w:pPr>
        <w:ind w:left="120" w:right="3779"/>
        <w:spacing w:after="0" w:line="235" w:lineRule="auto"/>
        <w:rPr>
          <w:sz w:val="20"/>
          <w:szCs w:val="20"/>
          <w:color w:val="auto"/>
        </w:rPr>
      </w:pPr>
      <w:r>
        <w:rPr>
          <w:rFonts w:ascii="Courier New" w:cs="Courier New" w:eastAsia="Courier New" w:hAnsi="Courier New"/>
          <w:sz w:val="18"/>
          <w:szCs w:val="18"/>
          <w:color w:val="auto"/>
        </w:rPr>
        <w:t>iShares (DE) I Investmentaktiengesellschaft mit Teilgesellsc 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ectPr>
          <w:pgSz w:w="11900" w:h="16838" w:orient="portrait"/>
          <w:cols w:equalWidth="0" w:num="1">
            <w:col w:w="10219"/>
          </w:cols>
          <w:pgMar w:left="240" w:top="142"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2019-12-01T02:23:57Z</dcterms:created>
  <dcterms:modified xsi:type="dcterms:W3CDTF">2019-12-01T02:23:57Z</dcterms:modified>
</cp:coreProperties>
</file>