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2.8 (Apache licensed) using REFERENCE JAXB in Oracle Java 11.0.13 on Linux -->
    <w:p>
      <w:pPr>
        <w:spacing w:before="240" w:after="240"/>
        <w:ind w:left="120"/>
        <w:jc w:val="left"/>
      </w:pP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>X0508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>4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>2025-04-01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>0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>0001681459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>TechnipFMC plc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>FTI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>0001250840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>Pferdehirt Douglas J.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>C/O TECHNIPFMC PLC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>HADRIAN HOUSE, WINCOMBLEE ROAD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>NEWCASTLE UPON TYNE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>X0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>NE6 3PL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>UNITED KINGDOM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>1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>1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>0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>0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>Chair and CEO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>0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>Ordinary Shares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>2025-04-01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>4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>F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>0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>105229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                </w:t>
      </w:r>
      <w:bookmarkStart w:name="F1" w:id="0"/>
      <w:bookmarkEnd w:id="0"/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>32.17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>D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>3549593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>D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>Ordinary Shares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>80304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>I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>By Family Trust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</w:t>
      </w:r>
      <w:bookmarkStart w:name="F1" w:id="1"/>
      <w:r>
        <w:rPr>
          <w:rFonts w:ascii="Courier New" w:hAnsi="Courier New"/>
          <w:b w:val="false"/>
          <w:i w:val="false"/>
          <w:color w:val="000000"/>
          <w:sz w:val="22"/>
        </w:rPr>
        <w:t>Represents Ordinary Shares withheld for payment of taxes on vesting of restricted stock units granted on April 1, 2021.</w:t>
      </w:r>
      <w:bookmarkEnd w:id="1"/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>/s/ Lisa P. Wang, Attorney-In-Fact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>2025-04-02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        </w:t>
      </w:r>
      <w:r>
        <w:rPr>
          <w:rFonts w:ascii="Courier New" w:hAnsi="Courier New"/>
          <w:b w:val="false"/>
          <w:i w:val="false"/>
          <w:color w:val="000000"/>
          <w:sz w:val="22"/>
        </w:rPr>
        <w:t xml:space="preserve">
                </w:t>
      </w:r>
    </w:p>
    <w:tbl>
      <w:tblPr>
        <w:tblW w:w="0" w:type="auto"/>
        <w:tblCellSpacing w:w="2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/>
    </w:tbl>
    <w:tbl>
      <w:tblPr>
        <w:tblW w:w="0" w:type="auto"/>
        <w:tblCellSpacing w:w="2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/>
    </w:tbl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</dc:creator>
  <cp:lastModifiedBy>docx4j</cp:lastModifiedBy>
</cp:coreProperties>
</file>