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311150</wp:posOffset>
            </wp:positionH>
            <wp:positionV relativeFrom="page">
              <wp:posOffset>697230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21, 2021</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38"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3220" w:type="dxa"/>
            <w:vAlign w:val="bottom"/>
          </w:tcPr>
          <w:p>
            <w:pPr>
              <w:jc w:val="center"/>
              <w:ind w:right="421"/>
              <w:spacing w:after="0"/>
              <w:rPr>
                <w:sz w:val="20"/>
                <w:szCs w:val="20"/>
                <w:color w:val="auto"/>
              </w:rPr>
            </w:pPr>
            <w:r>
              <w:rPr>
                <w:rFonts w:ascii="Arial" w:cs="Arial" w:eastAsia="Arial" w:hAnsi="Arial"/>
                <w:sz w:val="18"/>
                <w:szCs w:val="18"/>
                <w:b w:val="1"/>
                <w:bCs w:val="1"/>
                <w:color w:val="auto"/>
              </w:rPr>
              <w:t>United Kingdom</w:t>
            </w:r>
          </w:p>
        </w:tc>
        <w:tc>
          <w:tcPr>
            <w:tcW w:w="3680" w:type="dxa"/>
            <w:vAlign w:val="bottom"/>
          </w:tcPr>
          <w:p>
            <w:pPr>
              <w:jc w:val="right"/>
              <w:ind w:right="1221"/>
              <w:spacing w:after="0"/>
              <w:rPr>
                <w:sz w:val="20"/>
                <w:szCs w:val="20"/>
                <w:color w:val="auto"/>
              </w:rPr>
            </w:pPr>
            <w:r>
              <w:rPr>
                <w:rFonts w:ascii="Arial" w:cs="Arial" w:eastAsia="Arial" w:hAnsi="Arial"/>
                <w:sz w:val="18"/>
                <w:szCs w:val="18"/>
                <w:b w:val="1"/>
                <w:bCs w:val="1"/>
                <w:color w:val="auto"/>
              </w:rPr>
              <w:t>001-37983</w:t>
            </w:r>
          </w:p>
        </w:tc>
        <w:tc>
          <w:tcPr>
            <w:tcW w:w="3200" w:type="dxa"/>
            <w:vAlign w:val="bottom"/>
          </w:tcPr>
          <w:p>
            <w:pPr>
              <w:jc w:val="center"/>
              <w:ind w:left="922"/>
              <w:spacing w:after="0"/>
              <w:rPr>
                <w:sz w:val="20"/>
                <w:szCs w:val="20"/>
                <w:color w:val="auto"/>
              </w:rPr>
            </w:pPr>
            <w:r>
              <w:rPr>
                <w:rFonts w:ascii="Arial" w:cs="Arial" w:eastAsia="Arial" w:hAnsi="Arial"/>
                <w:sz w:val="18"/>
                <w:szCs w:val="18"/>
                <w:b w:val="1"/>
                <w:bCs w:val="1"/>
                <w:color w:val="auto"/>
                <w:w w:val="99"/>
              </w:rPr>
              <w:t>98-1283037</w:t>
            </w:r>
          </w:p>
        </w:tc>
      </w:tr>
      <w:tr>
        <w:trPr>
          <w:trHeight w:val="190"/>
        </w:trPr>
        <w:tc>
          <w:tcPr>
            <w:tcW w:w="3220" w:type="dxa"/>
            <w:vAlign w:val="bottom"/>
          </w:tcPr>
          <w:p>
            <w:pPr>
              <w:jc w:val="center"/>
              <w:ind w:right="421"/>
              <w:spacing w:after="0"/>
              <w:rPr>
                <w:sz w:val="20"/>
                <w:szCs w:val="20"/>
                <w:color w:val="auto"/>
              </w:rPr>
            </w:pPr>
            <w:r>
              <w:rPr>
                <w:rFonts w:ascii="Arial" w:cs="Arial" w:eastAsia="Arial" w:hAnsi="Arial"/>
                <w:sz w:val="14"/>
                <w:szCs w:val="14"/>
                <w:color w:val="auto"/>
              </w:rPr>
              <w:t>(State or other jurisdiction of incorporation)</w:t>
            </w: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(Commission File Number)</w:t>
            </w:r>
          </w:p>
        </w:tc>
        <w:tc>
          <w:tcPr>
            <w:tcW w:w="3200" w:type="dxa"/>
            <w:vAlign w:val="bottom"/>
          </w:tcPr>
          <w:p>
            <w:pPr>
              <w:jc w:val="center"/>
              <w:ind w:left="922"/>
              <w:spacing w:after="0"/>
              <w:rPr>
                <w:sz w:val="20"/>
                <w:szCs w:val="20"/>
                <w:color w:val="auto"/>
              </w:rPr>
            </w:pPr>
            <w:r>
              <w:rPr>
                <w:rFonts w:ascii="Arial" w:cs="Arial" w:eastAsia="Arial" w:hAnsi="Arial"/>
                <w:sz w:val="14"/>
                <w:szCs w:val="14"/>
                <w:color w:val="auto"/>
              </w:rPr>
              <w:t>(I.R.S. Employer Identification No.)</w:t>
            </w:r>
          </w:p>
        </w:tc>
      </w:tr>
      <w:tr>
        <w:trPr>
          <w:trHeight w:val="597"/>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One St. Paul’s Churchyard</w:t>
            </w:r>
          </w:p>
        </w:tc>
        <w:tc>
          <w:tcPr>
            <w:tcW w:w="36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9"/>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London</w:t>
            </w:r>
          </w:p>
        </w:tc>
        <w:tc>
          <w:tcPr>
            <w:tcW w:w="36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39"/>
        </w:trPr>
        <w:tc>
          <w:tcPr>
            <w:tcW w:w="3220" w:type="dxa"/>
            <w:vAlign w:val="bottom"/>
          </w:tcPr>
          <w:p>
            <w:pPr>
              <w:jc w:val="center"/>
              <w:ind w:right="401"/>
              <w:spacing w:after="0"/>
              <w:rPr>
                <w:sz w:val="20"/>
                <w:szCs w:val="20"/>
                <w:color w:val="auto"/>
              </w:rPr>
            </w:pPr>
            <w:r>
              <w:rPr>
                <w:rFonts w:ascii="Arial" w:cs="Arial" w:eastAsia="Arial" w:hAnsi="Arial"/>
                <w:sz w:val="18"/>
                <w:szCs w:val="18"/>
                <w:b w:val="1"/>
                <w:bCs w:val="1"/>
                <w:color w:val="auto"/>
                <w:w w:val="99"/>
              </w:rPr>
              <w:t>United Kingdom</w:t>
            </w:r>
          </w:p>
        </w:tc>
        <w:tc>
          <w:tcPr>
            <w:tcW w:w="3680" w:type="dxa"/>
            <w:vAlign w:val="bottom"/>
          </w:tcPr>
          <w:p>
            <w:pPr>
              <w:spacing w:after="0"/>
              <w:rPr>
                <w:sz w:val="20"/>
                <w:szCs w:val="20"/>
                <w:color w:val="auto"/>
              </w:rPr>
            </w:pPr>
          </w:p>
        </w:tc>
        <w:tc>
          <w:tcPr>
            <w:tcW w:w="3200" w:type="dxa"/>
            <w:vAlign w:val="bottom"/>
          </w:tcPr>
          <w:p>
            <w:pPr>
              <w:jc w:val="center"/>
              <w:ind w:left="902"/>
              <w:spacing w:after="0"/>
              <w:rPr>
                <w:sz w:val="20"/>
                <w:szCs w:val="20"/>
                <w:color w:val="auto"/>
              </w:rPr>
            </w:pPr>
            <w:r>
              <w:rPr>
                <w:rFonts w:ascii="Arial" w:cs="Arial" w:eastAsia="Arial" w:hAnsi="Arial"/>
                <w:sz w:val="18"/>
                <w:szCs w:val="18"/>
                <w:b w:val="1"/>
                <w:bCs w:val="1"/>
                <w:color w:val="auto"/>
                <w:w w:val="99"/>
              </w:rPr>
              <w:t>EC4M 8AP</w:t>
            </w:r>
          </w:p>
        </w:tc>
      </w:tr>
      <w:tr>
        <w:trPr>
          <w:trHeight w:val="190"/>
        </w:trPr>
        <w:tc>
          <w:tcPr>
            <w:tcW w:w="3220" w:type="dxa"/>
            <w:vAlign w:val="bottom"/>
          </w:tcPr>
          <w:p>
            <w:pPr>
              <w:jc w:val="center"/>
              <w:ind w:right="401"/>
              <w:spacing w:after="0"/>
              <w:rPr>
                <w:sz w:val="20"/>
                <w:szCs w:val="20"/>
                <w:color w:val="auto"/>
              </w:rPr>
            </w:pPr>
            <w:r>
              <w:rPr>
                <w:rFonts w:ascii="Arial" w:cs="Arial" w:eastAsia="Arial" w:hAnsi="Arial"/>
                <w:sz w:val="14"/>
                <w:szCs w:val="14"/>
                <w:color w:val="auto"/>
              </w:rPr>
              <w:t>(Address of principal executive offices)</w:t>
            </w:r>
          </w:p>
        </w:tc>
        <w:tc>
          <w:tcPr>
            <w:tcW w:w="3680" w:type="dxa"/>
            <w:vAlign w:val="bottom"/>
          </w:tcPr>
          <w:p>
            <w:pPr>
              <w:spacing w:after="0"/>
              <w:rPr>
                <w:sz w:val="16"/>
                <w:szCs w:val="16"/>
                <w:color w:val="auto"/>
              </w:rPr>
            </w:pPr>
          </w:p>
        </w:tc>
        <w:tc>
          <w:tcPr>
            <w:tcW w:w="3200" w:type="dxa"/>
            <w:vAlign w:val="bottom"/>
          </w:tcPr>
          <w:p>
            <w:pPr>
              <w:jc w:val="center"/>
              <w:ind w:left="882"/>
              <w:spacing w:after="0"/>
              <w:rPr>
                <w:sz w:val="20"/>
                <w:szCs w:val="20"/>
                <w:color w:val="auto"/>
              </w:rPr>
            </w:pPr>
            <w:r>
              <w:rPr>
                <w:rFonts w:ascii="Arial" w:cs="Arial" w:eastAsia="Arial" w:hAnsi="Arial"/>
                <w:sz w:val="14"/>
                <w:szCs w:val="14"/>
                <w:color w:val="auto"/>
              </w:rPr>
              <w:t>(Zip Code)</w:t>
            </w:r>
          </w:p>
        </w:tc>
      </w:tr>
      <w:tr>
        <w:trPr>
          <w:trHeight w:val="350"/>
        </w:trPr>
        <w:tc>
          <w:tcPr>
            <w:tcW w:w="3220" w:type="dxa"/>
            <w:vAlign w:val="bottom"/>
          </w:tcPr>
          <w:p>
            <w:pPr>
              <w:spacing w:after="0"/>
              <w:rPr>
                <w:sz w:val="24"/>
                <w:szCs w:val="24"/>
                <w:color w:val="auto"/>
              </w:rPr>
            </w:pPr>
          </w:p>
        </w:tc>
        <w:tc>
          <w:tcPr>
            <w:tcW w:w="3680" w:type="dxa"/>
            <w:vAlign w:val="bottom"/>
          </w:tcPr>
          <w:p>
            <w:pPr>
              <w:jc w:val="right"/>
              <w:ind w:right="901"/>
              <w:spacing w:after="0"/>
              <w:rPr>
                <w:sz w:val="20"/>
                <w:szCs w:val="20"/>
                <w:color w:val="auto"/>
              </w:rPr>
            </w:pPr>
            <w:r>
              <w:rPr>
                <w:rFonts w:ascii="Arial" w:cs="Arial" w:eastAsia="Arial" w:hAnsi="Arial"/>
                <w:sz w:val="18"/>
                <w:szCs w:val="18"/>
                <w:b w:val="1"/>
                <w:bCs w:val="1"/>
                <w:color w:val="auto"/>
              </w:rPr>
              <w:t>+44 203-429-3950</w:t>
            </w:r>
          </w:p>
        </w:tc>
        <w:tc>
          <w:tcPr>
            <w:tcW w:w="3200" w:type="dxa"/>
            <w:vAlign w:val="bottom"/>
          </w:tcPr>
          <w:p>
            <w:pPr>
              <w:spacing w:after="0"/>
              <w:rPr>
                <w:sz w:val="24"/>
                <w:szCs w:val="24"/>
                <w:color w:val="auto"/>
              </w:rPr>
            </w:pPr>
          </w:p>
        </w:tc>
      </w:tr>
      <w:tr>
        <w:trPr>
          <w:trHeight w:val="218"/>
        </w:trPr>
        <w:tc>
          <w:tcPr>
            <w:tcW w:w="3220" w:type="dxa"/>
            <w:vAlign w:val="bottom"/>
          </w:tcPr>
          <w:p>
            <w:pPr>
              <w:spacing w:after="0"/>
              <w:rPr>
                <w:sz w:val="18"/>
                <w:szCs w:val="18"/>
                <w:color w:val="auto"/>
              </w:rPr>
            </w:pPr>
          </w:p>
        </w:tc>
        <w:tc>
          <w:tcPr>
            <w:tcW w:w="3680" w:type="dxa"/>
            <w:vAlign w:val="bottom"/>
          </w:tcPr>
          <w:p>
            <w:pPr>
              <w:jc w:val="center"/>
              <w:ind w:left="161"/>
              <w:spacing w:after="0"/>
              <w:rPr>
                <w:sz w:val="20"/>
                <w:szCs w:val="20"/>
                <w:color w:val="auto"/>
              </w:rPr>
            </w:pPr>
            <w:r>
              <w:rPr>
                <w:rFonts w:ascii="Arial" w:cs="Arial" w:eastAsia="Arial" w:hAnsi="Arial"/>
                <w:sz w:val="14"/>
                <w:szCs w:val="14"/>
                <w:color w:val="auto"/>
              </w:rPr>
              <w:t>(Registrant's telephone number, including area code)</w:t>
            </w:r>
          </w:p>
        </w:tc>
        <w:tc>
          <w:tcPr>
            <w:tcW w:w="3200" w:type="dxa"/>
            <w:vAlign w:val="bottom"/>
          </w:tcPr>
          <w:p>
            <w:pPr>
              <w:spacing w:after="0"/>
              <w:rPr>
                <w:sz w:val="18"/>
                <w:szCs w:val="18"/>
                <w:color w:val="auto"/>
              </w:rPr>
            </w:pPr>
          </w:p>
        </w:tc>
      </w:tr>
      <w:tr>
        <w:trPr>
          <w:trHeight w:val="444"/>
        </w:trPr>
        <w:tc>
          <w:tcPr>
            <w:tcW w:w="3220" w:type="dxa"/>
            <w:vAlign w:val="bottom"/>
          </w:tcPr>
          <w:p>
            <w:pPr>
              <w:spacing w:after="0"/>
              <w:rPr>
                <w:sz w:val="24"/>
                <w:szCs w:val="24"/>
                <w:color w:val="auto"/>
              </w:rPr>
            </w:pPr>
          </w:p>
        </w:tc>
        <w:tc>
          <w:tcPr>
            <w:tcW w:w="3680" w:type="dxa"/>
            <w:vAlign w:val="bottom"/>
          </w:tcPr>
          <w:p>
            <w:pPr>
              <w:jc w:val="center"/>
              <w:ind w:left="181"/>
              <w:spacing w:after="0"/>
              <w:rPr>
                <w:sz w:val="20"/>
                <w:szCs w:val="20"/>
                <w:color w:val="auto"/>
              </w:rPr>
            </w:pPr>
            <w:r>
              <w:rPr>
                <w:rFonts w:ascii="Arial" w:cs="Arial" w:eastAsia="Arial" w:hAnsi="Arial"/>
                <w:sz w:val="18"/>
                <w:szCs w:val="18"/>
                <w:b w:val="1"/>
                <w:bCs w:val="1"/>
                <w:color w:val="auto"/>
                <w:w w:val="99"/>
              </w:rPr>
              <w:t>Not Applicable</w:t>
            </w:r>
          </w:p>
        </w:tc>
        <w:tc>
          <w:tcPr>
            <w:tcW w:w="3200" w:type="dxa"/>
            <w:vAlign w:val="bottom"/>
          </w:tcPr>
          <w:p>
            <w:pPr>
              <w:spacing w:after="0"/>
              <w:rPr>
                <w:sz w:val="24"/>
                <w:szCs w:val="24"/>
                <w:color w:val="auto"/>
              </w:rPr>
            </w:pPr>
          </w:p>
        </w:tc>
      </w:tr>
      <w:tr>
        <w:trPr>
          <w:trHeight w:val="153"/>
        </w:trPr>
        <w:tc>
          <w:tcPr>
            <w:tcW w:w="3220" w:type="dxa"/>
            <w:vAlign w:val="bottom"/>
          </w:tcPr>
          <w:p>
            <w:pPr>
              <w:spacing w:after="0"/>
              <w:rPr>
                <w:sz w:val="13"/>
                <w:szCs w:val="13"/>
                <w:color w:val="auto"/>
              </w:rPr>
            </w:pPr>
          </w:p>
        </w:tc>
        <w:tc>
          <w:tcPr>
            <w:tcW w:w="6880" w:type="dxa"/>
            <w:vAlign w:val="bottom"/>
            <w:gridSpan w:val="2"/>
          </w:tcPr>
          <w:p>
            <w:pPr>
              <w:jc w:val="center"/>
              <w:ind w:right="2862"/>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r>
      <w:tr>
        <w:trPr>
          <w:trHeight w:val="172"/>
        </w:trPr>
        <w:tc>
          <w:tcPr>
            <w:tcW w:w="10100" w:type="dxa"/>
            <w:vAlign w:val="bottom"/>
            <w:gridSpan w:val="3"/>
          </w:tcPr>
          <w:p>
            <w:pPr>
              <w:jc w:val="right"/>
              <w:ind w:right="2682"/>
              <w:spacing w:after="0"/>
              <w:rPr>
                <w:sz w:val="20"/>
                <w:szCs w:val="20"/>
                <w:color w:val="auto"/>
              </w:rPr>
            </w:pPr>
            <w:r>
              <w:rPr>
                <w:rFonts w:ascii="Arial" w:cs="Arial" w:eastAsia="Arial" w:hAnsi="Arial"/>
                <w:sz w:val="14"/>
                <w:szCs w:val="14"/>
                <w:color w:val="auto"/>
              </w:rPr>
              <w:t>______________________________________________________</w:t>
            </w:r>
          </w:p>
        </w:tc>
      </w:tr>
      <w:tr>
        <w:trPr>
          <w:trHeight w:val="296"/>
        </w:trPr>
        <w:tc>
          <w:tcPr>
            <w:tcW w:w="10100" w:type="dxa"/>
            <w:vAlign w:val="bottom"/>
            <w:gridSpan w:val="3"/>
          </w:tcPr>
          <w:p>
            <w:pPr>
              <w:jc w:val="center"/>
              <w:ind w:left="181"/>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190"/>
        </w:trPr>
        <w:tc>
          <w:tcPr>
            <w:tcW w:w="3220" w:type="dxa"/>
            <w:vAlign w:val="bottom"/>
          </w:tcPr>
          <w:p>
            <w:pPr>
              <w:jc w:val="center"/>
              <w:ind w:left="381"/>
              <w:spacing w:after="0"/>
              <w:rPr>
                <w:sz w:val="20"/>
                <w:szCs w:val="20"/>
                <w:color w:val="auto"/>
              </w:rPr>
            </w:pPr>
            <w:r>
              <w:rPr>
                <w:rFonts w:ascii="Arial" w:cs="Arial" w:eastAsia="Arial" w:hAnsi="Arial"/>
                <w:sz w:val="14"/>
                <w:szCs w:val="14"/>
                <w:b w:val="1"/>
                <w:bCs w:val="1"/>
                <w:color w:val="auto"/>
              </w:rPr>
              <w:t>Title of Each Class</w:t>
            </w:r>
          </w:p>
        </w:tc>
        <w:tc>
          <w:tcPr>
            <w:tcW w:w="3680" w:type="dxa"/>
            <w:vAlign w:val="bottom"/>
          </w:tcPr>
          <w:p>
            <w:pPr>
              <w:jc w:val="center"/>
              <w:ind w:left="161"/>
              <w:spacing w:after="0"/>
              <w:rPr>
                <w:sz w:val="20"/>
                <w:szCs w:val="20"/>
                <w:color w:val="auto"/>
              </w:rPr>
            </w:pPr>
            <w:r>
              <w:rPr>
                <w:rFonts w:ascii="Arial" w:cs="Arial" w:eastAsia="Arial" w:hAnsi="Arial"/>
                <w:sz w:val="14"/>
                <w:szCs w:val="14"/>
                <w:b w:val="1"/>
                <w:bCs w:val="1"/>
                <w:color w:val="auto"/>
              </w:rPr>
              <w:t>Trading Symbol</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220" w:type="dxa"/>
            <w:vAlign w:val="bottom"/>
          </w:tcPr>
          <w:p>
            <w:pPr>
              <w:jc w:val="center"/>
              <w:ind w:left="401"/>
              <w:spacing w:after="0"/>
              <w:rPr>
                <w:sz w:val="20"/>
                <w:szCs w:val="20"/>
                <w:color w:val="auto"/>
              </w:rPr>
            </w:pPr>
            <w:r>
              <w:rPr>
                <w:rFonts w:ascii="Arial" w:cs="Arial" w:eastAsia="Arial" w:hAnsi="Arial"/>
                <w:sz w:val="14"/>
                <w:szCs w:val="14"/>
                <w:color w:val="auto"/>
              </w:rPr>
              <w:t>Ordinary shares, $1.00 par value per share</w:t>
            </w:r>
          </w:p>
        </w:tc>
        <w:tc>
          <w:tcPr>
            <w:tcW w:w="3680" w:type="dxa"/>
            <w:vAlign w:val="bottom"/>
          </w:tcPr>
          <w:p>
            <w:pPr>
              <w:jc w:val="center"/>
              <w:ind w:left="141"/>
              <w:spacing w:after="0"/>
              <w:rPr>
                <w:sz w:val="20"/>
                <w:szCs w:val="20"/>
                <w:color w:val="auto"/>
              </w:rPr>
            </w:pPr>
            <w:r>
              <w:rPr>
                <w:rFonts w:ascii="Arial" w:cs="Arial" w:eastAsia="Arial" w:hAnsi="Arial"/>
                <w:sz w:val="14"/>
                <w:szCs w:val="14"/>
                <w:color w:val="auto"/>
              </w:rPr>
              <w:t>FTI</w:t>
            </w:r>
          </w:p>
        </w:tc>
        <w:tc>
          <w:tcPr>
            <w:tcW w:w="320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79"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2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70485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July 21, 2021, TechnipFMC plc (the "Company") issued a news release announcing its financial results for the fiscal quarter ended June 30, 2021. A copy of the news release is furnished as Exhibit 99.1 to this report and is incorporated herein by reference.</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News Release issued by the Company dated July 21, 2021</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tab/>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360" w:type="dxa"/>
            <w:vAlign w:val="bottom"/>
            <w:gridSpan w:val="3"/>
          </w:tcPr>
          <w:p>
            <w:pPr>
              <w:ind w:left="3080"/>
              <w:spacing w:after="0"/>
              <w:rPr>
                <w:sz w:val="20"/>
                <w:szCs w:val="20"/>
                <w:color w:val="auto"/>
              </w:rPr>
            </w:pPr>
            <w:r>
              <w:rPr>
                <w:rFonts w:ascii="Arial" w:cs="Arial" w:eastAsia="Arial" w:hAnsi="Arial"/>
                <w:sz w:val="18"/>
                <w:szCs w:val="18"/>
                <w:b w:val="1"/>
                <w:bCs w:val="1"/>
                <w:color w:val="auto"/>
              </w:rPr>
              <w:t>EXHIBIT INDEX</w:t>
            </w:r>
          </w:p>
        </w:tc>
      </w:tr>
      <w:tr>
        <w:trPr>
          <w:trHeight w:val="499"/>
        </w:trPr>
        <w:tc>
          <w:tcPr>
            <w:tcW w:w="20" w:type="dxa"/>
            <w:vAlign w:val="bottom"/>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9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3"/>
        </w:trPr>
        <w:tc>
          <w:tcPr>
            <w:tcW w:w="1760" w:type="dxa"/>
            <w:vAlign w:val="bottom"/>
            <w:gridSpan w:val="2"/>
          </w:tcPr>
          <w:p>
            <w:pPr>
              <w:ind w:left="40"/>
              <w:spacing w:after="0" w:line="18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472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 xml:space="preserve">News Release issued by the Company dated July </w:t>
              </w:r>
            </w:hyperlink>
            <w:r>
              <w:rPr>
                <w:rFonts w:ascii="Arial" w:cs="Arial" w:eastAsia="Arial" w:hAnsi="Arial"/>
                <w:sz w:val="18"/>
                <w:szCs w:val="18"/>
                <w:color w:val="0000FF"/>
                <w:w w:val="99"/>
              </w:rPr>
              <w:t xml:space="preserve">21, </w:t>
            </w:r>
            <w:hyperlink w:anchor="page5">
              <w:r>
                <w:rPr>
                  <w:rFonts w:ascii="Arial" w:cs="Arial" w:eastAsia="Arial" w:hAnsi="Arial"/>
                  <w:sz w:val="18"/>
                  <w:szCs w:val="18"/>
                  <w:color w:val="0000FF"/>
                  <w:w w:val="99"/>
                </w:rPr>
                <w:t>2021</w:t>
              </w:r>
            </w:hyperlink>
          </w:p>
        </w:tc>
        <w:tc>
          <w:tcPr>
            <w:tcW w:w="4640" w:type="dxa"/>
            <w:vAlign w:val="bottom"/>
            <w:gridSpan w:val="2"/>
          </w:tcPr>
          <w:p>
            <w:pPr>
              <w:spacing w:after="0"/>
              <w:rPr>
                <w:sz w:val="15"/>
                <w:szCs w:val="15"/>
                <w:color w:val="auto"/>
              </w:rPr>
            </w:pPr>
          </w:p>
        </w:tc>
      </w:tr>
      <w:tr>
        <w:trPr>
          <w:trHeight w:val="250"/>
        </w:trPr>
        <w:tc>
          <w:tcPr>
            <w:tcW w:w="17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936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979"/>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38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By: /s/ Alf Melin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6350</wp:posOffset>
            </wp:positionV>
            <wp:extent cx="4071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800" w:val="left"/>
          <w:tab w:leader="none" w:pos="3980" w:val="left"/>
        </w:tabs>
        <w:rPr>
          <w:sz w:val="20"/>
          <w:szCs w:val="20"/>
          <w:color w:val="auto"/>
        </w:rPr>
      </w:pPr>
      <w:r>
        <w:rPr>
          <w:rFonts w:ascii="Arial" w:cs="Arial" w:eastAsia="Arial" w:hAnsi="Arial"/>
          <w:sz w:val="18"/>
          <w:szCs w:val="18"/>
          <w:color w:val="auto"/>
        </w:rPr>
        <w:t>Dated:</w:t>
        <w:tab/>
        <w:t>July 21, 2021</w:t>
      </w:r>
      <w:r>
        <w:rPr>
          <w:sz w:val="20"/>
          <w:szCs w:val="20"/>
          <w:color w:val="auto"/>
        </w:rPr>
        <w:tab/>
      </w:r>
      <w:r>
        <w:rPr>
          <w:rFonts w:ascii="Arial" w:cs="Arial" w:eastAsia="Arial" w:hAnsi="Arial"/>
          <w:sz w:val="17"/>
          <w:szCs w:val="17"/>
          <w:color w:val="auto"/>
        </w:rPr>
        <w:t>Name: Alf Melin</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220"/>
          </w:cols>
          <w:pgMar w:left="320" w:top="886" w:right="359" w:bottom="1440" w:gutter="0" w:footer="0" w:header="0"/>
        </w:sectPr>
      </w:pPr>
    </w:p>
    <w:bookmarkStart w:id="4" w:name="page5"/>
    <w:bookmarkEnd w:id="4"/>
    <w:p>
      <w:pPr>
        <w:ind w:left="100"/>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Press Release</w:t>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29"/>
          <w:szCs w:val="29"/>
          <w:color w:val="auto"/>
        </w:rPr>
        <w:t>TechnipFMC Announces Second Quarter 2021 Results</w:t>
      </w:r>
    </w:p>
    <w:p>
      <w:pPr>
        <w:spacing w:after="0" w:line="332" w:lineRule="exact"/>
        <w:rPr>
          <w:sz w:val="20"/>
          <w:szCs w:val="20"/>
          <w:color w:val="auto"/>
        </w:rPr>
      </w:pP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Solid financial performance in both Subsea and Surface Technologies</w:t>
      </w:r>
    </w:p>
    <w:p>
      <w:pPr>
        <w:spacing w:after="0" w:line="23" w:lineRule="exact"/>
        <w:rPr>
          <w:rFonts w:ascii="Arial" w:cs="Arial" w:eastAsia="Arial" w:hAnsi="Arial"/>
          <w:sz w:val="20"/>
          <w:szCs w:val="20"/>
          <w:b w:val="1"/>
          <w:bCs w:val="1"/>
          <w:color w:val="auto"/>
        </w:rPr>
      </w:pP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Total Company inbound orders of $1.6 billion; Subsea inbound orders of $1.3 billion</w:t>
      </w:r>
    </w:p>
    <w:p>
      <w:pPr>
        <w:ind w:left="220" w:hanging="220"/>
        <w:spacing w:after="0"/>
        <w:tabs>
          <w:tab w:leader="none" w:pos="2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Full-year guidance updated, supported by strength of first half results and market outlook</w:t>
      </w:r>
    </w:p>
    <w:p>
      <w:pPr>
        <w:spacing w:after="0" w:line="200" w:lineRule="exact"/>
        <w:rPr>
          <w:sz w:val="20"/>
          <w:szCs w:val="20"/>
          <w:color w:val="auto"/>
        </w:rPr>
      </w:pPr>
    </w:p>
    <w:p>
      <w:pPr>
        <w:spacing w:after="0" w:line="262" w:lineRule="exact"/>
        <w:rPr>
          <w:sz w:val="20"/>
          <w:szCs w:val="20"/>
          <w:color w:val="auto"/>
        </w:rPr>
      </w:pPr>
    </w:p>
    <w:p>
      <w:pPr>
        <w:ind w:left="100" w:right="140"/>
        <w:spacing w:after="0" w:line="339" w:lineRule="auto"/>
        <w:rPr>
          <w:sz w:val="20"/>
          <w:szCs w:val="20"/>
          <w:color w:val="auto"/>
        </w:rPr>
      </w:pPr>
      <w:r>
        <w:rPr>
          <w:rFonts w:ascii="Arial" w:cs="Arial" w:eastAsia="Arial" w:hAnsi="Arial"/>
          <w:sz w:val="20"/>
          <w:szCs w:val="20"/>
          <w:b w:val="1"/>
          <w:bCs w:val="1"/>
          <w:color w:val="auto"/>
        </w:rPr>
        <w:t xml:space="preserve">LONDON &amp; HOUSTON, July 21, 2021 - </w:t>
      </w:r>
      <w:r>
        <w:rPr>
          <w:rFonts w:ascii="Arial" w:cs="Arial" w:eastAsia="Arial" w:hAnsi="Arial"/>
          <w:sz w:val="20"/>
          <w:szCs w:val="20"/>
          <w:color w:val="auto"/>
        </w:rPr>
        <w:t>TechnipFMC plc (NYSE: FTI) (Paris: FTI) today reported second quarter 2021 results.</w:t>
      </w:r>
      <w:r>
        <w:rPr>
          <w:rFonts w:ascii="Arial" w:cs="Arial" w:eastAsia="Arial" w:hAnsi="Arial"/>
          <w:sz w:val="20"/>
          <w:szCs w:val="20"/>
          <w:b w:val="1"/>
          <w:bCs w:val="1"/>
          <w:color w:val="auto"/>
        </w:rPr>
        <w:t xml:space="preserve"> Summary Financial Results from Continuing Operations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150" w:type="dxa"/>
        <w:tblCellMar>
          <w:top w:w="0" w:type="dxa"/>
          <w:left w:w="0" w:type="dxa"/>
          <w:bottom w:w="0" w:type="dxa"/>
          <w:right w:w="0" w:type="dxa"/>
        </w:tblCellMar>
      </w:tblPr>
      <w:tr>
        <w:trPr>
          <w:trHeight w:val="223"/>
        </w:trPr>
        <w:tc>
          <w:tcPr>
            <w:tcW w:w="4520" w:type="dxa"/>
            <w:vAlign w:val="bottom"/>
            <w:tcBorders>
              <w:top w:val="single" w:sz="8" w:color="B8CCE4"/>
              <w:left w:val="single" w:sz="8" w:color="B8CCE4"/>
              <w:bottom w:val="single" w:sz="8" w:color="B8CCE4"/>
              <w:right w:val="single" w:sz="8" w:color="B8CCE4"/>
            </w:tcBorders>
          </w:tcPr>
          <w:p>
            <w:pPr>
              <w:spacing w:after="0"/>
              <w:rPr>
                <w:sz w:val="19"/>
                <w:szCs w:val="19"/>
                <w:color w:val="auto"/>
              </w:rPr>
            </w:pPr>
          </w:p>
        </w:tc>
        <w:tc>
          <w:tcPr>
            <w:tcW w:w="1400" w:type="dxa"/>
            <w:vAlign w:val="bottom"/>
            <w:tcBorders>
              <w:top w:val="single" w:sz="8" w:color="B8CCE4"/>
              <w:bottom w:val="single" w:sz="8" w:color="B8CCE4"/>
            </w:tcBorders>
          </w:tcPr>
          <w:p>
            <w:pPr>
              <w:spacing w:after="0"/>
              <w:rPr>
                <w:sz w:val="19"/>
                <w:szCs w:val="19"/>
                <w:color w:val="auto"/>
              </w:rPr>
            </w:pPr>
          </w:p>
        </w:tc>
        <w:tc>
          <w:tcPr>
            <w:tcW w:w="1620" w:type="dxa"/>
            <w:vAlign w:val="bottom"/>
            <w:tcBorders>
              <w:top w:val="single" w:sz="8" w:color="B8CCE4"/>
              <w:bottom w:val="single" w:sz="8" w:color="B8CCE4"/>
            </w:tcBorders>
            <w:gridSpan w:val="2"/>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Borders>
              <w:top w:val="single" w:sz="8" w:color="B8CCE4"/>
              <w:bottom w:val="single" w:sz="8" w:color="B8CCE4"/>
              <w:right w:val="single" w:sz="8" w:color="B8CCE4"/>
            </w:tcBorders>
          </w:tcPr>
          <w:p>
            <w:pPr>
              <w:spacing w:after="0"/>
              <w:rPr>
                <w:sz w:val="19"/>
                <w:szCs w:val="19"/>
                <w:color w:val="auto"/>
              </w:rPr>
            </w:pPr>
          </w:p>
        </w:tc>
        <w:tc>
          <w:tcPr>
            <w:tcW w:w="2480" w:type="dxa"/>
            <w:vAlign w:val="bottom"/>
            <w:tcBorders>
              <w:top w:val="single" w:sz="8" w:color="B8CCE4"/>
              <w:bottom w:val="single" w:sz="8" w:color="B8CCE4"/>
              <w:right w:val="single" w:sz="8" w:color="B8CCE4"/>
            </w:tcBorders>
            <w:gridSpan w:val="2"/>
          </w:tcPr>
          <w:p>
            <w:pPr>
              <w:ind w:lef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520" w:type="dxa"/>
            <w:vAlign w:val="bottom"/>
            <w:tcBorders>
              <w:left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0" w:type="dxa"/>
            <w:vAlign w:val="bottom"/>
            <w:tcBorders>
              <w:right w:val="single" w:sz="8" w:color="B8CCE4"/>
            </w:tcBorders>
          </w:tcPr>
          <w:p>
            <w:pPr>
              <w:jc w:val="right"/>
              <w:ind w:right="353"/>
              <w:spacing w:after="0"/>
              <w:rPr>
                <w:sz w:val="20"/>
                <w:szCs w:val="20"/>
                <w:color w:val="auto"/>
              </w:rPr>
            </w:pPr>
            <w:r>
              <w:rPr>
                <w:rFonts w:ascii="Arial" w:cs="Arial" w:eastAsia="Arial" w:hAnsi="Arial"/>
                <w:sz w:val="14"/>
                <w:szCs w:val="14"/>
                <w:b w:val="1"/>
                <w:bCs w:val="1"/>
                <w:color w:val="auto"/>
              </w:rPr>
              <w:t>Jun. 30,</w:t>
            </w:r>
          </w:p>
        </w:tc>
        <w:tc>
          <w:tcPr>
            <w:tcW w:w="14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w w:val="99"/>
              </w:rPr>
              <w:t>Mar. 31,</w:t>
            </w:r>
          </w:p>
        </w:tc>
        <w:tc>
          <w:tcPr>
            <w:tcW w:w="220" w:type="dxa"/>
            <w:vAlign w:val="bottom"/>
          </w:tcPr>
          <w:p>
            <w:pPr>
              <w:spacing w:after="0"/>
              <w:rPr>
                <w:sz w:val="14"/>
                <w:szCs w:val="14"/>
                <w:color w:val="auto"/>
              </w:rPr>
            </w:pPr>
          </w:p>
        </w:tc>
        <w:tc>
          <w:tcPr>
            <w:tcW w:w="1180" w:type="dxa"/>
            <w:vAlign w:val="bottom"/>
            <w:tcBorders>
              <w:right w:val="single" w:sz="8" w:color="B8CCE4"/>
            </w:tcBorders>
          </w:tcPr>
          <w:p>
            <w:pPr>
              <w:jc w:val="right"/>
              <w:ind w:right="353"/>
              <w:spacing w:after="0"/>
              <w:rPr>
                <w:sz w:val="20"/>
                <w:szCs w:val="20"/>
                <w:color w:val="auto"/>
              </w:rPr>
            </w:pPr>
            <w:r>
              <w:rPr>
                <w:rFonts w:ascii="Arial" w:cs="Arial" w:eastAsia="Arial" w:hAnsi="Arial"/>
                <w:sz w:val="14"/>
                <w:szCs w:val="14"/>
                <w:b w:val="1"/>
                <w:bCs w:val="1"/>
                <w:color w:val="auto"/>
              </w:rPr>
              <w:t>Jun. 30,</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Sequential</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62"/>
        </w:trPr>
        <w:tc>
          <w:tcPr>
            <w:tcW w:w="4520" w:type="dxa"/>
            <w:vAlign w:val="bottom"/>
            <w:tcBorders>
              <w:left w:val="single" w:sz="8" w:color="B8CCE4"/>
              <w:bottom w:val="single" w:sz="8" w:color="B8CCE4"/>
              <w:right w:val="single" w:sz="8" w:color="B8CCE4"/>
            </w:tcBorders>
          </w:tcPr>
          <w:p>
            <w:pPr>
              <w:spacing w:after="0"/>
              <w:rPr>
                <w:sz w:val="14"/>
                <w:szCs w:val="14"/>
                <w:color w:val="auto"/>
              </w:rPr>
            </w:pPr>
          </w:p>
        </w:tc>
        <w:tc>
          <w:tcPr>
            <w:tcW w:w="1400" w:type="dxa"/>
            <w:vAlign w:val="bottom"/>
            <w:tcBorders>
              <w:bottom w:val="single" w:sz="8" w:color="B8CCE4"/>
              <w:right w:val="single" w:sz="8" w:color="B8CCE4"/>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B8CCE4"/>
            </w:tcBorders>
          </w:tcPr>
          <w:p>
            <w:pPr>
              <w:spacing w:after="0"/>
              <w:rPr>
                <w:sz w:val="14"/>
                <w:szCs w:val="14"/>
                <w:color w:val="auto"/>
              </w:rPr>
            </w:pPr>
          </w:p>
        </w:tc>
        <w:tc>
          <w:tcPr>
            <w:tcW w:w="1180" w:type="dxa"/>
            <w:vAlign w:val="bottom"/>
            <w:tcBorders>
              <w:bottom w:val="single" w:sz="8" w:color="B8CCE4"/>
              <w:right w:val="single" w:sz="8" w:color="B8CCE4"/>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Revenue</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$1,668.8</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$1,632.0</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$1,620.2</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($174.7)</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($177.6)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$(0.39)</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$0.95</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$(0.40)</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50"/>
        </w:trPr>
        <w:tc>
          <w:tcPr>
            <w:tcW w:w="4520" w:type="dxa"/>
            <w:vAlign w:val="bottom"/>
            <w:tcBorders>
              <w:left w:val="single" w:sz="8" w:color="B8CCE4"/>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220" w:type="dxa"/>
            <w:vAlign w:val="bottom"/>
            <w:tcBorders>
              <w:bottom w:val="single" w:sz="8" w:color="B8CCE4"/>
            </w:tcBorders>
          </w:tcPr>
          <w:p>
            <w:pPr>
              <w:spacing w:after="0"/>
              <w:rPr>
                <w:sz w:val="21"/>
                <w:szCs w:val="21"/>
                <w:color w:val="auto"/>
              </w:rPr>
            </w:pPr>
          </w:p>
        </w:tc>
        <w:tc>
          <w:tcPr>
            <w:tcW w:w="118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$144.3</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$77.4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(12.7%)</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86.4%</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8.6 %</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10.1 %</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4.8 %</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(150 bps)</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380 bps</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income (loss)</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$(26.0)</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$(63.6)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diluted earnings (loss) per share</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$(0.06)</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$(0.14)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50"/>
        </w:trPr>
        <w:tc>
          <w:tcPr>
            <w:tcW w:w="4520" w:type="dxa"/>
            <w:vAlign w:val="bottom"/>
            <w:tcBorders>
              <w:left w:val="single" w:sz="8" w:color="B8CCE4"/>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220" w:type="dxa"/>
            <w:vAlign w:val="bottom"/>
            <w:tcBorders>
              <w:bottom w:val="single" w:sz="8" w:color="B8CCE4"/>
            </w:tcBorders>
          </w:tcPr>
          <w:p>
            <w:pPr>
              <w:spacing w:after="0"/>
              <w:rPr>
                <w:sz w:val="21"/>
                <w:szCs w:val="21"/>
                <w:color w:val="auto"/>
              </w:rPr>
            </w:pPr>
          </w:p>
        </w:tc>
        <w:tc>
          <w:tcPr>
            <w:tcW w:w="118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Inbound orders</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$1,559.5</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$1,722.1</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$698.8</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(9.4%)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3"/>
        </w:trPr>
        <w:tc>
          <w:tcPr>
            <w:tcW w:w="452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Backlog</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$7,312.0</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$7,221.4</w:t>
            </w:r>
          </w:p>
        </w:tc>
        <w:tc>
          <w:tcPr>
            <w:tcW w:w="220" w:type="dxa"/>
            <w:vAlign w:val="bottom"/>
            <w:tcBorders>
              <w:bottom w:val="single" w:sz="8" w:color="B8CCE4"/>
            </w:tcBorders>
          </w:tcPr>
          <w:p>
            <w:pPr>
              <w:spacing w:after="0"/>
              <w:rPr>
                <w:sz w:val="19"/>
                <w:szCs w:val="19"/>
                <w:color w:val="auto"/>
              </w:rPr>
            </w:pPr>
          </w:p>
        </w:tc>
        <w:tc>
          <w:tcPr>
            <w:tcW w:w="11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$7,471.2</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left="100"/>
        <w:spacing w:after="0" w:line="246" w:lineRule="auto"/>
        <w:rPr>
          <w:sz w:val="20"/>
          <w:szCs w:val="20"/>
          <w:color w:val="auto"/>
        </w:rPr>
      </w:pPr>
      <w:r>
        <w:rPr>
          <w:rFonts w:ascii="Arial" w:cs="Arial" w:eastAsia="Arial" w:hAnsi="Arial"/>
          <w:sz w:val="20"/>
          <w:szCs w:val="20"/>
          <w:color w:val="auto"/>
        </w:rPr>
        <w:t>Total Company revenue in the second quarter was $1,668.8 million. Loss from continuing operations attributable to TechnipFMC was $174.7 million, or $0.39 per diluted share.</w:t>
      </w:r>
    </w:p>
    <w:p>
      <w:pPr>
        <w:spacing w:after="0" w:line="136" w:lineRule="exact"/>
        <w:rPr>
          <w:sz w:val="20"/>
          <w:szCs w:val="20"/>
          <w:color w:val="auto"/>
        </w:rPr>
      </w:pPr>
    </w:p>
    <w:p>
      <w:pPr>
        <w:jc w:val="both"/>
        <w:ind w:left="100"/>
        <w:spacing w:after="0" w:line="243" w:lineRule="auto"/>
        <w:rPr>
          <w:sz w:val="20"/>
          <w:szCs w:val="20"/>
          <w:color w:val="auto"/>
        </w:rPr>
      </w:pPr>
      <w:r>
        <w:rPr>
          <w:rFonts w:ascii="Arial" w:cs="Arial" w:eastAsia="Arial" w:hAnsi="Arial"/>
          <w:sz w:val="20"/>
          <w:szCs w:val="20"/>
          <w:color w:val="auto"/>
        </w:rPr>
        <w:t>After-tax charges and credits totaled $148.7 million of charges, or $0.33 per diluted share. Reported results included a loss from the Company’s equity investment in Technip Energies of $146.8 million primarily related to the change in market value in the quarter.</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Adjusted loss from continuing operations was $26 million, or $0.06 per diluted share (Exhibit 6).</w:t>
      </w:r>
    </w:p>
    <w:p>
      <w:pPr>
        <w:spacing w:after="0" w:line="135" w:lineRule="exact"/>
        <w:rPr>
          <w:sz w:val="20"/>
          <w:szCs w:val="20"/>
          <w:color w:val="auto"/>
        </w:rPr>
      </w:pPr>
    </w:p>
    <w:p>
      <w:pPr>
        <w:jc w:val="both"/>
        <w:ind w:left="100"/>
        <w:spacing w:after="0" w:line="246" w:lineRule="auto"/>
        <w:rPr>
          <w:sz w:val="20"/>
          <w:szCs w:val="20"/>
          <w:color w:val="auto"/>
        </w:rPr>
      </w:pPr>
      <w:r>
        <w:rPr>
          <w:rFonts w:ascii="Arial" w:cs="Arial" w:eastAsia="Arial" w:hAnsi="Arial"/>
          <w:sz w:val="20"/>
          <w:szCs w:val="20"/>
          <w:color w:val="auto"/>
        </w:rPr>
        <w:t>Adjusted EBITDA, which excludes pre-tax charges and credits, was $144.3 million; adjusted EBITDA margin was 8.6 percent (Exhibit 8). Included in adjusted EBITDA was a foreign exchange loss of $10.7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40"/>
        <w:spacing w:after="0"/>
        <w:tabs>
          <w:tab w:leader="none" w:pos="104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 of </w:t>
      </w:r>
      <w:hyperlink w:anchor="page27">
        <w:r>
          <w:rPr>
            <w:rFonts w:ascii="Arial" w:cs="Arial" w:eastAsia="Arial" w:hAnsi="Arial"/>
            <w:sz w:val="14"/>
            <w:szCs w:val="14"/>
            <w:b w:val="1"/>
            <w:bCs w:val="1"/>
            <w:color w:val="auto"/>
          </w:rPr>
          <w:t>24</w:t>
        </w:r>
      </w:hyperlink>
    </w:p>
    <w:p>
      <w:pPr>
        <w:sectPr>
          <w:pgSz w:w="11900" w:h="16838" w:orient="portrait"/>
          <w:cols w:equalWidth="0" w:num="1">
            <w:col w:w="11340"/>
          </w:cols>
          <w:pgMar w:left="220" w:top="1431" w:right="339" w:bottom="1440" w:gutter="0" w:footer="0" w:header="0"/>
        </w:sectPr>
      </w:pPr>
    </w:p>
    <w:bookmarkStart w:id="5" w:name="page6"/>
    <w:bookmarkEnd w:id="5"/>
    <w:p>
      <w:pPr>
        <w:jc w:val="both"/>
        <w:spacing w:after="0" w:line="22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Doug Pferdehirt, Chairman and CEO of TechnipFMC, stated, “Second quarter results reflect another strong quarter for our Company. Total Company revenue improved sequentially to $1.7 billion, with both Subsea and Surface Technologies segments reporting an adjusted EBITDA margin of 11 percent.”</w:t>
      </w:r>
    </w:p>
    <w:p>
      <w:pPr>
        <w:spacing w:after="0" w:line="14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Pferdehirt added, “In Subsea, we demonstrated our ability to continue winning, with inbound totaling $1.3 billion for the quarter. The order strength in the first half of the year has been indicative of the continued market progression we outlined last year. Year-to-date, we have announced ten awards, of which 50 percent will be executed as integrated projects. This included the addition of two new iEPCI™ clients in the quarter.”</w:t>
      </w:r>
    </w:p>
    <w:p>
      <w:pPr>
        <w:spacing w:after="0" w:line="156"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“In Surface Technologies, inbound orders increased 32 percent from the first quarter driven by our international business where well completion activity continued to recover from the prior year decline. International growth was driven by the Middle East, the North Sea and China. Orders in the Americas also increased, reflecting continued momentum in completion and drilling activity and the success of our iComplete™ offering.”</w:t>
      </w:r>
    </w:p>
    <w:p>
      <w:pPr>
        <w:spacing w:after="0" w:line="142"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Pferdehirt continued, “We have increased our full-year expectations for both operating segments given our strong year-to-date results and continued improvement in the broader market outlook. Subsea inbound orders of $2.8 billion in the first half of the year were strong. We continue to see a healthy list of prospects and remain very confident in our full-year guidance for Subsea orders of more than $4 billion. Furthermore, growth in 2022 is supported by an increasing set of opportunities. When using the midpoint value of our Subsea Opportunity List, the project award potential has increased by nearly 20 percent to $17 billion over the next 24 months.”</w:t>
      </w:r>
    </w:p>
    <w:p>
      <w:pPr>
        <w:spacing w:after="0" w:line="143"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“Looking beyond the traditional market, we believe that offshore will continue to play a meaningful role in the total energy mix. We are building partnerships in support of new energy, leveraging our differentiated technologies, and capitalizing on our integrated project execution and expertise as the subsea architect.”</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“We are making steady progress in our partnerships focused on wind and wave opportunities. The market momentum for wind development continues to support increased investment in this abundant source of renewable energy. And when combined with wave technology, we can generate even greater energy output and reduced intermittency utilizing integrated offshore solutions.”</w:t>
      </w:r>
    </w:p>
    <w:p>
      <w:pPr>
        <w:spacing w:after="0" w:line="14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Pferdehirt added, “Our Deep Purple™ solution is centered around technology development and integration capabilities that convert this renewable energy into hydrogen, enabling economies of scale that were previously unattainable by offshore renewables projects. An example of this is our recently announced partnership with Portuguese energy utility EDP, as well as several notable research partners, in a concept study for the development of green hydrogen production from offshore wind power through a project called BEHYOND.”</w:t>
      </w:r>
    </w:p>
    <w:p>
      <w:pPr>
        <w:spacing w:after="0" w:line="144"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Pferdehirt concluded, “Our success is driven by our core competencies, having pioneered and delivered next generation subsea technologies and the industry’s only fully integrated commercial model. We are demonstrating that these unique capabilities are completely transferable to the renewable energy space, giving us confidence in our ability to extend our leadership in subsea to the development of new and novel energy resources offshore.”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1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Operational and Financial Highlights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560" w:type="dxa"/>
            <w:vAlign w:val="bottom"/>
            <w:tcBorders>
              <w:top w:val="single" w:sz="8" w:color="B8CCE4"/>
              <w:left w:val="single" w:sz="8" w:color="B8CCE4"/>
              <w:bottom w:val="single" w:sz="8" w:color="B8CCE4"/>
              <w:right w:val="single" w:sz="8" w:color="B8CCE4"/>
            </w:tcBorders>
          </w:tcPr>
          <w:p>
            <w:pPr>
              <w:spacing w:after="0"/>
              <w:rPr>
                <w:sz w:val="19"/>
                <w:szCs w:val="19"/>
                <w:color w:val="auto"/>
              </w:rPr>
            </w:pPr>
          </w:p>
        </w:tc>
        <w:tc>
          <w:tcPr>
            <w:tcW w:w="1380" w:type="dxa"/>
            <w:vAlign w:val="bottom"/>
            <w:tcBorders>
              <w:top w:val="single" w:sz="8" w:color="B8CCE4"/>
              <w:bottom w:val="single" w:sz="8" w:color="B8CCE4"/>
            </w:tcBorders>
          </w:tcPr>
          <w:p>
            <w:pPr>
              <w:spacing w:after="0"/>
              <w:rPr>
                <w:sz w:val="19"/>
                <w:szCs w:val="19"/>
                <w:color w:val="auto"/>
              </w:rPr>
            </w:pPr>
          </w:p>
        </w:tc>
        <w:tc>
          <w:tcPr>
            <w:tcW w:w="1480" w:type="dxa"/>
            <w:vAlign w:val="bottom"/>
            <w:tcBorders>
              <w:top w:val="single" w:sz="8" w:color="B8CCE4"/>
              <w:bottom w:val="single" w:sz="8" w:color="B8CCE4"/>
            </w:tcBorders>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Borders>
              <w:top w:val="single" w:sz="8" w:color="B8CCE4"/>
              <w:bottom w:val="single" w:sz="8" w:color="B8CCE4"/>
            </w:tcBorders>
          </w:tcPr>
          <w:p>
            <w:pPr>
              <w:spacing w:after="0"/>
              <w:rPr>
                <w:sz w:val="19"/>
                <w:szCs w:val="19"/>
                <w:color w:val="auto"/>
              </w:rPr>
            </w:pPr>
          </w:p>
        </w:tc>
        <w:tc>
          <w:tcPr>
            <w:tcW w:w="40" w:type="dxa"/>
            <w:vAlign w:val="bottom"/>
            <w:tcBorders>
              <w:top w:val="single" w:sz="8" w:color="B8CCE4"/>
              <w:bottom w:val="single" w:sz="8" w:color="B8CCE4"/>
              <w:right w:val="single" w:sz="8" w:color="B8CCE4"/>
            </w:tcBorders>
          </w:tcPr>
          <w:p>
            <w:pPr>
              <w:spacing w:after="0"/>
              <w:rPr>
                <w:sz w:val="19"/>
                <w:szCs w:val="19"/>
                <w:color w:val="auto"/>
              </w:rPr>
            </w:pPr>
          </w:p>
        </w:tc>
        <w:tc>
          <w:tcPr>
            <w:tcW w:w="2480" w:type="dxa"/>
            <w:vAlign w:val="bottom"/>
            <w:tcBorders>
              <w:top w:val="single" w:sz="8" w:color="B8CCE4"/>
              <w:bottom w:val="single" w:sz="8" w:color="B8CCE4"/>
              <w:right w:val="single" w:sz="8" w:color="B8CCE4"/>
            </w:tcBorders>
            <w:gridSpan w:val="2"/>
          </w:tcPr>
          <w:p>
            <w:pPr>
              <w:ind w:lef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Borders>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380" w:type="dxa"/>
            <w:vAlign w:val="bottom"/>
            <w:tcBorders>
              <w:right w:val="single" w:sz="8" w:color="B8CCE4"/>
            </w:tcBorders>
          </w:tcPr>
          <w:p>
            <w:pPr>
              <w:jc w:val="right"/>
              <w:ind w:right="355"/>
              <w:spacing w:after="0"/>
              <w:rPr>
                <w:sz w:val="20"/>
                <w:szCs w:val="20"/>
                <w:color w:val="auto"/>
              </w:rPr>
            </w:pPr>
            <w:r>
              <w:rPr>
                <w:rFonts w:ascii="Arial" w:cs="Arial" w:eastAsia="Arial" w:hAnsi="Arial"/>
                <w:sz w:val="14"/>
                <w:szCs w:val="14"/>
                <w:b w:val="1"/>
                <w:bCs w:val="1"/>
                <w:color w:val="auto"/>
              </w:rPr>
              <w:t>Jun. 30,</w:t>
            </w:r>
          </w:p>
        </w:tc>
        <w:tc>
          <w:tcPr>
            <w:tcW w:w="140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Mar. 31,</w:t>
            </w:r>
          </w:p>
        </w:tc>
        <w:tc>
          <w:tcPr>
            <w:tcW w:w="80" w:type="dxa"/>
            <w:vAlign w:val="bottom"/>
          </w:tcPr>
          <w:p>
            <w:pPr>
              <w:spacing w:after="0"/>
              <w:rPr>
                <w:sz w:val="14"/>
                <w:szCs w:val="14"/>
                <w:color w:val="auto"/>
              </w:rPr>
            </w:pPr>
          </w:p>
        </w:tc>
        <w:tc>
          <w:tcPr>
            <w:tcW w:w="1320" w:type="dxa"/>
            <w:vAlign w:val="bottom"/>
            <w:tcBorders>
              <w:right w:val="single" w:sz="8" w:color="B8CCE4"/>
            </w:tcBorders>
            <w:gridSpan w:val="2"/>
          </w:tcPr>
          <w:p>
            <w:pPr>
              <w:jc w:val="center"/>
              <w:ind w:right="100"/>
              <w:spacing w:after="0"/>
              <w:rPr>
                <w:sz w:val="20"/>
                <w:szCs w:val="20"/>
                <w:color w:val="auto"/>
              </w:rPr>
            </w:pPr>
            <w:r>
              <w:rPr>
                <w:rFonts w:ascii="Arial" w:cs="Arial" w:eastAsia="Arial" w:hAnsi="Arial"/>
                <w:sz w:val="14"/>
                <w:szCs w:val="14"/>
                <w:b w:val="1"/>
                <w:bCs w:val="1"/>
                <w:color w:val="auto"/>
              </w:rPr>
              <w:t>Jun. 30,</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Sequential</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Borders>
              <w:left w:val="single" w:sz="8" w:color="B8CCE4"/>
              <w:bottom w:val="single" w:sz="8" w:color="B8CCE4"/>
              <w:right w:val="single" w:sz="8" w:color="B8CCE4"/>
            </w:tcBorders>
          </w:tcPr>
          <w:p>
            <w:pPr>
              <w:spacing w:after="0"/>
              <w:rPr>
                <w:sz w:val="14"/>
                <w:szCs w:val="14"/>
                <w:color w:val="auto"/>
              </w:rPr>
            </w:pPr>
          </w:p>
        </w:tc>
        <w:tc>
          <w:tcPr>
            <w:tcW w:w="1380" w:type="dxa"/>
            <w:vAlign w:val="bottom"/>
            <w:tcBorders>
              <w:bottom w:val="single" w:sz="8" w:color="B8CCE4"/>
              <w:right w:val="single" w:sz="8" w:color="B8CCE4"/>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B8CCE4"/>
            </w:tcBorders>
          </w:tcPr>
          <w:p>
            <w:pPr>
              <w:spacing w:after="0"/>
              <w:rPr>
                <w:sz w:val="14"/>
                <w:szCs w:val="14"/>
                <w:color w:val="auto"/>
              </w:rPr>
            </w:pPr>
          </w:p>
        </w:tc>
        <w:tc>
          <w:tcPr>
            <w:tcW w:w="1280" w:type="dxa"/>
            <w:vAlign w:val="bottom"/>
            <w:tcBorders>
              <w:bottom w:val="single" w:sz="8" w:color="B8CCE4"/>
            </w:tcBorders>
          </w:tcPr>
          <w:p>
            <w:pPr>
              <w:jc w:val="center"/>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B8CCE4"/>
              <w:right w:val="single" w:sz="8" w:color="B8CCE4"/>
            </w:tcBorders>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Revenue</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$1,394.3</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$1,386.5</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$1,378.5</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0.6%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$72.4</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$(75.6)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95.7%</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$154.1</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$99.6</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14.1%</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7"/>
              </w:rPr>
              <w:t>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Adjusted EBITDA margin</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11.1 %</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9.7 %</w:t>
            </w:r>
          </w:p>
        </w:tc>
        <w:tc>
          <w:tcPr>
            <w:tcW w:w="80" w:type="dxa"/>
            <w:vAlign w:val="bottom"/>
            <w:tcBorders>
              <w:bottom w:val="single" w:sz="8" w:color="B8CCE4"/>
            </w:tcBorders>
          </w:tcPr>
          <w:p>
            <w:pPr>
              <w:spacing w:after="0"/>
              <w:rPr>
                <w:sz w:val="19"/>
                <w:szCs w:val="19"/>
                <w:color w:val="auto"/>
              </w:rPr>
            </w:pPr>
          </w:p>
        </w:tc>
        <w:tc>
          <w:tcPr>
            <w:tcW w:w="128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7.2 %</w:t>
            </w:r>
          </w:p>
        </w:tc>
        <w:tc>
          <w:tcPr>
            <w:tcW w:w="40" w:type="dxa"/>
            <w:vAlign w:val="bottom"/>
            <w:tcBorders>
              <w:bottom w:val="single" w:sz="8" w:color="B8CCE4"/>
              <w:right w:val="single" w:sz="8" w:color="B8CCE4"/>
            </w:tcBorders>
          </w:tcPr>
          <w:p>
            <w:pPr>
              <w:spacing w:after="0"/>
              <w:rPr>
                <w:sz w:val="19"/>
                <w:szCs w:val="19"/>
                <w:color w:val="auto"/>
              </w:rPr>
            </w:pP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140 bps</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390 bps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left w:val="single" w:sz="8" w:color="B8CCE4"/>
              <w:bottom w:val="single" w:sz="8" w:color="B8CCE4"/>
            </w:tcBorders>
          </w:tcPr>
          <w:p>
            <w:pPr>
              <w:spacing w:after="0"/>
              <w:rPr>
                <w:sz w:val="21"/>
                <w:szCs w:val="21"/>
                <w:color w:val="auto"/>
              </w:rPr>
            </w:pPr>
          </w:p>
        </w:tc>
        <w:tc>
          <w:tcPr>
            <w:tcW w:w="1380" w:type="dxa"/>
            <w:vAlign w:val="bottom"/>
            <w:tcBorders>
              <w:bottom w:val="single" w:sz="8" w:color="B8CCE4"/>
            </w:tcBorders>
          </w:tcPr>
          <w:p>
            <w:pPr>
              <w:spacing w:after="0"/>
              <w:rPr>
                <w:sz w:val="21"/>
                <w:szCs w:val="21"/>
                <w:color w:val="auto"/>
              </w:rPr>
            </w:pPr>
          </w:p>
        </w:tc>
        <w:tc>
          <w:tcPr>
            <w:tcW w:w="1400" w:type="dxa"/>
            <w:vAlign w:val="bottom"/>
            <w:tcBorders>
              <w:bottom w:val="single" w:sz="8" w:color="B8CCE4"/>
            </w:tcBorders>
          </w:tcPr>
          <w:p>
            <w:pPr>
              <w:spacing w:after="0"/>
              <w:rPr>
                <w:sz w:val="21"/>
                <w:szCs w:val="21"/>
                <w:color w:val="auto"/>
              </w:rPr>
            </w:pPr>
          </w:p>
        </w:tc>
        <w:tc>
          <w:tcPr>
            <w:tcW w:w="80" w:type="dxa"/>
            <w:vAlign w:val="bottom"/>
            <w:tcBorders>
              <w:bottom w:val="single" w:sz="8" w:color="B8CCE4"/>
            </w:tcBorders>
          </w:tcPr>
          <w:p>
            <w:pPr>
              <w:spacing w:after="0"/>
              <w:rPr>
                <w:sz w:val="21"/>
                <w:szCs w:val="21"/>
                <w:color w:val="auto"/>
              </w:rPr>
            </w:pPr>
          </w:p>
        </w:tc>
        <w:tc>
          <w:tcPr>
            <w:tcW w:w="1280" w:type="dxa"/>
            <w:vAlign w:val="bottom"/>
            <w:tcBorders>
              <w:bottom w:val="single" w:sz="8" w:color="B8CCE4"/>
            </w:tcBorders>
          </w:tcPr>
          <w:p>
            <w:pPr>
              <w:spacing w:after="0"/>
              <w:rPr>
                <w:sz w:val="21"/>
                <w:szCs w:val="21"/>
                <w:color w:val="auto"/>
              </w:rPr>
            </w:pPr>
          </w:p>
        </w:tc>
        <w:tc>
          <w:tcPr>
            <w:tcW w:w="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8"/>
                <w:szCs w:val="18"/>
                <w:b w:val="1"/>
                <w:bCs w:val="1"/>
                <w:color w:val="auto"/>
              </w:rPr>
              <w:t>Inbound orders</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$1,291.3</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$1,518.8</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$511.7</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(15.0%)</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left w:val="single" w:sz="8" w:color="B8CCE4"/>
              <w:bottom w:val="single" w:sz="8" w:color="B8CCE4"/>
              <w:right w:val="single" w:sz="8" w:color="B8CCE4"/>
            </w:tcBorders>
          </w:tcPr>
          <w:p>
            <w:pPr>
              <w:ind w:left="40"/>
              <w:spacing w:after="0" w:line="223" w:lineRule="exact"/>
              <w:rPr>
                <w:sz w:val="20"/>
                <w:szCs w:val="20"/>
                <w:color w:val="auto"/>
              </w:rPr>
            </w:pPr>
            <w:r>
              <w:rPr>
                <w:rFonts w:ascii="Arial" w:cs="Arial" w:eastAsia="Arial" w:hAnsi="Arial"/>
                <w:sz w:val="18"/>
                <w:szCs w:val="18"/>
                <w:b w:val="1"/>
                <w:bCs w:val="1"/>
                <w:color w:val="auto"/>
              </w:rPr>
              <w:t>Backlog</w:t>
            </w:r>
            <w:r>
              <w:rPr>
                <w:rFonts w:ascii="Arial" w:cs="Arial" w:eastAsia="Arial" w:hAnsi="Arial"/>
                <w:sz w:val="23"/>
                <w:szCs w:val="23"/>
                <w:b w:val="1"/>
                <w:bCs w:val="1"/>
                <w:color w:val="auto"/>
                <w:vertAlign w:val="superscript"/>
              </w:rPr>
              <w:t>1,2,3</w:t>
            </w: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$6,951.6</w:t>
            </w:r>
          </w:p>
        </w:tc>
        <w:tc>
          <w:tcPr>
            <w:tcW w:w="14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$6,857.1</w:t>
            </w:r>
          </w:p>
        </w:tc>
        <w:tc>
          <w:tcPr>
            <w:tcW w:w="80" w:type="dxa"/>
            <w:vAlign w:val="bottom"/>
            <w:tcBorders>
              <w:bottom w:val="single" w:sz="8" w:color="B8CCE4"/>
            </w:tcBorders>
          </w:tcPr>
          <w:p>
            <w:pPr>
              <w:spacing w:after="0"/>
              <w:rPr>
                <w:sz w:val="19"/>
                <w:szCs w:val="19"/>
                <w:color w:val="auto"/>
              </w:rPr>
            </w:pPr>
          </w:p>
        </w:tc>
        <w:tc>
          <w:tcPr>
            <w:tcW w:w="1320" w:type="dxa"/>
            <w:vAlign w:val="bottom"/>
            <w:tcBorders>
              <w:bottom w:val="single" w:sz="8" w:color="B8CCE4"/>
              <w:right w:val="single" w:sz="8" w:color="B8CCE4"/>
            </w:tcBorders>
            <w:gridSpan w:val="2"/>
          </w:tcPr>
          <w:p>
            <w:pPr>
              <w:jc w:val="right"/>
              <w:ind w:right="40"/>
              <w:spacing w:after="0"/>
              <w:rPr>
                <w:sz w:val="20"/>
                <w:szCs w:val="20"/>
                <w:color w:val="auto"/>
              </w:rPr>
            </w:pPr>
            <w:r>
              <w:rPr>
                <w:rFonts w:ascii="Arial" w:cs="Arial" w:eastAsia="Arial" w:hAnsi="Arial"/>
                <w:sz w:val="18"/>
                <w:szCs w:val="18"/>
                <w:color w:val="auto"/>
              </w:rPr>
              <w:t>$7,085.3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B8CCE4"/>
            </w:tcBorders>
            <w:shd w:val="clear" w:color="auto" w:fill="B8CCE4"/>
          </w:tcPr>
          <w:p>
            <w:pPr>
              <w:spacing w:after="0"/>
              <w:rPr>
                <w:sz w:val="14"/>
                <w:szCs w:val="14"/>
                <w:color w:val="auto"/>
              </w:rPr>
            </w:pPr>
          </w:p>
        </w:tc>
        <w:tc>
          <w:tcPr>
            <w:tcW w:w="4560" w:type="dxa"/>
            <w:vAlign w:val="bottom"/>
            <w:tcBorders>
              <w:top w:val="single" w:sz="8" w:color="B8CCE4"/>
            </w:tcBorders>
          </w:tcPr>
          <w:p>
            <w:pPr>
              <w:ind w:left="20"/>
              <w:spacing w:after="0"/>
              <w:rPr>
                <w:sz w:val="20"/>
                <w:szCs w:val="20"/>
                <w:color w:val="auto"/>
              </w:rPr>
            </w:pPr>
            <w:r>
              <w:rPr>
                <w:rFonts w:ascii="Arial" w:cs="Arial" w:eastAsia="Arial" w:hAnsi="Arial"/>
                <w:sz w:val="14"/>
                <w:szCs w:val="14"/>
                <w:b w:val="1"/>
                <w:bCs w:val="1"/>
                <w:color w:val="auto"/>
              </w:rPr>
              <w:t>Estimated Consolidated Backlog Scheduling</w:t>
            </w:r>
          </w:p>
        </w:tc>
        <w:tc>
          <w:tcPr>
            <w:tcW w:w="1380" w:type="dxa"/>
            <w:vAlign w:val="bottom"/>
            <w:tcBorders>
              <w:top w:val="single" w:sz="8" w:color="B8CCE4"/>
            </w:tcBorders>
          </w:tcPr>
          <w:p>
            <w:pPr>
              <w:spacing w:after="0"/>
              <w:rPr>
                <w:sz w:val="14"/>
                <w:szCs w:val="14"/>
                <w:color w:val="auto"/>
              </w:rPr>
            </w:pPr>
          </w:p>
        </w:tc>
        <w:tc>
          <w:tcPr>
            <w:tcW w:w="1400" w:type="dxa"/>
            <w:vAlign w:val="bottom"/>
            <w:tcBorders>
              <w:top w:val="single" w:sz="8" w:color="B8CCE4"/>
            </w:tcBorders>
          </w:tcPr>
          <w:p>
            <w:pPr>
              <w:spacing w:after="0"/>
              <w:rPr>
                <w:sz w:val="14"/>
                <w:szCs w:val="14"/>
                <w:color w:val="auto"/>
              </w:rPr>
            </w:pPr>
          </w:p>
        </w:tc>
        <w:tc>
          <w:tcPr>
            <w:tcW w:w="80" w:type="dxa"/>
            <w:vAlign w:val="bottom"/>
            <w:tcBorders>
              <w:top w:val="single" w:sz="8" w:color="B8CCE4"/>
              <w:right w:val="single" w:sz="8" w:color="B8CCE4"/>
            </w:tcBorders>
          </w:tcPr>
          <w:p>
            <w:pPr>
              <w:spacing w:after="0"/>
              <w:rPr>
                <w:sz w:val="14"/>
                <w:szCs w:val="14"/>
                <w:color w:val="auto"/>
              </w:rPr>
            </w:pPr>
          </w:p>
        </w:tc>
        <w:tc>
          <w:tcPr>
            <w:tcW w:w="1280" w:type="dxa"/>
            <w:vAlign w:val="bottom"/>
            <w:tcBorders>
              <w:top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Jun. 30,</w:t>
            </w: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B8CCE4"/>
            </w:tcBorders>
            <w:shd w:val="clear" w:color="auto" w:fill="B8CCE4"/>
          </w:tcPr>
          <w:p>
            <w:pPr>
              <w:spacing w:after="0"/>
              <w:rPr>
                <w:sz w:val="15"/>
                <w:szCs w:val="15"/>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bottom w:val="single" w:sz="8" w:color="B8CCE4"/>
            </w:tcBorders>
          </w:tcPr>
          <w:p>
            <w:pPr>
              <w:spacing w:after="0"/>
              <w:rPr>
                <w:sz w:val="15"/>
                <w:szCs w:val="15"/>
                <w:color w:val="auto"/>
              </w:rPr>
            </w:pPr>
          </w:p>
        </w:tc>
        <w:tc>
          <w:tcPr>
            <w:tcW w:w="1400" w:type="dxa"/>
            <w:vAlign w:val="bottom"/>
            <w:tcBorders>
              <w:bottom w:val="single" w:sz="8" w:color="B8CCE4"/>
            </w:tcBorders>
          </w:tcPr>
          <w:p>
            <w:pPr>
              <w:spacing w:after="0"/>
              <w:rPr>
                <w:sz w:val="15"/>
                <w:szCs w:val="15"/>
                <w:color w:val="auto"/>
              </w:rPr>
            </w:pPr>
          </w:p>
        </w:tc>
        <w:tc>
          <w:tcPr>
            <w:tcW w:w="80" w:type="dxa"/>
            <w:vAlign w:val="bottom"/>
            <w:tcBorders>
              <w:bottom w:val="single" w:sz="8" w:color="B8CCE4"/>
              <w:right w:val="single" w:sz="8" w:color="B8CCE4"/>
            </w:tcBorders>
          </w:tcPr>
          <w:p>
            <w:pPr>
              <w:spacing w:after="0"/>
              <w:rPr>
                <w:sz w:val="15"/>
                <w:szCs w:val="15"/>
                <w:color w:val="auto"/>
              </w:rPr>
            </w:pPr>
          </w:p>
        </w:tc>
        <w:tc>
          <w:tcPr>
            <w:tcW w:w="12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2021 (6 months)</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$1,996</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2022</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$2,988</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2023 and beyond</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$1,968</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B8CCE4"/>
            </w:tcBorders>
            <w:shd w:val="clear" w:color="auto" w:fill="B8CCE4"/>
          </w:tcPr>
          <w:p>
            <w:pPr>
              <w:spacing w:after="0"/>
              <w:rPr>
                <w:sz w:val="20"/>
                <w:szCs w:val="20"/>
                <w:color w:val="auto"/>
              </w:rPr>
            </w:pPr>
          </w:p>
        </w:tc>
        <w:tc>
          <w:tcPr>
            <w:tcW w:w="4560" w:type="dxa"/>
            <w:vAlign w:val="bottom"/>
            <w:tcBorders>
              <w:bottom w:val="single" w:sz="8" w:color="B8CCE4"/>
            </w:tcBorders>
          </w:tcPr>
          <w:p>
            <w:pPr>
              <w:ind w:left="20"/>
              <w:spacing w:after="0"/>
              <w:rPr>
                <w:sz w:val="20"/>
                <w:szCs w:val="20"/>
                <w:color w:val="auto"/>
              </w:rPr>
            </w:pPr>
            <w:r>
              <w:rPr>
                <w:rFonts w:ascii="Arial" w:cs="Arial" w:eastAsia="Arial" w:hAnsi="Arial"/>
                <w:sz w:val="20"/>
                <w:szCs w:val="20"/>
                <w:b w:val="1"/>
                <w:bCs w:val="1"/>
                <w:color w:val="auto"/>
              </w:rPr>
              <w:t>Total</w:t>
            </w:r>
          </w:p>
        </w:tc>
        <w:tc>
          <w:tcPr>
            <w:tcW w:w="1380" w:type="dxa"/>
            <w:vAlign w:val="bottom"/>
            <w:tcBorders>
              <w:bottom w:val="single" w:sz="8" w:color="B8CCE4"/>
            </w:tcBorders>
          </w:tcPr>
          <w:p>
            <w:pPr>
              <w:spacing w:after="0"/>
              <w:rPr>
                <w:sz w:val="20"/>
                <w:szCs w:val="20"/>
                <w:color w:val="auto"/>
              </w:rPr>
            </w:pPr>
          </w:p>
        </w:tc>
        <w:tc>
          <w:tcPr>
            <w:tcW w:w="1400" w:type="dxa"/>
            <w:vAlign w:val="bottom"/>
            <w:tcBorders>
              <w:bottom w:val="single" w:sz="8" w:color="B8CCE4"/>
            </w:tcBorders>
          </w:tcPr>
          <w:p>
            <w:pPr>
              <w:spacing w:after="0"/>
              <w:rPr>
                <w:sz w:val="20"/>
                <w:szCs w:val="20"/>
                <w:color w:val="auto"/>
              </w:rPr>
            </w:pPr>
          </w:p>
        </w:tc>
        <w:tc>
          <w:tcPr>
            <w:tcW w:w="80" w:type="dxa"/>
            <w:vAlign w:val="bottom"/>
            <w:tcBorders>
              <w:bottom w:val="single" w:sz="8" w:color="B8CCE4"/>
              <w:right w:val="single" w:sz="8" w:color="B8CCE4"/>
            </w:tcBorders>
          </w:tcPr>
          <w:p>
            <w:pPr>
              <w:spacing w:after="0"/>
              <w:rPr>
                <w:sz w:val="20"/>
                <w:szCs w:val="20"/>
                <w:color w:val="auto"/>
              </w:rPr>
            </w:pPr>
          </w:p>
        </w:tc>
        <w:tc>
          <w:tcPr>
            <w:tcW w:w="12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b w:val="1"/>
                <w:bCs w:val="1"/>
                <w:color w:val="auto"/>
              </w:rPr>
              <w:t>$6,952</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hanging="94"/>
        <w:spacing w:after="0" w:line="208" w:lineRule="auto"/>
        <w:tabs>
          <w:tab w:leader="none" w:pos="12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Backlog in the period was increased by a foreign exchange impact of $170 million.</w:t>
      </w:r>
    </w:p>
    <w:p>
      <w:pPr>
        <w:spacing w:after="0" w:line="22" w:lineRule="exact"/>
        <w:rPr>
          <w:rFonts w:ascii="Arial" w:cs="Arial" w:eastAsia="Arial" w:hAnsi="Arial"/>
          <w:sz w:val="21"/>
          <w:szCs w:val="21"/>
          <w:i w:val="1"/>
          <w:iCs w:val="1"/>
          <w:color w:val="auto"/>
          <w:vertAlign w:val="superscript"/>
        </w:rPr>
      </w:pPr>
    </w:p>
    <w:p>
      <w:pPr>
        <w:ind w:left="20"/>
        <w:spacing w:after="0" w:line="214" w:lineRule="auto"/>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Backlog does not capture all revenue potential for Subsea Services.</w:t>
      </w:r>
    </w:p>
    <w:p>
      <w:pPr>
        <w:ind w:left="20"/>
        <w:spacing w:after="0"/>
        <w:rPr>
          <w:rFonts w:ascii="Arial" w:cs="Arial" w:eastAsia="Arial" w:hAnsi="Arial"/>
          <w:sz w:val="21"/>
          <w:szCs w:val="21"/>
          <w:i w:val="1"/>
          <w:iCs w:val="1"/>
          <w:color w:val="auto"/>
          <w:vertAlign w:val="superscript"/>
        </w:rPr>
      </w:pP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 xml:space="preserve"> Backlog does not include total Company non-consolidated backlog of $594 million.</w:t>
      </w:r>
    </w:p>
    <w:p>
      <w:pPr>
        <w:spacing w:after="0" w:line="388"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Subsea reported second quarter revenue of $1,394.3 million, a modest improvement from the first quarter. Revenue increased sequentially due to seasonal improvement in installation and services, largely offset by lower project activity in the quarter.</w:t>
      </w:r>
    </w:p>
    <w:p>
      <w:pPr>
        <w:spacing w:after="0" w:line="163"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Subsea reported an operating profit of $72.4 million. Sequentially, operating results benefited from lower charges, improved margins in backlog and increased installation and services activity.</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Subsea reported adjusted EBITDA of $154.1 million. Adjusted EBITDA increased 14.1 percent when compared to the first quarter, benefiting from higher margins in backlog and increased installation and services activity. Adjusted EBITDA margin improved 140 basis points to 11.1 percent.</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Subsea inbound orders were $1,291.3 million for the quarter, reflective of the continued market improvement. Book-to-bill in the period was 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3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The following awards were included in the period:</w:t>
      </w:r>
    </w:p>
    <w:p>
      <w:pPr>
        <w:spacing w:after="0" w:line="124"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Ithaca Energy Captain EOR Project </w:t>
      </w:r>
      <w:r>
        <w:rPr>
          <w:rFonts w:ascii="Arial" w:cs="Arial" w:eastAsia="Arial" w:hAnsi="Arial"/>
          <w:sz w:val="17"/>
          <w:szCs w:val="17"/>
          <w:b w:val="1"/>
          <w:bCs w:val="1"/>
          <w:color w:val="auto"/>
        </w:rPr>
        <w:t>(North Sea)</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Engineering, Procurement, Construction and Installation (EPCI) contract from Ithaca Energy (UK) Limited for the Captain Enhanced Oil Recovery (EOR) Project in the UK North Sea. TechnipFMC will design, manufacture, deliver and install subsea equipment including a rigid riser caisson, water injection flexible flowline, umbilicals and associated equipment.</w:t>
      </w:r>
    </w:p>
    <w:p>
      <w:pPr>
        <w:spacing w:after="0" w:line="1"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w:t>
      </w:r>
    </w:p>
    <w:p>
      <w:pPr>
        <w:spacing w:after="0" w:line="117"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Karoon Patola iEPCI</w:t>
      </w:r>
      <w:r>
        <w:rPr>
          <w:rFonts w:ascii="Arial" w:cs="Arial" w:eastAsia="Arial" w:hAnsi="Arial"/>
          <w:sz w:val="25"/>
          <w:szCs w:val="25"/>
          <w:b w:val="1"/>
          <w:bCs w:val="1"/>
          <w:color w:val="auto"/>
          <w:vertAlign w:val="superscript"/>
        </w:rPr>
        <w:t>TM</w:t>
      </w:r>
      <w:r>
        <w:rPr>
          <w:rFonts w:ascii="Arial" w:cs="Arial" w:eastAsia="Arial" w:hAnsi="Arial"/>
          <w:sz w:val="20"/>
          <w:szCs w:val="20"/>
          <w:b w:val="1"/>
          <w:bCs w:val="1"/>
          <w:color w:val="auto"/>
        </w:rPr>
        <w:t xml:space="preserve"> Project </w:t>
      </w:r>
      <w:r>
        <w:rPr>
          <w:rFonts w:ascii="Arial" w:cs="Arial" w:eastAsia="Arial" w:hAnsi="Arial"/>
          <w:sz w:val="17"/>
          <w:szCs w:val="17"/>
          <w:b w:val="1"/>
          <w:bCs w:val="1"/>
          <w:color w:val="auto"/>
        </w:rPr>
        <w:t>(Brazil)</w:t>
      </w:r>
    </w:p>
    <w:p>
      <w:pPr>
        <w:jc w:val="both"/>
        <w:ind w:left="660"/>
        <w:spacing w:after="0" w:line="229" w:lineRule="auto"/>
        <w:rPr>
          <w:rFonts w:ascii="Arial" w:cs="Arial" w:eastAsia="Arial" w:hAnsi="Arial"/>
          <w:sz w:val="20"/>
          <w:szCs w:val="20"/>
          <w:b w:val="1"/>
          <w:bCs w:val="1"/>
          <w:i w:val="1"/>
          <w:iCs w:val="1"/>
          <w:color w:val="auto"/>
        </w:rPr>
      </w:pPr>
      <w:r>
        <w:rPr>
          <w:rFonts w:ascii="Arial" w:cs="Arial" w:eastAsia="Arial" w:hAnsi="Arial"/>
          <w:sz w:val="20"/>
          <w:szCs w:val="20"/>
          <w:color w:val="auto"/>
        </w:rPr>
        <w:t>TechnipFMC’s first integrated Engineering, Procurement, Construction and Installation (iEPCI</w:t>
      </w:r>
      <w:r>
        <w:rPr>
          <w:rFonts w:ascii="Arial" w:cs="Arial" w:eastAsia="Arial" w:hAnsi="Arial"/>
          <w:sz w:val="25"/>
          <w:szCs w:val="25"/>
          <w:color w:val="auto"/>
          <w:vertAlign w:val="superscript"/>
        </w:rPr>
        <w:t>TM</w:t>
      </w:r>
      <w:r>
        <w:rPr>
          <w:rFonts w:ascii="Arial" w:cs="Arial" w:eastAsia="Arial" w:hAnsi="Arial"/>
          <w:sz w:val="20"/>
          <w:szCs w:val="20"/>
          <w:color w:val="auto"/>
        </w:rPr>
        <w:t>) contract in Brazil by Karoon Energy for the Patola field development. The contract covers engineering, procurement, construction and installation of subsea trees, flexible pipes and umbilicals. TechnipFMC was chosen based on its recognized technical excellence and capability to deliver complete and integrated solutions. The Company will leverage its assets and significant local content in Brazil, including its subsea equipment and flexible pipe plants and its logistics base.</w:t>
      </w:r>
    </w:p>
    <w:p>
      <w:pPr>
        <w:spacing w:after="0" w:line="200"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Petrobras Buzios 6-9 Fields Project </w:t>
      </w:r>
      <w:r>
        <w:rPr>
          <w:rFonts w:ascii="Arial" w:cs="Arial" w:eastAsia="Arial" w:hAnsi="Arial"/>
          <w:sz w:val="17"/>
          <w:szCs w:val="17"/>
          <w:b w:val="1"/>
          <w:bCs w:val="1"/>
          <w:color w:val="auto"/>
        </w:rPr>
        <w:t>(Brazil)</w:t>
      </w:r>
    </w:p>
    <w:p>
      <w:pPr>
        <w:spacing w:after="0" w:line="10" w:lineRule="exact"/>
        <w:rPr>
          <w:rFonts w:ascii="Arial" w:cs="Arial" w:eastAsia="Arial" w:hAnsi="Arial"/>
          <w:sz w:val="20"/>
          <w:szCs w:val="20"/>
          <w:b w:val="1"/>
          <w:bCs w:val="1"/>
          <w:i w:val="1"/>
          <w:iCs w:val="1"/>
          <w:color w:val="auto"/>
        </w:rPr>
      </w:pP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Substantial* contract from Petrobras for the Buzios 6-9 fields. Located in the Santos basin offshore Brazil, these fields are part of the pre-salt area, with a water depth of 2,000 meters. TechnipFMC will supply subsea trees with controls, electrical and hydraulic distribution units, topside systems, and installation and intervention support services with rental tooling. All of the subsea trees will be manufactured at our facilities in Brazil, which are powered entirely from renewable energy sources.</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“substantial” award ranges between $250 million and $500 million.</w:t>
      </w:r>
    </w:p>
    <w:p>
      <w:pPr>
        <w:spacing w:after="0" w:line="164"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Equinor Kristin Sør Project </w:t>
      </w:r>
      <w:r>
        <w:rPr>
          <w:rFonts w:ascii="Arial" w:cs="Arial" w:eastAsia="Arial" w:hAnsi="Arial"/>
          <w:sz w:val="17"/>
          <w:szCs w:val="17"/>
          <w:b w:val="1"/>
          <w:bCs w:val="1"/>
          <w:color w:val="auto"/>
        </w:rPr>
        <w:t>(North Sea)</w:t>
      </w:r>
    </w:p>
    <w:p>
      <w:pPr>
        <w:spacing w:after="0" w:line="10" w:lineRule="exact"/>
        <w:rPr>
          <w:rFonts w:ascii="Arial" w:cs="Arial" w:eastAsia="Arial" w:hAnsi="Arial"/>
          <w:sz w:val="20"/>
          <w:szCs w:val="20"/>
          <w:b w:val="1"/>
          <w:bCs w:val="1"/>
          <w:color w:val="auto"/>
        </w:rPr>
      </w:pPr>
    </w:p>
    <w:p>
      <w:pPr>
        <w:jc w:val="both"/>
        <w:ind w:left="660"/>
        <w:spacing w:after="0" w:line="239" w:lineRule="auto"/>
        <w:rPr>
          <w:rFonts w:ascii="Arial" w:cs="Arial" w:eastAsia="Arial" w:hAnsi="Arial"/>
          <w:sz w:val="20"/>
          <w:szCs w:val="20"/>
          <w:b w:val="1"/>
          <w:bCs w:val="1"/>
          <w:color w:val="auto"/>
        </w:rPr>
      </w:pPr>
      <w:r>
        <w:rPr>
          <w:rFonts w:ascii="Arial" w:cs="Arial" w:eastAsia="Arial" w:hAnsi="Arial"/>
          <w:sz w:val="20"/>
          <w:szCs w:val="20"/>
          <w:color w:val="auto"/>
        </w:rPr>
        <w:t>Significant* EPCI contract by Equinor for the Kristin Sør Field in the North Sea. TechnipFMC will supply rigid pipelines, static and dynamic umbilicals, as well as pipeline and marine installation of the subsea production facilities. The project will be executed by TechnipFMC’s operating center in Oslo, Norway, with fabrication occurring in the Company’s facilities in Norway and the United Kingdom.</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*A “significant” award ranges between $75 million and $250 million.</w:t>
      </w:r>
    </w:p>
    <w:p>
      <w:pPr>
        <w:spacing w:after="0" w:line="117" w:lineRule="exact"/>
        <w:rPr>
          <w:rFonts w:ascii="Arial" w:cs="Arial" w:eastAsia="Arial" w:hAnsi="Arial"/>
          <w:sz w:val="20"/>
          <w:szCs w:val="20"/>
          <w:b w:val="1"/>
          <w:bCs w:val="1"/>
          <w:color w:val="auto"/>
        </w:rPr>
      </w:pPr>
    </w:p>
    <w:p>
      <w:pPr>
        <w:ind w:left="640" w:hanging="308"/>
        <w:spacing w:after="0"/>
        <w:tabs>
          <w:tab w:leader="none" w:pos="640" w:val="left"/>
        </w:tabs>
        <w:numPr>
          <w:ilvl w:val="0"/>
          <w:numId w:val="4"/>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Tullow Jubilee South East Development iEPCI</w:t>
      </w:r>
      <w:r>
        <w:rPr>
          <w:rFonts w:ascii="Arial" w:cs="Arial" w:eastAsia="Arial" w:hAnsi="Arial"/>
          <w:sz w:val="25"/>
          <w:szCs w:val="25"/>
          <w:b w:val="1"/>
          <w:bCs w:val="1"/>
          <w:color w:val="auto"/>
          <w:vertAlign w:val="superscript"/>
        </w:rPr>
        <w:t>TM</w:t>
      </w:r>
      <w:r>
        <w:rPr>
          <w:rFonts w:ascii="Arial" w:cs="Arial" w:eastAsia="Arial" w:hAnsi="Arial"/>
          <w:sz w:val="20"/>
          <w:szCs w:val="20"/>
          <w:b w:val="1"/>
          <w:bCs w:val="1"/>
          <w:color w:val="auto"/>
        </w:rPr>
        <w:t xml:space="preserve"> Project </w:t>
      </w:r>
      <w:r>
        <w:rPr>
          <w:rFonts w:ascii="Arial" w:cs="Arial" w:eastAsia="Arial" w:hAnsi="Arial"/>
          <w:sz w:val="17"/>
          <w:szCs w:val="17"/>
          <w:b w:val="1"/>
          <w:bCs w:val="1"/>
          <w:color w:val="auto"/>
        </w:rPr>
        <w:t>(Ghana)</w:t>
      </w:r>
    </w:p>
    <w:p>
      <w:pPr>
        <w:jc w:val="both"/>
        <w:ind w:left="660"/>
        <w:spacing w:after="0" w:line="239" w:lineRule="auto"/>
        <w:rPr>
          <w:rFonts w:ascii="Arial" w:cs="Arial" w:eastAsia="Arial" w:hAnsi="Arial"/>
          <w:sz w:val="20"/>
          <w:szCs w:val="20"/>
          <w:b w:val="1"/>
          <w:bCs w:val="1"/>
          <w:i w:val="1"/>
          <w:iCs w:val="1"/>
          <w:color w:val="auto"/>
        </w:rPr>
      </w:pPr>
      <w:r>
        <w:rPr>
          <w:rFonts w:ascii="Arial" w:cs="Arial" w:eastAsia="Arial" w:hAnsi="Arial"/>
          <w:sz w:val="20"/>
          <w:szCs w:val="20"/>
          <w:color w:val="auto"/>
        </w:rPr>
        <w:t>Significant* iEPCI™ contract for the Jubilee South East development, located offshore Ghana. It will be the Company’s first iEPCI™ project with Tullow Ghana Ltd. The contract builds upon TechnipFMC’s established relationship with Tullow and covers supply and offshore installation of all major subsea equipment, including manifolds and associated controls, flexible risers and flowlines, umbilicals, and subsea structures. At the pre-tendering stage, TechnipFMC utilized its Subsea Studio™ digital solutions to help optimize field layout.</w:t>
      </w:r>
    </w:p>
    <w:p>
      <w:pPr>
        <w:spacing w:after="0" w:line="2" w:lineRule="exact"/>
        <w:rPr>
          <w:rFonts w:ascii="Arial" w:cs="Arial" w:eastAsia="Arial" w:hAnsi="Arial"/>
          <w:sz w:val="20"/>
          <w:szCs w:val="20"/>
          <w:b w:val="1"/>
          <w:bCs w:val="1"/>
          <w:i w:val="1"/>
          <w:iCs w:val="1"/>
          <w:color w:val="auto"/>
        </w:rPr>
      </w:pPr>
    </w:p>
    <w:p>
      <w:pPr>
        <w:ind w:left="660"/>
        <w:spacing w:after="0"/>
        <w:rPr>
          <w:rFonts w:ascii="Arial" w:cs="Arial" w:eastAsia="Arial" w:hAnsi="Arial"/>
          <w:sz w:val="20"/>
          <w:szCs w:val="20"/>
          <w:b w:val="1"/>
          <w:bCs w:val="1"/>
          <w:i w:val="1"/>
          <w:iCs w:val="1"/>
          <w:color w:val="auto"/>
        </w:rPr>
      </w:pPr>
      <w:r>
        <w:rPr>
          <w:rFonts w:ascii="Arial" w:cs="Arial" w:eastAsia="Arial" w:hAnsi="Arial"/>
          <w:sz w:val="20"/>
          <w:szCs w:val="20"/>
          <w:i w:val="1"/>
          <w:iCs w:val="1"/>
          <w:color w:val="auto"/>
        </w:rPr>
        <w:t>*A “significant” award ranges between $75 million and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4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3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Partnership and Alliance Highlights</w:t>
      </w:r>
    </w:p>
    <w:p>
      <w:pPr>
        <w:spacing w:after="0" w:line="20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BEHYOND: Concept study for green hydrogen production from offshore wind power</w:t>
      </w:r>
    </w:p>
    <w:p>
      <w:pPr>
        <w:spacing w:after="0" w:line="23" w:lineRule="exact"/>
        <w:rPr>
          <w:rFonts w:ascii="Arial" w:cs="Arial" w:eastAsia="Arial" w:hAnsi="Arial"/>
          <w:sz w:val="20"/>
          <w:szCs w:val="20"/>
          <w:b w:val="1"/>
          <w:bCs w:val="1"/>
          <w:i w:val="1"/>
          <w:iCs w:val="1"/>
          <w:color w:val="auto"/>
        </w:rPr>
      </w:pPr>
    </w:p>
    <w:p>
      <w:pPr>
        <w:jc w:val="both"/>
        <w:ind w:left="660"/>
        <w:spacing w:after="0" w:line="241" w:lineRule="auto"/>
        <w:rPr>
          <w:rFonts w:ascii="Arial" w:cs="Arial" w:eastAsia="Arial" w:hAnsi="Arial"/>
          <w:sz w:val="20"/>
          <w:szCs w:val="20"/>
          <w:b w:val="1"/>
          <w:bCs w:val="1"/>
          <w:i w:val="1"/>
          <w:iCs w:val="1"/>
          <w:color w:val="auto"/>
        </w:rPr>
      </w:pPr>
      <w:r>
        <w:rPr>
          <w:rFonts w:ascii="Arial" w:cs="Arial" w:eastAsia="Arial" w:hAnsi="Arial"/>
          <w:sz w:val="20"/>
          <w:szCs w:val="20"/>
          <w:color w:val="auto"/>
        </w:rPr>
        <w:t>EDP, TechnipFMC and other research partners are joining forces to develop a conceptual engineering and economic feasibility study for a new offshore system for green hydrogen production from offshore wind power, called the BEHYOND project. The study will include innovative integration of equipment for the production and conditioning of green hydrogen and infrastructure that allows for its transportation to the coast. The goal is to create a unique concept that can be standardized and implemented worldwide, allowing for large-scale green hydrogen production offshore.</w:t>
      </w:r>
    </w:p>
    <w:p>
      <w:pPr>
        <w:spacing w:after="0" w:line="168" w:lineRule="exact"/>
        <w:rPr>
          <w:rFonts w:ascii="Arial" w:cs="Arial" w:eastAsia="Arial" w:hAnsi="Arial"/>
          <w:sz w:val="20"/>
          <w:szCs w:val="20"/>
          <w:b w:val="1"/>
          <w:bCs w:val="1"/>
          <w:i w:val="1"/>
          <w:iCs w:val="1"/>
          <w:color w:val="auto"/>
        </w:rPr>
      </w:pPr>
    </w:p>
    <w:p>
      <w:pPr>
        <w:jc w:val="both"/>
        <w:ind w:left="66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Each member of the consortium brings specific competencies that are complementary. TechnipFMC brings its extended history in subsea engineering, expertise developed on its Deep Purple™ green hydrogen project, and essential system integration abilities.</w:t>
      </w:r>
    </w:p>
    <w:p>
      <w:pPr>
        <w:spacing w:after="0" w:line="18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TechnipFMC and Halliburton’s Subsea Fiber Optic Solution selected by OTC and ExxonMobil</w:t>
      </w:r>
    </w:p>
    <w:p>
      <w:pPr>
        <w:spacing w:after="0" w:line="23" w:lineRule="exact"/>
        <w:rPr>
          <w:rFonts w:ascii="Arial" w:cs="Arial" w:eastAsia="Arial" w:hAnsi="Arial"/>
          <w:sz w:val="20"/>
          <w:szCs w:val="20"/>
          <w:b w:val="1"/>
          <w:bCs w:val="1"/>
          <w:i w:val="1"/>
          <w:iCs w:val="1"/>
          <w:color w:val="auto"/>
        </w:rPr>
      </w:pPr>
    </w:p>
    <w:p>
      <w:pPr>
        <w:jc w:val="both"/>
        <w:ind w:left="660"/>
        <w:spacing w:after="0" w:line="227" w:lineRule="auto"/>
        <w:rPr>
          <w:rFonts w:ascii="Arial" w:cs="Arial" w:eastAsia="Arial" w:hAnsi="Arial"/>
          <w:sz w:val="20"/>
          <w:szCs w:val="20"/>
          <w:b w:val="1"/>
          <w:bCs w:val="1"/>
          <w:i w:val="1"/>
          <w:iCs w:val="1"/>
          <w:color w:val="auto"/>
        </w:rPr>
      </w:pPr>
      <w:r>
        <w:rPr>
          <w:rFonts w:ascii="Arial" w:cs="Arial" w:eastAsia="Arial" w:hAnsi="Arial"/>
          <w:sz w:val="20"/>
          <w:szCs w:val="20"/>
          <w:color w:val="auto"/>
        </w:rPr>
        <w:t>TechnipFMC and Halliburton received an OTC Spotlight on New Technology Award</w:t>
      </w:r>
      <w:r>
        <w:rPr>
          <w:rFonts w:ascii="Arial" w:cs="Arial" w:eastAsia="Arial" w:hAnsi="Arial"/>
          <w:sz w:val="25"/>
          <w:szCs w:val="25"/>
          <w:color w:val="auto"/>
          <w:vertAlign w:val="superscript"/>
        </w:rPr>
        <w:t>®</w:t>
      </w:r>
      <w:r>
        <w:rPr>
          <w:rFonts w:ascii="Arial" w:cs="Arial" w:eastAsia="Arial" w:hAnsi="Arial"/>
          <w:sz w:val="20"/>
          <w:szCs w:val="20"/>
          <w:color w:val="auto"/>
        </w:rPr>
        <w:t xml:space="preserve"> for their Odassea™ Subsea Fiber Optic Solution, an advanced downhole fiber optic sensing system. ExxonMobil selected the solution for its Payara development project in Guyana, the industry’s largest subsea fiber optic sensing project. The award followed completion of front-end engineering and design studies and qualifications.</w:t>
      </w:r>
    </w:p>
    <w:p>
      <w:pPr>
        <w:spacing w:after="0" w:line="182" w:lineRule="exact"/>
        <w:rPr>
          <w:rFonts w:ascii="Arial" w:cs="Arial" w:eastAsia="Arial" w:hAnsi="Arial"/>
          <w:sz w:val="20"/>
          <w:szCs w:val="20"/>
          <w:b w:val="1"/>
          <w:bCs w:val="1"/>
          <w:i w:val="1"/>
          <w:iCs w:val="1"/>
          <w:color w:val="auto"/>
        </w:rPr>
      </w:pPr>
    </w:p>
    <w:p>
      <w:pPr>
        <w:jc w:val="both"/>
        <w:ind w:left="660"/>
        <w:spacing w:after="0" w:line="241" w:lineRule="auto"/>
        <w:rPr>
          <w:rFonts w:ascii="Arial" w:cs="Arial" w:eastAsia="Arial" w:hAnsi="Arial"/>
          <w:sz w:val="20"/>
          <w:szCs w:val="20"/>
          <w:b w:val="1"/>
          <w:bCs w:val="1"/>
          <w:i w:val="1"/>
          <w:iCs w:val="1"/>
          <w:color w:val="auto"/>
        </w:rPr>
      </w:pPr>
      <w:r>
        <w:rPr>
          <w:rFonts w:ascii="Arial" w:cs="Arial" w:eastAsia="Arial" w:hAnsi="Arial"/>
          <w:sz w:val="20"/>
          <w:szCs w:val="20"/>
          <w:color w:val="auto"/>
        </w:rPr>
        <w:t>The Odassea™ system integrates hardware and digital solutions to strengthen capabilities in subsea reservoir monitoring and production optimization. Halliburton provides the fiber optic sensing technology and analysis for reservoir diagnostics. TechnipFMC provides the optical connectivity from the topside to the completions. Through this collaboration, operators can accelerate full field subsea fiber optic sensing, design, and execution.</w:t>
      </w:r>
    </w:p>
    <w:p>
      <w:pPr>
        <w:spacing w:after="0" w:line="169" w:lineRule="exact"/>
        <w:rPr>
          <w:rFonts w:ascii="Arial" w:cs="Arial" w:eastAsia="Arial" w:hAnsi="Arial"/>
          <w:sz w:val="20"/>
          <w:szCs w:val="20"/>
          <w:b w:val="1"/>
          <w:bCs w:val="1"/>
          <w:i w:val="1"/>
          <w:iCs w:val="1"/>
          <w:color w:val="auto"/>
        </w:rPr>
      </w:pPr>
    </w:p>
    <w:p>
      <w:pPr>
        <w:ind w:left="660" w:right="20"/>
        <w:spacing w:after="0" w:line="246" w:lineRule="auto"/>
        <w:rPr>
          <w:rFonts w:ascii="Arial" w:cs="Arial" w:eastAsia="Arial" w:hAnsi="Arial"/>
          <w:sz w:val="20"/>
          <w:szCs w:val="20"/>
          <w:b w:val="1"/>
          <w:bCs w:val="1"/>
          <w:i w:val="1"/>
          <w:iCs w:val="1"/>
          <w:color w:val="auto"/>
        </w:rPr>
      </w:pPr>
      <w:r>
        <w:rPr>
          <w:rFonts w:ascii="Arial" w:cs="Arial" w:eastAsia="Arial" w:hAnsi="Arial"/>
          <w:sz w:val="20"/>
          <w:szCs w:val="20"/>
          <w:color w:val="auto"/>
        </w:rPr>
        <w:t>TechnipFMC and Halliburton are delivering Odassea™ solutions to multiple other subsea projects at all stages, from conceptual design to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5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32" w:right="339" w:bottom="1440" w:gutter="0" w:footer="0" w:header="0"/>
        </w:sectPr>
      </w:pPr>
    </w:p>
    <w:bookmarkStart w:id="9" w:name="page10"/>
    <w:bookmarkEnd w:id="9"/>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b w:val="1"/>
          <w:bCs w:val="1"/>
          <w:color w:val="auto"/>
        </w:rPr>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Reconciliation of U.S. GAAP to non-GAAP financial measures are provided in financial schedules.</w:t>
      </w:r>
    </w:p>
    <w:p>
      <w:pPr>
        <w:spacing w:after="0" w:line="118"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4560" w:type="dxa"/>
            <w:vAlign w:val="bottom"/>
            <w:tcBorders>
              <w:top w:val="single" w:sz="8" w:color="B8CCE4"/>
              <w:left w:val="single" w:sz="8" w:color="B8CCE4"/>
              <w:bottom w:val="single" w:sz="8" w:color="B8CCE4"/>
              <w:right w:val="single" w:sz="8" w:color="B8CCE4"/>
            </w:tcBorders>
          </w:tcPr>
          <w:p>
            <w:pPr>
              <w:spacing w:after="0"/>
              <w:rPr>
                <w:sz w:val="19"/>
                <w:szCs w:val="19"/>
                <w:color w:val="auto"/>
              </w:rPr>
            </w:pPr>
          </w:p>
        </w:tc>
        <w:tc>
          <w:tcPr>
            <w:tcW w:w="1340" w:type="dxa"/>
            <w:vAlign w:val="bottom"/>
            <w:tcBorders>
              <w:top w:val="single" w:sz="8" w:color="B8CCE4"/>
              <w:bottom w:val="single" w:sz="8" w:color="B8CCE4"/>
            </w:tcBorders>
          </w:tcPr>
          <w:p>
            <w:pPr>
              <w:spacing w:after="0"/>
              <w:rPr>
                <w:sz w:val="19"/>
                <w:szCs w:val="19"/>
                <w:color w:val="auto"/>
              </w:rPr>
            </w:pPr>
          </w:p>
        </w:tc>
        <w:tc>
          <w:tcPr>
            <w:tcW w:w="1640" w:type="dxa"/>
            <w:vAlign w:val="bottom"/>
            <w:tcBorders>
              <w:top w:val="single" w:sz="8" w:color="B8CCE4"/>
              <w:bottom w:val="single" w:sz="8" w:color="B8CCE4"/>
            </w:tcBorders>
            <w:gridSpan w:val="3"/>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top w:val="single" w:sz="8" w:color="B8CCE4"/>
              <w:bottom w:val="single" w:sz="8" w:color="B8CCE4"/>
              <w:right w:val="single" w:sz="8" w:color="B8CCE4"/>
            </w:tcBorders>
          </w:tcPr>
          <w:p>
            <w:pPr>
              <w:spacing w:after="0"/>
              <w:rPr>
                <w:sz w:val="19"/>
                <w:szCs w:val="19"/>
                <w:color w:val="auto"/>
              </w:rPr>
            </w:pPr>
          </w:p>
        </w:tc>
        <w:tc>
          <w:tcPr>
            <w:tcW w:w="2500" w:type="dxa"/>
            <w:vAlign w:val="bottom"/>
            <w:tcBorders>
              <w:top w:val="single" w:sz="8" w:color="B8CCE4"/>
              <w:bottom w:val="single" w:sz="8" w:color="B8CCE4"/>
              <w:right w:val="single" w:sz="8" w:color="B8CCE4"/>
            </w:tcBorders>
            <w:gridSpan w:val="2"/>
          </w:tcPr>
          <w:p>
            <w:pPr>
              <w:ind w:lef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4560" w:type="dxa"/>
            <w:vAlign w:val="bottom"/>
            <w:tcBorders>
              <w:left w:val="single" w:sz="8" w:color="B8CCE4"/>
              <w:right w:val="single" w:sz="8" w:color="B8CCE4"/>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340" w:type="dxa"/>
            <w:vAlign w:val="bottom"/>
          </w:tcPr>
          <w:p>
            <w:pPr>
              <w:jc w:val="right"/>
              <w:ind w:right="315"/>
              <w:spacing w:after="0"/>
              <w:rPr>
                <w:sz w:val="20"/>
                <w:szCs w:val="20"/>
                <w:color w:val="auto"/>
              </w:rPr>
            </w:pPr>
            <w:r>
              <w:rPr>
                <w:rFonts w:ascii="Arial" w:cs="Arial" w:eastAsia="Arial" w:hAnsi="Arial"/>
                <w:sz w:val="14"/>
                <w:szCs w:val="14"/>
                <w:b w:val="1"/>
                <w:bCs w:val="1"/>
                <w:color w:val="auto"/>
              </w:rPr>
              <w:t>Jun. 30,</w:t>
            </w:r>
          </w:p>
        </w:tc>
        <w:tc>
          <w:tcPr>
            <w:tcW w:w="40" w:type="dxa"/>
            <w:vAlign w:val="bottom"/>
            <w:tcBorders>
              <w:right w:val="single" w:sz="8" w:color="B8CCE4"/>
            </w:tcBorders>
          </w:tcPr>
          <w:p>
            <w:pPr>
              <w:spacing w:after="0"/>
              <w:rPr>
                <w:sz w:val="14"/>
                <w:szCs w:val="14"/>
                <w:color w:val="auto"/>
              </w:rPr>
            </w:pPr>
          </w:p>
        </w:tc>
        <w:tc>
          <w:tcPr>
            <w:tcW w:w="138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w w:val="99"/>
              </w:rPr>
              <w:t>Mar. 31,</w:t>
            </w:r>
          </w:p>
        </w:tc>
        <w:tc>
          <w:tcPr>
            <w:tcW w:w="220" w:type="dxa"/>
            <w:vAlign w:val="bottom"/>
          </w:tcPr>
          <w:p>
            <w:pPr>
              <w:spacing w:after="0"/>
              <w:rPr>
                <w:sz w:val="14"/>
                <w:szCs w:val="14"/>
                <w:color w:val="auto"/>
              </w:rPr>
            </w:pPr>
          </w:p>
        </w:tc>
        <w:tc>
          <w:tcPr>
            <w:tcW w:w="1160" w:type="dxa"/>
            <w:vAlign w:val="bottom"/>
            <w:tcBorders>
              <w:right w:val="single" w:sz="8" w:color="B8CCE4"/>
            </w:tcBorders>
          </w:tcPr>
          <w:p>
            <w:pPr>
              <w:jc w:val="right"/>
              <w:ind w:right="355"/>
              <w:spacing w:after="0"/>
              <w:rPr>
                <w:sz w:val="20"/>
                <w:szCs w:val="20"/>
                <w:color w:val="auto"/>
              </w:rPr>
            </w:pPr>
            <w:r>
              <w:rPr>
                <w:rFonts w:ascii="Arial" w:cs="Arial" w:eastAsia="Arial" w:hAnsi="Arial"/>
                <w:sz w:val="14"/>
                <w:szCs w:val="14"/>
                <w:b w:val="1"/>
                <w:bCs w:val="1"/>
                <w:color w:val="auto"/>
              </w:rPr>
              <w:t>Jun. 30,</w:t>
            </w:r>
          </w:p>
        </w:tc>
        <w:tc>
          <w:tcPr>
            <w:tcW w:w="126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Sequential</w:t>
            </w:r>
          </w:p>
        </w:tc>
        <w:tc>
          <w:tcPr>
            <w:tcW w:w="1240" w:type="dxa"/>
            <w:vAlign w:val="bottom"/>
            <w:tcBorders>
              <w:right w:val="single" w:sz="8" w:color="B8CCE4"/>
            </w:tcBorders>
            <w:vMerge w:val="restart"/>
          </w:tcPr>
          <w:p>
            <w:pPr>
              <w:jc w:val="center"/>
              <w:spacing w:after="0"/>
              <w:rPr>
                <w:sz w:val="20"/>
                <w:szCs w:val="20"/>
                <w:color w:val="auto"/>
              </w:rPr>
            </w:pPr>
            <w:r>
              <w:rPr>
                <w:rFonts w:ascii="Arial" w:cs="Arial" w:eastAsia="Arial" w:hAnsi="Arial"/>
                <w:sz w:val="14"/>
                <w:szCs w:val="14"/>
                <w:b w:val="1"/>
                <w:bCs w:val="1"/>
                <w:color w:val="auto"/>
              </w:rPr>
              <w:t>Year-over-Year</w:t>
            </w:r>
          </w:p>
        </w:tc>
        <w:tc>
          <w:tcPr>
            <w:tcW w:w="0" w:type="dxa"/>
            <w:vAlign w:val="bottom"/>
          </w:tcPr>
          <w:p>
            <w:pPr>
              <w:spacing w:after="0"/>
              <w:rPr>
                <w:sz w:val="1"/>
                <w:szCs w:val="1"/>
                <w:color w:val="auto"/>
              </w:rPr>
            </w:pPr>
          </w:p>
        </w:tc>
      </w:tr>
      <w:tr>
        <w:trPr>
          <w:trHeight w:val="162"/>
        </w:trPr>
        <w:tc>
          <w:tcPr>
            <w:tcW w:w="4560" w:type="dxa"/>
            <w:vAlign w:val="bottom"/>
            <w:tcBorders>
              <w:left w:val="single" w:sz="8" w:color="B8CCE4"/>
              <w:bottom w:val="single" w:sz="8" w:color="B8CCE4"/>
              <w:right w:val="single" w:sz="8" w:color="B8CCE4"/>
            </w:tcBorders>
          </w:tcPr>
          <w:p>
            <w:pPr>
              <w:spacing w:after="0"/>
              <w:rPr>
                <w:sz w:val="14"/>
                <w:szCs w:val="14"/>
                <w:color w:val="auto"/>
              </w:rPr>
            </w:pPr>
          </w:p>
        </w:tc>
        <w:tc>
          <w:tcPr>
            <w:tcW w:w="1340" w:type="dxa"/>
            <w:vAlign w:val="bottom"/>
            <w:tcBorders>
              <w:bottom w:val="single" w:sz="8" w:color="B8CCE4"/>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B8CCE4"/>
              <w:right w:val="single" w:sz="8" w:color="B8CCE4"/>
            </w:tcBorders>
          </w:tcPr>
          <w:p>
            <w:pPr>
              <w:spacing w:after="0"/>
              <w:rPr>
                <w:sz w:val="14"/>
                <w:szCs w:val="14"/>
                <w:color w:val="auto"/>
              </w:rPr>
            </w:pPr>
          </w:p>
        </w:tc>
        <w:tc>
          <w:tcPr>
            <w:tcW w:w="13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B8CCE4"/>
            </w:tcBorders>
          </w:tcPr>
          <w:p>
            <w:pPr>
              <w:spacing w:after="0"/>
              <w:rPr>
                <w:sz w:val="14"/>
                <w:szCs w:val="14"/>
                <w:color w:val="auto"/>
              </w:rPr>
            </w:pPr>
          </w:p>
        </w:tc>
        <w:tc>
          <w:tcPr>
            <w:tcW w:w="1160" w:type="dxa"/>
            <w:vAlign w:val="bottom"/>
            <w:tcBorders>
              <w:bottom w:val="single" w:sz="8" w:color="B8CCE4"/>
              <w:right w:val="single" w:sz="8" w:color="B8CCE4"/>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B8CCE4"/>
              <w:right w:val="single" w:sz="8" w:color="B8CCE4"/>
            </w:tcBorders>
            <w:vMerge w:val="continue"/>
          </w:tcPr>
          <w:p>
            <w:pPr>
              <w:spacing w:after="0"/>
              <w:rPr>
                <w:sz w:val="14"/>
                <w:szCs w:val="14"/>
                <w:color w:val="auto"/>
              </w:rPr>
            </w:pPr>
          </w:p>
        </w:tc>
        <w:tc>
          <w:tcPr>
            <w:tcW w:w="1240" w:type="dxa"/>
            <w:vAlign w:val="bottom"/>
            <w:tcBorders>
              <w:bottom w:val="single" w:sz="8" w:color="B8CCE4"/>
              <w:right w:val="single" w:sz="8" w:color="B8CCE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Revenue</w:t>
            </w:r>
          </w:p>
        </w:tc>
        <w:tc>
          <w:tcPr>
            <w:tcW w:w="13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$274.5</w:t>
            </w:r>
          </w:p>
        </w:tc>
        <w:tc>
          <w:tcPr>
            <w:tcW w:w="40" w:type="dxa"/>
            <w:vAlign w:val="bottom"/>
            <w:tcBorders>
              <w:bottom w:val="single" w:sz="8" w:color="B8CCE4"/>
              <w:right w:val="single" w:sz="8" w:color="B8CCE4"/>
            </w:tcBorders>
          </w:tcPr>
          <w:p>
            <w:pPr>
              <w:spacing w:after="0"/>
              <w:rPr>
                <w:sz w:val="19"/>
                <w:szCs w:val="19"/>
                <w:color w:val="auto"/>
              </w:rPr>
            </w:pP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Borders>
              <w:bottom w:val="single" w:sz="8" w:color="B8CCE4"/>
            </w:tcBorders>
          </w:tcPr>
          <w:p>
            <w:pPr>
              <w:spacing w:after="0"/>
              <w:rPr>
                <w:sz w:val="19"/>
                <w:szCs w:val="19"/>
                <w:color w:val="auto"/>
              </w:rPr>
            </w:pPr>
          </w:p>
        </w:tc>
        <w:tc>
          <w:tcPr>
            <w:tcW w:w="1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$241.7</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11.8%</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456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13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$12.9</w:t>
            </w:r>
          </w:p>
        </w:tc>
        <w:tc>
          <w:tcPr>
            <w:tcW w:w="40" w:type="dxa"/>
            <w:vAlign w:val="bottom"/>
            <w:tcBorders>
              <w:bottom w:val="single" w:sz="8" w:color="B8CCE4"/>
              <w:right w:val="single" w:sz="8" w:color="B8CCE4"/>
            </w:tcBorders>
          </w:tcPr>
          <w:p>
            <w:pPr>
              <w:spacing w:after="0"/>
              <w:rPr>
                <w:sz w:val="19"/>
                <w:szCs w:val="19"/>
                <w:color w:val="auto"/>
              </w:rPr>
            </w:pP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$8.2</w:t>
            </w:r>
          </w:p>
        </w:tc>
        <w:tc>
          <w:tcPr>
            <w:tcW w:w="220" w:type="dxa"/>
            <w:vAlign w:val="bottom"/>
            <w:tcBorders>
              <w:bottom w:val="single" w:sz="8" w:color="B8CCE4"/>
            </w:tcBorders>
          </w:tcPr>
          <w:p>
            <w:pPr>
              <w:spacing w:after="0"/>
              <w:rPr>
                <w:sz w:val="19"/>
                <w:szCs w:val="19"/>
                <w:color w:val="auto"/>
              </w:rPr>
            </w:pPr>
          </w:p>
        </w:tc>
        <w:tc>
          <w:tcPr>
            <w:tcW w:w="1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$(13.4)</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57.3%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23"/>
        </w:trPr>
        <w:tc>
          <w:tcPr>
            <w:tcW w:w="456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$30.2</w:t>
            </w:r>
          </w:p>
        </w:tc>
        <w:tc>
          <w:tcPr>
            <w:tcW w:w="40" w:type="dxa"/>
            <w:vAlign w:val="bottom"/>
            <w:tcBorders>
              <w:bottom w:val="single" w:sz="8" w:color="B8CCE4"/>
              <w:right w:val="single" w:sz="8" w:color="B8CCE4"/>
            </w:tcBorders>
          </w:tcPr>
          <w:p>
            <w:pPr>
              <w:spacing w:after="0"/>
              <w:rPr>
                <w:sz w:val="19"/>
                <w:szCs w:val="19"/>
                <w:color w:val="auto"/>
              </w:rPr>
            </w:pP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B8CCE4"/>
            </w:tcBorders>
          </w:tcPr>
          <w:p>
            <w:pPr>
              <w:spacing w:after="0"/>
              <w:rPr>
                <w:sz w:val="19"/>
                <w:szCs w:val="19"/>
                <w:color w:val="auto"/>
              </w:rPr>
            </w:pPr>
          </w:p>
        </w:tc>
        <w:tc>
          <w:tcPr>
            <w:tcW w:w="1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$8.3</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12.3%</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263.9%</w:t>
            </w:r>
          </w:p>
        </w:tc>
        <w:tc>
          <w:tcPr>
            <w:tcW w:w="0" w:type="dxa"/>
            <w:vAlign w:val="bottom"/>
          </w:tcPr>
          <w:p>
            <w:pPr>
              <w:spacing w:after="0"/>
              <w:rPr>
                <w:sz w:val="1"/>
                <w:szCs w:val="1"/>
                <w:color w:val="auto"/>
              </w:rPr>
            </w:pPr>
          </w:p>
        </w:tc>
      </w:tr>
      <w:tr>
        <w:trPr>
          <w:trHeight w:val="223"/>
        </w:trPr>
        <w:tc>
          <w:tcPr>
            <w:tcW w:w="456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3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11.0 %</w:t>
            </w:r>
          </w:p>
        </w:tc>
        <w:tc>
          <w:tcPr>
            <w:tcW w:w="40" w:type="dxa"/>
            <w:vAlign w:val="bottom"/>
            <w:tcBorders>
              <w:bottom w:val="single" w:sz="8" w:color="B8CCE4"/>
              <w:right w:val="single" w:sz="8" w:color="B8CCE4"/>
            </w:tcBorders>
          </w:tcPr>
          <w:p>
            <w:pPr>
              <w:spacing w:after="0"/>
              <w:rPr>
                <w:sz w:val="19"/>
                <w:szCs w:val="19"/>
                <w:color w:val="auto"/>
              </w:rPr>
            </w:pP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11.0 %</w:t>
            </w:r>
          </w:p>
        </w:tc>
        <w:tc>
          <w:tcPr>
            <w:tcW w:w="220" w:type="dxa"/>
            <w:vAlign w:val="bottom"/>
            <w:tcBorders>
              <w:bottom w:val="single" w:sz="8" w:color="B8CCE4"/>
            </w:tcBorders>
          </w:tcPr>
          <w:p>
            <w:pPr>
              <w:spacing w:after="0"/>
              <w:rPr>
                <w:sz w:val="19"/>
                <w:szCs w:val="19"/>
                <w:color w:val="auto"/>
              </w:rPr>
            </w:pPr>
          </w:p>
        </w:tc>
        <w:tc>
          <w:tcPr>
            <w:tcW w:w="1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3.4 %</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0 bps</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9"/>
              </w:rPr>
              <w:t>760 bps</w:t>
            </w:r>
          </w:p>
        </w:tc>
        <w:tc>
          <w:tcPr>
            <w:tcW w:w="0" w:type="dxa"/>
            <w:vAlign w:val="bottom"/>
          </w:tcPr>
          <w:p>
            <w:pPr>
              <w:spacing w:after="0"/>
              <w:rPr>
                <w:sz w:val="1"/>
                <w:szCs w:val="1"/>
                <w:color w:val="auto"/>
              </w:rPr>
            </w:pPr>
          </w:p>
        </w:tc>
      </w:tr>
      <w:tr>
        <w:trPr>
          <w:trHeight w:val="250"/>
        </w:trPr>
        <w:tc>
          <w:tcPr>
            <w:tcW w:w="4560" w:type="dxa"/>
            <w:vAlign w:val="bottom"/>
            <w:tcBorders>
              <w:left w:val="single" w:sz="8" w:color="B8CCE4"/>
              <w:bottom w:val="single" w:sz="8" w:color="B8CCE4"/>
            </w:tcBorders>
          </w:tcPr>
          <w:p>
            <w:pPr>
              <w:spacing w:after="0"/>
              <w:rPr>
                <w:sz w:val="21"/>
                <w:szCs w:val="21"/>
                <w:color w:val="auto"/>
              </w:rPr>
            </w:pPr>
          </w:p>
        </w:tc>
        <w:tc>
          <w:tcPr>
            <w:tcW w:w="1340" w:type="dxa"/>
            <w:vAlign w:val="bottom"/>
            <w:tcBorders>
              <w:bottom w:val="single" w:sz="8" w:color="B8CCE4"/>
            </w:tcBorders>
          </w:tcPr>
          <w:p>
            <w:pPr>
              <w:spacing w:after="0"/>
              <w:rPr>
                <w:sz w:val="21"/>
                <w:szCs w:val="21"/>
                <w:color w:val="auto"/>
              </w:rPr>
            </w:pPr>
          </w:p>
        </w:tc>
        <w:tc>
          <w:tcPr>
            <w:tcW w:w="40" w:type="dxa"/>
            <w:vAlign w:val="bottom"/>
            <w:tcBorders>
              <w:bottom w:val="single" w:sz="8" w:color="B8CCE4"/>
            </w:tcBorders>
          </w:tcPr>
          <w:p>
            <w:pPr>
              <w:spacing w:after="0"/>
              <w:rPr>
                <w:sz w:val="21"/>
                <w:szCs w:val="21"/>
                <w:color w:val="auto"/>
              </w:rPr>
            </w:pPr>
          </w:p>
        </w:tc>
        <w:tc>
          <w:tcPr>
            <w:tcW w:w="1380" w:type="dxa"/>
            <w:vAlign w:val="bottom"/>
            <w:tcBorders>
              <w:bottom w:val="single" w:sz="8" w:color="B8CCE4"/>
            </w:tcBorders>
          </w:tcPr>
          <w:p>
            <w:pPr>
              <w:spacing w:after="0"/>
              <w:rPr>
                <w:sz w:val="21"/>
                <w:szCs w:val="21"/>
                <w:color w:val="auto"/>
              </w:rPr>
            </w:pPr>
          </w:p>
        </w:tc>
        <w:tc>
          <w:tcPr>
            <w:tcW w:w="220" w:type="dxa"/>
            <w:vAlign w:val="bottom"/>
            <w:tcBorders>
              <w:bottom w:val="single" w:sz="8" w:color="B8CCE4"/>
            </w:tcBorders>
          </w:tcPr>
          <w:p>
            <w:pPr>
              <w:spacing w:after="0"/>
              <w:rPr>
                <w:sz w:val="21"/>
                <w:szCs w:val="21"/>
                <w:color w:val="auto"/>
              </w:rPr>
            </w:pPr>
          </w:p>
        </w:tc>
        <w:tc>
          <w:tcPr>
            <w:tcW w:w="1160" w:type="dxa"/>
            <w:vAlign w:val="bottom"/>
            <w:tcBorders>
              <w:bottom w:val="single" w:sz="8" w:color="B8CCE4"/>
            </w:tcBorders>
          </w:tcPr>
          <w:p>
            <w:pPr>
              <w:spacing w:after="0"/>
              <w:rPr>
                <w:sz w:val="21"/>
                <w:szCs w:val="21"/>
                <w:color w:val="auto"/>
              </w:rPr>
            </w:pPr>
          </w:p>
        </w:tc>
        <w:tc>
          <w:tcPr>
            <w:tcW w:w="1260" w:type="dxa"/>
            <w:vAlign w:val="bottom"/>
            <w:tcBorders>
              <w:bottom w:val="single" w:sz="8" w:color="B8CCE4"/>
            </w:tcBorders>
          </w:tcPr>
          <w:p>
            <w:pPr>
              <w:spacing w:after="0"/>
              <w:rPr>
                <w:sz w:val="21"/>
                <w:szCs w:val="21"/>
                <w:color w:val="auto"/>
              </w:rPr>
            </w:pPr>
          </w:p>
        </w:tc>
        <w:tc>
          <w:tcPr>
            <w:tcW w:w="1240" w:type="dxa"/>
            <w:vAlign w:val="bottom"/>
            <w:tcBorders>
              <w:bottom w:val="single" w:sz="8" w:color="B8CCE4"/>
              <w:right w:val="single" w:sz="8" w:color="B8CCE4"/>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6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Inbound orders</w:t>
            </w:r>
          </w:p>
        </w:tc>
        <w:tc>
          <w:tcPr>
            <w:tcW w:w="13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$268.2</w:t>
            </w:r>
          </w:p>
        </w:tc>
        <w:tc>
          <w:tcPr>
            <w:tcW w:w="40" w:type="dxa"/>
            <w:vAlign w:val="bottom"/>
            <w:tcBorders>
              <w:bottom w:val="single" w:sz="8" w:color="B8CCE4"/>
              <w:right w:val="single" w:sz="8" w:color="B8CCE4"/>
            </w:tcBorders>
          </w:tcPr>
          <w:p>
            <w:pPr>
              <w:spacing w:after="0"/>
              <w:rPr>
                <w:sz w:val="19"/>
                <w:szCs w:val="19"/>
                <w:color w:val="auto"/>
              </w:rPr>
            </w:pP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B8CCE4"/>
            </w:tcBorders>
          </w:tcPr>
          <w:p>
            <w:pPr>
              <w:spacing w:after="0"/>
              <w:rPr>
                <w:sz w:val="19"/>
                <w:szCs w:val="19"/>
                <w:color w:val="auto"/>
              </w:rPr>
            </w:pPr>
          </w:p>
        </w:tc>
        <w:tc>
          <w:tcPr>
            <w:tcW w:w="1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$187.1</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31.9%</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560" w:type="dxa"/>
            <w:vAlign w:val="bottom"/>
            <w:tcBorders>
              <w:left w:val="single" w:sz="8" w:color="B8CCE4"/>
              <w:bottom w:val="single" w:sz="8" w:color="B8CCE4"/>
              <w:right w:val="single" w:sz="8" w:color="B8CCE4"/>
            </w:tcBorders>
          </w:tcPr>
          <w:p>
            <w:pPr>
              <w:ind w:left="20"/>
              <w:spacing w:after="0"/>
              <w:rPr>
                <w:sz w:val="20"/>
                <w:szCs w:val="20"/>
                <w:color w:val="auto"/>
              </w:rPr>
            </w:pPr>
            <w:r>
              <w:rPr>
                <w:rFonts w:ascii="Arial" w:cs="Arial" w:eastAsia="Arial" w:hAnsi="Arial"/>
                <w:sz w:val="18"/>
                <w:szCs w:val="18"/>
                <w:b w:val="1"/>
                <w:bCs w:val="1"/>
                <w:color w:val="auto"/>
              </w:rPr>
              <w:t>Backlog</w:t>
            </w:r>
          </w:p>
        </w:tc>
        <w:tc>
          <w:tcPr>
            <w:tcW w:w="1340" w:type="dxa"/>
            <w:vAlign w:val="bottom"/>
            <w:tcBorders>
              <w:bottom w:val="single" w:sz="8" w:color="B8CCE4"/>
            </w:tcBorders>
          </w:tcPr>
          <w:p>
            <w:pPr>
              <w:jc w:val="right"/>
              <w:spacing w:after="0"/>
              <w:rPr>
                <w:sz w:val="20"/>
                <w:szCs w:val="20"/>
                <w:color w:val="auto"/>
              </w:rPr>
            </w:pPr>
            <w:r>
              <w:rPr>
                <w:rFonts w:ascii="Arial" w:cs="Arial" w:eastAsia="Arial" w:hAnsi="Arial"/>
                <w:sz w:val="18"/>
                <w:szCs w:val="18"/>
                <w:color w:val="auto"/>
              </w:rPr>
              <w:t>$360.4</w:t>
            </w:r>
          </w:p>
        </w:tc>
        <w:tc>
          <w:tcPr>
            <w:tcW w:w="40" w:type="dxa"/>
            <w:vAlign w:val="bottom"/>
            <w:tcBorders>
              <w:bottom w:val="single" w:sz="8" w:color="B8CCE4"/>
              <w:right w:val="single" w:sz="8" w:color="B8CCE4"/>
            </w:tcBorders>
          </w:tcPr>
          <w:p>
            <w:pPr>
              <w:spacing w:after="0"/>
              <w:rPr>
                <w:sz w:val="19"/>
                <w:szCs w:val="19"/>
                <w:color w:val="auto"/>
              </w:rPr>
            </w:pPr>
          </w:p>
        </w:tc>
        <w:tc>
          <w:tcPr>
            <w:tcW w:w="1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$364.3</w:t>
            </w:r>
          </w:p>
        </w:tc>
        <w:tc>
          <w:tcPr>
            <w:tcW w:w="220" w:type="dxa"/>
            <w:vAlign w:val="bottom"/>
            <w:tcBorders>
              <w:bottom w:val="single" w:sz="8" w:color="B8CCE4"/>
            </w:tcBorders>
          </w:tcPr>
          <w:p>
            <w:pPr>
              <w:spacing w:after="0"/>
              <w:rPr>
                <w:sz w:val="19"/>
                <w:szCs w:val="19"/>
                <w:color w:val="auto"/>
              </w:rPr>
            </w:pPr>
          </w:p>
        </w:tc>
        <w:tc>
          <w:tcPr>
            <w:tcW w:w="116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18"/>
                <w:szCs w:val="18"/>
                <w:color w:val="auto"/>
              </w:rPr>
              <w:t>$385.9</w:t>
            </w:r>
          </w:p>
        </w:tc>
        <w:tc>
          <w:tcPr>
            <w:tcW w:w="12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(1.1%)</w:t>
            </w:r>
          </w:p>
        </w:tc>
        <w:tc>
          <w:tcPr>
            <w:tcW w:w="124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8"/>
                <w:szCs w:val="18"/>
                <w:color w:val="auto"/>
                <w:w w:val="98"/>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Surface Technologies reported second quarter revenue of $274.5 million, an increase of 11.8 percent from the first quarter. The sequential increase was primarily driven by higher activity in North America, increased international services and strong project execution. The Company also benefited from further adoption of its iComplete™ ecosystem.</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Surface Technologies reported operating profit of $12.9 million. Operating profit increased sequentially primarily due to lower charges and higher sales volume.</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Surface Technologies reported adjusted EBITDA of $30.2 million. Adjusted EBITDA increased 12.3 percent when compared to the first quarter, driven by higher sales volume. Adjusted EBITDA margin was unchanged at 11 percent.</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Inbound orders for the quarter were $268.2 million, an increase of 31.9 percent sequentially driven by the Middle East, including</w:t>
      </w:r>
    </w:p>
    <w:p>
      <w:pPr>
        <w:spacing w:after="0" w:line="11"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Saudi Arabia, United Arab Emirates, Bahrain and Qatar, as well as the North Sea and North America. Book-to-bill improved to 1.0 in the period.</w:t>
      </w:r>
    </w:p>
    <w:p>
      <w:pPr>
        <w:spacing w:after="0" w:line="15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Backlog ended the period at $360.4 million. 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6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 xml:space="preserve">Corporate and Other Items </w:t>
      </w:r>
      <w:r>
        <w:rPr>
          <w:rFonts w:ascii="Arial" w:cs="Arial" w:eastAsia="Arial" w:hAnsi="Arial"/>
          <w:sz w:val="20"/>
          <w:szCs w:val="20"/>
          <w:color w:val="auto"/>
        </w:rPr>
        <w:t>(three months ended, June 30, 2021)</w:t>
      </w:r>
      <w:r>
        <w:rPr>
          <w:rFonts w:ascii="Arial" w:cs="Arial" w:eastAsia="Arial" w:hAnsi="Arial"/>
          <w:sz w:val="20"/>
          <w:szCs w:val="20"/>
          <w:b w:val="1"/>
          <w:bCs w:val="1"/>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Corporate expense was $30.3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loss was $10.7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Net interest expense was $35.2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recorded a tax provision of $34.9 million.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Total depreciation and amortization was $98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Cash required by operating activities from continuing operations was $85.9 million. Capital expenditures were $39.7 million.</w:t>
      </w:r>
    </w:p>
    <w:p>
      <w:pPr>
        <w:spacing w:after="0"/>
        <w:rPr>
          <w:sz w:val="20"/>
          <w:szCs w:val="20"/>
          <w:color w:val="auto"/>
        </w:rPr>
      </w:pPr>
      <w:r>
        <w:rPr>
          <w:rFonts w:ascii="Arial" w:cs="Arial" w:eastAsia="Arial" w:hAnsi="Arial"/>
          <w:sz w:val="20"/>
          <w:szCs w:val="20"/>
          <w:color w:val="auto"/>
        </w:rPr>
        <w:t>Free cash flow from continuing operations was $(125.6) million (Exhibit 11).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Company ended the period with cash and cash equivalents of $854.9 million; net debt was $1,623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Company completed the partial spin-off of Technip Energies on February 16, 2021. Financial results for Technip Energies are reported as discontinued operations. The Company’s investment in Technip Energies is reflected in current assets at market value.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recognized a loss in the second quarter of $146.8 million from its equity ownership in Technip Energies. The loss was primarily related to the change in market value in the period.</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April 27, 2021, the Company sold 26.8 million shares from its retained stake in Technip Energies for proceeds of $358.1 million. As of June 30, 2021, the Company’s ownership stake was 55.5 million shares, or approximately 31 percent of Technip Energies’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7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08"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2021 Full-Year Financial Guidance</w:t>
      </w:r>
      <w:r>
        <w:rPr>
          <w:rFonts w:ascii="Arial" w:cs="Arial" w:eastAsia="Arial" w:hAnsi="Arial"/>
          <w:sz w:val="25"/>
          <w:szCs w:val="25"/>
          <w:b w:val="1"/>
          <w:bCs w:val="1"/>
          <w:color w:val="auto"/>
          <w:vertAlign w:val="superscript"/>
        </w:rPr>
        <w:t>1</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The Company’s full-year guidance for 2021 can be found in the table below.</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Updates to the Company’s full-year guidance for 2021 are as follows:</w:t>
      </w:r>
    </w:p>
    <w:p>
      <w:pPr>
        <w:spacing w:after="0" w:line="81"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Subsea revenue in a range of $5.2 - 5.5 billion, which increased from the previous guidance range of $5.0 - 5.4 billion.</w:t>
      </w:r>
    </w:p>
    <w:p>
      <w:pPr>
        <w:spacing w:after="0" w:line="107"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Surface Technologies EBITDA margin in a range of 10 - 12% (excluding charges and credits), which increased from the previous guidance range of 8 - 11%.</w:t>
      </w:r>
    </w:p>
    <w:p>
      <w:pPr>
        <w:spacing w:after="0" w:line="163"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interest expense in a range of $135 - 140 million, which increased from the previous guidance range of $130 - 135 million.</w:t>
      </w:r>
    </w:p>
    <w:p>
      <w:pPr>
        <w:spacing w:after="0" w:line="163"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Tax provision, as reported, in a range of $85 - 95 million, which increased from the previous guidance range of $70 - 80 million.</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All segment guidance assumes no further material degradation from COVID-19-related impacts. Guidance is based on continuing operations and thus excludes the impact of Technip Energies, which is reported as discontinued operations.</w:t>
      </w:r>
    </w:p>
    <w:p>
      <w:pPr>
        <w:spacing w:after="0" w:line="369"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 xml:space="preserve">2021 Guidance </w:t>
      </w:r>
      <w:r>
        <w:rPr>
          <w:rFonts w:ascii="Arial" w:cs="Arial" w:eastAsia="Arial" w:hAnsi="Arial"/>
          <w:sz w:val="16"/>
          <w:szCs w:val="16"/>
          <w:b w:val="1"/>
          <w:bCs w:val="1"/>
          <w:i w:val="1"/>
          <w:iCs w:val="1"/>
          <w:color w:val="auto"/>
        </w:rPr>
        <w:t>*Updated July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2147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14745" cy="171450"/>
                    </a:xfrm>
                    <a:prstGeom prst="rect">
                      <a:avLst/>
                    </a:prstGeom>
                    <a:noFill/>
                  </pic:spPr>
                </pic:pic>
              </a:graphicData>
            </a:graphic>
          </wp:anchor>
        </w:drawing>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140" w:type="dxa"/>
            <w:vAlign w:val="bottom"/>
            <w:tcBorders>
              <w:top w:val="single" w:sz="8" w:color="auto"/>
              <w:left w:val="single" w:sz="8" w:color="auto"/>
              <w:bottom w:val="single" w:sz="8" w:color="auto"/>
            </w:tcBorders>
            <w:shd w:val="clear" w:color="auto" w:fill="00A3E0"/>
          </w:tcPr>
          <w:p>
            <w:pPr>
              <w:ind w:left="1980"/>
              <w:spacing w:after="0"/>
              <w:rPr>
                <w:sz w:val="20"/>
                <w:szCs w:val="20"/>
                <w:color w:val="auto"/>
              </w:rPr>
            </w:pPr>
            <w:r>
              <w:rPr>
                <w:rFonts w:ascii="Arial" w:cs="Arial" w:eastAsia="Arial" w:hAnsi="Arial"/>
                <w:sz w:val="20"/>
                <w:szCs w:val="20"/>
                <w:b w:val="1"/>
                <w:bCs w:val="1"/>
                <w:color w:val="FFFFFF"/>
              </w:rPr>
              <w:t>Subsea</w:t>
            </w:r>
          </w:p>
        </w:tc>
        <w:tc>
          <w:tcPr>
            <w:tcW w:w="520" w:type="dxa"/>
            <w:vAlign w:val="bottom"/>
            <w:tcBorders>
              <w:top w:val="single" w:sz="8" w:color="auto"/>
              <w:bottom w:val="single" w:sz="8" w:color="auto"/>
              <w:right w:val="single" w:sz="8" w:color="auto"/>
            </w:tcBorders>
            <w:shd w:val="clear" w:color="auto" w:fill="00A3E0"/>
          </w:tcPr>
          <w:p>
            <w:pPr>
              <w:spacing w:after="0"/>
              <w:rPr>
                <w:sz w:val="22"/>
                <w:szCs w:val="22"/>
                <w:color w:val="auto"/>
              </w:rPr>
            </w:pPr>
          </w:p>
        </w:tc>
        <w:tc>
          <w:tcPr>
            <w:tcW w:w="140" w:type="dxa"/>
            <w:vAlign w:val="bottom"/>
            <w:tcBorders>
              <w:top w:val="single" w:sz="8" w:color="auto"/>
              <w:right w:val="single" w:sz="8" w:color="auto"/>
            </w:tcBorders>
          </w:tcPr>
          <w:p>
            <w:pPr>
              <w:spacing w:after="0"/>
              <w:rPr>
                <w:sz w:val="22"/>
                <w:szCs w:val="22"/>
                <w:color w:val="auto"/>
              </w:rPr>
            </w:pPr>
          </w:p>
        </w:tc>
        <w:tc>
          <w:tcPr>
            <w:tcW w:w="4980" w:type="dxa"/>
            <w:vAlign w:val="bottom"/>
            <w:tcBorders>
              <w:top w:val="single" w:sz="8" w:color="auto"/>
              <w:bottom w:val="single" w:sz="8" w:color="auto"/>
            </w:tcBorders>
            <w:shd w:val="clear" w:color="auto" w:fill="7F7F7F"/>
          </w:tcPr>
          <w:p>
            <w:pPr>
              <w:ind w:left="1480"/>
              <w:spacing w:after="0"/>
              <w:rPr>
                <w:sz w:val="20"/>
                <w:szCs w:val="20"/>
                <w:color w:val="auto"/>
              </w:rPr>
            </w:pPr>
            <w:r>
              <w:rPr>
                <w:rFonts w:ascii="Arial" w:cs="Arial" w:eastAsia="Arial" w:hAnsi="Arial"/>
                <w:sz w:val="20"/>
                <w:szCs w:val="20"/>
                <w:b w:val="1"/>
                <w:bCs w:val="1"/>
                <w:color w:val="FFFFFF"/>
              </w:rPr>
              <w:t>Surface Technologies</w:t>
            </w:r>
          </w:p>
        </w:tc>
        <w:tc>
          <w:tcPr>
            <w:tcW w:w="20" w:type="dxa"/>
            <w:vAlign w:val="bottom"/>
            <w:tcBorders>
              <w:top w:val="single" w:sz="8" w:color="auto"/>
              <w:bottom w:val="single" w:sz="8" w:color="auto"/>
            </w:tcBorders>
            <w:shd w:val="clear" w:color="auto" w:fill="000000"/>
          </w:tcPr>
          <w:p>
            <w:pPr>
              <w:spacing w:after="0"/>
              <w:rPr>
                <w:sz w:val="22"/>
                <w:szCs w:val="22"/>
                <w:color w:val="auto"/>
              </w:rPr>
            </w:pPr>
          </w:p>
        </w:tc>
      </w:tr>
      <w:tr>
        <w:trPr>
          <w:trHeight w:val="223"/>
        </w:trPr>
        <w:tc>
          <w:tcPr>
            <w:tcW w:w="41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Revenue in a range of $5.2 - 5.5 billion*</w:t>
            </w:r>
          </w:p>
        </w:tc>
        <w:tc>
          <w:tcPr>
            <w:tcW w:w="52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Revenue in a range of $1,050 - 1,250 million</w:t>
            </w:r>
          </w:p>
        </w:tc>
        <w:tc>
          <w:tcPr>
            <w:tcW w:w="20" w:type="dxa"/>
            <w:vAlign w:val="bottom"/>
            <w:shd w:val="clear" w:color="auto" w:fill="000000"/>
          </w:tcPr>
          <w:p>
            <w:pPr>
              <w:spacing w:after="0"/>
              <w:rPr>
                <w:sz w:val="19"/>
                <w:szCs w:val="19"/>
                <w:color w:val="auto"/>
              </w:rPr>
            </w:pPr>
          </w:p>
        </w:tc>
      </w:tr>
      <w:tr>
        <w:trPr>
          <w:trHeight w:val="242"/>
        </w:trPr>
        <w:tc>
          <w:tcPr>
            <w:tcW w:w="41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EBITDA margin in a range of 10 - 11% (excluding</w:t>
            </w:r>
          </w:p>
        </w:tc>
        <w:tc>
          <w:tcPr>
            <w:tcW w:w="52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EBITDA margin in a range of 10 - 12%* (excluding charges</w:t>
            </w:r>
          </w:p>
        </w:tc>
        <w:tc>
          <w:tcPr>
            <w:tcW w:w="20" w:type="dxa"/>
            <w:vAlign w:val="bottom"/>
            <w:shd w:val="clear" w:color="auto" w:fill="000000"/>
          </w:tcPr>
          <w:p>
            <w:pPr>
              <w:spacing w:after="0"/>
              <w:rPr>
                <w:sz w:val="21"/>
                <w:szCs w:val="21"/>
                <w:color w:val="auto"/>
              </w:rPr>
            </w:pPr>
          </w:p>
        </w:tc>
      </w:tr>
      <w:tr>
        <w:trPr>
          <w:trHeight w:val="217"/>
        </w:trPr>
        <w:tc>
          <w:tcPr>
            <w:tcW w:w="41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charges and credits)</w:t>
            </w:r>
          </w:p>
        </w:tc>
        <w:tc>
          <w:tcPr>
            <w:tcW w:w="52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and credits)</w:t>
            </w:r>
          </w:p>
        </w:tc>
        <w:tc>
          <w:tcPr>
            <w:tcW w:w="20" w:type="dxa"/>
            <w:vAlign w:val="bottom"/>
            <w:tcBorders>
              <w:bottom w:val="single" w:sz="8" w:color="auto"/>
            </w:tcBorders>
            <w:shd w:val="clear" w:color="auto" w:fill="000000"/>
          </w:tcPr>
          <w:p>
            <w:pPr>
              <w:spacing w:after="0"/>
              <w:rPr>
                <w:sz w:val="18"/>
                <w:szCs w:val="18"/>
                <w:color w:val="auto"/>
              </w:rPr>
            </w:pPr>
          </w:p>
        </w:tc>
      </w:tr>
      <w:tr>
        <w:trPr>
          <w:trHeight w:val="250"/>
        </w:trPr>
        <w:tc>
          <w:tcPr>
            <w:tcW w:w="4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6"/>
        </w:trPr>
        <w:tc>
          <w:tcPr>
            <w:tcW w:w="4140" w:type="dxa"/>
            <w:vAlign w:val="bottom"/>
            <w:tcBorders>
              <w:left w:val="single" w:sz="8" w:color="512D6D"/>
              <w:bottom w:val="single" w:sz="8" w:color="auto"/>
            </w:tcBorders>
            <w:shd w:val="clear" w:color="auto" w:fill="512D6D"/>
          </w:tcPr>
          <w:p>
            <w:pPr>
              <w:spacing w:after="0"/>
              <w:rPr>
                <w:sz w:val="20"/>
                <w:szCs w:val="20"/>
                <w:color w:val="auto"/>
              </w:rPr>
            </w:pPr>
          </w:p>
        </w:tc>
        <w:tc>
          <w:tcPr>
            <w:tcW w:w="5640" w:type="dxa"/>
            <w:vAlign w:val="bottom"/>
            <w:tcBorders>
              <w:bottom w:val="single" w:sz="8" w:color="auto"/>
            </w:tcBorders>
            <w:gridSpan w:val="3"/>
            <w:shd w:val="clear" w:color="auto" w:fill="512D6D"/>
          </w:tcPr>
          <w:p>
            <w:pPr>
              <w:ind w:left="180"/>
              <w:spacing w:after="0"/>
              <w:rPr>
                <w:sz w:val="20"/>
                <w:szCs w:val="20"/>
                <w:color w:val="auto"/>
              </w:rPr>
            </w:pPr>
            <w:r>
              <w:rPr>
                <w:rFonts w:ascii="Arial" w:cs="Arial" w:eastAsia="Arial" w:hAnsi="Arial"/>
                <w:sz w:val="20"/>
                <w:szCs w:val="20"/>
                <w:b w:val="1"/>
                <w:bCs w:val="1"/>
                <w:color w:val="FFFFFF"/>
              </w:rPr>
              <w:t>TechnipFMC</w:t>
            </w:r>
          </w:p>
        </w:tc>
        <w:tc>
          <w:tcPr>
            <w:tcW w:w="20" w:type="dxa"/>
            <w:vAlign w:val="bottom"/>
            <w:tcBorders>
              <w:bottom w:val="single" w:sz="8" w:color="auto"/>
            </w:tcBorders>
          </w:tcPr>
          <w:p>
            <w:pPr>
              <w:spacing w:after="0"/>
              <w:rPr>
                <w:sz w:val="20"/>
                <w:szCs w:val="20"/>
                <w:color w:val="auto"/>
              </w:rPr>
            </w:pPr>
          </w:p>
        </w:tc>
      </w:tr>
      <w:tr>
        <w:trPr>
          <w:trHeight w:val="252"/>
        </w:trPr>
        <w:tc>
          <w:tcPr>
            <w:tcW w:w="4140" w:type="dxa"/>
            <w:vAlign w:val="bottom"/>
          </w:tcPr>
          <w:p>
            <w:pPr>
              <w:ind w:left="4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$105 - 115 million</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6214745" cy="1877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14745" cy="18770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i w:val="1"/>
          <w:iCs w:val="1"/>
          <w:color w:val="auto"/>
        </w:rPr>
        <w:t>(includes depreciation and amortization of ~$5 million)</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$135 - 140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Tax provision, as reported* </w:t>
      </w:r>
      <w:r>
        <w:rPr>
          <w:rFonts w:ascii="Arial" w:cs="Arial" w:eastAsia="Arial" w:hAnsi="Arial"/>
          <w:sz w:val="20"/>
          <w:szCs w:val="20"/>
          <w:color w:val="auto"/>
        </w:rPr>
        <w:t>$85 - 95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$250 million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Free cash flow </w:t>
      </w:r>
      <w:r>
        <w:rPr>
          <w:rFonts w:ascii="Arial" w:cs="Arial" w:eastAsia="Arial" w:hAnsi="Arial"/>
          <w:sz w:val="20"/>
          <w:szCs w:val="20"/>
          <w:color w:val="auto"/>
        </w:rPr>
        <w:t>$120 - 220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30" w:lineRule="auto"/>
        <w:tabs>
          <w:tab w:leader="none" w:pos="8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Our guidance measures adjusted EBITDA margin, corporate expense, net, net interest expense and free cash flow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8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08"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Teleconference</w:t>
      </w:r>
    </w:p>
    <w:p>
      <w:pPr>
        <w:spacing w:after="0" w:line="200" w:lineRule="exact"/>
        <w:rPr>
          <w:sz w:val="20"/>
          <w:szCs w:val="20"/>
          <w:color w:val="auto"/>
        </w:rPr>
      </w:pPr>
    </w:p>
    <w:p>
      <w:pPr>
        <w:spacing w:after="0" w:line="24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July 22, 2021 to discuss the second quarter 2021 financial results. The call will begin at 1 p.m. London time (8 a.m. New York time). Webcast access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7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040"/>
        <w:spacing w:after="0"/>
        <w:tabs>
          <w:tab w:leader="none" w:pos="103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9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is a leading technology provider to the traditional and new energy industries; delivering fully integrated projects, products, and services.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808080"/>
        </w:rPr>
        <w:t>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Organized in two business segments — Subsea and Surface Technologies — we will continue to advance the industry with our pioneering integrated ecosystems (such as iEPCI™, iFEED™ and iComplete™), technology leadership and digital innovation.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Each of our approximately 20,000 employees is driven by a commitment to our clients’ success, and a culture of strong execution, purposeful innovation, and challenging industry conventions.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TechnipFMC uses its website as a channel of distribution of material company information. To learn more about how we are driving change in the industry, go to www.TechnipFMC.com and follow us on Twitter @TechnipFMC.</w:t>
      </w:r>
    </w:p>
    <w:p>
      <w:pPr>
        <w:spacing w:after="0" w:line="200" w:lineRule="exact"/>
        <w:rPr>
          <w:sz w:val="20"/>
          <w:szCs w:val="20"/>
          <w:color w:val="auto"/>
        </w:rPr>
      </w:pP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Forward-looking statement usually relate to future events and anticipated revenues, earnings, cash flows, or other aspects of our operations or operating results. Forward-looking statements are often identified by words such as “guidance,” “confident,” “believe,” “expect,” “anticipate,” “plan,” “intend,” “foresee,” “should,” “would,” “could,” “may,” “will,” “likely,” “predicated,”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these forward-looking statements are reasonable as and when made, there can be no assurance that future developments affecting us will be those that we anticipate. All of our forward-looking statements involve risks and uncertainties (some of which are significant or beyond our control) and assumptions that could cause actual results to differ materially from our historical experience and our present expectations or projections, including unpredictable trends in the demand for and price of crude oil and natural gas; competition and unanticipated changes relating to competitive factors in our industry, including ongoing industry consolidation; the COVID-19 pandemic and its impact on the demand for our products and services; our inability to develop, implement and protect new technologies and services; the cumulative loss of major contracts, customers or alliances; disruptions in the political, regulatory, economic and social conditions of the countries in which we conduct business; the refusal of DTC and Euroclear to act as depository and clearing agencies for our shares; the United Kingdom’s withdrawal from the European Union; the impact of our existing and future indebtedness and the restrictions on our operations by terms of the agreements governing our existing indebtedness; the risks caused by our acquisition and divestiture activities; the risks caused by fixed-price contracts; any delays and cost overruns of new capital asset construction projects for vessels and manufacturing facilities; our failure to deliver our backlog; our reliance on subcontractors, suppliers and our joint venture partners; a failure or breach of our IT infrastructure or that of our subcontractors, suppliers or joint venture partners, including as a result of cyber-attacks; the risks of pirates endangering our maritime employees and assets; potential liabilities inherent in the industries in which we operate or have operated; our failure to comply with numerous laws and regulations, including those related to environmental protection, health and safety, labor and employment, import/export controls, currency exchange, bribery and corruption, taxation, privacy, data protection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10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08" w:right="3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277749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7490" cy="531495"/>
                    </a:xfrm>
                    <a:prstGeom prst="rect">
                      <a:avLst/>
                    </a:prstGeom>
                    <a:noFill/>
                  </pic:spPr>
                </pic:pic>
              </a:graphicData>
            </a:graphic>
          </wp:anchor>
        </w:drawing>
        <w:t>security; the additional restrictions on dividend payouts or share repurchases as an English public limited company; uninsured claims and litigation against us, including intellectual property litigation; tax laws, treaties and regulations and any unfavorable findings by relevant tax authorities; the uncertainties related to the anticipated benefits or our future liabilities in connection with the spin-off of Technip Energies (the “Spin-off”); any negative changes in Technip Energies’ results of operations, cash flows and financial position, which impact the value of our remaining investment therein; potential departure of our key managers and employees; adverse seasonable and weather conditions and unfavorable currency exchange rate and risk in connection with our defined benefit pension plan commitments and other risks as discussed in Part I, Item 1A, “Risk Factors” of our Annual Report on Form 10-K for the fiscal year ended December 31, 2020 and Part II, Item 1A, “Risk Factors” of our Quarterly Report on Form 10-Q for the quarterly period ended June 30, 2021.</w:t>
      </w:r>
    </w:p>
    <w:p>
      <w:pPr>
        <w:spacing w:after="0" w:line="3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Contacts</w:t>
      </w:r>
    </w:p>
    <w:p>
      <w:pPr>
        <w:spacing w:after="0" w:line="211" w:lineRule="exact"/>
        <w:rPr>
          <w:sz w:val="20"/>
          <w:szCs w:val="20"/>
          <w:color w:val="auto"/>
        </w:rPr>
      </w:pPr>
    </w:p>
    <w:tbl>
      <w:tblPr>
        <w:tblLayout w:type="fixed"/>
        <w:tblInd w:w="740" w:type="dxa"/>
        <w:tblCellMar>
          <w:top w:w="0" w:type="dxa"/>
          <w:left w:w="0" w:type="dxa"/>
          <w:bottom w:w="0" w:type="dxa"/>
          <w:right w:w="0" w:type="dxa"/>
        </w:tblCellMar>
      </w:tblPr>
      <w:tr>
        <w:trPr>
          <w:trHeight w:val="261"/>
        </w:trPr>
        <w:tc>
          <w:tcPr>
            <w:tcW w:w="382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4520" w:type="dxa"/>
            <w:vAlign w:val="bottom"/>
            <w:gridSpan w:val="4"/>
          </w:tcPr>
          <w:p>
            <w:pPr>
              <w:ind w:left="740"/>
              <w:spacing w:after="0"/>
              <w:rPr>
                <w:sz w:val="20"/>
                <w:szCs w:val="20"/>
                <w:color w:val="auto"/>
              </w:rPr>
            </w:pPr>
            <w:r>
              <w:rPr>
                <w:rFonts w:ascii="Arial" w:cs="Arial" w:eastAsia="Arial" w:hAnsi="Arial"/>
                <w:sz w:val="20"/>
                <w:szCs w:val="20"/>
                <w:b w:val="1"/>
                <w:bCs w:val="1"/>
                <w:color w:val="auto"/>
              </w:rPr>
              <w:t>Media relations</w:t>
            </w:r>
          </w:p>
        </w:tc>
      </w:tr>
      <w:tr>
        <w:trPr>
          <w:trHeight w:val="384"/>
        </w:trPr>
        <w:tc>
          <w:tcPr>
            <w:tcW w:w="382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4520" w:type="dxa"/>
            <w:vAlign w:val="bottom"/>
            <w:gridSpan w:val="4"/>
          </w:tcPr>
          <w:p>
            <w:pPr>
              <w:ind w:left="740"/>
              <w:spacing w:after="0"/>
              <w:rPr>
                <w:sz w:val="20"/>
                <w:szCs w:val="20"/>
                <w:color w:val="auto"/>
              </w:rPr>
            </w:pPr>
            <w:r>
              <w:rPr>
                <w:rFonts w:ascii="Arial" w:cs="Arial" w:eastAsia="Arial" w:hAnsi="Arial"/>
                <w:sz w:val="20"/>
                <w:szCs w:val="20"/>
                <w:color w:val="auto"/>
              </w:rPr>
              <w:t>Nicola Cameron</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Vice President, Investor Relations</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w w:val="98"/>
              </w:rPr>
              <w:t>Vice President, Corporate Communications</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rPr>
              <w:t>Tel: +44 383 742 297</w:t>
            </w:r>
          </w:p>
        </w:tc>
      </w:tr>
      <w:tr>
        <w:trPr>
          <w:trHeight w:val="193"/>
        </w:trPr>
        <w:tc>
          <w:tcPr>
            <w:tcW w:w="382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Matt Seinsheimer</w:t>
            </w:r>
          </w:p>
        </w:tc>
        <w:tc>
          <w:tcPr>
            <w:tcW w:w="4520" w:type="dxa"/>
            <w:vAlign w:val="bottom"/>
            <w:gridSpan w:val="4"/>
          </w:tcPr>
          <w:p>
            <w:pPr>
              <w:ind w:left="74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Nicola Cameron</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08"/>
        </w:trPr>
        <w:tc>
          <w:tcPr>
            <w:tcW w:w="3820" w:type="dxa"/>
            <w:vAlign w:val="bottom"/>
            <w:gridSpan w:val="4"/>
          </w:tcPr>
          <w:p>
            <w:pPr>
              <w:spacing w:after="0"/>
              <w:rPr>
                <w:sz w:val="20"/>
                <w:szCs w:val="20"/>
                <w:color w:val="auto"/>
              </w:rPr>
            </w:pPr>
            <w:r>
              <w:rPr>
                <w:rFonts w:ascii="Arial" w:cs="Arial" w:eastAsia="Arial" w:hAnsi="Arial"/>
                <w:sz w:val="20"/>
                <w:szCs w:val="20"/>
                <w:color w:val="auto"/>
              </w:rPr>
              <w:t>James Davis</w:t>
            </w:r>
          </w:p>
        </w:tc>
        <w:tc>
          <w:tcPr>
            <w:tcW w:w="4520" w:type="dxa"/>
            <w:vAlign w:val="bottom"/>
            <w:gridSpan w:val="4"/>
          </w:tcPr>
          <w:p>
            <w:pPr>
              <w:ind w:left="740"/>
              <w:spacing w:after="0"/>
              <w:rPr>
                <w:sz w:val="20"/>
                <w:szCs w:val="20"/>
                <w:color w:val="auto"/>
              </w:rPr>
            </w:pPr>
            <w:r>
              <w:rPr>
                <w:rFonts w:ascii="Arial" w:cs="Arial" w:eastAsia="Arial" w:hAnsi="Arial"/>
                <w:sz w:val="20"/>
                <w:szCs w:val="20"/>
                <w:color w:val="auto"/>
              </w:rPr>
              <w:t>Catie Tuley</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Senior Manager, Investor Relations</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rPr>
              <w:t>Director, Public Relations</w:t>
            </w:r>
          </w:p>
        </w:tc>
      </w:tr>
      <w:tr>
        <w:trPr>
          <w:trHeight w:val="189"/>
        </w:trPr>
        <w:tc>
          <w:tcPr>
            <w:tcW w:w="3820" w:type="dxa"/>
            <w:vAlign w:val="bottom"/>
            <w:gridSpan w:val="4"/>
          </w:tcPr>
          <w:p>
            <w:pPr>
              <w:spacing w:after="0" w:line="189" w:lineRule="exact"/>
              <w:rPr>
                <w:sz w:val="20"/>
                <w:szCs w:val="20"/>
                <w:color w:val="auto"/>
              </w:rPr>
            </w:pPr>
            <w:r>
              <w:rPr>
                <w:rFonts w:ascii="Arial" w:cs="Arial" w:eastAsia="Arial" w:hAnsi="Arial"/>
                <w:sz w:val="20"/>
                <w:szCs w:val="20"/>
                <w:color w:val="auto"/>
              </w:rPr>
              <w:t>Tel: +1 281 260 3665</w:t>
            </w:r>
          </w:p>
        </w:tc>
        <w:tc>
          <w:tcPr>
            <w:tcW w:w="4520" w:type="dxa"/>
            <w:vAlign w:val="bottom"/>
            <w:gridSpan w:val="4"/>
          </w:tcPr>
          <w:p>
            <w:pPr>
              <w:ind w:left="740"/>
              <w:spacing w:after="0" w:line="189" w:lineRule="exact"/>
              <w:rPr>
                <w:sz w:val="20"/>
                <w:szCs w:val="20"/>
                <w:color w:val="auto"/>
              </w:rPr>
            </w:pPr>
            <w:r>
              <w:rPr>
                <w:rFonts w:ascii="Arial" w:cs="Arial" w:eastAsia="Arial" w:hAnsi="Arial"/>
                <w:sz w:val="20"/>
                <w:szCs w:val="20"/>
                <w:color w:val="auto"/>
              </w:rPr>
              <w:t>Tel: +1 281 591 5405</w:t>
            </w:r>
          </w:p>
        </w:tc>
      </w:tr>
      <w:tr>
        <w:trPr>
          <w:trHeight w:val="193"/>
        </w:trPr>
        <w:tc>
          <w:tcPr>
            <w:tcW w:w="382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James Davis</w:t>
            </w:r>
          </w:p>
        </w:tc>
        <w:tc>
          <w:tcPr>
            <w:tcW w:w="4520" w:type="dxa"/>
            <w:vAlign w:val="bottom"/>
            <w:gridSpan w:val="4"/>
          </w:tcPr>
          <w:p>
            <w:pPr>
              <w:ind w:left="74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3051F2"/>
              </w:rPr>
              <w:t>Catie Tuley</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3051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shd w:val="clear" w:color="auto" w:fill="3051F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11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417"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93"/>
              </w:rPr>
              <w:t>(Unaudited)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5"/>
                <w:szCs w:val="15"/>
                <w:b w:val="1"/>
                <w:bCs w:val="1"/>
                <w:color w:val="auto"/>
              </w:rPr>
              <w:t>Six Months Ended</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5"/>
                <w:szCs w:val="15"/>
                <w:b w:val="1"/>
                <w:bCs w:val="1"/>
                <w:color w:val="auto"/>
              </w:rPr>
              <w:t>June 30,</w:t>
            </w:r>
          </w:p>
        </w:tc>
        <w:tc>
          <w:tcPr>
            <w:tcW w:w="24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7"/>
                <w:szCs w:val="17"/>
                <w:color w:val="auto"/>
              </w:rPr>
            </w:pPr>
          </w:p>
        </w:tc>
        <w:tc>
          <w:tcPr>
            <w:tcW w:w="1200" w:type="dxa"/>
            <w:vAlign w:val="bottom"/>
          </w:tcPr>
          <w:p>
            <w:pPr>
              <w:jc w:val="center"/>
              <w:ind w:right="124"/>
              <w:spacing w:after="0"/>
              <w:rPr>
                <w:sz w:val="20"/>
                <w:szCs w:val="20"/>
                <w:color w:val="auto"/>
              </w:rPr>
            </w:pPr>
            <w:r>
              <w:rPr>
                <w:rFonts w:ascii="Arial" w:cs="Arial" w:eastAsia="Arial" w:hAnsi="Arial"/>
                <w:sz w:val="15"/>
                <w:szCs w:val="15"/>
                <w:b w:val="1"/>
                <w:bCs w:val="1"/>
                <w:color w:val="auto"/>
                <w:w w:val="93"/>
              </w:rPr>
              <w:t>June 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44"/>
              <w:spacing w:after="0"/>
              <w:rPr>
                <w:sz w:val="20"/>
                <w:szCs w:val="20"/>
                <w:color w:val="auto"/>
              </w:rPr>
            </w:pPr>
            <w:r>
              <w:rPr>
                <w:rFonts w:ascii="Arial" w:cs="Arial" w:eastAsia="Arial" w:hAnsi="Arial"/>
                <w:sz w:val="15"/>
                <w:szCs w:val="15"/>
                <w:b w:val="1"/>
                <w:bCs w:val="1"/>
                <w:color w:val="auto"/>
              </w:rPr>
              <w:t>June 30,</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5"/>
              </w:rPr>
              <w:t>2020</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393"/>
        </w:trPr>
        <w:tc>
          <w:tcPr>
            <w:tcW w:w="3720" w:type="dxa"/>
            <w:vAlign w:val="bottom"/>
          </w:tcPr>
          <w:p>
            <w:pPr>
              <w:spacing w:after="0"/>
              <w:rPr>
                <w:sz w:val="20"/>
                <w:szCs w:val="20"/>
                <w:color w:val="auto"/>
              </w:rPr>
            </w:pPr>
            <w:r>
              <w:rPr>
                <w:rFonts w:ascii="Arial" w:cs="Arial" w:eastAsia="Arial" w:hAnsi="Arial"/>
                <w:sz w:val="15"/>
                <w:szCs w:val="15"/>
                <w:color w:val="auto"/>
              </w:rPr>
              <w:t>Revenue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1,668.8</w:t>
            </w:r>
          </w:p>
        </w:tc>
        <w:tc>
          <w:tcPr>
            <w:tcW w:w="10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1,632.0</w:t>
            </w:r>
          </w:p>
        </w:tc>
        <w:tc>
          <w:tcPr>
            <w:tcW w:w="100" w:type="dxa"/>
            <w:vAlign w:val="bottom"/>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1,620.2</w:t>
            </w:r>
          </w:p>
        </w:tc>
        <w:tc>
          <w:tcPr>
            <w:tcW w:w="120" w:type="dxa"/>
            <w:vAlign w:val="bottom"/>
          </w:tcPr>
          <w:p>
            <w:pPr>
              <w:spacing w:after="0"/>
              <w:rPr>
                <w:sz w:val="24"/>
                <w:szCs w:val="24"/>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3,300.8</w:t>
            </w:r>
          </w:p>
        </w:tc>
        <w:tc>
          <w:tcPr>
            <w:tcW w:w="8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3,202.8</w:t>
            </w:r>
          </w:p>
        </w:tc>
        <w:tc>
          <w:tcPr>
            <w:tcW w:w="0" w:type="dxa"/>
            <w:vAlign w:val="bottom"/>
          </w:tcPr>
          <w:p>
            <w:pPr>
              <w:spacing w:after="0"/>
              <w:rPr>
                <w:sz w:val="1"/>
                <w:szCs w:val="1"/>
                <w:color w:val="auto"/>
              </w:rPr>
            </w:pPr>
          </w:p>
        </w:tc>
      </w:tr>
      <w:tr>
        <w:trPr>
          <w:trHeight w:val="207"/>
        </w:trPr>
        <w:tc>
          <w:tcPr>
            <w:tcW w:w="3720" w:type="dxa"/>
            <w:vAlign w:val="bottom"/>
          </w:tcPr>
          <w:p>
            <w:pPr>
              <w:spacing w:after="0"/>
              <w:rPr>
                <w:sz w:val="20"/>
                <w:szCs w:val="20"/>
                <w:color w:val="auto"/>
              </w:rPr>
            </w:pPr>
            <w:r>
              <w:rPr>
                <w:rFonts w:ascii="Arial" w:cs="Arial" w:eastAsia="Arial" w:hAnsi="Arial"/>
                <w:sz w:val="15"/>
                <w:szCs w:val="15"/>
                <w:color w:val="auto"/>
              </w:rPr>
              <w:t>Costs and expenses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1,636.3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1,630.8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3,267.1</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6,561.1</w:t>
            </w:r>
          </w:p>
        </w:tc>
        <w:tc>
          <w:tcPr>
            <w:tcW w:w="0" w:type="dxa"/>
            <w:vAlign w:val="bottom"/>
          </w:tcPr>
          <w:p>
            <w:pPr>
              <w:spacing w:after="0"/>
              <w:rPr>
                <w:sz w:val="1"/>
                <w:szCs w:val="1"/>
                <w:color w:val="auto"/>
              </w:rPr>
            </w:pPr>
          </w:p>
        </w:tc>
      </w:tr>
      <w:tr>
        <w:trPr>
          <w:trHeight w:val="192"/>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33.7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(3,358.3)</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Other (expense) income, net</w:t>
            </w:r>
          </w:p>
        </w:tc>
        <w:tc>
          <w:tcPr>
            <w:tcW w:w="260" w:type="dxa"/>
            <w:vAlign w:val="bottom"/>
          </w:tcPr>
          <w:p>
            <w:pPr>
              <w:spacing w:after="0"/>
              <w:rPr>
                <w:sz w:val="24"/>
                <w:szCs w:val="24"/>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55.1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Income (loss) from investment in Technip Energies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470.1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323.3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3720" w:type="dxa"/>
            <w:vAlign w:val="bottom"/>
            <w:vMerge w:val="restart"/>
          </w:tcPr>
          <w:p>
            <w:pPr>
              <w:spacing w:after="0"/>
              <w:rPr>
                <w:sz w:val="20"/>
                <w:szCs w:val="20"/>
                <w:color w:val="auto"/>
              </w:rPr>
            </w:pPr>
            <w:r>
              <w:rPr>
                <w:rFonts w:ascii="Arial" w:cs="Arial" w:eastAsia="Arial" w:hAnsi="Arial"/>
                <w:sz w:val="15"/>
                <w:szCs w:val="15"/>
                <w:color w:val="auto"/>
                <w:w w:val="93"/>
              </w:rPr>
              <w:t>Income (loss) before net interest expense and income taxes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412.1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(3,349.7)</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Net interest expense</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(49.6)</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Loss on early extinguishment of debt</w:t>
            </w:r>
          </w:p>
        </w:tc>
        <w:tc>
          <w:tcPr>
            <w:tcW w:w="2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3720" w:type="dxa"/>
            <w:vAlign w:val="bottom"/>
            <w:vMerge w:val="restart"/>
          </w:tcPr>
          <w:p>
            <w:pPr>
              <w:spacing w:after="0"/>
              <w:rPr>
                <w:sz w:val="20"/>
                <w:szCs w:val="20"/>
                <w:color w:val="auto"/>
              </w:rPr>
            </w:pPr>
            <w:r>
              <w:rPr>
                <w:rFonts w:ascii="Arial" w:cs="Arial" w:eastAsia="Arial" w:hAnsi="Arial"/>
                <w:sz w:val="15"/>
                <w:szCs w:val="15"/>
                <w:color w:val="auto"/>
              </w:rPr>
              <w:t>Income (loss) before income taxes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318.9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(3,399.3)</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Arial" w:cs="Arial" w:eastAsia="Arial" w:hAnsi="Arial"/>
                <w:sz w:val="15"/>
                <w:szCs w:val="15"/>
                <w:color w:val="auto"/>
              </w:rPr>
              <w:t>Provision (benefit) for income taxes</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70"/>
        </w:trPr>
        <w:tc>
          <w:tcPr>
            <w:tcW w:w="3720" w:type="dxa"/>
            <w:vAlign w:val="bottom"/>
            <w:vMerge w:val="restart"/>
          </w:tcPr>
          <w:p>
            <w:pPr>
              <w:spacing w:after="0"/>
              <w:rPr>
                <w:sz w:val="20"/>
                <w:szCs w:val="20"/>
                <w:color w:val="auto"/>
              </w:rPr>
            </w:pPr>
            <w:r>
              <w:rPr>
                <w:rFonts w:ascii="Arial" w:cs="Arial" w:eastAsia="Arial" w:hAnsi="Arial"/>
                <w:sz w:val="15"/>
                <w:szCs w:val="15"/>
                <w:color w:val="auto"/>
              </w:rPr>
              <w:t>Income (loss) from continuing operations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(175.8)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259.5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(3,403.7)</w:t>
            </w: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Arial" w:cs="Arial" w:eastAsia="Arial" w:hAnsi="Arial"/>
                <w:sz w:val="15"/>
                <w:szCs w:val="15"/>
                <w:color w:val="auto"/>
              </w:rPr>
              <w:t>Income from continuing operations attributable to non-</w:t>
            </w:r>
          </w:p>
        </w:tc>
        <w:tc>
          <w:tcPr>
            <w:tcW w:w="2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Arial" w:cs="Arial" w:eastAsia="Arial" w:hAnsi="Arial"/>
                <w:sz w:val="15"/>
                <w:szCs w:val="15"/>
                <w:color w:val="auto"/>
              </w:rPr>
              <w:t>controlling interests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line="136" w:lineRule="exact"/>
              <w:rPr>
                <w:sz w:val="20"/>
                <w:szCs w:val="20"/>
                <w:color w:val="auto"/>
              </w:rPr>
            </w:pPr>
            <w:r>
              <w:rPr>
                <w:rFonts w:ascii="Arial" w:cs="Arial" w:eastAsia="Arial" w:hAnsi="Arial"/>
                <w:sz w:val="15"/>
                <w:szCs w:val="15"/>
                <w:color w:val="auto"/>
              </w:rPr>
              <w:t>Income (loss) from continuing operations attributable to</w:t>
            </w:r>
          </w:p>
        </w:tc>
        <w:tc>
          <w:tcPr>
            <w:tcW w:w="2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(174.7)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430.3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(177.6)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vMerge w:val="restart"/>
          </w:tcPr>
          <w:p>
            <w:pPr>
              <w:jc w:val="right"/>
              <w:ind w:right="4"/>
              <w:spacing w:after="0"/>
              <w:rPr>
                <w:sz w:val="20"/>
                <w:szCs w:val="20"/>
                <w:color w:val="auto"/>
              </w:rPr>
            </w:pPr>
            <w:r>
              <w:rPr>
                <w:rFonts w:ascii="Arial" w:cs="Arial" w:eastAsia="Arial" w:hAnsi="Arial"/>
                <w:sz w:val="15"/>
                <w:szCs w:val="15"/>
                <w:color w:val="auto"/>
              </w:rPr>
              <w:t>255.6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(3,412.4)</w:t>
            </w:r>
          </w:p>
        </w:tc>
        <w:tc>
          <w:tcPr>
            <w:tcW w:w="0" w:type="dxa"/>
            <w:vAlign w:val="bottom"/>
          </w:tcPr>
          <w:p>
            <w:pPr>
              <w:spacing w:after="0"/>
              <w:rPr>
                <w:sz w:val="1"/>
                <w:szCs w:val="1"/>
                <w:color w:val="auto"/>
              </w:rPr>
            </w:pPr>
          </w:p>
        </w:tc>
      </w:tr>
      <w:tr>
        <w:trPr>
          <w:trHeight w:val="194"/>
        </w:trPr>
        <w:tc>
          <w:tcPr>
            <w:tcW w:w="3720" w:type="dxa"/>
            <w:vAlign w:val="bottom"/>
          </w:tcPr>
          <w:p>
            <w:pPr>
              <w:spacing w:after="0"/>
              <w:rPr>
                <w:sz w:val="20"/>
                <w:szCs w:val="20"/>
                <w:color w:val="auto"/>
              </w:rPr>
            </w:pPr>
            <w:r>
              <w:rPr>
                <w:rFonts w:ascii="Arial" w:cs="Arial" w:eastAsia="Arial" w:hAnsi="Arial"/>
                <w:sz w:val="15"/>
                <w:szCs w:val="15"/>
                <w:color w:val="auto"/>
              </w:rPr>
              <w:t>TechnipFMC plc</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720" w:type="dxa"/>
            <w:vAlign w:val="bottom"/>
          </w:tcPr>
          <w:p>
            <w:pPr>
              <w:spacing w:after="0"/>
              <w:rPr>
                <w:sz w:val="20"/>
                <w:szCs w:val="20"/>
                <w:color w:val="auto"/>
              </w:rPr>
            </w:pPr>
            <w:r>
              <w:rPr>
                <w:rFonts w:ascii="Arial" w:cs="Arial" w:eastAsia="Arial" w:hAnsi="Arial"/>
                <w:sz w:val="15"/>
                <w:szCs w:val="15"/>
                <w:color w:val="auto"/>
              </w:rPr>
              <w:t>Income (loss) from discontinued operations</w:t>
            </w:r>
          </w:p>
        </w:tc>
        <w:tc>
          <w:tcPr>
            <w:tcW w:w="260" w:type="dxa"/>
            <w:vAlign w:val="bottom"/>
          </w:tcPr>
          <w:p>
            <w:pPr>
              <w:spacing w:after="0"/>
              <w:rPr>
                <w:sz w:val="24"/>
                <w:szCs w:val="24"/>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173.3</w:t>
            </w:r>
          </w:p>
        </w:tc>
        <w:tc>
          <w:tcPr>
            <w:tcW w:w="0" w:type="dxa"/>
            <w:vAlign w:val="bottom"/>
          </w:tcPr>
          <w:p>
            <w:pPr>
              <w:spacing w:after="0"/>
              <w:rPr>
                <w:sz w:val="1"/>
                <w:szCs w:val="1"/>
                <w:color w:val="auto"/>
              </w:rPr>
            </w:pPr>
          </w:p>
        </w:tc>
      </w:tr>
      <w:tr>
        <w:trPr>
          <w:trHeight w:val="157"/>
        </w:trPr>
        <w:tc>
          <w:tcPr>
            <w:tcW w:w="3720" w:type="dxa"/>
            <w:vAlign w:val="bottom"/>
          </w:tcPr>
          <w:p>
            <w:pPr>
              <w:spacing w:after="0" w:line="157" w:lineRule="exact"/>
              <w:rPr>
                <w:sz w:val="20"/>
                <w:szCs w:val="20"/>
                <w:color w:val="auto"/>
              </w:rPr>
            </w:pPr>
            <w:r>
              <w:rPr>
                <w:rFonts w:ascii="Arial" w:cs="Arial" w:eastAsia="Arial" w:hAnsi="Arial"/>
                <w:sz w:val="15"/>
                <w:szCs w:val="15"/>
                <w:color w:val="auto"/>
                <w:w w:val="98"/>
              </w:rPr>
              <w:t>Income from discontinued operations attributable to non-</w:t>
            </w:r>
          </w:p>
        </w:tc>
        <w:tc>
          <w:tcPr>
            <w:tcW w:w="2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98"/>
        </w:trPr>
        <w:tc>
          <w:tcPr>
            <w:tcW w:w="3720" w:type="dxa"/>
            <w:vAlign w:val="bottom"/>
          </w:tcPr>
          <w:p>
            <w:pPr>
              <w:spacing w:after="0"/>
              <w:rPr>
                <w:sz w:val="20"/>
                <w:szCs w:val="20"/>
                <w:color w:val="auto"/>
              </w:rPr>
            </w:pPr>
            <w:r>
              <w:rPr>
                <w:rFonts w:ascii="Arial" w:cs="Arial" w:eastAsia="Arial" w:hAnsi="Arial"/>
                <w:sz w:val="15"/>
                <w:szCs w:val="15"/>
                <w:color w:val="auto"/>
              </w:rPr>
              <w:t>controlling interests</w:t>
            </w:r>
          </w:p>
        </w:tc>
        <w:tc>
          <w:tcPr>
            <w:tcW w:w="2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20"/>
                <w:szCs w:val="20"/>
                <w:color w:val="auto"/>
              </w:rPr>
            </w:pPr>
            <w:r>
              <w:rPr>
                <w:rFonts w:ascii="Arial" w:cs="Arial" w:eastAsia="Arial" w:hAnsi="Arial"/>
                <w:sz w:val="15"/>
                <w:szCs w:val="15"/>
                <w:color w:val="auto"/>
              </w:rPr>
              <w:t>Net income (loss) attributable to TechnipFMC plc</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368.2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201.2</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(3,244.4)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5"/>
                <w:szCs w:val="15"/>
                <w:color w:val="auto"/>
              </w:rPr>
              <w:t>Earnings (loss) per share from continuing operations</w:t>
            </w: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3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 and diluted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(0.39)</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0.96</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(0.40)</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0.57</w:t>
            </w:r>
          </w:p>
        </w:tc>
        <w:tc>
          <w:tcPr>
            <w:tcW w:w="8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(0.39)</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0.95</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(0.40)</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0.56</w:t>
            </w:r>
          </w:p>
        </w:tc>
        <w:tc>
          <w:tcPr>
            <w:tcW w:w="8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Earnings (loss) per share from discontinued operations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 and diluted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0.42</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(0.12)</w:t>
            </w:r>
          </w:p>
        </w:tc>
        <w:tc>
          <w:tcPr>
            <w:tcW w:w="8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0.38</w:t>
            </w:r>
          </w:p>
        </w:tc>
        <w:tc>
          <w:tcPr>
            <w:tcW w:w="0" w:type="dxa"/>
            <w:vAlign w:val="bottom"/>
          </w:tcPr>
          <w:p>
            <w:pPr>
              <w:spacing w:after="0"/>
              <w:rPr>
                <w:sz w:val="1"/>
                <w:szCs w:val="1"/>
                <w:color w:val="auto"/>
              </w:rPr>
            </w:pPr>
          </w:p>
        </w:tc>
      </w:tr>
      <w:tr>
        <w:trPr>
          <w:trHeight w:val="364"/>
        </w:trPr>
        <w:tc>
          <w:tcPr>
            <w:tcW w:w="3720" w:type="dxa"/>
            <w:vAlign w:val="bottom"/>
          </w:tcPr>
          <w:p>
            <w:pPr>
              <w:spacing w:after="0"/>
              <w:rPr>
                <w:sz w:val="20"/>
                <w:szCs w:val="20"/>
                <w:color w:val="auto"/>
              </w:rPr>
            </w:pPr>
            <w:r>
              <w:rPr>
                <w:rFonts w:ascii="Arial" w:cs="Arial" w:eastAsia="Arial" w:hAnsi="Arial"/>
                <w:sz w:val="15"/>
                <w:szCs w:val="15"/>
                <w:color w:val="auto"/>
                <w:w w:val="98"/>
              </w:rPr>
              <w:t>Earnings (loss) per share attributable to TechnipFMC plc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 and diluted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0.82</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0.45</w:t>
            </w:r>
          </w:p>
        </w:tc>
        <w:tc>
          <w:tcPr>
            <w:tcW w:w="8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Diluted</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(0.37)</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0.81</w:t>
            </w:r>
          </w:p>
        </w:tc>
        <w:tc>
          <w:tcPr>
            <w:tcW w:w="10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0.03</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0.44</w:t>
            </w:r>
          </w:p>
        </w:tc>
        <w:tc>
          <w:tcPr>
            <w:tcW w:w="8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Weighted average shares outstanding:</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Basic</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450.6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450.4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447.9</w:t>
            </w:r>
          </w:p>
        </w:tc>
        <w:tc>
          <w:tcPr>
            <w:tcW w:w="0" w:type="dxa"/>
            <w:vAlign w:val="bottom"/>
          </w:tcPr>
          <w:p>
            <w:pPr>
              <w:spacing w:after="0"/>
              <w:rPr>
                <w:sz w:val="1"/>
                <w:szCs w:val="1"/>
                <w:color w:val="auto"/>
              </w:rPr>
            </w:pPr>
          </w:p>
        </w:tc>
      </w:tr>
      <w:tr>
        <w:trPr>
          <w:trHeight w:val="203"/>
        </w:trPr>
        <w:tc>
          <w:tcPr>
            <w:tcW w:w="3720" w:type="dxa"/>
            <w:vAlign w:val="bottom"/>
          </w:tcPr>
          <w:p>
            <w:pPr>
              <w:ind w:left="200"/>
              <w:spacing w:after="0"/>
              <w:rPr>
                <w:sz w:val="20"/>
                <w:szCs w:val="20"/>
                <w:color w:val="auto"/>
              </w:rPr>
            </w:pPr>
            <w:r>
              <w:rPr>
                <w:rFonts w:ascii="Arial" w:cs="Arial" w:eastAsia="Arial" w:hAnsi="Arial"/>
                <w:sz w:val="15"/>
                <w:szCs w:val="15"/>
                <w:color w:val="auto"/>
              </w:rPr>
              <w:t>Diluted</w:t>
            </w:r>
          </w:p>
        </w:tc>
        <w:tc>
          <w:tcPr>
            <w:tcW w:w="26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450.6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451.1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454.9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447.9</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0"/>
                <w:szCs w:val="20"/>
                <w:color w:val="auto"/>
              </w:rPr>
            </w:pPr>
            <w:r>
              <w:rPr>
                <w:rFonts w:ascii="Arial" w:cs="Arial" w:eastAsia="Arial" w:hAnsi="Arial"/>
                <w:sz w:val="15"/>
                <w:szCs w:val="15"/>
                <w:color w:val="auto"/>
              </w:rPr>
              <w:t>Cash dividends declared per share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779"/>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1040"/>
              <w:spacing w:after="0"/>
              <w:rPr>
                <w:sz w:val="20"/>
                <w:szCs w:val="20"/>
                <w:color w:val="auto"/>
              </w:rPr>
            </w:pPr>
            <w:r>
              <w:rPr>
                <w:rFonts w:ascii="Arial" w:cs="Arial" w:eastAsia="Arial" w:hAnsi="Arial"/>
                <w:sz w:val="14"/>
                <w:szCs w:val="14"/>
                <w:b w:val="1"/>
                <w:bCs w:val="1"/>
                <w:color w:val="auto"/>
              </w:rPr>
              <w:t>TechnipFMC.com</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12 of </w:t>
            </w:r>
            <w:hyperlink w:anchor="page27">
              <w:r>
                <w:rPr>
                  <w:rFonts w:ascii="Arial" w:cs="Arial" w:eastAsia="Arial" w:hAnsi="Arial"/>
                  <w:sz w:val="14"/>
                  <w:szCs w:val="14"/>
                  <w:b w:val="1"/>
                  <w:bCs w:val="1"/>
                  <w:color w:val="auto"/>
                </w:rPr>
                <w:t>24</w:t>
              </w:r>
            </w:hyperlink>
          </w:p>
        </w:tc>
        <w:tc>
          <w:tcPr>
            <w:tcW w:w="0" w:type="dxa"/>
            <w:vAlign w:val="bottom"/>
          </w:tcPr>
          <w:p>
            <w:pPr>
              <w:spacing w:after="0"/>
              <w:rPr>
                <w:sz w:val="1"/>
                <w:szCs w:val="1"/>
                <w:color w:val="auto"/>
              </w:rPr>
            </w:pPr>
          </w:p>
        </w:tc>
      </w:tr>
    </w:tbl>
    <w:p>
      <w:pPr>
        <w:sectPr>
          <w:pgSz w:w="11900" w:h="16838" w:orient="portrait"/>
          <w:cols w:equalWidth="0" w:num="1">
            <w:col w:w="11220"/>
          </w:cols>
          <w:pgMar w:left="340" w:top="1053"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4"/>
              </w:rPr>
              <w:t>(Unaudited)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180" w:type="dxa"/>
            <w:vAlign w:val="bottom"/>
          </w:tcPr>
          <w:p>
            <w:pPr>
              <w:spacing w:after="0"/>
              <w:rPr>
                <w:sz w:val="18"/>
                <w:szCs w:val="18"/>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tcPr>
          <w:p>
            <w:pPr>
              <w:spacing w:after="0" w:line="161" w:lineRule="exact"/>
              <w:rPr>
                <w:sz w:val="20"/>
                <w:szCs w:val="20"/>
                <w:color w:val="auto"/>
              </w:rPr>
            </w:pPr>
            <w:r>
              <w:rPr>
                <w:rFonts w:ascii="Arial" w:cs="Arial" w:eastAsia="Arial" w:hAnsi="Arial"/>
                <w:sz w:val="16"/>
                <w:szCs w:val="16"/>
                <w:b w:val="1"/>
                <w:bCs w:val="1"/>
                <w:color w:val="auto"/>
                <w:w w:val="86"/>
              </w:rPr>
              <w:t>Revenue</w:t>
            </w:r>
          </w:p>
        </w:tc>
        <w:tc>
          <w:tcPr>
            <w:tcW w:w="3060" w:type="dxa"/>
            <w:vAlign w:val="bottom"/>
            <w:gridSpan w:val="4"/>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7"/>
        </w:trPr>
        <w:tc>
          <w:tcPr>
            <w:tcW w:w="3660" w:type="dxa"/>
            <w:vAlign w:val="bottom"/>
            <w:gridSpan w:val="5"/>
          </w:tcPr>
          <w:p>
            <w:pPr>
              <w:spacing w:after="0"/>
              <w:rPr>
                <w:sz w:val="20"/>
                <w:szCs w:val="20"/>
                <w:color w:val="auto"/>
              </w:rPr>
            </w:pPr>
            <w:r>
              <w:rPr>
                <w:rFonts w:ascii="Arial" w:cs="Arial" w:eastAsia="Arial" w:hAnsi="Arial"/>
                <w:sz w:val="16"/>
                <w:szCs w:val="16"/>
                <w:color w:val="auto"/>
              </w:rPr>
              <w:t>Subsea</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1,394.3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1,386.5</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1,378.5</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2,780.8</w:t>
            </w:r>
          </w:p>
        </w:tc>
        <w:tc>
          <w:tcPr>
            <w:tcW w:w="100" w:type="dxa"/>
            <w:vAlign w:val="bottom"/>
          </w:tcPr>
          <w:p>
            <w:pPr>
              <w:spacing w:after="0"/>
              <w:rPr>
                <w:sz w:val="24"/>
                <w:szCs w:val="24"/>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2,631.6</w:t>
            </w:r>
          </w:p>
        </w:tc>
        <w:tc>
          <w:tcPr>
            <w:tcW w:w="0" w:type="dxa"/>
            <w:vAlign w:val="bottom"/>
          </w:tcPr>
          <w:p>
            <w:pPr>
              <w:spacing w:after="0"/>
              <w:rPr>
                <w:sz w:val="1"/>
                <w:szCs w:val="1"/>
                <w:color w:val="auto"/>
              </w:rPr>
            </w:pPr>
          </w:p>
        </w:tc>
      </w:tr>
      <w:tr>
        <w:trPr>
          <w:trHeight w:val="219"/>
        </w:trPr>
        <w:tc>
          <w:tcPr>
            <w:tcW w:w="3660" w:type="dxa"/>
            <w:vAlign w:val="bottom"/>
            <w:gridSpan w:val="5"/>
          </w:tcPr>
          <w:p>
            <w:pPr>
              <w:spacing w:after="0"/>
              <w:rPr>
                <w:sz w:val="20"/>
                <w:szCs w:val="20"/>
                <w:color w:val="auto"/>
              </w:rPr>
            </w:pPr>
            <w:r>
              <w:rPr>
                <w:rFonts w:ascii="Arial" w:cs="Arial" w:eastAsia="Arial" w:hAnsi="Arial"/>
                <w:sz w:val="16"/>
                <w:szCs w:val="16"/>
                <w:color w:val="auto"/>
              </w:rPr>
              <w:t>Surface Technologies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07"/>
        </w:trPr>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1,668.8</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1,632.0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1,620.2</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3,300.8</w:t>
            </w:r>
          </w:p>
        </w:tc>
        <w:tc>
          <w:tcPr>
            <w:tcW w:w="10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3,202.8</w:t>
            </w:r>
          </w:p>
        </w:tc>
        <w:tc>
          <w:tcPr>
            <w:tcW w:w="0" w:type="dxa"/>
            <w:vAlign w:val="bottom"/>
          </w:tcPr>
          <w:p>
            <w:pPr>
              <w:spacing w:after="0"/>
              <w:rPr>
                <w:sz w:val="1"/>
                <w:szCs w:val="1"/>
                <w:color w:val="auto"/>
              </w:rPr>
            </w:pPr>
          </w:p>
        </w:tc>
      </w:tr>
      <w:tr>
        <w:trPr>
          <w:trHeight w:val="26"/>
        </w:trPr>
        <w:tc>
          <w:tcPr>
            <w:tcW w:w="366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366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Segment operating profit (loss)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2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Subsea</w:t>
            </w:r>
          </w:p>
        </w:tc>
        <w:tc>
          <w:tcPr>
            <w:tcW w:w="1640" w:type="dxa"/>
            <w:vAlign w:val="bottom"/>
            <w:gridSpan w:val="2"/>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0"/>
                <w:szCs w:val="20"/>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(2,826.3)</w:t>
            </w:r>
          </w:p>
        </w:tc>
        <w:tc>
          <w:tcPr>
            <w:tcW w:w="0" w:type="dxa"/>
            <w:vAlign w:val="bottom"/>
          </w:tcPr>
          <w:p>
            <w:pPr>
              <w:spacing w:after="0"/>
              <w:rPr>
                <w:sz w:val="1"/>
                <w:szCs w:val="1"/>
                <w:color w:val="auto"/>
              </w:rPr>
            </w:pPr>
          </w:p>
        </w:tc>
      </w:tr>
      <w:tr>
        <w:trPr>
          <w:trHeight w:val="216"/>
        </w:trPr>
        <w:tc>
          <w:tcPr>
            <w:tcW w:w="3660" w:type="dxa"/>
            <w:vAlign w:val="bottom"/>
            <w:gridSpan w:val="5"/>
          </w:tcPr>
          <w:p>
            <w:pPr>
              <w:spacing w:after="0"/>
              <w:rPr>
                <w:sz w:val="20"/>
                <w:szCs w:val="20"/>
                <w:color w:val="auto"/>
              </w:rPr>
            </w:pPr>
            <w:r>
              <w:rPr>
                <w:rFonts w:ascii="Arial" w:cs="Arial" w:eastAsia="Arial" w:hAnsi="Arial"/>
                <w:sz w:val="16"/>
                <w:szCs w:val="16"/>
                <w:color w:val="auto"/>
              </w:rPr>
              <w:t>Surface Technologies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10"/>
        </w:trPr>
        <w:tc>
          <w:tcPr>
            <w:tcW w:w="3660" w:type="dxa"/>
            <w:vAlign w:val="bottom"/>
            <w:gridSpan w:val="5"/>
          </w:tcPr>
          <w:p>
            <w:pPr>
              <w:ind w:left="340"/>
              <w:spacing w:after="0"/>
              <w:rPr>
                <w:sz w:val="20"/>
                <w:szCs w:val="20"/>
                <w:color w:val="auto"/>
              </w:rPr>
            </w:pPr>
            <w:r>
              <w:rPr>
                <w:rFonts w:ascii="Arial" w:cs="Arial" w:eastAsia="Arial" w:hAnsi="Arial"/>
                <w:sz w:val="16"/>
                <w:szCs w:val="16"/>
                <w:color w:val="auto"/>
              </w:rPr>
              <w:t>Total segment operating profit (loss)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(3,263.7)</w:t>
            </w:r>
          </w:p>
        </w:tc>
        <w:tc>
          <w:tcPr>
            <w:tcW w:w="0" w:type="dxa"/>
            <w:vAlign w:val="bottom"/>
          </w:tcPr>
          <w:p>
            <w:pPr>
              <w:spacing w:after="0"/>
              <w:rPr>
                <w:sz w:val="1"/>
                <w:szCs w:val="1"/>
                <w:color w:val="auto"/>
              </w:rPr>
            </w:pPr>
          </w:p>
        </w:tc>
      </w:tr>
      <w:tr>
        <w:trPr>
          <w:trHeight w:val="377"/>
        </w:trPr>
        <w:tc>
          <w:tcPr>
            <w:tcW w:w="3660" w:type="dxa"/>
            <w:vAlign w:val="bottom"/>
            <w:gridSpan w:val="5"/>
          </w:tcPr>
          <w:p>
            <w:pPr>
              <w:spacing w:after="0"/>
              <w:rPr>
                <w:sz w:val="20"/>
                <w:szCs w:val="20"/>
                <w:color w:val="auto"/>
              </w:rPr>
            </w:pPr>
            <w:r>
              <w:rPr>
                <w:rFonts w:ascii="Arial" w:cs="Arial" w:eastAsia="Arial" w:hAnsi="Arial"/>
                <w:sz w:val="16"/>
                <w:szCs w:val="16"/>
                <w:color w:val="auto"/>
              </w:rPr>
              <w:t>Corporate items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660" w:type="dxa"/>
            <w:vAlign w:val="bottom"/>
            <w:gridSpan w:val="5"/>
          </w:tcPr>
          <w:p>
            <w:pPr>
              <w:spacing w:after="0" w:line="240" w:lineRule="exact"/>
              <w:rPr>
                <w:sz w:val="20"/>
                <w:szCs w:val="20"/>
                <w:color w:val="auto"/>
              </w:rPr>
            </w:pPr>
            <w:r>
              <w:rPr>
                <w:rFonts w:ascii="Arial" w:cs="Arial" w:eastAsia="Arial" w:hAnsi="Arial"/>
                <w:sz w:val="16"/>
                <w:szCs w:val="16"/>
                <w:color w:val="auto"/>
              </w:rPr>
              <w:t xml:space="preserve">Corporate expense </w:t>
            </w:r>
            <w:r>
              <w:rPr>
                <w:rFonts w:ascii="Arial" w:cs="Arial" w:eastAsia="Arial" w:hAnsi="Arial"/>
                <w:sz w:val="21"/>
                <w:szCs w:val="21"/>
                <w:color w:val="auto"/>
                <w:vertAlign w:val="superscript"/>
              </w:rPr>
              <w:t>(1)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06"/>
        </w:trPr>
        <w:tc>
          <w:tcPr>
            <w:tcW w:w="3660" w:type="dxa"/>
            <w:vAlign w:val="bottom"/>
            <w:gridSpan w:val="5"/>
          </w:tcPr>
          <w:p>
            <w:pPr>
              <w:spacing w:after="0"/>
              <w:rPr>
                <w:sz w:val="20"/>
                <w:szCs w:val="20"/>
                <w:color w:val="auto"/>
              </w:rPr>
            </w:pPr>
            <w:r>
              <w:rPr>
                <w:rFonts w:ascii="Arial" w:cs="Arial" w:eastAsia="Arial" w:hAnsi="Arial"/>
                <w:sz w:val="16"/>
                <w:szCs w:val="16"/>
                <w:color w:val="auto"/>
              </w:rPr>
              <w:t>Net interest expense</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6"/>
        </w:trPr>
        <w:tc>
          <w:tcPr>
            <w:tcW w:w="3660" w:type="dxa"/>
            <w:vAlign w:val="bottom"/>
            <w:gridSpan w:val="5"/>
          </w:tcPr>
          <w:p>
            <w:pPr>
              <w:spacing w:after="0"/>
              <w:rPr>
                <w:sz w:val="20"/>
                <w:szCs w:val="20"/>
                <w:color w:val="auto"/>
              </w:rPr>
            </w:pPr>
            <w:r>
              <w:rPr>
                <w:rFonts w:ascii="Arial" w:cs="Arial" w:eastAsia="Arial" w:hAnsi="Arial"/>
                <w:sz w:val="16"/>
                <w:szCs w:val="16"/>
                <w:color w:val="auto"/>
              </w:rPr>
              <w:t>Income (loss) from investment in Technip Energies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gridSpan w:val="5"/>
          </w:tcPr>
          <w:p>
            <w:pPr>
              <w:spacing w:after="0"/>
              <w:rPr>
                <w:sz w:val="20"/>
                <w:szCs w:val="20"/>
                <w:color w:val="auto"/>
              </w:rPr>
            </w:pPr>
            <w:r>
              <w:rPr>
                <w:rFonts w:ascii="Arial" w:cs="Arial" w:eastAsia="Arial" w:hAnsi="Arial"/>
                <w:sz w:val="16"/>
                <w:szCs w:val="16"/>
                <w:color w:val="auto"/>
              </w:rPr>
              <w:t>Foreign exchange gains (losses)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0"/>
        </w:trPr>
        <w:tc>
          <w:tcPr>
            <w:tcW w:w="3660" w:type="dxa"/>
            <w:vAlign w:val="bottom"/>
            <w:gridSpan w:val="5"/>
          </w:tcPr>
          <w:p>
            <w:pPr>
              <w:spacing w:after="0"/>
              <w:rPr>
                <w:sz w:val="20"/>
                <w:szCs w:val="20"/>
                <w:color w:val="auto"/>
              </w:rPr>
            </w:pPr>
            <w:r>
              <w:rPr>
                <w:rFonts w:ascii="Arial" w:cs="Arial" w:eastAsia="Arial" w:hAnsi="Arial"/>
                <w:sz w:val="16"/>
                <w:szCs w:val="16"/>
                <w:color w:val="auto"/>
              </w:rPr>
              <w:t>Total corporate items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60" w:type="dxa"/>
            <w:vAlign w:val="bottom"/>
            <w:gridSpan w:val="5"/>
          </w:tcPr>
          <w:p>
            <w:pPr>
              <w:spacing w:after="0" w:line="210" w:lineRule="exact"/>
              <w:rPr>
                <w:sz w:val="20"/>
                <w:szCs w:val="20"/>
                <w:color w:val="auto"/>
              </w:rPr>
            </w:pPr>
            <w:r>
              <w:rPr>
                <w:rFonts w:ascii="Arial" w:cs="Arial" w:eastAsia="Arial" w:hAnsi="Arial"/>
                <w:sz w:val="16"/>
                <w:szCs w:val="16"/>
                <w:color w:val="auto"/>
              </w:rPr>
              <w:t xml:space="preserve">Income (loss) before income taxes </w:t>
            </w:r>
            <w:r>
              <w:rPr>
                <w:rFonts w:ascii="Arial" w:cs="Arial" w:eastAsia="Arial" w:hAnsi="Arial"/>
                <w:sz w:val="21"/>
                <w:szCs w:val="21"/>
                <w:color w:val="auto"/>
                <w:vertAlign w:val="superscript"/>
              </w:rPr>
              <w:t>(2)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(3,399.3)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share-based compensation expenses, and other employee benefits.</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13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053"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183"/>
        </w:trPr>
        <w:tc>
          <w:tcPr>
            <w:tcW w:w="3640" w:type="dxa"/>
            <w:vAlign w:val="bottom"/>
            <w:gridSpan w:val="2"/>
          </w:tcPr>
          <w:p>
            <w:pPr>
              <w:spacing w:after="0" w:line="183" w:lineRule="exact"/>
              <w:rPr>
                <w:sz w:val="20"/>
                <w:szCs w:val="20"/>
                <w:color w:val="auto"/>
              </w:rPr>
            </w:pPr>
            <w:r>
              <w:rPr>
                <w:rFonts w:ascii="Arial" w:cs="Arial" w:eastAsia="Arial" w:hAnsi="Arial"/>
                <w:sz w:val="17"/>
                <w:szCs w:val="17"/>
                <w:b w:val="1"/>
                <w:bCs w:val="1"/>
                <w:color w:val="auto"/>
              </w:rPr>
              <w:t xml:space="preserve">Inbound Orders </w:t>
            </w:r>
            <w:r>
              <w:rPr>
                <w:rFonts w:ascii="Arial" w:cs="Arial" w:eastAsia="Arial" w:hAnsi="Arial"/>
                <w:sz w:val="21"/>
                <w:szCs w:val="21"/>
                <w:b w:val="1"/>
                <w:bCs w:val="1"/>
                <w:color w:val="auto"/>
                <w:vertAlign w:val="superscript"/>
              </w:rPr>
              <w:t>(1)</w:t>
            </w:r>
          </w:p>
        </w:tc>
        <w:tc>
          <w:tcPr>
            <w:tcW w:w="240" w:type="dxa"/>
            <w:vAlign w:val="bottom"/>
          </w:tcPr>
          <w:p>
            <w:pPr>
              <w:spacing w:after="0"/>
              <w:rPr>
                <w:sz w:val="15"/>
                <w:szCs w:val="15"/>
                <w:color w:val="auto"/>
              </w:rPr>
            </w:pPr>
          </w:p>
        </w:tc>
        <w:tc>
          <w:tcPr>
            <w:tcW w:w="1140" w:type="dxa"/>
            <w:vAlign w:val="bottom"/>
          </w:tcPr>
          <w:p>
            <w:pPr>
              <w:jc w:val="right"/>
              <w:ind w:right="270"/>
              <w:spacing w:after="0" w:line="182" w:lineRule="exact"/>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340"/>
              <w:spacing w:after="0" w:line="182" w:lineRule="exact"/>
              <w:rPr>
                <w:sz w:val="20"/>
                <w:szCs w:val="20"/>
                <w:color w:val="auto"/>
              </w:rPr>
            </w:pPr>
            <w:r>
              <w:rPr>
                <w:rFonts w:ascii="Arial" w:cs="Arial" w:eastAsia="Arial" w:hAnsi="Arial"/>
                <w:sz w:val="18"/>
                <w:szCs w:val="18"/>
                <w:b w:val="1"/>
                <w:bCs w:val="1"/>
                <w:color w:val="auto"/>
                <w:w w:val="96"/>
              </w:rPr>
              <w:t>March 31,</w:t>
            </w:r>
          </w:p>
        </w:tc>
        <w:tc>
          <w:tcPr>
            <w:tcW w:w="220" w:type="dxa"/>
            <w:vAlign w:val="bottom"/>
          </w:tcPr>
          <w:p>
            <w:pPr>
              <w:spacing w:after="0"/>
              <w:rPr>
                <w:sz w:val="15"/>
                <w:szCs w:val="15"/>
                <w:color w:val="auto"/>
              </w:rPr>
            </w:pPr>
          </w:p>
        </w:tc>
        <w:tc>
          <w:tcPr>
            <w:tcW w:w="118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ind w:right="30"/>
              <w:spacing w:after="0" w:line="182" w:lineRule="exact"/>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5"/>
                <w:szCs w:val="15"/>
                <w:color w:val="auto"/>
              </w:rPr>
            </w:pPr>
          </w:p>
        </w:tc>
      </w:tr>
      <w:tr>
        <w:trPr>
          <w:trHeight w:val="20"/>
        </w:trPr>
        <w:tc>
          <w:tcPr>
            <w:tcW w:w="130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1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425"/>
        </w:trPr>
        <w:tc>
          <w:tcPr>
            <w:tcW w:w="364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1,291.3</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1,518.8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2,810.1</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1,683.8</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w:t>
            </w: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2,237.2</w:t>
            </w:r>
          </w:p>
        </w:tc>
      </w:tr>
      <w:tr>
        <w:trPr>
          <w:trHeight w:val="21"/>
        </w:trPr>
        <w:tc>
          <w:tcPr>
            <w:tcW w:w="1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3"/>
                <w:szCs w:val="23"/>
                <w:b w:val="1"/>
                <w:bCs w:val="1"/>
                <w:color w:val="auto"/>
                <w:vertAlign w:val="superscript"/>
              </w:rPr>
              <w:t>(2)</w:t>
            </w:r>
          </w:p>
        </w:tc>
        <w:tc>
          <w:tcPr>
            <w:tcW w:w="260" w:type="dxa"/>
            <w:vAlign w:val="bottom"/>
          </w:tcPr>
          <w:p>
            <w:pPr>
              <w:spacing w:after="0"/>
              <w:rPr>
                <w:sz w:val="22"/>
                <w:szCs w:val="22"/>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240" w:type="dxa"/>
            <w:vAlign w:val="bottom"/>
          </w:tcPr>
          <w:p>
            <w:pPr>
              <w:spacing w:after="0"/>
              <w:rPr>
                <w:sz w:val="22"/>
                <w:szCs w:val="22"/>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2021</w:t>
            </w:r>
          </w:p>
        </w:tc>
        <w:tc>
          <w:tcPr>
            <w:tcW w:w="5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June 30, 2020</w:t>
            </w: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25"/>
        </w:trPr>
        <w:tc>
          <w:tcPr>
            <w:tcW w:w="530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6,951.6</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6,857.1</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7,085.3</w:t>
            </w: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w:t>
            </w: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7,221.4</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7,471.2</w:t>
            </w:r>
          </w:p>
        </w:tc>
      </w:tr>
      <w:tr>
        <w:trPr>
          <w:trHeight w:val="21"/>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14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05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4"/>
        </w:trPr>
        <w:tc>
          <w:tcPr>
            <w:tcW w:w="3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760"/>
              <w:spacing w:after="0"/>
              <w:rPr>
                <w:sz w:val="20"/>
                <w:szCs w:val="20"/>
                <w:color w:val="auto"/>
              </w:rPr>
            </w:pPr>
            <w:r>
              <w:rPr>
                <w:rFonts w:ascii="Arial" w:cs="Arial" w:eastAsia="Arial" w:hAnsi="Arial"/>
                <w:sz w:val="13"/>
                <w:szCs w:val="13"/>
                <w:b w:val="1"/>
                <w:bCs w:val="1"/>
                <w:color w:val="auto"/>
                <w:w w:val="88"/>
              </w:rPr>
              <w:t>Exhibit 4</w:t>
            </w:r>
          </w:p>
        </w:tc>
      </w:tr>
      <w:tr>
        <w:trPr>
          <w:trHeight w:val="340"/>
        </w:trPr>
        <w:tc>
          <w:tcPr>
            <w:tcW w:w="3140" w:type="dxa"/>
            <w:vAlign w:val="bottom"/>
          </w:tcPr>
          <w:p>
            <w:pPr>
              <w:spacing w:after="0"/>
              <w:rPr>
                <w:sz w:val="24"/>
                <w:szCs w:val="24"/>
                <w:color w:val="auto"/>
              </w:rPr>
            </w:pPr>
          </w:p>
        </w:tc>
        <w:tc>
          <w:tcPr>
            <w:tcW w:w="50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TECHNIPFMC PLC AND CONSOLIDATED SUBSIDIARIES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98"/>
              </w:rPr>
              <w:t>CONDENSED CONSOLIDATED BALANCE SHEETS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 millions)</w:t>
            </w:r>
          </w:p>
        </w:tc>
        <w:tc>
          <w:tcPr>
            <w:tcW w:w="50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800"/>
              <w:spacing w:after="0"/>
              <w:rPr>
                <w:sz w:val="20"/>
                <w:szCs w:val="20"/>
                <w:color w:val="auto"/>
              </w:rPr>
            </w:pPr>
            <w:r>
              <w:rPr>
                <w:rFonts w:ascii="Arial" w:cs="Arial" w:eastAsia="Arial" w:hAnsi="Arial"/>
                <w:sz w:val="16"/>
                <w:szCs w:val="16"/>
                <w:b w:val="1"/>
                <w:bCs w:val="1"/>
                <w:color w:val="auto"/>
              </w:rPr>
              <w:t>(Unaudited)</w:t>
            </w:r>
          </w:p>
        </w:tc>
      </w:tr>
      <w:tr>
        <w:trPr>
          <w:trHeight w:val="158"/>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60"/>
              <w:spacing w:after="0" w:line="158" w:lineRule="exact"/>
              <w:rPr>
                <w:sz w:val="20"/>
                <w:szCs w:val="20"/>
                <w:color w:val="auto"/>
              </w:rPr>
            </w:pPr>
            <w:r>
              <w:rPr>
                <w:rFonts w:ascii="Arial" w:cs="Arial" w:eastAsia="Arial" w:hAnsi="Arial"/>
                <w:sz w:val="16"/>
                <w:szCs w:val="16"/>
                <w:b w:val="1"/>
                <w:bCs w:val="1"/>
                <w:color w:val="auto"/>
              </w:rPr>
              <w:t>June 30,</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4"/>
              </w:rPr>
              <w:t>December 31,</w:t>
            </w:r>
          </w:p>
        </w:tc>
        <w:tc>
          <w:tcPr>
            <w:tcW w:w="20" w:type="dxa"/>
            <w:vAlign w:val="bottom"/>
          </w:tcPr>
          <w:p>
            <w:pPr>
              <w:spacing w:after="0"/>
              <w:rPr>
                <w:sz w:val="13"/>
                <w:szCs w:val="13"/>
                <w:color w:val="auto"/>
              </w:rPr>
            </w:pPr>
          </w:p>
        </w:tc>
      </w:tr>
      <w:tr>
        <w:trPr>
          <w:trHeight w:val="213"/>
        </w:trPr>
        <w:tc>
          <w:tcPr>
            <w:tcW w:w="3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r>
      <w:tr>
        <w:trPr>
          <w:trHeight w:val="427"/>
        </w:trPr>
        <w:tc>
          <w:tcPr>
            <w:tcW w:w="82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1,269.2</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Trade receivables,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987.7</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886.8</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1,252.8</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1,323.1</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Investment in Technip Energies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5,725.1</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5,884.2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11,444.7</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2,756.2</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851.3</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1,356.9</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Non-current assets of discontinued operations</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3,283.5</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10,727.9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19,692.6</w:t>
            </w:r>
          </w:p>
        </w:tc>
        <w:tc>
          <w:tcPr>
            <w:tcW w:w="20" w:type="dxa"/>
            <w:vAlign w:val="bottom"/>
          </w:tcPr>
          <w:p>
            <w:pPr>
              <w:spacing w:after="0"/>
              <w:rPr>
                <w:sz w:val="19"/>
                <w:szCs w:val="19"/>
                <w:color w:val="auto"/>
              </w:rPr>
            </w:pPr>
          </w:p>
        </w:tc>
      </w:tr>
      <w:tr>
        <w:trPr>
          <w:trHeight w:val="21"/>
        </w:trPr>
        <w:tc>
          <w:tcPr>
            <w:tcW w:w="8220" w:type="dxa"/>
            <w:vAlign w:val="bottom"/>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8220" w:type="dxa"/>
            <w:vAlign w:val="bottom"/>
            <w:gridSpan w:val="5"/>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624.7</w:t>
            </w:r>
          </w:p>
        </w:tc>
        <w:tc>
          <w:tcPr>
            <w:tcW w:w="20" w:type="dxa"/>
            <w:vAlign w:val="bottom"/>
          </w:tcPr>
          <w:p>
            <w:pPr>
              <w:spacing w:after="0"/>
              <w:rPr>
                <w:sz w:val="24"/>
                <w:szCs w:val="24"/>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Accounts payable, trade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1,201.0</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1,046.8</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1,446.2</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6,096.5</w:t>
            </w:r>
          </w:p>
        </w:tc>
        <w:tc>
          <w:tcPr>
            <w:tcW w:w="20" w:type="dxa"/>
            <w:vAlign w:val="bottom"/>
          </w:tcPr>
          <w:p>
            <w:pPr>
              <w:spacing w:after="0"/>
              <w:rPr>
                <w:sz w:val="20"/>
                <w:szCs w:val="20"/>
                <w:color w:val="auto"/>
              </w:rPr>
            </w:pPr>
          </w:p>
        </w:tc>
      </w:tr>
      <w:tr>
        <w:trPr>
          <w:trHeight w:val="224"/>
        </w:trPr>
        <w:tc>
          <w:tcPr>
            <w:tcW w:w="8220" w:type="dxa"/>
            <w:vAlign w:val="bottom"/>
            <w:gridSpan w:val="5"/>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3,713.6</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10,415.2</w:t>
            </w:r>
          </w:p>
        </w:tc>
        <w:tc>
          <w:tcPr>
            <w:tcW w:w="20" w:type="dxa"/>
            <w:vAlign w:val="bottom"/>
          </w:tcPr>
          <w:p>
            <w:pPr>
              <w:spacing w:after="0"/>
              <w:rPr>
                <w:sz w:val="19"/>
                <w:szCs w:val="19"/>
                <w:color w:val="auto"/>
              </w:rPr>
            </w:pPr>
          </w:p>
        </w:tc>
      </w:tr>
      <w:tr>
        <w:trPr>
          <w:trHeight w:val="444"/>
        </w:trPr>
        <w:tc>
          <w:tcPr>
            <w:tcW w:w="8220" w:type="dxa"/>
            <w:vAlign w:val="bottom"/>
            <w:gridSpan w:val="5"/>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2,180.2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2,835.5</w:t>
            </w:r>
          </w:p>
        </w:tc>
        <w:tc>
          <w:tcPr>
            <w:tcW w:w="20" w:type="dxa"/>
            <w:vAlign w:val="bottom"/>
          </w:tcPr>
          <w:p>
            <w:pPr>
              <w:spacing w:after="0"/>
              <w:rPr>
                <w:sz w:val="24"/>
                <w:szCs w:val="24"/>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1,102.6</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Non-current liabilities of discontinued operations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1,081.3</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TechnipFMC plc stockholders’ equity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4,154.2</w:t>
            </w:r>
          </w:p>
        </w:tc>
        <w:tc>
          <w:tcPr>
            <w:tcW w:w="20" w:type="dxa"/>
            <w:vAlign w:val="bottom"/>
          </w:tcPr>
          <w:p>
            <w:pPr>
              <w:spacing w:after="0"/>
              <w:rPr>
                <w:sz w:val="19"/>
                <w:szCs w:val="19"/>
                <w:color w:val="auto"/>
              </w:rPr>
            </w:pPr>
          </w:p>
        </w:tc>
      </w:tr>
      <w:tr>
        <w:trPr>
          <w:trHeight w:val="229"/>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r>
      <w:tr>
        <w:trPr>
          <w:trHeight w:val="230"/>
        </w:trPr>
        <w:tc>
          <w:tcPr>
            <w:tcW w:w="8220" w:type="dxa"/>
            <w:vAlign w:val="bottom"/>
            <w:gridSpan w:val="5"/>
          </w:tcPr>
          <w:p>
            <w:pPr>
              <w:spacing w:after="0"/>
              <w:rPr>
                <w:sz w:val="20"/>
                <w:szCs w:val="20"/>
                <w:color w:val="auto"/>
              </w:rPr>
            </w:pPr>
            <w:r>
              <w:rPr>
                <w:rFonts w:ascii="Arial" w:cs="Arial" w:eastAsia="Arial" w:hAnsi="Arial"/>
                <w:sz w:val="18"/>
                <w:szCs w:val="18"/>
                <w:color w:val="auto"/>
              </w:rPr>
              <w:t>Non-controlling interests of discontinued operations</w:t>
            </w:r>
          </w:p>
        </w:tc>
        <w:tc>
          <w:tcPr>
            <w:tcW w:w="2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r>
      <w:tr>
        <w:trPr>
          <w:trHeight w:val="223"/>
        </w:trPr>
        <w:tc>
          <w:tcPr>
            <w:tcW w:w="8220" w:type="dxa"/>
            <w:vAlign w:val="bottom"/>
            <w:gridSpan w:val="5"/>
          </w:tcPr>
          <w:p>
            <w:pPr>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10,727.9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19,692.6</w:t>
            </w:r>
          </w:p>
        </w:tc>
        <w:tc>
          <w:tcPr>
            <w:tcW w:w="2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65"/>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TechnipFMC.com</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3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15 of </w:t>
            </w:r>
            <w:hyperlink w:anchor="page27">
              <w:r>
                <w:rPr>
                  <w:rFonts w:ascii="Arial" w:cs="Arial" w:eastAsia="Arial" w:hAnsi="Arial"/>
                  <w:sz w:val="14"/>
                  <w:szCs w:val="14"/>
                  <w:b w:val="1"/>
                  <w:bCs w:val="1"/>
                  <w:color w:val="auto"/>
                </w:rPr>
                <w:t>24</w:t>
              </w:r>
            </w:hyperlink>
          </w:p>
        </w:tc>
      </w:tr>
    </w:tbl>
    <w:p>
      <w:pPr>
        <w:sectPr>
          <w:pgSz w:w="11900" w:h="16838" w:orient="portrait"/>
          <w:cols w:equalWidth="0" w:num="1">
            <w:col w:w="11200"/>
          </w:cols>
          <w:pgMar w:left="360" w:top="1053"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3"/>
          <w:szCs w:val="13"/>
          <w:b w:val="1"/>
          <w:bCs w:val="1"/>
          <w:color w:val="auto"/>
        </w:rPr>
        <w:t>Exhibit 5</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CONSOLIDATED STATEMENTS OF CASH FLOWS</w:t>
      </w:r>
    </w:p>
    <w:p>
      <w:pPr>
        <w:jc w:val="center"/>
        <w:ind w:right="20"/>
        <w:spacing w:after="0"/>
        <w:rPr>
          <w:sz w:val="20"/>
          <w:szCs w:val="20"/>
          <w:color w:val="auto"/>
        </w:rPr>
      </w:pPr>
      <w:r>
        <w:rPr>
          <w:rFonts w:ascii="Arial" w:cs="Arial" w:eastAsia="Arial" w:hAnsi="Arial"/>
          <w:sz w:val="13"/>
          <w:szCs w:val="13"/>
          <w:b w:val="1"/>
          <w:bCs w:val="1"/>
          <w:color w:val="auto"/>
        </w:rPr>
        <w:t>(In millions, 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20" w:type="dxa"/>
            <w:vAlign w:val="bottom"/>
          </w:tcPr>
          <w:p>
            <w:pPr>
              <w:spacing w:after="0"/>
              <w:rPr>
                <w:sz w:val="10"/>
                <w:szCs w:val="10"/>
                <w:color w:val="auto"/>
              </w:rPr>
            </w:pP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Three Months Ended June</w:t>
            </w:r>
          </w:p>
        </w:tc>
        <w:tc>
          <w:tcPr>
            <w:tcW w:w="320" w:type="dxa"/>
            <w:vAlign w:val="bottom"/>
          </w:tcPr>
          <w:p>
            <w:pPr>
              <w:spacing w:after="0"/>
              <w:rPr>
                <w:sz w:val="10"/>
                <w:szCs w:val="10"/>
                <w:color w:val="auto"/>
              </w:rPr>
            </w:pPr>
          </w:p>
        </w:tc>
        <w:tc>
          <w:tcPr>
            <w:tcW w:w="2440" w:type="dxa"/>
            <w:vAlign w:val="bottom"/>
            <w:gridSpan w:val="4"/>
            <w:vMerge w:val="restart"/>
          </w:tcPr>
          <w:p>
            <w:pPr>
              <w:jc w:val="right"/>
              <w:ind w:right="626"/>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586"/>
              <w:spacing w:after="0"/>
              <w:rPr>
                <w:sz w:val="20"/>
                <w:szCs w:val="20"/>
                <w:color w:val="auto"/>
              </w:rPr>
            </w:pPr>
            <w:r>
              <w:rPr>
                <w:rFonts w:ascii="Arial" w:cs="Arial" w:eastAsia="Arial" w:hAnsi="Arial"/>
                <w:sz w:val="11"/>
                <w:szCs w:val="11"/>
                <w:b w:val="1"/>
                <w:bCs w:val="1"/>
                <w:color w:val="auto"/>
              </w:rPr>
              <w:t>30,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6920" w:type="dxa"/>
            <w:vAlign w:val="bottom"/>
          </w:tcPr>
          <w:p>
            <w:pPr>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Pr>
          <w:p>
            <w:pPr>
              <w:spacing w:after="0"/>
              <w:rPr>
                <w:sz w:val="13"/>
                <w:szCs w:val="13"/>
                <w:color w:val="auto"/>
              </w:rPr>
            </w:pPr>
          </w:p>
        </w:tc>
        <w:tc>
          <w:tcPr>
            <w:tcW w:w="1100" w:type="dxa"/>
            <w:vAlign w:val="bottom"/>
          </w:tcPr>
          <w:p>
            <w:pPr>
              <w:jc w:val="right"/>
              <w:ind w:right="546"/>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86"/>
              <w:spacing w:after="0"/>
              <w:rPr>
                <w:sz w:val="20"/>
                <w:szCs w:val="20"/>
                <w:color w:val="auto"/>
              </w:rPr>
            </w:pPr>
            <w:r>
              <w:rPr>
                <w:rFonts w:ascii="Arial" w:cs="Arial" w:eastAsia="Arial" w:hAnsi="Arial"/>
                <w:sz w:val="11"/>
                <w:szCs w:val="11"/>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86"/>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2"/>
        </w:trPr>
        <w:tc>
          <w:tcPr>
            <w:tcW w:w="6920" w:type="dxa"/>
            <w:vAlign w:val="bottom"/>
            <w:vMerge w:val="restart"/>
          </w:tcPr>
          <w:p>
            <w:pPr>
              <w:spacing w:after="0"/>
              <w:rPr>
                <w:sz w:val="20"/>
                <w:szCs w:val="20"/>
                <w:color w:val="auto"/>
              </w:rPr>
            </w:pPr>
            <w:r>
              <w:rPr>
                <w:rFonts w:ascii="Arial" w:cs="Arial" w:eastAsia="Arial" w:hAnsi="Arial"/>
                <w:sz w:val="13"/>
                <w:szCs w:val="13"/>
                <w:i w:val="1"/>
                <w:iCs w:val="1"/>
                <w:color w:val="auto"/>
              </w:rPr>
              <w:t>Cash provided (required) by operating activities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920" w:type="dxa"/>
            <w:vAlign w:val="bottom"/>
          </w:tcPr>
          <w:p>
            <w:pPr>
              <w:spacing w:after="0"/>
              <w:rPr>
                <w:sz w:val="20"/>
                <w:szCs w:val="20"/>
                <w:color w:val="auto"/>
              </w:rPr>
            </w:pPr>
            <w:r>
              <w:rPr>
                <w:rFonts w:ascii="Arial" w:cs="Arial" w:eastAsia="Arial" w:hAnsi="Arial"/>
                <w:sz w:val="11"/>
                <w:szCs w:val="11"/>
                <w:color w:val="auto"/>
              </w:rPr>
              <w:t>Net income (loss) from continuing operations</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(172.6)</w:t>
            </w:r>
          </w:p>
        </w:tc>
        <w:tc>
          <w:tcPr>
            <w:tcW w:w="100" w:type="dxa"/>
            <w:vAlign w:val="bottom"/>
          </w:tcPr>
          <w:p>
            <w:pPr>
              <w:spacing w:after="0"/>
              <w:rPr>
                <w:sz w:val="13"/>
                <w:szCs w:val="1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259.5</w:t>
            </w:r>
          </w:p>
        </w:tc>
        <w:tc>
          <w:tcPr>
            <w:tcW w:w="120" w:type="dxa"/>
            <w:vAlign w:val="bottom"/>
          </w:tcPr>
          <w:p>
            <w:pPr>
              <w:spacing w:after="0"/>
              <w:rPr>
                <w:sz w:val="13"/>
                <w:szCs w:val="13"/>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(3,403.7)</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20"/>
                <w:szCs w:val="20"/>
                <w:color w:val="auto"/>
              </w:rPr>
            </w:pPr>
            <w:r>
              <w:rPr>
                <w:rFonts w:ascii="Arial" w:cs="Arial" w:eastAsia="Arial" w:hAnsi="Arial"/>
                <w:sz w:val="11"/>
                <w:szCs w:val="11"/>
                <w:i w:val="1"/>
                <w:iCs w:val="1"/>
                <w:color w:val="auto"/>
              </w:rPr>
              <w:t>Adjustments to reconcile income (loss) from continuing operations to cash provided (required) by operating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Depreciation</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153.0</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Amortization</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51.1</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Impairments</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3,221.7</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Employee benefit plan and share-based compensation costs</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Deferred income tax benefit, net</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(25.7)</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Income (loss) from investment in Technip Energies</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146.8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(323.3)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Unrealized (gain) loss on derivative instruments and foreign exchange</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66.9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Income from equity affiliates, net of dividends received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(35.8)</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Loss on early extinguishment of debt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Other</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82"/>
        </w:trPr>
        <w:tc>
          <w:tcPr>
            <w:tcW w:w="6920" w:type="dxa"/>
            <w:vAlign w:val="bottom"/>
          </w:tcPr>
          <w:p>
            <w:pPr>
              <w:spacing w:after="0"/>
              <w:rPr>
                <w:sz w:val="20"/>
                <w:szCs w:val="20"/>
                <w:color w:val="auto"/>
              </w:rPr>
            </w:pPr>
            <w:r>
              <w:rPr>
                <w:rFonts w:ascii="Arial" w:cs="Arial" w:eastAsia="Arial" w:hAnsi="Arial"/>
                <w:sz w:val="13"/>
                <w:szCs w:val="13"/>
                <w:i w:val="1"/>
                <w:iCs w:val="1"/>
                <w:color w:val="auto"/>
              </w:rPr>
              <w:t>Changes in operating assets and liabilities, net of effects of acquisitions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20" w:type="dxa"/>
            <w:vAlign w:val="bottom"/>
          </w:tcPr>
          <w:p>
            <w:pPr>
              <w:ind w:left="200"/>
              <w:spacing w:after="0"/>
              <w:rPr>
                <w:sz w:val="20"/>
                <w:szCs w:val="20"/>
                <w:color w:val="auto"/>
              </w:rPr>
            </w:pPr>
            <w:r>
              <w:rPr>
                <w:rFonts w:ascii="Arial" w:cs="Arial" w:eastAsia="Arial" w:hAnsi="Arial"/>
                <w:sz w:val="11"/>
                <w:szCs w:val="11"/>
                <w:color w:val="auto"/>
              </w:rPr>
              <w:t>Trade receivables, net and contract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(187.9)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(353.5)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(126.8)</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Inventories, net</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(56.8)</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Accounts payable, trade</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(72.8)</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(206.9)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51.3</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Income taxes payable (receivable), net</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173.6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Other current assets and liabilities,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(181.5)</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Other non-current assets and liabilities,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2"/>
        </w:trPr>
        <w:tc>
          <w:tcPr>
            <w:tcW w:w="6920" w:type="dxa"/>
            <w:vAlign w:val="bottom"/>
            <w:vMerge w:val="restart"/>
          </w:tcPr>
          <w:p>
            <w:pPr>
              <w:spacing w:after="0"/>
              <w:rPr>
                <w:sz w:val="20"/>
                <w:szCs w:val="20"/>
                <w:color w:val="auto"/>
              </w:rPr>
            </w:pPr>
            <w:r>
              <w:rPr>
                <w:rFonts w:ascii="Arial" w:cs="Arial" w:eastAsia="Arial" w:hAnsi="Arial"/>
                <w:sz w:val="13"/>
                <w:szCs w:val="13"/>
                <w:b w:val="1"/>
                <w:bCs w:val="1"/>
                <w:color w:val="auto"/>
              </w:rPr>
              <w:t>Cash provided (required) by operating activities from continuing operations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6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(85.9)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95.6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(415.6)</w:t>
            </w:r>
          </w:p>
        </w:tc>
        <w:tc>
          <w:tcPr>
            <w:tcW w:w="0" w:type="dxa"/>
            <w:vAlign w:val="bottom"/>
          </w:tcPr>
          <w:p>
            <w:pPr>
              <w:spacing w:after="0"/>
              <w:rPr>
                <w:sz w:val="1"/>
                <w:szCs w:val="1"/>
                <w:color w:val="auto"/>
              </w:rPr>
            </w:pPr>
          </w:p>
        </w:tc>
      </w:tr>
      <w:tr>
        <w:trPr>
          <w:trHeight w:val="185"/>
        </w:trPr>
        <w:tc>
          <w:tcPr>
            <w:tcW w:w="6920" w:type="dxa"/>
            <w:vAlign w:val="bottom"/>
          </w:tcPr>
          <w:p>
            <w:pPr>
              <w:spacing w:after="0"/>
              <w:rPr>
                <w:sz w:val="20"/>
                <w:szCs w:val="20"/>
                <w:color w:val="auto"/>
              </w:rPr>
            </w:pPr>
            <w:r>
              <w:rPr>
                <w:rFonts w:ascii="Arial" w:cs="Arial" w:eastAsia="Arial" w:hAnsi="Arial"/>
                <w:sz w:val="13"/>
                <w:szCs w:val="13"/>
                <w:b w:val="1"/>
                <w:bCs w:val="1"/>
                <w:color w:val="auto"/>
              </w:rPr>
              <w:t>Cash provided by operating activities from discontinued operations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349.6</w:t>
            </w:r>
          </w:p>
        </w:tc>
        <w:tc>
          <w:tcPr>
            <w:tcW w:w="0" w:type="dxa"/>
            <w:vAlign w:val="bottom"/>
          </w:tcPr>
          <w:p>
            <w:pPr>
              <w:spacing w:after="0"/>
              <w:rPr>
                <w:sz w:val="1"/>
                <w:szCs w:val="1"/>
                <w:color w:val="auto"/>
              </w:rPr>
            </w:pPr>
          </w:p>
        </w:tc>
      </w:tr>
      <w:tr>
        <w:trPr>
          <w:trHeight w:val="156"/>
        </w:trPr>
        <w:tc>
          <w:tcPr>
            <w:tcW w:w="6920" w:type="dxa"/>
            <w:vAlign w:val="bottom"/>
          </w:tcPr>
          <w:p>
            <w:pPr>
              <w:spacing w:after="0" w:line="146" w:lineRule="exact"/>
              <w:rPr>
                <w:sz w:val="20"/>
                <w:szCs w:val="20"/>
                <w:color w:val="auto"/>
              </w:rPr>
            </w:pPr>
            <w:r>
              <w:rPr>
                <w:rFonts w:ascii="Arial" w:cs="Arial" w:eastAsia="Arial" w:hAnsi="Arial"/>
                <w:sz w:val="13"/>
                <w:szCs w:val="13"/>
                <w:b w:val="1"/>
                <w:bCs w:val="1"/>
                <w:color w:val="auto"/>
              </w:rPr>
              <w:t>Cash provided (required) by operating activities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(85.9)</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161.9</w:t>
            </w:r>
          </w:p>
        </w:tc>
        <w:tc>
          <w:tcPr>
            <w:tcW w:w="1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(66.0)</w:t>
            </w:r>
          </w:p>
        </w:tc>
        <w:tc>
          <w:tcPr>
            <w:tcW w:w="0" w:type="dxa"/>
            <w:vAlign w:val="bottom"/>
          </w:tcPr>
          <w:p>
            <w:pPr>
              <w:spacing w:after="0"/>
              <w:rPr>
                <w:sz w:val="1"/>
                <w:szCs w:val="1"/>
                <w:color w:val="auto"/>
              </w:rPr>
            </w:pPr>
          </w:p>
        </w:tc>
      </w:tr>
      <w:tr>
        <w:trPr>
          <w:trHeight w:val="254"/>
        </w:trPr>
        <w:tc>
          <w:tcPr>
            <w:tcW w:w="6920" w:type="dxa"/>
            <w:vAlign w:val="bottom"/>
          </w:tcPr>
          <w:p>
            <w:pPr>
              <w:spacing w:after="0"/>
              <w:rPr>
                <w:sz w:val="20"/>
                <w:szCs w:val="20"/>
                <w:color w:val="auto"/>
              </w:rPr>
            </w:pPr>
            <w:r>
              <w:rPr>
                <w:rFonts w:ascii="Arial" w:cs="Arial" w:eastAsia="Arial" w:hAnsi="Arial"/>
                <w:sz w:val="13"/>
                <w:szCs w:val="13"/>
                <w:i w:val="1"/>
                <w:iCs w:val="1"/>
                <w:color w:val="auto"/>
              </w:rPr>
              <w:t>Cash provided (required) by investing activities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92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(39.7)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(83.9)</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(163.6)</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Net proceeds (payments) from sale of debt securities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Proceeds from sales of assets</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84.3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88.7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Proceeds from sale of investment in Technip Energies</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358.1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Advances paid to BPI</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Proceeds from repayment of advances to joint venture</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Other</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22"/>
        </w:trPr>
        <w:tc>
          <w:tcPr>
            <w:tcW w:w="6920" w:type="dxa"/>
            <w:vAlign w:val="bottom"/>
            <w:vMerge w:val="restart"/>
          </w:tcPr>
          <w:p>
            <w:pPr>
              <w:spacing w:after="0"/>
              <w:rPr>
                <w:sz w:val="20"/>
                <w:szCs w:val="20"/>
                <w:color w:val="auto"/>
              </w:rPr>
            </w:pPr>
            <w:r>
              <w:rPr>
                <w:rFonts w:ascii="Arial" w:cs="Arial" w:eastAsia="Arial" w:hAnsi="Arial"/>
                <w:sz w:val="13"/>
                <w:szCs w:val="13"/>
                <w:b w:val="1"/>
                <w:bCs w:val="1"/>
                <w:color w:val="auto"/>
              </w:rPr>
              <w:t>Cash provided (required) by investing activities from continuing operations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273.6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470.5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(114.9)</w:t>
            </w:r>
          </w:p>
        </w:tc>
        <w:tc>
          <w:tcPr>
            <w:tcW w:w="0" w:type="dxa"/>
            <w:vAlign w:val="bottom"/>
          </w:tcPr>
          <w:p>
            <w:pPr>
              <w:spacing w:after="0"/>
              <w:rPr>
                <w:sz w:val="1"/>
                <w:szCs w:val="1"/>
                <w:color w:val="auto"/>
              </w:rPr>
            </w:pPr>
          </w:p>
        </w:tc>
      </w:tr>
      <w:tr>
        <w:trPr>
          <w:trHeight w:val="185"/>
        </w:trPr>
        <w:tc>
          <w:tcPr>
            <w:tcW w:w="6920" w:type="dxa"/>
            <w:vAlign w:val="bottom"/>
          </w:tcPr>
          <w:p>
            <w:pPr>
              <w:spacing w:after="0"/>
              <w:rPr>
                <w:sz w:val="20"/>
                <w:szCs w:val="20"/>
                <w:color w:val="auto"/>
              </w:rPr>
            </w:pPr>
            <w:r>
              <w:rPr>
                <w:rFonts w:ascii="Arial" w:cs="Arial" w:eastAsia="Arial" w:hAnsi="Arial"/>
                <w:sz w:val="13"/>
                <w:szCs w:val="13"/>
                <w:b w:val="1"/>
                <w:bCs w:val="1"/>
                <w:color w:val="auto"/>
              </w:rPr>
              <w:t>Cash required by investing activities from discontinued operations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140"/>
        </w:trPr>
        <w:tc>
          <w:tcPr>
            <w:tcW w:w="6920" w:type="dxa"/>
            <w:vAlign w:val="bottom"/>
          </w:tcPr>
          <w:p>
            <w:pPr>
              <w:spacing w:after="0"/>
              <w:rPr>
                <w:sz w:val="20"/>
                <w:szCs w:val="20"/>
                <w:color w:val="auto"/>
              </w:rPr>
            </w:pPr>
            <w:r>
              <w:rPr>
                <w:rFonts w:ascii="Arial" w:cs="Arial" w:eastAsia="Arial" w:hAnsi="Arial"/>
                <w:sz w:val="11"/>
                <w:szCs w:val="11"/>
                <w:b w:val="1"/>
                <w:bCs w:val="1"/>
                <w:color w:val="auto"/>
              </w:rPr>
              <w:t>Cash provided (required) by investing activities</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273.6</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466.0</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(137.3)</w:t>
            </w:r>
          </w:p>
        </w:tc>
        <w:tc>
          <w:tcPr>
            <w:tcW w:w="0" w:type="dxa"/>
            <w:vAlign w:val="bottom"/>
          </w:tcPr>
          <w:p>
            <w:pPr>
              <w:spacing w:after="0"/>
              <w:rPr>
                <w:sz w:val="1"/>
                <w:szCs w:val="1"/>
                <w:color w:val="auto"/>
              </w:rPr>
            </w:pPr>
          </w:p>
        </w:tc>
      </w:tr>
      <w:tr>
        <w:trPr>
          <w:trHeight w:val="22"/>
        </w:trPr>
        <w:tc>
          <w:tcPr>
            <w:tcW w:w="6920" w:type="dxa"/>
            <w:vAlign w:val="bottom"/>
            <w:vMerge w:val="restart"/>
          </w:tcPr>
          <w:p>
            <w:pPr>
              <w:spacing w:after="0"/>
              <w:rPr>
                <w:sz w:val="20"/>
                <w:szCs w:val="20"/>
                <w:color w:val="auto"/>
              </w:rPr>
            </w:pPr>
            <w:r>
              <w:rPr>
                <w:rFonts w:ascii="Arial" w:cs="Arial" w:eastAsia="Arial" w:hAnsi="Arial"/>
                <w:sz w:val="13"/>
                <w:szCs w:val="13"/>
                <w:i w:val="1"/>
                <w:iCs w:val="1"/>
                <w:color w:val="auto"/>
              </w:rPr>
              <w:t>Cash provided (required) by financing activities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69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920" w:type="dxa"/>
            <w:vAlign w:val="bottom"/>
          </w:tcPr>
          <w:p>
            <w:pPr>
              <w:ind w:left="200"/>
              <w:spacing w:after="0"/>
              <w:rPr>
                <w:sz w:val="20"/>
                <w:szCs w:val="20"/>
                <w:color w:val="auto"/>
              </w:rPr>
            </w:pPr>
            <w:r>
              <w:rPr>
                <w:rFonts w:ascii="Arial" w:cs="Arial" w:eastAsia="Arial" w:hAnsi="Arial"/>
                <w:sz w:val="11"/>
                <w:szCs w:val="11"/>
                <w:color w:val="auto"/>
              </w:rPr>
              <w:t>Net increase (decrease) in short-term debt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24.0</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Net decrease in commercial paper</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(974.3)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(39.1)</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Net decrease in revolving credit facility</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Proceeds from issuance of long-term debt</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164.4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1,164.4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163.6</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Repayments of long-term debt</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(1,065.8)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Dividends paid</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Payments for debt issuance costs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Payments related to taxes withheld on share-based compensation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Other</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22"/>
        </w:trPr>
        <w:tc>
          <w:tcPr>
            <w:tcW w:w="6920" w:type="dxa"/>
            <w:vAlign w:val="bottom"/>
            <w:vMerge w:val="restart"/>
          </w:tcPr>
          <w:p>
            <w:pPr>
              <w:spacing w:after="0"/>
              <w:rPr>
                <w:sz w:val="20"/>
                <w:szCs w:val="20"/>
                <w:color w:val="auto"/>
              </w:rPr>
            </w:pPr>
            <w:r>
              <w:rPr>
                <w:rFonts w:ascii="Arial" w:cs="Arial" w:eastAsia="Arial" w:hAnsi="Arial"/>
                <w:sz w:val="13"/>
                <w:szCs w:val="13"/>
                <w:b w:val="1"/>
                <w:bCs w:val="1"/>
                <w:color w:val="auto"/>
              </w:rPr>
              <w:t>Cash provided (required) by financing activities from continuing operations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6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(89.2)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(955.8)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82.9</w:t>
            </w:r>
          </w:p>
        </w:tc>
        <w:tc>
          <w:tcPr>
            <w:tcW w:w="0" w:type="dxa"/>
            <w:vAlign w:val="bottom"/>
          </w:tcPr>
          <w:p>
            <w:pPr>
              <w:spacing w:after="0"/>
              <w:rPr>
                <w:sz w:val="1"/>
                <w:szCs w:val="1"/>
                <w:color w:val="auto"/>
              </w:rPr>
            </w:pPr>
          </w:p>
        </w:tc>
      </w:tr>
      <w:tr>
        <w:trPr>
          <w:trHeight w:val="185"/>
        </w:trPr>
        <w:tc>
          <w:tcPr>
            <w:tcW w:w="6920" w:type="dxa"/>
            <w:vAlign w:val="bottom"/>
          </w:tcPr>
          <w:p>
            <w:pPr>
              <w:spacing w:after="0"/>
              <w:rPr>
                <w:sz w:val="20"/>
                <w:szCs w:val="20"/>
                <w:color w:val="auto"/>
              </w:rPr>
            </w:pPr>
            <w:r>
              <w:rPr>
                <w:rFonts w:ascii="Arial" w:cs="Arial" w:eastAsia="Arial" w:hAnsi="Arial"/>
                <w:sz w:val="13"/>
                <w:szCs w:val="13"/>
                <w:b w:val="1"/>
                <w:bCs w:val="1"/>
                <w:color w:val="auto"/>
              </w:rPr>
              <w:t>Cash required by financing activities from discontinued operations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(327.2)</w:t>
            </w:r>
          </w:p>
        </w:tc>
        <w:tc>
          <w:tcPr>
            <w:tcW w:w="0" w:type="dxa"/>
            <w:vAlign w:val="bottom"/>
          </w:tcPr>
          <w:p>
            <w:pPr>
              <w:spacing w:after="0"/>
              <w:rPr>
                <w:sz w:val="1"/>
                <w:szCs w:val="1"/>
                <w:color w:val="auto"/>
              </w:rPr>
            </w:pPr>
          </w:p>
        </w:tc>
      </w:tr>
      <w:tr>
        <w:trPr>
          <w:trHeight w:val="140"/>
        </w:trPr>
        <w:tc>
          <w:tcPr>
            <w:tcW w:w="6920" w:type="dxa"/>
            <w:vAlign w:val="bottom"/>
          </w:tcPr>
          <w:p>
            <w:pPr>
              <w:spacing w:after="0"/>
              <w:rPr>
                <w:sz w:val="20"/>
                <w:szCs w:val="20"/>
                <w:color w:val="auto"/>
              </w:rPr>
            </w:pPr>
            <w:r>
              <w:rPr>
                <w:rFonts w:ascii="Arial" w:cs="Arial" w:eastAsia="Arial" w:hAnsi="Arial"/>
                <w:sz w:val="11"/>
                <w:szCs w:val="11"/>
                <w:b w:val="1"/>
                <w:bCs w:val="1"/>
                <w:color w:val="auto"/>
              </w:rPr>
              <w:t>Cash required by financing activities</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(89.2)</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(1,034.9)</w:t>
            </w: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(244.3)</w:t>
            </w:r>
          </w:p>
        </w:tc>
        <w:tc>
          <w:tcPr>
            <w:tcW w:w="0" w:type="dxa"/>
            <w:vAlign w:val="bottom"/>
          </w:tcPr>
          <w:p>
            <w:pPr>
              <w:spacing w:after="0"/>
              <w:rPr>
                <w:sz w:val="1"/>
                <w:szCs w:val="1"/>
                <w:color w:val="auto"/>
              </w:rPr>
            </w:pPr>
          </w:p>
        </w:tc>
      </w:tr>
      <w:tr>
        <w:trPr>
          <w:trHeight w:val="22"/>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6920" w:type="dxa"/>
            <w:vAlign w:val="bottom"/>
          </w:tcPr>
          <w:p>
            <w:pPr>
              <w:ind w:left="200"/>
              <w:spacing w:after="0"/>
              <w:rPr>
                <w:sz w:val="20"/>
                <w:szCs w:val="20"/>
                <w:color w:val="auto"/>
              </w:rPr>
            </w:pPr>
            <w:r>
              <w:rPr>
                <w:rFonts w:ascii="Arial" w:cs="Arial" w:eastAsia="Arial" w:hAnsi="Arial"/>
                <w:sz w:val="11"/>
                <w:szCs w:val="11"/>
                <w:color w:val="auto"/>
              </w:rPr>
              <w:t>Effect of changes in foreign exchange rates on cash and cash equivalents</w:t>
            </w:r>
          </w:p>
        </w:tc>
        <w:tc>
          <w:tcPr>
            <w:tcW w:w="340" w:type="dxa"/>
            <w:vAlign w:val="bottom"/>
          </w:tcPr>
          <w:p>
            <w:pPr>
              <w:spacing w:after="0"/>
              <w:rPr>
                <w:sz w:val="11"/>
                <w:szCs w:val="11"/>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(42.0)</w:t>
            </w:r>
          </w:p>
        </w:tc>
        <w:tc>
          <w:tcPr>
            <w:tcW w:w="0" w:type="dxa"/>
            <w:vAlign w:val="bottom"/>
          </w:tcPr>
          <w:p>
            <w:pPr>
              <w:spacing w:after="0"/>
              <w:rPr>
                <w:sz w:val="1"/>
                <w:szCs w:val="1"/>
                <w:color w:val="auto"/>
              </w:rPr>
            </w:pPr>
          </w:p>
        </w:tc>
      </w:tr>
      <w:tr>
        <w:trPr>
          <w:trHeight w:val="162"/>
        </w:trPr>
        <w:tc>
          <w:tcPr>
            <w:tcW w:w="6920" w:type="dxa"/>
            <w:vAlign w:val="bottom"/>
          </w:tcPr>
          <w:p>
            <w:pPr>
              <w:ind w:left="200"/>
              <w:spacing w:after="0"/>
              <w:rPr>
                <w:sz w:val="20"/>
                <w:szCs w:val="20"/>
                <w:color w:val="auto"/>
              </w:rPr>
            </w:pPr>
            <w:r>
              <w:rPr>
                <w:rFonts w:ascii="Arial" w:cs="Arial" w:eastAsia="Arial" w:hAnsi="Arial"/>
                <w:sz w:val="11"/>
                <w:szCs w:val="11"/>
                <w:color w:val="auto"/>
              </w:rPr>
              <w:t>Change in cash and cash equivalents</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102.1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(414.3)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(489.6)</w:t>
            </w:r>
          </w:p>
        </w:tc>
        <w:tc>
          <w:tcPr>
            <w:tcW w:w="0" w:type="dxa"/>
            <w:vAlign w:val="bottom"/>
          </w:tcPr>
          <w:p>
            <w:pPr>
              <w:spacing w:after="0"/>
              <w:rPr>
                <w:sz w:val="1"/>
                <w:szCs w:val="1"/>
                <w:color w:val="auto"/>
              </w:rPr>
            </w:pPr>
          </w:p>
        </w:tc>
      </w:tr>
      <w:tr>
        <w:trPr>
          <w:trHeight w:val="162"/>
        </w:trPr>
        <w:tc>
          <w:tcPr>
            <w:tcW w:w="6920" w:type="dxa"/>
            <w:vAlign w:val="bottom"/>
          </w:tcPr>
          <w:p>
            <w:pPr>
              <w:spacing w:after="0"/>
              <w:rPr>
                <w:sz w:val="20"/>
                <w:szCs w:val="20"/>
                <w:color w:val="auto"/>
              </w:rPr>
            </w:pPr>
            <w:r>
              <w:rPr>
                <w:rFonts w:ascii="Arial" w:cs="Arial" w:eastAsia="Arial" w:hAnsi="Arial"/>
                <w:sz w:val="11"/>
                <w:szCs w:val="11"/>
                <w:color w:val="auto"/>
              </w:rPr>
              <w:t>Cash and cash equivalents, beginning of period</w:t>
            </w:r>
          </w:p>
        </w:tc>
        <w:tc>
          <w:tcPr>
            <w:tcW w:w="340" w:type="dxa"/>
            <w:vAlign w:val="bottom"/>
          </w:tcPr>
          <w:p>
            <w:pPr>
              <w:spacing w:after="0"/>
              <w:rPr>
                <w:sz w:val="14"/>
                <w:szCs w:val="14"/>
                <w:color w:val="auto"/>
              </w:rPr>
            </w:pPr>
          </w:p>
        </w:tc>
        <w:tc>
          <w:tcPr>
            <w:tcW w:w="1100" w:type="dxa"/>
            <w:vAlign w:val="bottom"/>
          </w:tcPr>
          <w:p>
            <w:pPr>
              <w:jc w:val="right"/>
              <w:ind w:right="6"/>
              <w:spacing w:after="0"/>
              <w:rPr>
                <w:sz w:val="20"/>
                <w:szCs w:val="20"/>
                <w:color w:val="auto"/>
              </w:rPr>
            </w:pPr>
            <w:r>
              <w:rPr>
                <w:rFonts w:ascii="Arial" w:cs="Arial" w:eastAsia="Arial" w:hAnsi="Arial"/>
                <w:sz w:val="11"/>
                <w:szCs w:val="11"/>
                <w:color w:val="auto"/>
              </w:rPr>
              <w:t>752.8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1,269.2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1,563.1</w:t>
            </w:r>
          </w:p>
        </w:tc>
        <w:tc>
          <w:tcPr>
            <w:tcW w:w="0" w:type="dxa"/>
            <w:vAlign w:val="bottom"/>
          </w:tcPr>
          <w:p>
            <w:pPr>
              <w:spacing w:after="0"/>
              <w:rPr>
                <w:sz w:val="1"/>
                <w:szCs w:val="1"/>
                <w:color w:val="auto"/>
              </w:rPr>
            </w:pPr>
          </w:p>
        </w:tc>
      </w:tr>
      <w:tr>
        <w:trPr>
          <w:trHeight w:val="22"/>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6920" w:type="dxa"/>
            <w:vAlign w:val="bottom"/>
          </w:tcPr>
          <w:p>
            <w:pPr>
              <w:spacing w:after="0"/>
              <w:rPr>
                <w:sz w:val="20"/>
                <w:szCs w:val="20"/>
                <w:color w:val="auto"/>
              </w:rPr>
            </w:pPr>
            <w:r>
              <w:rPr>
                <w:rFonts w:ascii="Arial" w:cs="Arial" w:eastAsia="Arial" w:hAnsi="Arial"/>
                <w:sz w:val="11"/>
                <w:szCs w:val="11"/>
                <w:color w:val="auto"/>
              </w:rPr>
              <w:t>Cash and cash equivalents, end of period</w:t>
            </w: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854.9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854.9</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1,073.5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502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16 of </w:t>
      </w:r>
      <w:hyperlink w:anchor="page27">
        <w:r>
          <w:rPr>
            <w:rFonts w:ascii="Arial" w:cs="Arial" w:eastAsia="Arial" w:hAnsi="Arial"/>
            <w:sz w:val="14"/>
            <w:szCs w:val="14"/>
            <w:b w:val="1"/>
            <w:bCs w:val="1"/>
            <w:color w:val="auto"/>
          </w:rPr>
          <w:t>24</w:t>
        </w:r>
      </w:hyperlink>
    </w:p>
    <w:p>
      <w:pPr>
        <w:sectPr>
          <w:pgSz w:w="11900" w:h="16838" w:orient="portrait"/>
          <w:cols w:equalWidth="0" w:num="1">
            <w:col w:w="11220"/>
          </w:cols>
          <w:pgMar w:left="340" w:top="89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second quarter 2021 Earnings Release also includes non-GAAP financial measures (as defined in Item 10 of Regulation S-K of the Securities Exchange Act of 1934, as amended) and describes performance on a year-over-year basis against 2020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June 30, 2021</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Income (loss) from</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6"/>
              </w:rPr>
              <w:t>Earnings before</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attributable to non-</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before net interest</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2"/>
              </w:rPr>
              <w:t>expense, income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operations</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140" w:type="dxa"/>
            <w:vAlign w:val="bottom"/>
          </w:tcPr>
          <w:p>
            <w:pPr>
              <w:spacing w:after="0"/>
              <w:rPr>
                <w:sz w:val="10"/>
                <w:szCs w:val="10"/>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2"/>
              </w:rPr>
              <w:t>Provision for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Net interest</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expense and</w:t>
            </w:r>
          </w:p>
        </w:tc>
        <w:tc>
          <w:tcPr>
            <w:tcW w:w="80" w:type="dxa"/>
            <w:vAlign w:val="bottom"/>
          </w:tcPr>
          <w:p>
            <w:pPr>
              <w:spacing w:after="0"/>
              <w:rPr>
                <w:sz w:val="10"/>
                <w:szCs w:val="10"/>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4"/>
              </w:rPr>
              <w:t>income taxes</w:t>
            </w: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0"/>
              </w:rPr>
              <w:t>and amortization</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TechnipFMC plc</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operations</w:t>
            </w:r>
          </w:p>
        </w:tc>
        <w:tc>
          <w:tcPr>
            <w:tcW w:w="14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auto"/>
                <w:w w:val="89"/>
              </w:rPr>
              <w:t>income taxes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expense</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(Operating profit)</w:t>
            </w: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(102.5)</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337"/>
        </w:trPr>
        <w:tc>
          <w:tcPr>
            <w:tcW w:w="2840" w:type="dxa"/>
            <w:vAlign w:val="bottom"/>
          </w:tcPr>
          <w:p>
            <w:pPr>
              <w:spacing w:after="0"/>
              <w:rPr>
                <w:sz w:val="20"/>
                <w:szCs w:val="20"/>
                <w:color w:val="auto"/>
              </w:rPr>
            </w:pPr>
            <w:r>
              <w:rPr>
                <w:rFonts w:ascii="Arial" w:cs="Arial" w:eastAsia="Arial" w:hAnsi="Arial"/>
                <w:sz w:val="13"/>
                <w:szCs w:val="13"/>
                <w:color w:val="auto"/>
              </w:rPr>
              <w:t>Charges and (credits):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6"/>
        </w:trPr>
        <w:tc>
          <w:tcPr>
            <w:tcW w:w="284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5"/>
        </w:trPr>
        <w:tc>
          <w:tcPr>
            <w:tcW w:w="2840" w:type="dxa"/>
            <w:vAlign w:val="bottom"/>
          </w:tcPr>
          <w:p>
            <w:pPr>
              <w:ind w:left="200"/>
              <w:spacing w:after="0"/>
              <w:rPr>
                <w:sz w:val="20"/>
                <w:szCs w:val="20"/>
                <w:color w:val="auto"/>
              </w:rPr>
            </w:pPr>
            <w:r>
              <w:rPr>
                <w:rFonts w:ascii="Arial" w:cs="Arial" w:eastAsia="Arial" w:hAnsi="Arial"/>
                <w:sz w:val="13"/>
                <w:szCs w:val="13"/>
                <w:color w:val="auto"/>
              </w:rPr>
              <w:t>Loss from investment in Technip Energies</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3"/>
                <w:szCs w:val="13"/>
                <w:color w:val="auto"/>
                <w:w w:val="99"/>
              </w:rPr>
              <w:t>Diluted loss per share from continuing operations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40" w:type="dxa"/>
            <w:vAlign w:val="bottom"/>
            <w:vMerge w:val="continue"/>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40" w:type="dxa"/>
            <w:vAlign w:val="bottom"/>
          </w:tcPr>
          <w:p>
            <w:pPr>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(0.06)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3"/>
                <w:szCs w:val="13"/>
                <w:color w:val="auto"/>
              </w:rPr>
              <w:t>operations attributable to TechnipFMC plc</w:t>
            </w:r>
          </w:p>
        </w:tc>
        <w:tc>
          <w:tcPr>
            <w:tcW w:w="1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7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Three Months Ended</w:t>
            </w: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8"/>
              </w:rPr>
              <w:t>March 31, 2021</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Income (loss) from</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0"/>
              </w:rPr>
              <w:t>Income attributable</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6"/>
              </w:rPr>
              <w:t>Earnings before net</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4"/>
              </w:rPr>
              <w:t>Net interest expense</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Income before net</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2"/>
              </w:rPr>
              <w:t>interest expense,</w:t>
            </w:r>
          </w:p>
        </w:tc>
        <w:tc>
          <w:tcPr>
            <w:tcW w:w="0" w:type="dxa"/>
            <w:vAlign w:val="bottom"/>
          </w:tcPr>
          <w:p>
            <w:pPr>
              <w:spacing w:after="0"/>
              <w:rPr>
                <w:sz w:val="1"/>
                <w:szCs w:val="1"/>
                <w:color w:val="auto"/>
              </w:rPr>
            </w:pPr>
          </w:p>
        </w:tc>
      </w:tr>
      <w:tr>
        <w:trPr>
          <w:trHeight w:val="121"/>
        </w:trPr>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continuing</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to non-controlling</w:t>
            </w: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Provision</w:t>
            </w:r>
          </w:p>
        </w:tc>
        <w:tc>
          <w:tcPr>
            <w:tcW w:w="1240" w:type="dxa"/>
            <w:vAlign w:val="bottom"/>
            <w:gridSpan w:val="3"/>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3"/>
              </w:rPr>
              <w:t>income taxes,</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operations</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and loss on early</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3"/>
              </w:rPr>
              <w:t>interest expense</w:t>
            </w:r>
          </w:p>
        </w:tc>
        <w:tc>
          <w:tcPr>
            <w:tcW w:w="80" w:type="dxa"/>
            <w:vAlign w:val="bottom"/>
          </w:tcPr>
          <w:p>
            <w:pPr>
              <w:spacing w:after="0"/>
              <w:rPr>
                <w:sz w:val="10"/>
                <w:szCs w:val="10"/>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Depreciation and</w:t>
            </w: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8"/>
              </w:rPr>
              <w:t>depreciation and</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(benefit) for</w:t>
            </w:r>
          </w:p>
        </w:tc>
        <w:tc>
          <w:tcPr>
            <w:tcW w:w="8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extinguishment of</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6"/>
              </w:rPr>
              <w:t>and income taxes</w:t>
            </w: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7"/>
              </w:rPr>
              <w:t>amortization</w:t>
            </w:r>
          </w:p>
        </w:tc>
        <w:tc>
          <w:tcPr>
            <w:tcW w:w="0" w:type="dxa"/>
            <w:vAlign w:val="bottom"/>
          </w:tcPr>
          <w:p>
            <w:pPr>
              <w:spacing w:after="0"/>
              <w:rPr>
                <w:sz w:val="1"/>
                <w:szCs w:val="1"/>
                <w:color w:val="auto"/>
              </w:rPr>
            </w:pPr>
          </w:p>
        </w:tc>
      </w:tr>
      <w:tr>
        <w:trPr>
          <w:trHeight w:val="169"/>
        </w:trPr>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TechnipFMC plc</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operations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income taxes</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debt</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(Operating profit)</w:t>
            </w: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amortization</w:t>
            </w:r>
          </w:p>
        </w:tc>
        <w:tc>
          <w:tcPr>
            <w:tcW w:w="120" w:type="dxa"/>
            <w:vAlign w:val="bottom"/>
          </w:tcPr>
          <w:p>
            <w:pPr>
              <w:spacing w:after="0"/>
              <w:rPr>
                <w:sz w:val="14"/>
                <w:szCs w:val="14"/>
                <w:color w:val="auto"/>
              </w:rPr>
            </w:pPr>
          </w:p>
        </w:tc>
        <w:tc>
          <w:tcPr>
            <w:tcW w:w="1080" w:type="dxa"/>
            <w:vAlign w:val="bottom"/>
          </w:tcPr>
          <w:p>
            <w:pPr>
              <w:jc w:val="center"/>
              <w:ind w:right="5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430.3</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514.6</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609.8</w:t>
            </w:r>
          </w:p>
        </w:tc>
        <w:tc>
          <w:tcPr>
            <w:tcW w:w="0" w:type="dxa"/>
            <w:vAlign w:val="bottom"/>
          </w:tcPr>
          <w:p>
            <w:pPr>
              <w:spacing w:after="0"/>
              <w:rPr>
                <w:sz w:val="1"/>
                <w:szCs w:val="1"/>
                <w:color w:val="auto"/>
              </w:rPr>
            </w:pPr>
          </w:p>
        </w:tc>
      </w:tr>
      <w:tr>
        <w:trPr>
          <w:trHeight w:val="337"/>
        </w:trPr>
        <w:tc>
          <w:tcPr>
            <w:tcW w:w="2760" w:type="dxa"/>
            <w:vAlign w:val="bottom"/>
          </w:tcPr>
          <w:p>
            <w:pPr>
              <w:spacing w:after="0"/>
              <w:rPr>
                <w:sz w:val="20"/>
                <w:szCs w:val="20"/>
                <w:color w:val="auto"/>
              </w:rPr>
            </w:pPr>
            <w:r>
              <w:rPr>
                <w:rFonts w:ascii="Arial" w:cs="Arial" w:eastAsia="Arial" w:hAnsi="Arial"/>
                <w:sz w:val="13"/>
                <w:szCs w:val="13"/>
                <w:color w:val="auto"/>
              </w:rPr>
              <w:t>Charges and (credits):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75"/>
        </w:trPr>
        <w:tc>
          <w:tcPr>
            <w:tcW w:w="276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5"/>
        </w:trPr>
        <w:tc>
          <w:tcPr>
            <w:tcW w:w="2760" w:type="dxa"/>
            <w:vAlign w:val="bottom"/>
          </w:tcPr>
          <w:p>
            <w:pPr>
              <w:ind w:left="200"/>
              <w:spacing w:after="0"/>
              <w:rPr>
                <w:sz w:val="20"/>
                <w:szCs w:val="20"/>
                <w:color w:val="auto"/>
              </w:rPr>
            </w:pPr>
            <w:r>
              <w:rPr>
                <w:rFonts w:ascii="Arial" w:cs="Arial" w:eastAsia="Arial" w:hAnsi="Arial"/>
                <w:sz w:val="13"/>
                <w:szCs w:val="13"/>
                <w:color w:val="auto"/>
                <w:w w:val="98"/>
              </w:rPr>
              <w:t>Income from investment in Technip Energies</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(470.1)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(470.1)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(470.1)</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21"/>
        </w:trPr>
        <w:tc>
          <w:tcPr>
            <w:tcW w:w="2760" w:type="dxa"/>
            <w:vAlign w:val="bottom"/>
            <w:vMerge w:val="restart"/>
          </w:tcPr>
          <w:p>
            <w:pPr>
              <w:spacing w:after="0"/>
              <w:rPr>
                <w:sz w:val="20"/>
                <w:szCs w:val="20"/>
                <w:color w:val="auto"/>
              </w:rPr>
            </w:pPr>
            <w:r>
              <w:rPr>
                <w:rFonts w:ascii="Arial" w:cs="Arial" w:eastAsia="Arial" w:hAnsi="Arial"/>
                <w:sz w:val="13"/>
                <w:szCs w:val="13"/>
                <w:color w:val="auto"/>
                <w:w w:val="88"/>
              </w:rPr>
              <w:t>Diluted earnings per share from continuing operations</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60" w:type="dxa"/>
            <w:vAlign w:val="bottom"/>
            <w:vMerge w:val="continue"/>
          </w:tcPr>
          <w:p>
            <w:pPr>
              <w:spacing w:after="0"/>
              <w:rPr>
                <w:sz w:val="21"/>
                <w:szCs w:val="2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0.95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60" w:type="dxa"/>
            <w:vAlign w:val="bottom"/>
          </w:tcPr>
          <w:p>
            <w:pPr>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60" w:type="dxa"/>
            <w:vAlign w:val="bottom"/>
          </w:tcPr>
          <w:p>
            <w:pPr>
              <w:spacing w:after="0"/>
              <w:rPr>
                <w:sz w:val="20"/>
                <w:szCs w:val="20"/>
                <w:color w:val="auto"/>
              </w:rPr>
            </w:pPr>
            <w:r>
              <w:rPr>
                <w:rFonts w:ascii="Arial" w:cs="Arial" w:eastAsia="Arial" w:hAnsi="Arial"/>
                <w:sz w:val="13"/>
                <w:szCs w:val="13"/>
                <w:color w:val="auto"/>
              </w:rPr>
              <w:t>operations attributable to TechnipFMC plc</w:t>
            </w:r>
          </w:p>
        </w:tc>
        <w:tc>
          <w:tcPr>
            <w:tcW w:w="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17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053"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40"/>
        <w:spacing w:after="0"/>
        <w:rPr>
          <w:sz w:val="20"/>
          <w:szCs w:val="20"/>
          <w:color w:val="auto"/>
        </w:rPr>
      </w:pPr>
      <w:r>
        <w:rPr>
          <w:rFonts w:ascii="Arial" w:cs="Arial" w:eastAsia="Arial" w:hAnsi="Arial"/>
          <w:sz w:val="13"/>
          <w:szCs w:val="13"/>
          <w:b w:val="1"/>
          <w:bCs w:val="1"/>
          <w:color w:val="auto"/>
        </w:rPr>
        <w:t>(In millions, 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Three Months Ended</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7"/>
              </w:rPr>
              <w:t>June 30, 2020</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Loss from</w:t>
            </w:r>
          </w:p>
        </w:tc>
        <w:tc>
          <w:tcPr>
            <w:tcW w:w="14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Income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attributable to non-</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Loss before net</w:t>
            </w: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operations</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140" w:type="dxa"/>
            <w:vAlign w:val="bottom"/>
          </w:tcPr>
          <w:p>
            <w:pPr>
              <w:spacing w:after="0"/>
              <w:rPr>
                <w:sz w:val="10"/>
                <w:szCs w:val="10"/>
                <w:color w:val="auto"/>
              </w:rPr>
            </w:pPr>
          </w:p>
        </w:tc>
        <w:tc>
          <w:tcPr>
            <w:tcW w:w="9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2"/>
              </w:rPr>
              <w:t>Provision for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Net interest</w:t>
            </w:r>
          </w:p>
        </w:tc>
        <w:tc>
          <w:tcPr>
            <w:tcW w:w="100" w:type="dxa"/>
            <w:vAlign w:val="bottom"/>
          </w:tcPr>
          <w:p>
            <w:pPr>
              <w:spacing w:after="0"/>
              <w:rPr>
                <w:sz w:val="10"/>
                <w:szCs w:val="10"/>
                <w:color w:val="auto"/>
              </w:rPr>
            </w:pPr>
          </w:p>
        </w:tc>
        <w:tc>
          <w:tcPr>
            <w:tcW w:w="11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3"/>
              </w:rPr>
              <w:t>interest expense</w:t>
            </w:r>
          </w:p>
        </w:tc>
        <w:tc>
          <w:tcPr>
            <w:tcW w:w="8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Depreciation and</w:t>
            </w:r>
          </w:p>
        </w:tc>
        <w:tc>
          <w:tcPr>
            <w:tcW w:w="10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continuing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and income taxes</w:t>
            </w: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8"/>
              </w:rPr>
              <w:t>and amortization</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TechnipFMC plc</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operations</w:t>
            </w:r>
          </w:p>
        </w:tc>
        <w:tc>
          <w:tcPr>
            <w:tcW w:w="14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auto"/>
                <w:w w:val="89"/>
              </w:rPr>
              <w:t>income taxes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(Operating profit)</w:t>
            </w: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amortization</w:t>
            </w:r>
          </w:p>
        </w:tc>
        <w:tc>
          <w:tcPr>
            <w:tcW w:w="8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(177.6)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(121.6)</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95.4</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0" w:type="dxa"/>
            <w:vAlign w:val="bottom"/>
          </w:tcPr>
          <w:p>
            <w:pPr>
              <w:spacing w:after="0"/>
              <w:rPr>
                <w:sz w:val="1"/>
                <w:szCs w:val="1"/>
                <w:color w:val="auto"/>
              </w:rPr>
            </w:pPr>
          </w:p>
        </w:tc>
      </w:tr>
      <w:tr>
        <w:trPr>
          <w:trHeight w:val="337"/>
        </w:trPr>
        <w:tc>
          <w:tcPr>
            <w:tcW w:w="2880" w:type="dxa"/>
            <w:vAlign w:val="bottom"/>
          </w:tcPr>
          <w:p>
            <w:pPr>
              <w:spacing w:after="0"/>
              <w:rPr>
                <w:sz w:val="20"/>
                <w:szCs w:val="20"/>
                <w:color w:val="auto"/>
              </w:rPr>
            </w:pPr>
            <w:r>
              <w:rPr>
                <w:rFonts w:ascii="Arial" w:cs="Arial" w:eastAsia="Arial" w:hAnsi="Arial"/>
                <w:sz w:val="13"/>
                <w:szCs w:val="13"/>
                <w:color w:val="auto"/>
              </w:rPr>
              <w:t>Charges and (credits):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8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75"/>
        </w:trPr>
        <w:tc>
          <w:tcPr>
            <w:tcW w:w="288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76"/>
        </w:trPr>
        <w:tc>
          <w:tcPr>
            <w:tcW w:w="2880" w:type="dxa"/>
            <w:vAlign w:val="bottom"/>
          </w:tcPr>
          <w:p>
            <w:pPr>
              <w:ind w:left="20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85"/>
        </w:trPr>
        <w:tc>
          <w:tcPr>
            <w:tcW w:w="2880" w:type="dxa"/>
            <w:vAlign w:val="bottom"/>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8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21"/>
        </w:trPr>
        <w:tc>
          <w:tcPr>
            <w:tcW w:w="2880" w:type="dxa"/>
            <w:vAlign w:val="bottom"/>
            <w:vMerge w:val="restart"/>
          </w:tcPr>
          <w:p>
            <w:pPr>
              <w:spacing w:after="0"/>
              <w:rPr>
                <w:sz w:val="20"/>
                <w:szCs w:val="20"/>
                <w:color w:val="auto"/>
              </w:rPr>
            </w:pPr>
            <w:r>
              <w:rPr>
                <w:rFonts w:ascii="Arial" w:cs="Arial" w:eastAsia="Arial" w:hAnsi="Arial"/>
                <w:sz w:val="13"/>
                <w:szCs w:val="13"/>
                <w:color w:val="auto"/>
              </w:rPr>
              <w:t>Diluted loss per share from continuing operations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80" w:type="dxa"/>
            <w:vAlign w:val="bottom"/>
            <w:vMerge w:val="continue"/>
          </w:tcPr>
          <w:p>
            <w:pPr>
              <w:spacing w:after="0"/>
              <w:rPr>
                <w:sz w:val="21"/>
                <w:szCs w:val="2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line="137" w:lineRule="exact"/>
              <w:rPr>
                <w:sz w:val="20"/>
                <w:szCs w:val="20"/>
                <w:color w:val="auto"/>
              </w:rPr>
            </w:pPr>
            <w:r>
              <w:rPr>
                <w:rFonts w:ascii="Arial" w:cs="Arial" w:eastAsia="Arial" w:hAnsi="Arial"/>
                <w:sz w:val="13"/>
                <w:szCs w:val="13"/>
                <w:color w:val="auto"/>
              </w:rPr>
              <w:t>Adjusted diluted loss per share from continuing</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operations attributable to TechnipFMC plc</w:t>
            </w:r>
          </w:p>
        </w:tc>
        <w:tc>
          <w:tcPr>
            <w:tcW w:w="10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5000"/>
        <w:spacing w:after="0"/>
        <w:tabs>
          <w:tab w:leader="none" w:pos="10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18 of </w:t>
      </w:r>
      <w:hyperlink w:anchor="page27">
        <w:r>
          <w:rPr>
            <w:rFonts w:ascii="Arial" w:cs="Arial" w:eastAsia="Arial" w:hAnsi="Arial"/>
            <w:sz w:val="14"/>
            <w:szCs w:val="14"/>
            <w:b w:val="1"/>
            <w:bCs w:val="1"/>
            <w:color w:val="auto"/>
          </w:rPr>
          <w:t>24</w:t>
        </w:r>
      </w:hyperlink>
    </w:p>
    <w:p>
      <w:pPr>
        <w:sectPr>
          <w:pgSz w:w="11900" w:h="16838" w:orient="portrait"/>
          <w:cols w:equalWidth="0" w:num="1">
            <w:col w:w="11200"/>
          </w:cols>
          <w:pgMar w:left="360" w:top="1053"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Exhibit 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322" w:lineRule="auto"/>
        <w:rPr>
          <w:sz w:val="20"/>
          <w:szCs w:val="20"/>
          <w:color w:val="auto"/>
        </w:rPr>
      </w:pPr>
      <w:r>
        <w:rPr>
          <w:rFonts w:ascii="Arial" w:cs="Arial" w:eastAsia="Arial" w:hAnsi="Arial"/>
          <w:sz w:val="10"/>
          <w:szCs w:val="10"/>
          <w:color w:val="auto"/>
        </w:rPr>
        <w:t>In addition to financial results determined in accordance with U.S. generally accepted accounting principles (GAAP), the second quarter 2021 Earnings Release also includes non-GAAP financial measures (as defined in Item 10 of Regulation S-K of the Securities Exchange Act of 1934, as amended) and describes performance on a year-over-year basis against 2020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9"/>
              </w:rPr>
              <w:t>Six Months Ended</w:t>
            </w:r>
          </w:p>
        </w:tc>
        <w:tc>
          <w:tcPr>
            <w:tcW w:w="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87"/>
              </w:rPr>
              <w:t>June 30, 2021</w:t>
            </w: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14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4"/>
              </w:rPr>
              <w:t>Income (loss)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6"/>
              </w:rPr>
              <w:t>Earnings before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14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w w:val="94"/>
              </w:rPr>
              <w:t>Net interest expense</w:t>
            </w:r>
          </w:p>
        </w:tc>
        <w:tc>
          <w:tcPr>
            <w:tcW w:w="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continuing</w:t>
            </w:r>
          </w:p>
        </w:tc>
        <w:tc>
          <w:tcPr>
            <w:tcW w:w="40" w:type="dxa"/>
            <w:vAlign w:val="bottom"/>
          </w:tcPr>
          <w:p>
            <w:pPr>
              <w:spacing w:after="0"/>
              <w:rPr>
                <w:sz w:val="10"/>
                <w:szCs w:val="10"/>
                <w:color w:val="auto"/>
              </w:rPr>
            </w:pPr>
          </w:p>
        </w:tc>
        <w:tc>
          <w:tcPr>
            <w:tcW w:w="1120" w:type="dxa"/>
            <w:vAlign w:val="bottom"/>
            <w:gridSpan w:val="4"/>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6"/>
            <w:vMerge w:val="continue"/>
          </w:tcPr>
          <w:p>
            <w:pPr>
              <w:spacing w:after="0"/>
              <w:rPr>
                <w:sz w:val="10"/>
                <w:szCs w:val="10"/>
                <w:color w:val="auto"/>
              </w:rPr>
            </w:pPr>
          </w:p>
        </w:tc>
        <w:tc>
          <w:tcPr>
            <w:tcW w:w="1140" w:type="dxa"/>
            <w:vAlign w:val="bottom"/>
            <w:gridSpan w:val="5"/>
          </w:tcPr>
          <w:p>
            <w:pPr>
              <w:jc w:val="center"/>
              <w:ind w:right="120"/>
              <w:spacing w:after="0" w:line="122" w:lineRule="exact"/>
              <w:rPr>
                <w:sz w:val="20"/>
                <w:szCs w:val="20"/>
                <w:color w:val="auto"/>
              </w:rPr>
            </w:pPr>
            <w:r>
              <w:rPr>
                <w:rFonts w:ascii="Arial" w:cs="Arial" w:eastAsia="Arial" w:hAnsi="Arial"/>
                <w:sz w:val="13"/>
                <w:szCs w:val="13"/>
                <w:b w:val="1"/>
                <w:bCs w:val="1"/>
                <w:color w:val="auto"/>
                <w:w w:val="86"/>
              </w:rPr>
              <w:t>before net interest</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82"/>
              </w:rPr>
              <w:t>expense, income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operations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Provision for</w:t>
            </w:r>
          </w:p>
        </w:tc>
        <w:tc>
          <w:tcPr>
            <w:tcW w:w="60" w:type="dxa"/>
            <w:vAlign w:val="bottom"/>
          </w:tcPr>
          <w:p>
            <w:pPr>
              <w:spacing w:after="0"/>
              <w:rPr>
                <w:sz w:val="10"/>
                <w:szCs w:val="10"/>
                <w:color w:val="auto"/>
              </w:rPr>
            </w:pPr>
          </w:p>
        </w:tc>
        <w:tc>
          <w:tcPr>
            <w:tcW w:w="1180" w:type="dxa"/>
            <w:vAlign w:val="bottom"/>
            <w:gridSpan w:val="5"/>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and loss on early</w:t>
            </w:r>
          </w:p>
        </w:tc>
        <w:tc>
          <w:tcPr>
            <w:tcW w:w="60" w:type="dxa"/>
            <w:vAlign w:val="bottom"/>
          </w:tcPr>
          <w:p>
            <w:pPr>
              <w:spacing w:after="0"/>
              <w:rPr>
                <w:sz w:val="10"/>
                <w:szCs w:val="10"/>
                <w:color w:val="auto"/>
              </w:rPr>
            </w:pPr>
          </w:p>
        </w:tc>
        <w:tc>
          <w:tcPr>
            <w:tcW w:w="108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83"/>
              </w:rPr>
              <w:t>expense and</w:t>
            </w:r>
          </w:p>
        </w:tc>
        <w:tc>
          <w:tcPr>
            <w:tcW w:w="11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87"/>
              </w:rPr>
              <w:t>Depreciation and</w:t>
            </w: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40"/>
              <w:spacing w:after="0" w:line="122" w:lineRule="exact"/>
              <w:rPr>
                <w:sz w:val="20"/>
                <w:szCs w:val="20"/>
                <w:color w:val="auto"/>
              </w:rPr>
            </w:pPr>
            <w:r>
              <w:rPr>
                <w:rFonts w:ascii="Arial" w:cs="Arial" w:eastAsia="Arial" w:hAnsi="Arial"/>
                <w:sz w:val="13"/>
                <w:szCs w:val="13"/>
                <w:b w:val="1"/>
                <w:bCs w:val="1"/>
                <w:color w:val="auto"/>
                <w:w w:val="87"/>
              </w:rPr>
              <w:t>continuing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ind w:left="20"/>
              <w:spacing w:after="0" w:line="122" w:lineRule="exact"/>
              <w:rPr>
                <w:sz w:val="20"/>
                <w:szCs w:val="20"/>
                <w:color w:val="auto"/>
              </w:rPr>
            </w:pPr>
            <w:r>
              <w:rPr>
                <w:rFonts w:ascii="Arial" w:cs="Arial" w:eastAsia="Arial" w:hAnsi="Arial"/>
                <w:sz w:val="13"/>
                <w:szCs w:val="13"/>
                <w:b w:val="1"/>
                <w:bCs w:val="1"/>
                <w:color w:val="auto"/>
              </w:rPr>
              <w:t>extinguishment of</w:t>
            </w:r>
          </w:p>
        </w:tc>
        <w:tc>
          <w:tcPr>
            <w:tcW w:w="60" w:type="dxa"/>
            <w:vAlign w:val="bottom"/>
          </w:tcPr>
          <w:p>
            <w:pPr>
              <w:spacing w:after="0"/>
              <w:rPr>
                <w:sz w:val="10"/>
                <w:szCs w:val="10"/>
                <w:color w:val="auto"/>
              </w:rPr>
            </w:pPr>
          </w:p>
        </w:tc>
        <w:tc>
          <w:tcPr>
            <w:tcW w:w="1080" w:type="dxa"/>
            <w:vAlign w:val="bottom"/>
            <w:gridSpan w:val="4"/>
          </w:tcPr>
          <w:p>
            <w:pPr>
              <w:jc w:val="center"/>
              <w:ind w:right="180"/>
              <w:spacing w:after="0" w:line="122" w:lineRule="exact"/>
              <w:rPr>
                <w:sz w:val="20"/>
                <w:szCs w:val="20"/>
                <w:color w:val="auto"/>
              </w:rPr>
            </w:pPr>
            <w:r>
              <w:rPr>
                <w:rFonts w:ascii="Arial" w:cs="Arial" w:eastAsia="Arial" w:hAnsi="Arial"/>
                <w:sz w:val="13"/>
                <w:szCs w:val="13"/>
                <w:b w:val="1"/>
                <w:bCs w:val="1"/>
                <w:color w:val="auto"/>
                <w:w w:val="84"/>
              </w:rPr>
              <w:t>income taxes</w:t>
            </w:r>
          </w:p>
        </w:tc>
        <w:tc>
          <w:tcPr>
            <w:tcW w:w="1160" w:type="dxa"/>
            <w:vAlign w:val="bottom"/>
            <w:gridSpan w:val="5"/>
            <w:vMerge w:val="continue"/>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and amortization</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TechnipFMC plc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operations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 taxes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7"/>
              </w:rPr>
              <w:t>debt</w:t>
            </w:r>
          </w:p>
        </w:tc>
        <w:tc>
          <w:tcPr>
            <w:tcW w:w="11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1"/>
              </w:rPr>
              <w:t>(Operating profit)</w:t>
            </w:r>
          </w:p>
        </w:tc>
        <w:tc>
          <w:tcPr>
            <w:tcW w:w="120" w:type="dxa"/>
            <w:vAlign w:val="bottom"/>
          </w:tcPr>
          <w:p>
            <w:pPr>
              <w:spacing w:after="0"/>
              <w:rPr>
                <w:sz w:val="14"/>
                <w:szCs w:val="14"/>
                <w:color w:val="auto"/>
              </w:rPr>
            </w:pPr>
          </w:p>
        </w:tc>
        <w:tc>
          <w:tcPr>
            <w:tcW w:w="10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980" w:type="dxa"/>
            <w:vAlign w:val="bottom"/>
          </w:tcPr>
          <w:p>
            <w:pPr>
              <w:jc w:val="center"/>
              <w:ind w:right="17"/>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255.6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93.2</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412.1</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193.2</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605.3</w:t>
            </w: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0"/>
                <w:szCs w:val="20"/>
                <w:color w:val="auto"/>
              </w:rPr>
            </w:pPr>
            <w:r>
              <w:rPr>
                <w:rFonts w:ascii="Arial" w:cs="Arial" w:eastAsia="Arial" w:hAnsi="Arial"/>
                <w:sz w:val="13"/>
                <w:szCs w:val="13"/>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76"/>
        </w:trPr>
        <w:tc>
          <w:tcPr>
            <w:tcW w:w="320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85"/>
        </w:trPr>
        <w:tc>
          <w:tcPr>
            <w:tcW w:w="3200" w:type="dxa"/>
            <w:vAlign w:val="bottom"/>
          </w:tcPr>
          <w:p>
            <w:pPr>
              <w:ind w:left="200"/>
              <w:spacing w:after="0"/>
              <w:rPr>
                <w:sz w:val="20"/>
                <w:szCs w:val="20"/>
                <w:color w:val="auto"/>
              </w:rPr>
            </w:pPr>
            <w:r>
              <w:rPr>
                <w:rFonts w:ascii="Arial" w:cs="Arial" w:eastAsia="Arial" w:hAnsi="Arial"/>
                <w:sz w:val="13"/>
                <w:szCs w:val="13"/>
                <w:color w:val="auto"/>
              </w:rPr>
              <w:t>Income from investment in Technip Energies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(323.3)</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193.2</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309.5</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3"/>
                <w:szCs w:val="13"/>
                <w:color w:val="auto"/>
              </w:rPr>
              <w:t>Diluted earnings per share from continuing operations</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00" w:type="dxa"/>
            <w:vAlign w:val="bottom"/>
            <w:vMerge w:val="continue"/>
          </w:tcPr>
          <w:p>
            <w:pPr>
              <w:spacing w:after="0"/>
              <w:rPr>
                <w:sz w:val="24"/>
                <w:szCs w:val="24"/>
                <w:color w:val="auto"/>
              </w:rPr>
            </w:pPr>
          </w:p>
        </w:tc>
        <w:tc>
          <w:tcPr>
            <w:tcW w:w="100" w:type="dxa"/>
            <w:vAlign w:val="bottom"/>
            <w:gridSpan w:val="2"/>
            <w:vMerge w:val="restart"/>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0.56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attributable to TechnipFMC plc, as reported</w:t>
            </w:r>
          </w:p>
        </w:tc>
        <w:tc>
          <w:tcPr>
            <w:tcW w:w="1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line="137" w:lineRule="exact"/>
              <w:rPr>
                <w:sz w:val="20"/>
                <w:szCs w:val="20"/>
                <w:color w:val="auto"/>
              </w:rPr>
            </w:pPr>
            <w:r>
              <w:rPr>
                <w:rFonts w:ascii="Arial" w:cs="Arial" w:eastAsia="Arial" w:hAnsi="Arial"/>
                <w:sz w:val="13"/>
                <w:szCs w:val="13"/>
                <w:color w:val="auto"/>
                <w:w w:val="95"/>
              </w:rPr>
              <w:t>Adjusted diluted loss per share from continuing operations</w:t>
            </w:r>
          </w:p>
        </w:tc>
        <w:tc>
          <w:tcPr>
            <w:tcW w:w="100" w:type="dxa"/>
            <w:vAlign w:val="bottom"/>
            <w:gridSpan w:val="2"/>
            <w:vMerge w:val="restart"/>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(0.09)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attributable to TechnipFMC plc</w:t>
            </w:r>
          </w:p>
        </w:tc>
        <w:tc>
          <w:tcPr>
            <w:tcW w:w="1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6"/>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5"/>
          </w:tcPr>
          <w:p>
            <w:pPr>
              <w:ind w:left="40"/>
              <w:spacing w:after="0"/>
              <w:rPr>
                <w:sz w:val="20"/>
                <w:szCs w:val="20"/>
                <w:color w:val="auto"/>
              </w:rPr>
            </w:pPr>
            <w:r>
              <w:rPr>
                <w:rFonts w:ascii="Arial" w:cs="Arial" w:eastAsia="Arial" w:hAnsi="Arial"/>
                <w:sz w:val="13"/>
                <w:szCs w:val="13"/>
                <w:b w:val="1"/>
                <w:bCs w:val="1"/>
                <w:color w:val="auto"/>
                <w:w w:val="99"/>
              </w:rPr>
              <w:t>Six Months Ended</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w w:val="85"/>
              </w:rPr>
              <w:t>June 30, 2020</w:t>
            </w: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5"/>
              </w:rPr>
              <w:t>Loss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Earnings before</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w w:val="84"/>
              </w:rPr>
              <w:t>Loss before net</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5"/>
              </w:rPr>
              <w:t>net interest</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continuing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non-controlling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3"/>
              </w:rPr>
              <w:t>expense, income</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4"/>
              </w:rPr>
              <w:t>operations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5"/>
              </w:rPr>
              <w:t>interests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Provision for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86"/>
              </w:rPr>
              <w:t>Net interest</w:t>
            </w:r>
          </w:p>
        </w:tc>
        <w:tc>
          <w:tcPr>
            <w:tcW w:w="60" w:type="dxa"/>
            <w:vAlign w:val="bottom"/>
          </w:tcPr>
          <w:p>
            <w:pPr>
              <w:spacing w:after="0"/>
              <w:rPr>
                <w:sz w:val="10"/>
                <w:szCs w:val="10"/>
                <w:color w:val="auto"/>
              </w:rPr>
            </w:pPr>
          </w:p>
        </w:tc>
        <w:tc>
          <w:tcPr>
            <w:tcW w:w="1080" w:type="dxa"/>
            <w:vAlign w:val="bottom"/>
            <w:gridSpan w:val="4"/>
          </w:tcPr>
          <w:p>
            <w:pPr>
              <w:jc w:val="center"/>
              <w:ind w:right="200"/>
              <w:spacing w:after="0" w:line="122" w:lineRule="exact"/>
              <w:rPr>
                <w:sz w:val="20"/>
                <w:szCs w:val="20"/>
                <w:color w:val="auto"/>
              </w:rPr>
            </w:pPr>
            <w:r>
              <w:rPr>
                <w:rFonts w:ascii="Arial" w:cs="Arial" w:eastAsia="Arial" w:hAnsi="Arial"/>
                <w:sz w:val="13"/>
                <w:szCs w:val="13"/>
                <w:b w:val="1"/>
                <w:bCs w:val="1"/>
                <w:color w:val="auto"/>
                <w:w w:val="81"/>
              </w:rPr>
              <w:t>interest expense</w:t>
            </w:r>
          </w:p>
        </w:tc>
        <w:tc>
          <w:tcPr>
            <w:tcW w:w="1160" w:type="dxa"/>
            <w:vAlign w:val="bottom"/>
            <w:gridSpan w:val="5"/>
            <w:vMerge w:val="restart"/>
          </w:tcPr>
          <w:p>
            <w:pPr>
              <w:jc w:val="center"/>
              <w:ind w:right="140"/>
              <w:spacing w:after="0"/>
              <w:rPr>
                <w:sz w:val="20"/>
                <w:szCs w:val="20"/>
                <w:color w:val="auto"/>
              </w:rPr>
            </w:pPr>
            <w:r>
              <w:rPr>
                <w:rFonts w:ascii="Arial" w:cs="Arial" w:eastAsia="Arial" w:hAnsi="Arial"/>
                <w:sz w:val="13"/>
                <w:szCs w:val="13"/>
                <w:b w:val="1"/>
                <w:bCs w:val="1"/>
                <w:color w:val="auto"/>
                <w:w w:val="89"/>
              </w:rPr>
              <w:t>Depreciation and</w:t>
            </w: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taxes, depreciation</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attributable 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continuing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vMerge w:val="continue"/>
          </w:tcPr>
          <w:p>
            <w:pPr>
              <w:spacing w:after="0"/>
              <w:rPr>
                <w:sz w:val="10"/>
                <w:szCs w:val="10"/>
                <w:color w:val="auto"/>
              </w:rPr>
            </w:pPr>
          </w:p>
        </w:tc>
        <w:tc>
          <w:tcPr>
            <w:tcW w:w="114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4"/>
              </w:rPr>
              <w:t>and income taxes</w:t>
            </w:r>
          </w:p>
        </w:tc>
        <w:tc>
          <w:tcPr>
            <w:tcW w:w="1160" w:type="dxa"/>
            <w:vAlign w:val="bottom"/>
            <w:gridSpan w:val="5"/>
            <w:vMerge w:val="continue"/>
          </w:tcPr>
          <w:p>
            <w:pPr>
              <w:spacing w:after="0"/>
              <w:rPr>
                <w:sz w:val="10"/>
                <w:szCs w:val="10"/>
                <w:color w:val="auto"/>
              </w:rPr>
            </w:pPr>
          </w:p>
        </w:tc>
        <w:tc>
          <w:tcPr>
            <w:tcW w:w="10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8"/>
              </w:rPr>
              <w:t>and amortization</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TechnipFMC plc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4"/>
              </w:rPr>
              <w:t>operations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b w:val="1"/>
                <w:bCs w:val="1"/>
                <w:color w:val="auto"/>
              </w:rPr>
              <w:t>income taxes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0"/>
              </w:rPr>
              <w:t>expense</w:t>
            </w:r>
          </w:p>
        </w:tc>
        <w:tc>
          <w:tcPr>
            <w:tcW w:w="114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9"/>
              </w:rPr>
              <w:t>(Operating profit)</w:t>
            </w:r>
          </w:p>
        </w:tc>
        <w:tc>
          <w:tcPr>
            <w:tcW w:w="120" w:type="dxa"/>
            <w:vAlign w:val="bottom"/>
          </w:tcPr>
          <w:p>
            <w:pPr>
              <w:spacing w:after="0"/>
              <w:rPr>
                <w:sz w:val="14"/>
                <w:szCs w:val="14"/>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8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(EBITDA)</w:t>
            </w: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TechnipFMC plc, as reported</w:t>
            </w:r>
          </w:p>
        </w:tc>
        <w:tc>
          <w:tcPr>
            <w:tcW w:w="20" w:type="dxa"/>
            <w:vAlign w:val="bottom"/>
          </w:tcPr>
          <w:p>
            <w:pPr>
              <w:spacing w:after="0"/>
              <w:rPr>
                <w:sz w:val="13"/>
                <w:szCs w:val="13"/>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(3,412.4)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(3,349.7)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(3,145.6)</w:t>
            </w:r>
          </w:p>
        </w:tc>
        <w:tc>
          <w:tcPr>
            <w:tcW w:w="0" w:type="dxa"/>
            <w:vAlign w:val="bottom"/>
          </w:tcPr>
          <w:p>
            <w:pPr>
              <w:spacing w:after="0"/>
              <w:rPr>
                <w:sz w:val="1"/>
                <w:szCs w:val="1"/>
                <w:color w:val="auto"/>
              </w:rPr>
            </w:pPr>
          </w:p>
        </w:tc>
      </w:tr>
      <w:tr>
        <w:trPr>
          <w:trHeight w:val="337"/>
        </w:trPr>
        <w:tc>
          <w:tcPr>
            <w:tcW w:w="3200" w:type="dxa"/>
            <w:vAlign w:val="bottom"/>
          </w:tcPr>
          <w:p>
            <w:pPr>
              <w:spacing w:after="0"/>
              <w:rPr>
                <w:sz w:val="20"/>
                <w:szCs w:val="20"/>
                <w:color w:val="auto"/>
              </w:rPr>
            </w:pPr>
            <w:r>
              <w:rPr>
                <w:rFonts w:ascii="Arial" w:cs="Arial" w:eastAsia="Arial" w:hAnsi="Arial"/>
                <w:sz w:val="13"/>
                <w:szCs w:val="13"/>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3,213.4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3,221.7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3,221.7</w:t>
            </w:r>
          </w:p>
        </w:tc>
        <w:tc>
          <w:tcPr>
            <w:tcW w:w="0" w:type="dxa"/>
            <w:vAlign w:val="bottom"/>
          </w:tcPr>
          <w:p>
            <w:pPr>
              <w:spacing w:after="0"/>
              <w:rPr>
                <w:sz w:val="1"/>
                <w:szCs w:val="1"/>
                <w:color w:val="auto"/>
              </w:rPr>
            </w:pPr>
          </w:p>
        </w:tc>
      </w:tr>
      <w:tr>
        <w:trPr>
          <w:trHeight w:val="176"/>
        </w:trPr>
        <w:tc>
          <w:tcPr>
            <w:tcW w:w="320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44.3</w:t>
            </w:r>
          </w:p>
        </w:tc>
        <w:tc>
          <w:tcPr>
            <w:tcW w:w="0" w:type="dxa"/>
            <w:vAlign w:val="bottom"/>
          </w:tcPr>
          <w:p>
            <w:pPr>
              <w:spacing w:after="0"/>
              <w:rPr>
                <w:sz w:val="1"/>
                <w:szCs w:val="1"/>
                <w:color w:val="auto"/>
              </w:rPr>
            </w:pPr>
          </w:p>
        </w:tc>
      </w:tr>
      <w:tr>
        <w:trPr>
          <w:trHeight w:val="175"/>
        </w:trPr>
        <w:tc>
          <w:tcPr>
            <w:tcW w:w="320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75"/>
        </w:trPr>
        <w:tc>
          <w:tcPr>
            <w:tcW w:w="3200" w:type="dxa"/>
            <w:vAlign w:val="bottom"/>
          </w:tcPr>
          <w:p>
            <w:pPr>
              <w:ind w:left="200"/>
              <w:spacing w:after="0"/>
              <w:rPr>
                <w:sz w:val="20"/>
                <w:szCs w:val="20"/>
                <w:color w:val="auto"/>
              </w:rPr>
            </w:pPr>
            <w:r>
              <w:rPr>
                <w:rFonts w:ascii="Arial" w:cs="Arial" w:eastAsia="Arial" w:hAnsi="Arial"/>
                <w:sz w:val="13"/>
                <w:szCs w:val="13"/>
                <w:color w:val="auto"/>
              </w:rPr>
              <w:t>Purchase price accounting adjustment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200" w:type="dxa"/>
            <w:vAlign w:val="bottom"/>
          </w:tcPr>
          <w:p>
            <w:pPr>
              <w:ind w:left="200"/>
              <w:spacing w:after="0"/>
              <w:rPr>
                <w:sz w:val="20"/>
                <w:szCs w:val="20"/>
                <w:color w:val="auto"/>
              </w:rPr>
            </w:pPr>
            <w:r>
              <w:rPr>
                <w:rFonts w:ascii="Arial" w:cs="Arial" w:eastAsia="Arial" w:hAnsi="Arial"/>
                <w:sz w:val="13"/>
                <w:szCs w:val="13"/>
                <w:color w:val="auto"/>
              </w:rPr>
              <w:t>Valuation allowance</w:t>
            </w: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3.1</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20"/>
                <w:szCs w:val="20"/>
                <w:color w:val="auto"/>
              </w:rPr>
            </w:pPr>
            <w:r>
              <w:rPr>
                <w:rFonts w:ascii="Arial" w:cs="Arial" w:eastAsia="Arial" w:hAnsi="Arial"/>
                <w:sz w:val="13"/>
                <w:szCs w:val="13"/>
                <w:color w:val="auto"/>
              </w:rPr>
              <w:t>Adjusted financial measures</w:t>
            </w:r>
          </w:p>
        </w:tc>
        <w:tc>
          <w:tcPr>
            <w:tcW w:w="20" w:type="dxa"/>
            <w:vAlign w:val="bottom"/>
          </w:tcPr>
          <w:p>
            <w:pPr>
              <w:spacing w:after="0"/>
              <w:rPr>
                <w:sz w:val="15"/>
                <w:szCs w:val="15"/>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(121.5)</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24.7</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195.6</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157.1</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3"/>
                <w:szCs w:val="13"/>
                <w:color w:val="auto"/>
                <w:w w:val="90"/>
              </w:rPr>
              <w:t>Diluted loss per share from continuing operations attributable</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200" w:type="dxa"/>
            <w:vAlign w:val="bottom"/>
            <w:vMerge w:val="continue"/>
          </w:tcPr>
          <w:p>
            <w:pPr>
              <w:spacing w:after="0"/>
              <w:rPr>
                <w:sz w:val="24"/>
                <w:szCs w:val="24"/>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(7.62)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to TechnipFMC plc, as reported</w:t>
            </w:r>
          </w:p>
        </w:tc>
        <w:tc>
          <w:tcPr>
            <w:tcW w:w="1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line="137" w:lineRule="exact"/>
              <w:rPr>
                <w:sz w:val="20"/>
                <w:szCs w:val="20"/>
                <w:color w:val="auto"/>
              </w:rPr>
            </w:pPr>
            <w:r>
              <w:rPr>
                <w:rFonts w:ascii="Arial" w:cs="Arial" w:eastAsia="Arial" w:hAnsi="Arial"/>
                <w:sz w:val="13"/>
                <w:szCs w:val="13"/>
                <w:color w:val="auto"/>
                <w:w w:val="95"/>
              </w:rPr>
              <w:t>Adjusted diluted loss per share from continuing operations</w:t>
            </w:r>
          </w:p>
        </w:tc>
        <w:tc>
          <w:tcPr>
            <w:tcW w:w="100" w:type="dxa"/>
            <w:vAlign w:val="bottom"/>
            <w:gridSpan w:val="2"/>
            <w:vMerge w:val="restart"/>
          </w:tcPr>
          <w:p>
            <w:pPr>
              <w:ind w:left="40"/>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(0.27)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attributable to TechnipFMC plc</w:t>
            </w:r>
          </w:p>
        </w:tc>
        <w:tc>
          <w:tcPr>
            <w:tcW w:w="10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6"/>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8"/>
          </w:tcPr>
          <w:p>
            <w:pPr>
              <w:ind w:left="540"/>
              <w:spacing w:after="0"/>
              <w:rPr>
                <w:sz w:val="20"/>
                <w:szCs w:val="20"/>
                <w:color w:val="auto"/>
              </w:rPr>
            </w:pPr>
            <w:r>
              <w:rPr>
                <w:rFonts w:ascii="Arial" w:cs="Arial" w:eastAsia="Arial" w:hAnsi="Arial"/>
                <w:sz w:val="14"/>
                <w:szCs w:val="14"/>
                <w:b w:val="1"/>
                <w:bCs w:val="1"/>
                <w:color w:val="auto"/>
              </w:rPr>
              <w:t>TechnipFMC.com</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19 of </w:t>
            </w:r>
            <w:hyperlink w:anchor="page27">
              <w:r>
                <w:rPr>
                  <w:rFonts w:ascii="Arial" w:cs="Arial" w:eastAsia="Arial" w:hAnsi="Arial"/>
                  <w:sz w:val="14"/>
                  <w:szCs w:val="14"/>
                  <w:b w:val="1"/>
                  <w:bCs w:val="1"/>
                  <w:color w:val="auto"/>
                </w:rPr>
                <w:t>24</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(loss), as reported (pre-tax)</w:t>
      </w:r>
    </w:p>
    <w:p>
      <w:pPr>
        <w:spacing w:after="0" w:line="213" w:lineRule="exact"/>
        <w:rPr>
          <w:sz w:val="20"/>
          <w:szCs w:val="20"/>
          <w:color w:val="auto"/>
        </w:rPr>
      </w:pPr>
    </w:p>
    <w:p>
      <w:pPr>
        <w:ind w:left="200" w:right="900" w:hanging="201"/>
        <w:spacing w:after="0" w:line="328" w:lineRule="auto"/>
        <w:rPr>
          <w:sz w:val="20"/>
          <w:szCs w:val="20"/>
          <w:color w:val="auto"/>
        </w:rPr>
      </w:pPr>
      <w:r>
        <w:rPr>
          <w:rFonts w:ascii="Arial" w:cs="Arial" w:eastAsia="Arial" w:hAnsi="Arial"/>
          <w:sz w:val="12"/>
          <w:szCs w:val="12"/>
          <w:color w:val="auto"/>
        </w:rPr>
        <w:t>Charges and (credits): Impairment and other charges Restructuring and other charges</w:t>
      </w:r>
    </w:p>
    <w:p>
      <w:pPr>
        <w:spacing w:after="0" w:line="1" w:lineRule="exact"/>
        <w:rPr>
          <w:sz w:val="20"/>
          <w:szCs w:val="20"/>
          <w:color w:val="auto"/>
        </w:rPr>
      </w:pPr>
    </w:p>
    <w:p>
      <w:pPr>
        <w:ind w:left="460" w:right="320" w:hanging="242"/>
        <w:spacing w:after="0" w:line="361" w:lineRule="auto"/>
        <w:rPr>
          <w:sz w:val="20"/>
          <w:szCs w:val="20"/>
          <w:color w:val="auto"/>
        </w:rPr>
      </w:pPr>
      <w:r>
        <w:rPr>
          <w:rFonts w:ascii="Arial" w:cs="Arial" w:eastAsia="Arial" w:hAnsi="Arial"/>
          <w:sz w:val="13"/>
          <w:szCs w:val="13"/>
          <w:color w:val="auto"/>
        </w:rPr>
        <w:t>Loss from investment in Technip Energies Subtotal</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(loss)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margin, as reported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margin</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3" w:lineRule="exact"/>
        <w:rPr>
          <w:sz w:val="20"/>
          <w:szCs w:val="20"/>
          <w:color w:val="auto"/>
        </w:rPr>
      </w:pPr>
    </w:p>
    <w:p>
      <w:pPr>
        <w:jc w:val="center"/>
        <w:ind w:right="3560"/>
        <w:spacing w:after="0"/>
        <w:rPr>
          <w:sz w:val="20"/>
          <w:szCs w:val="20"/>
          <w:color w:val="auto"/>
        </w:rPr>
      </w:pPr>
      <w:r>
        <w:rPr>
          <w:rFonts w:ascii="Arial" w:cs="Arial" w:eastAsia="Arial" w:hAnsi="Arial"/>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173355</wp:posOffset>
            </wp:positionV>
            <wp:extent cx="39947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67"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June 30, 2021</w:t>
      </w:r>
    </w:p>
    <w:p>
      <w:pPr>
        <w:spacing w:after="0" w:line="25" w:lineRule="exact"/>
        <w:rPr>
          <w:sz w:val="20"/>
          <w:szCs w:val="20"/>
          <w:color w:val="auto"/>
        </w:rPr>
      </w:pPr>
    </w:p>
    <w:tbl>
      <w:tblPr>
        <w:tblLayout w:type="fixed"/>
        <w:tblInd w:w="1380" w:type="dxa"/>
        <w:tblCellMar>
          <w:top w:w="0" w:type="dxa"/>
          <w:left w:w="0" w:type="dxa"/>
          <w:bottom w:w="0" w:type="dxa"/>
          <w:right w:w="0" w:type="dxa"/>
        </w:tblCellMar>
      </w:tblPr>
      <w:tr>
        <w:trPr>
          <w:trHeight w:val="143"/>
        </w:trPr>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top w:val="single" w:sz="8" w:color="auto"/>
            </w:tcBorders>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20"/>
              <w:spacing w:after="0" w:line="143" w:lineRule="exact"/>
              <w:rPr>
                <w:sz w:val="20"/>
                <w:szCs w:val="20"/>
                <w:color w:val="auto"/>
              </w:rPr>
            </w:pPr>
            <w:r>
              <w:rPr>
                <w:rFonts w:ascii="Arial" w:cs="Arial" w:eastAsia="Arial" w:hAnsi="Arial"/>
                <w:sz w:val="13"/>
                <w:szCs w:val="13"/>
                <w:b w:val="1"/>
                <w:bCs w:val="1"/>
                <w:color w:val="auto"/>
              </w:rPr>
              <w:t>Surface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3"/>
                <w:szCs w:val="13"/>
                <w:b w:val="1"/>
                <w:bCs w:val="1"/>
                <w:color w:val="auto"/>
              </w:rPr>
              <w:t>Corporate</w:t>
            </w:r>
          </w:p>
        </w:tc>
        <w:tc>
          <w:tcPr>
            <w:tcW w:w="1340" w:type="dxa"/>
            <w:vAlign w:val="bottom"/>
            <w:tcBorders>
              <w:top w:val="single" w:sz="8" w:color="auto"/>
            </w:tcBorders>
            <w:gridSpan w:val="3"/>
          </w:tcPr>
          <w:p>
            <w:pPr>
              <w:ind w:left="80"/>
              <w:spacing w:after="0" w:line="143" w:lineRule="exact"/>
              <w:rPr>
                <w:sz w:val="20"/>
                <w:szCs w:val="20"/>
                <w:color w:val="auto"/>
              </w:rPr>
            </w:pPr>
            <w:r>
              <w:rPr>
                <w:rFonts w:ascii="Arial" w:cs="Arial" w:eastAsia="Arial" w:hAnsi="Arial"/>
                <w:sz w:val="13"/>
                <w:szCs w:val="13"/>
                <w:b w:val="1"/>
                <w:bCs w:val="1"/>
                <w:color w:val="auto"/>
              </w:rPr>
              <w:t>Foreign Exchange,</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Technologies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net and Other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1,394.3</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274.5</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1,668.8</w:t>
            </w:r>
          </w:p>
        </w:tc>
        <w:tc>
          <w:tcPr>
            <w:tcW w:w="0" w:type="dxa"/>
            <w:vAlign w:val="bottom"/>
          </w:tcPr>
          <w:p>
            <w:pPr>
              <w:spacing w:after="0"/>
              <w:rPr>
                <w:sz w:val="1"/>
                <w:szCs w:val="1"/>
                <w:color w:val="auto"/>
              </w:rPr>
            </w:pPr>
          </w:p>
        </w:tc>
      </w:tr>
      <w:tr>
        <w:trPr>
          <w:trHeight w:val="351"/>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(157.5)</w:t>
            </w:r>
          </w:p>
        </w:tc>
        <w:tc>
          <w:tcPr>
            <w:tcW w:w="120" w:type="dxa"/>
            <w:vAlign w:val="bottom"/>
          </w:tcPr>
          <w:p>
            <w:pPr>
              <w:spacing w:after="0"/>
              <w:rPr>
                <w:sz w:val="24"/>
                <w:szCs w:val="2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(102.5)</w:t>
            </w: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148.8</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73.4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323"/>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80.7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98.0</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154.1</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144.3</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820" w:space="720"/>
            <w:col w:w="7680"/>
          </w:cols>
          <w:pgMar w:left="34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Three Months Ended</w:t>
            </w: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7"/>
              </w:rPr>
              <w:t>March 31, 2021</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4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Subsea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313"/>
              <w:spacing w:after="0" w:line="136" w:lineRule="exact"/>
              <w:rPr>
                <w:sz w:val="20"/>
                <w:szCs w:val="20"/>
                <w:color w:val="auto"/>
              </w:rPr>
            </w:pPr>
            <w:r>
              <w:rPr>
                <w:rFonts w:ascii="Arial" w:cs="Arial" w:eastAsia="Arial" w:hAnsi="Arial"/>
                <w:sz w:val="13"/>
                <w:szCs w:val="13"/>
                <w:b w:val="1"/>
                <w:bCs w:val="1"/>
                <w:color w:val="auto"/>
              </w:rPr>
              <w:t>Surface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6" w:lineRule="exact"/>
              <w:rPr>
                <w:sz w:val="20"/>
                <w:szCs w:val="20"/>
                <w:color w:val="auto"/>
              </w:rPr>
            </w:pPr>
            <w:r>
              <w:rPr>
                <w:rFonts w:ascii="Arial" w:cs="Arial" w:eastAsia="Arial" w:hAnsi="Arial"/>
                <w:sz w:val="13"/>
                <w:szCs w:val="13"/>
                <w:b w:val="1"/>
                <w:bCs w:val="1"/>
                <w:color w:val="auto"/>
                <w:w w:val="96"/>
              </w:rPr>
              <w:t>Corporate</w:t>
            </w:r>
          </w:p>
        </w:tc>
        <w:tc>
          <w:tcPr>
            <w:tcW w:w="1340" w:type="dxa"/>
            <w:vAlign w:val="bottom"/>
            <w:gridSpan w:val="3"/>
          </w:tcPr>
          <w:p>
            <w:pPr>
              <w:ind w:left="80"/>
              <w:spacing w:after="0" w:line="136" w:lineRule="exact"/>
              <w:rPr>
                <w:sz w:val="20"/>
                <w:szCs w:val="20"/>
                <w:color w:val="auto"/>
              </w:rPr>
            </w:pPr>
            <w:r>
              <w:rPr>
                <w:rFonts w:ascii="Arial" w:cs="Arial" w:eastAsia="Arial" w:hAnsi="Arial"/>
                <w:sz w:val="13"/>
                <w:szCs w:val="13"/>
                <w:b w:val="1"/>
                <w:bCs w:val="1"/>
                <w:color w:val="auto"/>
              </w:rPr>
              <w:t>Foreign Exchange,</w:t>
            </w:r>
          </w:p>
        </w:tc>
        <w:tc>
          <w:tcPr>
            <w:tcW w:w="260" w:type="dxa"/>
            <w:vAlign w:val="bottom"/>
          </w:tcPr>
          <w:p>
            <w:pPr>
              <w:spacing w:after="0"/>
              <w:rPr>
                <w:sz w:val="11"/>
                <w:szCs w:val="11"/>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Technologies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Expense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net and Other</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3"/>
                <w:szCs w:val="13"/>
                <w:color w:val="auto"/>
              </w:rPr>
              <w:t>Revenue</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1,386.5</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245.5</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1,632.0</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8.2</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498.2</w:t>
            </w:r>
          </w:p>
        </w:tc>
        <w:tc>
          <w:tcPr>
            <w:tcW w:w="120" w:type="dxa"/>
            <w:vAlign w:val="bottom"/>
          </w:tcPr>
          <w:p>
            <w:pPr>
              <w:spacing w:after="0"/>
              <w:rPr>
                <w:sz w:val="24"/>
                <w:szCs w:val="2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514.6</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Charges and (credits):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89"/>
        </w:trPr>
        <w:tc>
          <w:tcPr>
            <w:tcW w:w="4920" w:type="dxa"/>
            <w:vAlign w:val="bottom"/>
          </w:tcPr>
          <w:p>
            <w:pPr>
              <w:ind w:left="200"/>
              <w:spacing w:after="0"/>
              <w:rPr>
                <w:sz w:val="20"/>
                <w:szCs w:val="20"/>
                <w:color w:val="auto"/>
              </w:rPr>
            </w:pPr>
            <w:r>
              <w:rPr>
                <w:rFonts w:ascii="Arial" w:cs="Arial" w:eastAsia="Arial" w:hAnsi="Arial"/>
                <w:sz w:val="13"/>
                <w:szCs w:val="13"/>
                <w:color w:val="auto"/>
              </w:rPr>
              <w:t>Restructuring and other charges</w:t>
            </w:r>
          </w:p>
        </w:tc>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97"/>
        </w:trPr>
        <w:tc>
          <w:tcPr>
            <w:tcW w:w="4920" w:type="dxa"/>
            <w:vAlign w:val="bottom"/>
          </w:tcPr>
          <w:p>
            <w:pPr>
              <w:ind w:left="200"/>
              <w:spacing w:after="0"/>
              <w:rPr>
                <w:sz w:val="20"/>
                <w:szCs w:val="20"/>
                <w:color w:val="auto"/>
              </w:rPr>
            </w:pPr>
            <w:r>
              <w:rPr>
                <w:rFonts w:ascii="Arial" w:cs="Arial" w:eastAsia="Arial" w:hAnsi="Arial"/>
                <w:sz w:val="13"/>
                <w:szCs w:val="13"/>
                <w:color w:val="auto"/>
              </w:rPr>
              <w:t>Income from investment in Technip Energies</w:t>
            </w:r>
          </w:p>
        </w:tc>
        <w:tc>
          <w:tcPr>
            <w:tcW w:w="24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(470.1)</w:t>
            </w:r>
          </w:p>
        </w:tc>
        <w:tc>
          <w:tcPr>
            <w:tcW w:w="0" w:type="dxa"/>
            <w:vAlign w:val="bottom"/>
          </w:tcPr>
          <w:p>
            <w:pPr>
              <w:spacing w:after="0"/>
              <w:rPr>
                <w:sz w:val="1"/>
                <w:szCs w:val="1"/>
                <w:color w:val="auto"/>
              </w:rPr>
            </w:pPr>
          </w:p>
        </w:tc>
      </w:tr>
      <w:tr>
        <w:trPr>
          <w:trHeight w:val="175"/>
        </w:trPr>
        <w:tc>
          <w:tcPr>
            <w:tcW w:w="492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(470.1)</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(444.6)</w:t>
            </w:r>
          </w:p>
        </w:tc>
        <w:tc>
          <w:tcPr>
            <w:tcW w:w="0" w:type="dxa"/>
            <w:vAlign w:val="bottom"/>
          </w:tcPr>
          <w:p>
            <w:pPr>
              <w:spacing w:after="0"/>
              <w:rPr>
                <w:sz w:val="1"/>
                <w:szCs w:val="1"/>
                <w:color w:val="auto"/>
              </w:rPr>
            </w:pPr>
          </w:p>
        </w:tc>
      </w:tr>
      <w:tr>
        <w:trPr>
          <w:trHeight w:val="176"/>
        </w:trPr>
        <w:tc>
          <w:tcPr>
            <w:tcW w:w="4920" w:type="dxa"/>
            <w:vAlign w:val="bottom"/>
            <w:vMerge w:val="restart"/>
          </w:tcPr>
          <w:p>
            <w:pPr>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56.7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323"/>
        </w:trPr>
        <w:tc>
          <w:tcPr>
            <w:tcW w:w="492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78.4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95.2</w:t>
            </w: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20"/>
                <w:szCs w:val="20"/>
                <w:color w:val="auto"/>
              </w:rPr>
            </w:pPr>
            <w:r>
              <w:rPr>
                <w:rFonts w:ascii="Arial" w:cs="Arial" w:eastAsia="Arial" w:hAnsi="Arial"/>
                <w:sz w:val="13"/>
                <w:szCs w:val="13"/>
                <w:color w:val="auto"/>
              </w:rPr>
              <w:t>Adjusted EBITDA</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135.1</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26.9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920" w:type="dxa"/>
            <w:vAlign w:val="bottom"/>
          </w:tcPr>
          <w:p>
            <w:pPr>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31.5 %</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Adjusted Operating profit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4.3 %</w:t>
            </w:r>
          </w:p>
        </w:tc>
        <w:tc>
          <w:tcPr>
            <w:tcW w:w="0" w:type="dxa"/>
            <w:vAlign w:val="bottom"/>
          </w:tcPr>
          <w:p>
            <w:pPr>
              <w:spacing w:after="0"/>
              <w:rPr>
                <w:sz w:val="1"/>
                <w:szCs w:val="1"/>
                <w:color w:val="auto"/>
              </w:rPr>
            </w:pPr>
          </w:p>
        </w:tc>
      </w:tr>
      <w:tr>
        <w:trPr>
          <w:trHeight w:val="351"/>
        </w:trPr>
        <w:tc>
          <w:tcPr>
            <w:tcW w:w="4920" w:type="dxa"/>
            <w:vAlign w:val="bottom"/>
          </w:tcPr>
          <w:p>
            <w:pPr>
              <w:spacing w:after="0"/>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2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20 of </w:t>
      </w:r>
      <w:hyperlink w:anchor="page27">
        <w:r>
          <w:rPr>
            <w:rFonts w:ascii="Arial" w:cs="Arial" w:eastAsia="Arial" w:hAnsi="Arial"/>
            <w:sz w:val="14"/>
            <w:szCs w:val="14"/>
            <w:b w:val="1"/>
            <w:bCs w:val="1"/>
            <w:color w:val="auto"/>
          </w:rPr>
          <w:t>24</w:t>
        </w:r>
      </w:hyperlink>
    </w:p>
    <w:p>
      <w:pPr>
        <w:sectPr>
          <w:pgSz w:w="11900" w:h="16838" w:orient="portrait"/>
          <w:cols w:equalWidth="0" w:num="1">
            <w:col w:w="11220"/>
          </w:cols>
          <w:pgMar w:left="340" w:top="1053" w:right="33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3"/>
          <w:szCs w:val="13"/>
          <w:color w:val="auto"/>
        </w:rPr>
        <w:t>Revenue</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Operating profit (loss), as reported (pre-tax)</w:t>
      </w:r>
    </w:p>
    <w:p>
      <w:pPr>
        <w:spacing w:after="0" w:line="213" w:lineRule="exact"/>
        <w:rPr>
          <w:sz w:val="20"/>
          <w:szCs w:val="20"/>
          <w:color w:val="auto"/>
        </w:rPr>
      </w:pPr>
    </w:p>
    <w:p>
      <w:pPr>
        <w:ind w:left="200" w:right="900" w:hanging="201"/>
        <w:spacing w:after="0" w:line="334" w:lineRule="auto"/>
        <w:rPr>
          <w:sz w:val="20"/>
          <w:szCs w:val="20"/>
          <w:color w:val="auto"/>
        </w:rPr>
      </w:pPr>
      <w:r>
        <w:rPr>
          <w:rFonts w:ascii="Arial" w:cs="Arial" w:eastAsia="Arial" w:hAnsi="Arial"/>
          <w:sz w:val="12"/>
          <w:szCs w:val="12"/>
          <w:color w:val="auto"/>
        </w:rPr>
        <w:t>Charges and (credits): Impairment and other charges Restructuring and other charges Direct COVID-19 expenses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Subtotal</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(loss)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Depreciation and amortization</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Operating profit margin, as reported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Operating profit margin</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Exhibit 8</w:t>
      </w:r>
    </w:p>
    <w:p>
      <w:pPr>
        <w:spacing w:after="0" w:line="16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3" w:lineRule="exact"/>
        <w:rPr>
          <w:sz w:val="20"/>
          <w:szCs w:val="20"/>
          <w:color w:val="auto"/>
        </w:rPr>
      </w:pPr>
    </w:p>
    <w:p>
      <w:pPr>
        <w:jc w:val="center"/>
        <w:ind w:right="3560"/>
        <w:spacing w:after="0"/>
        <w:rPr>
          <w:sz w:val="20"/>
          <w:szCs w:val="20"/>
          <w:color w:val="auto"/>
        </w:rPr>
      </w:pPr>
      <w:r>
        <w:rPr>
          <w:rFonts w:ascii="Arial" w:cs="Arial" w:eastAsia="Arial" w:hAnsi="Arial"/>
          <w:sz w:val="12"/>
          <w:szCs w:val="12"/>
          <w:b w:val="1"/>
          <w:bCs w:val="1"/>
          <w:u w:val="single" w:color="auto"/>
          <w:color w:val="auto"/>
        </w:rPr>
        <w:t>RECONCILIATION OF GAAP TO NON-GAAP FINANCIAL MEASURES</w:t>
      </w:r>
    </w:p>
    <w:p>
      <w:pPr>
        <w:spacing w:after="0" w:line="11" w:lineRule="exact"/>
        <w:rPr>
          <w:sz w:val="20"/>
          <w:szCs w:val="20"/>
          <w:color w:val="auto"/>
        </w:rPr>
      </w:pPr>
    </w:p>
    <w:p>
      <w:pPr>
        <w:jc w:val="center"/>
        <w:ind w:right="356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882015</wp:posOffset>
            </wp:positionH>
            <wp:positionV relativeFrom="paragraph">
              <wp:posOffset>173355</wp:posOffset>
            </wp:positionV>
            <wp:extent cx="3994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67"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Three Months Ended</w:t>
      </w:r>
    </w:p>
    <w:p>
      <w:pPr>
        <w:spacing w:after="0" w:line="40" w:lineRule="exact"/>
        <w:rPr>
          <w:sz w:val="20"/>
          <w:szCs w:val="20"/>
          <w:color w:val="auto"/>
        </w:rPr>
      </w:pPr>
    </w:p>
    <w:p>
      <w:pPr>
        <w:jc w:val="center"/>
        <w:ind w:left="-1039"/>
        <w:spacing w:after="0"/>
        <w:rPr>
          <w:sz w:val="20"/>
          <w:szCs w:val="20"/>
          <w:color w:val="auto"/>
        </w:rPr>
      </w:pPr>
      <w:r>
        <w:rPr>
          <w:rFonts w:ascii="Arial" w:cs="Arial" w:eastAsia="Arial" w:hAnsi="Arial"/>
          <w:sz w:val="13"/>
          <w:szCs w:val="13"/>
          <w:b w:val="1"/>
          <w:bCs w:val="1"/>
          <w:color w:val="auto"/>
        </w:rPr>
        <w:t>June 30, 2020</w:t>
      </w:r>
    </w:p>
    <w:p>
      <w:pPr>
        <w:spacing w:after="0" w:line="25" w:lineRule="exact"/>
        <w:rPr>
          <w:sz w:val="20"/>
          <w:szCs w:val="20"/>
          <w:color w:val="auto"/>
        </w:rPr>
      </w:pPr>
    </w:p>
    <w:tbl>
      <w:tblPr>
        <w:tblLayout w:type="fixed"/>
        <w:tblInd w:w="1380" w:type="dxa"/>
        <w:tblCellMar>
          <w:top w:w="0" w:type="dxa"/>
          <w:left w:w="0" w:type="dxa"/>
          <w:bottom w:w="0" w:type="dxa"/>
          <w:right w:w="0" w:type="dxa"/>
        </w:tblCellMar>
      </w:tblPr>
      <w:tr>
        <w:trPr>
          <w:trHeight w:val="143"/>
        </w:trPr>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top w:val="single" w:sz="8" w:color="auto"/>
            </w:tcBorders>
            <w:vMerge w:val="restart"/>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20"/>
              <w:spacing w:after="0" w:line="143" w:lineRule="exact"/>
              <w:rPr>
                <w:sz w:val="20"/>
                <w:szCs w:val="20"/>
                <w:color w:val="auto"/>
              </w:rPr>
            </w:pPr>
            <w:r>
              <w:rPr>
                <w:rFonts w:ascii="Arial" w:cs="Arial" w:eastAsia="Arial" w:hAnsi="Arial"/>
                <w:sz w:val="13"/>
                <w:szCs w:val="13"/>
                <w:b w:val="1"/>
                <w:bCs w:val="1"/>
                <w:color w:val="auto"/>
              </w:rPr>
              <w:t>Surface</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3"/>
                <w:szCs w:val="13"/>
                <w:b w:val="1"/>
                <w:bCs w:val="1"/>
                <w:color w:val="auto"/>
              </w:rPr>
              <w:t>Corporate</w:t>
            </w:r>
          </w:p>
        </w:tc>
        <w:tc>
          <w:tcPr>
            <w:tcW w:w="1340" w:type="dxa"/>
            <w:vAlign w:val="bottom"/>
            <w:tcBorders>
              <w:top w:val="single" w:sz="8" w:color="auto"/>
            </w:tcBorders>
            <w:gridSpan w:val="3"/>
          </w:tcPr>
          <w:p>
            <w:pPr>
              <w:ind w:left="80"/>
              <w:spacing w:after="0" w:line="143" w:lineRule="exact"/>
              <w:rPr>
                <w:sz w:val="20"/>
                <w:szCs w:val="20"/>
                <w:color w:val="auto"/>
              </w:rPr>
            </w:pPr>
            <w:r>
              <w:rPr>
                <w:rFonts w:ascii="Arial" w:cs="Arial" w:eastAsia="Arial" w:hAnsi="Arial"/>
                <w:sz w:val="13"/>
                <w:szCs w:val="13"/>
                <w:b w:val="1"/>
                <w:bCs w:val="1"/>
                <w:color w:val="auto"/>
              </w:rPr>
              <w:t>Foreign Exchange,</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Technologies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Expense</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1,378.5</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241.7</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1,620.2</w:t>
            </w:r>
          </w:p>
        </w:tc>
        <w:tc>
          <w:tcPr>
            <w:tcW w:w="0" w:type="dxa"/>
            <w:vAlign w:val="bottom"/>
          </w:tcPr>
          <w:p>
            <w:pPr>
              <w:spacing w:after="0"/>
              <w:rPr>
                <w:sz w:val="1"/>
                <w:szCs w:val="1"/>
                <w:color w:val="auto"/>
              </w:rPr>
            </w:pPr>
          </w:p>
        </w:tc>
      </w:tr>
      <w:tr>
        <w:trPr>
          <w:trHeight w:val="351"/>
        </w:trPr>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(75.6)</w:t>
            </w:r>
          </w:p>
        </w:tc>
        <w:tc>
          <w:tcPr>
            <w:tcW w:w="12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4"/>
                <w:szCs w:val="2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24"/>
                <w:szCs w:val="2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920" w:type="dxa"/>
            <w:vAlign w:val="bottom"/>
          </w:tcPr>
          <w:p>
            <w:pPr>
              <w:ind w:left="580"/>
              <w:spacing w:after="0"/>
              <w:rPr>
                <w:sz w:val="20"/>
                <w:szCs w:val="20"/>
                <w:color w:val="auto"/>
              </w:rPr>
            </w:pPr>
            <w:r>
              <w:rPr>
                <w:rFonts w:ascii="Arial" w:cs="Arial" w:eastAsia="Arial" w:hAnsi="Arial"/>
                <w:sz w:val="13"/>
                <w:szCs w:val="13"/>
                <w:color w:val="auto"/>
                <w:w w:val="94"/>
              </w:rPr>
              <w:t>(16.1)</w:t>
            </w:r>
          </w:p>
        </w:tc>
        <w:tc>
          <w:tcPr>
            <w:tcW w:w="120" w:type="dxa"/>
            <w:vAlign w:val="bottom"/>
          </w:tcPr>
          <w:p>
            <w:pPr>
              <w:spacing w:after="0"/>
              <w:rPr>
                <w:sz w:val="24"/>
                <w:szCs w:val="2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(121.6)</w:t>
            </w: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6"/>
                <w:szCs w:val="16"/>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95.8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103.6</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4"/>
              </w:rPr>
              <w:t>(16.1)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323"/>
        </w:trPr>
        <w:tc>
          <w:tcPr>
            <w:tcW w:w="240" w:type="dxa"/>
            <w:vAlign w:val="bottom"/>
          </w:tcPr>
          <w:p>
            <w:pPr>
              <w:spacing w:after="0"/>
              <w:rPr>
                <w:sz w:val="24"/>
                <w:szCs w:val="24"/>
                <w:color w:val="auto"/>
              </w:rPr>
            </w:pPr>
          </w:p>
        </w:tc>
        <w:tc>
          <w:tcPr>
            <w:tcW w:w="940" w:type="dxa"/>
            <w:vAlign w:val="bottom"/>
          </w:tcPr>
          <w:p>
            <w:pPr>
              <w:jc w:val="right"/>
              <w:ind w:right="93"/>
              <w:spacing w:after="0"/>
              <w:rPr>
                <w:sz w:val="20"/>
                <w:szCs w:val="20"/>
                <w:color w:val="auto"/>
              </w:rPr>
            </w:pPr>
            <w:r>
              <w:rPr>
                <w:rFonts w:ascii="Arial" w:cs="Arial" w:eastAsia="Arial" w:hAnsi="Arial"/>
                <w:sz w:val="13"/>
                <w:szCs w:val="13"/>
                <w:color w:val="auto"/>
              </w:rPr>
              <w:t>79.4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13"/>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95.4</w:t>
            </w: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99.6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w w:val="94"/>
              </w:rPr>
              <w:t>(16.1)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-5.5 %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351"/>
        </w:trPr>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3.4 %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ind w:left="1480"/>
        <w:spacing w:after="0"/>
        <w:tabs>
          <w:tab w:leader="none" w:pos="67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21 of </w:t>
      </w:r>
      <w:hyperlink w:anchor="page27">
        <w:r>
          <w:rPr>
            <w:rFonts w:ascii="Arial" w:cs="Arial" w:eastAsia="Arial" w:hAnsi="Arial"/>
            <w:sz w:val="14"/>
            <w:szCs w:val="14"/>
            <w:b w:val="1"/>
            <w:bCs w:val="1"/>
            <w:color w:val="auto"/>
          </w:rPr>
          <w:t>24</w:t>
        </w:r>
      </w:hyperlink>
    </w:p>
    <w:p>
      <w:pPr>
        <w:sectPr>
          <w:pgSz w:w="11900" w:h="16838" w:orient="portrait"/>
          <w:cols w:equalWidth="0" w:num="2">
            <w:col w:w="2820" w:space="720"/>
            <w:col w:w="7680"/>
          </w:cols>
          <w:pgMar w:left="340" w:top="1053"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20"/>
        <w:spacing w:after="0"/>
        <w:rPr>
          <w:sz w:val="20"/>
          <w:szCs w:val="20"/>
          <w:color w:val="auto"/>
        </w:rPr>
      </w:pPr>
      <w:r>
        <w:rPr>
          <w:rFonts w:ascii="Arial" w:cs="Arial" w:eastAsia="Arial" w:hAnsi="Arial"/>
          <w:sz w:val="13"/>
          <w:szCs w:val="13"/>
          <w:b w:val="1"/>
          <w:bCs w:val="1"/>
          <w:color w:val="auto"/>
        </w:rPr>
        <w:t>(In millions,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Exchange, net</w:t>
            </w: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Technologies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and Other</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2,780.8</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520.0</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3,300.8</w:t>
            </w:r>
          </w:p>
        </w:tc>
        <w:tc>
          <w:tcPr>
            <w:tcW w:w="0" w:type="dxa"/>
            <w:vAlign w:val="bottom"/>
          </w:tcPr>
          <w:p>
            <w:pPr>
              <w:spacing w:after="0"/>
              <w:rPr>
                <w:sz w:val="1"/>
                <w:szCs w:val="1"/>
                <w:color w:val="auto"/>
              </w:rPr>
            </w:pPr>
          </w:p>
        </w:tc>
      </w:tr>
      <w:tr>
        <w:trPr>
          <w:trHeight w:val="346"/>
        </w:trPr>
        <w:tc>
          <w:tcPr>
            <w:tcW w:w="504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21.1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340.7</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0"/>
                <w:szCs w:val="20"/>
                <w:color w:val="auto"/>
              </w:rPr>
            </w:pPr>
            <w:r>
              <w:rPr>
                <w:rFonts w:ascii="Arial" w:cs="Arial" w:eastAsia="Arial" w:hAnsi="Arial"/>
                <w:sz w:val="14"/>
                <w:szCs w:val="14"/>
                <w:color w:val="auto"/>
              </w:rPr>
              <w:t>Charges and (credits):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89"/>
        </w:trPr>
        <w:tc>
          <w:tcPr>
            <w:tcW w:w="504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4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5"/>
        </w:trPr>
        <w:tc>
          <w:tcPr>
            <w:tcW w:w="5040" w:type="dxa"/>
            <w:vAlign w:val="bottom"/>
          </w:tcPr>
          <w:p>
            <w:pPr>
              <w:ind w:left="200"/>
              <w:spacing w:after="0"/>
              <w:rPr>
                <w:sz w:val="20"/>
                <w:szCs w:val="20"/>
                <w:color w:val="auto"/>
              </w:rPr>
            </w:pPr>
            <w:r>
              <w:rPr>
                <w:rFonts w:ascii="Arial" w:cs="Arial" w:eastAsia="Arial" w:hAnsi="Arial"/>
                <w:sz w:val="14"/>
                <w:szCs w:val="14"/>
                <w:color w:val="auto"/>
              </w:rPr>
              <w:t>Income from investment in Technip Energies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82"/>
        </w:trPr>
        <w:tc>
          <w:tcPr>
            <w:tcW w:w="504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169"/>
        </w:trPr>
        <w:tc>
          <w:tcPr>
            <w:tcW w:w="504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322"/>
        </w:trPr>
        <w:tc>
          <w:tcPr>
            <w:tcW w:w="50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04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5"/>
        </w:trPr>
        <w:tc>
          <w:tcPr>
            <w:tcW w:w="504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351"/>
        </w:trPr>
        <w:tc>
          <w:tcPr>
            <w:tcW w:w="504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2"/>
              </w:rPr>
              <w:t>Six Months Ended</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Subsea</w:t>
            </w:r>
          </w:p>
        </w:tc>
        <w:tc>
          <w:tcPr>
            <w:tcW w:w="140" w:type="dxa"/>
            <w:vAlign w:val="bottom"/>
          </w:tcPr>
          <w:p>
            <w:pPr>
              <w:spacing w:after="0"/>
              <w:rPr>
                <w:sz w:val="11"/>
                <w:szCs w:val="11"/>
                <w:color w:val="auto"/>
              </w:rPr>
            </w:pPr>
          </w:p>
        </w:tc>
        <w:tc>
          <w:tcPr>
            <w:tcW w:w="106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1"/>
                <w:szCs w:val="11"/>
                <w:color w:val="auto"/>
              </w:rPr>
            </w:pPr>
          </w:p>
        </w:tc>
        <w:tc>
          <w:tcPr>
            <w:tcW w:w="110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1"/>
                <w:szCs w:val="11"/>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Technologies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Exchange, net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20" w:type="dxa"/>
            <w:vAlign w:val="bottom"/>
          </w:tcPr>
          <w:p>
            <w:pPr>
              <w:spacing w:after="0"/>
              <w:rPr>
                <w:sz w:val="20"/>
                <w:szCs w:val="20"/>
                <w:color w:val="auto"/>
              </w:rPr>
            </w:pPr>
            <w:r>
              <w:rPr>
                <w:rFonts w:ascii="Arial" w:cs="Arial" w:eastAsia="Arial" w:hAnsi="Arial"/>
                <w:sz w:val="14"/>
                <w:szCs w:val="14"/>
                <w:color w:val="auto"/>
              </w:rPr>
              <w:t>Revenue</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2,631.6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571.2</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3,202.8</w:t>
            </w:r>
          </w:p>
        </w:tc>
        <w:tc>
          <w:tcPr>
            <w:tcW w:w="0" w:type="dxa"/>
            <w:vAlign w:val="bottom"/>
          </w:tcPr>
          <w:p>
            <w:pPr>
              <w:spacing w:after="0"/>
              <w:rPr>
                <w:sz w:val="1"/>
                <w:szCs w:val="1"/>
                <w:color w:val="auto"/>
              </w:rPr>
            </w:pPr>
          </w:p>
        </w:tc>
      </w:tr>
      <w:tr>
        <w:trPr>
          <w:trHeight w:val="332"/>
        </w:trPr>
        <w:tc>
          <w:tcPr>
            <w:tcW w:w="5020" w:type="dxa"/>
            <w:vAlign w:val="bottom"/>
          </w:tcPr>
          <w:p>
            <w:pPr>
              <w:spacing w:after="0"/>
              <w:rPr>
                <w:sz w:val="20"/>
                <w:szCs w:val="20"/>
                <w:color w:val="auto"/>
              </w:rPr>
            </w:pPr>
            <w:r>
              <w:rPr>
                <w:rFonts w:ascii="Arial" w:cs="Arial" w:eastAsia="Arial" w:hAnsi="Arial"/>
                <w:sz w:val="14"/>
                <w:szCs w:val="14"/>
                <w:color w:val="auto"/>
              </w:rPr>
              <w:t>Operating loss, as reported (pre-tax)</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(2,826.3)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(437.4)</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ind w:left="620"/>
              <w:spacing w:after="0"/>
              <w:rPr>
                <w:sz w:val="20"/>
                <w:szCs w:val="20"/>
                <w:color w:val="auto"/>
              </w:rPr>
            </w:pPr>
            <w:r>
              <w:rPr>
                <w:rFonts w:ascii="Arial" w:cs="Arial" w:eastAsia="Arial" w:hAnsi="Arial"/>
                <w:sz w:val="14"/>
                <w:szCs w:val="14"/>
                <w:color w:val="auto"/>
                <w:w w:val="98"/>
              </w:rPr>
              <w:t>(39.2)</w:t>
            </w:r>
          </w:p>
        </w:tc>
        <w:tc>
          <w:tcPr>
            <w:tcW w:w="10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(3,349.7)</w:t>
            </w:r>
          </w:p>
        </w:tc>
        <w:tc>
          <w:tcPr>
            <w:tcW w:w="0" w:type="dxa"/>
            <w:vAlign w:val="bottom"/>
          </w:tcPr>
          <w:p>
            <w:pPr>
              <w:spacing w:after="0"/>
              <w:rPr>
                <w:sz w:val="1"/>
                <w:szCs w:val="1"/>
                <w:color w:val="auto"/>
              </w:rPr>
            </w:pPr>
          </w:p>
        </w:tc>
      </w:tr>
      <w:tr>
        <w:trPr>
          <w:trHeight w:val="337"/>
        </w:trPr>
        <w:tc>
          <w:tcPr>
            <w:tcW w:w="5020" w:type="dxa"/>
            <w:vAlign w:val="bottom"/>
          </w:tcPr>
          <w:p>
            <w:pPr>
              <w:spacing w:after="0"/>
              <w:rPr>
                <w:sz w:val="20"/>
                <w:szCs w:val="20"/>
                <w:color w:val="auto"/>
              </w:rPr>
            </w:pPr>
            <w:r>
              <w:rPr>
                <w:rFonts w:ascii="Arial" w:cs="Arial" w:eastAsia="Arial" w:hAnsi="Arial"/>
                <w:sz w:val="14"/>
                <w:szCs w:val="14"/>
                <w:color w:val="auto"/>
              </w:rPr>
              <w:t>Charges and (credits):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4"/>
                <w:szCs w:val="14"/>
                <w:color w:val="auto"/>
              </w:rPr>
              <w:t>Impairment and other charges</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2,809.0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3,221.7</w:t>
            </w: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4"/>
                <w:szCs w:val="14"/>
                <w:color w:val="auto"/>
              </w:rPr>
              <w:t>Restructuring and other charges</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5020" w:type="dxa"/>
            <w:vAlign w:val="bottom"/>
          </w:tcPr>
          <w:p>
            <w:pPr>
              <w:ind w:left="200"/>
              <w:spacing w:after="0"/>
              <w:rPr>
                <w:sz w:val="20"/>
                <w:szCs w:val="20"/>
                <w:color w:val="auto"/>
              </w:rPr>
            </w:pPr>
            <w:r>
              <w:rPr>
                <w:rFonts w:ascii="Arial" w:cs="Arial" w:eastAsia="Arial" w:hAnsi="Arial"/>
                <w:sz w:val="14"/>
                <w:szCs w:val="14"/>
                <w:color w:val="auto"/>
              </w:rPr>
              <w:t>Direct COVID-19 expenses</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95"/>
        </w:trPr>
        <w:tc>
          <w:tcPr>
            <w:tcW w:w="5020" w:type="dxa"/>
            <w:vAlign w:val="bottom"/>
          </w:tcPr>
          <w:p>
            <w:pPr>
              <w:ind w:left="200"/>
              <w:spacing w:after="0"/>
              <w:rPr>
                <w:sz w:val="20"/>
                <w:szCs w:val="20"/>
                <w:color w:val="auto"/>
              </w:rPr>
            </w:pPr>
            <w:r>
              <w:rPr>
                <w:rFonts w:ascii="Arial" w:cs="Arial" w:eastAsia="Arial" w:hAnsi="Arial"/>
                <w:sz w:val="14"/>
                <w:szCs w:val="14"/>
                <w:color w:val="auto"/>
              </w:rPr>
              <w:t>Purchase price accounting adjustment</w:t>
            </w:r>
          </w:p>
        </w:tc>
        <w:tc>
          <w:tcPr>
            <w:tcW w:w="24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2,877.9</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431.1</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3,311.2</w:t>
            </w:r>
          </w:p>
        </w:tc>
        <w:tc>
          <w:tcPr>
            <w:tcW w:w="0" w:type="dxa"/>
            <w:vAlign w:val="bottom"/>
          </w:tcPr>
          <w:p>
            <w:pPr>
              <w:spacing w:after="0"/>
              <w:rPr>
                <w:sz w:val="1"/>
                <w:szCs w:val="1"/>
                <w:color w:val="auto"/>
              </w:rPr>
            </w:pPr>
          </w:p>
        </w:tc>
      </w:tr>
      <w:tr>
        <w:trPr>
          <w:trHeight w:val="155"/>
        </w:trPr>
        <w:tc>
          <w:tcPr>
            <w:tcW w:w="5020" w:type="dxa"/>
            <w:vAlign w:val="bottom"/>
            <w:vMerge w:val="restart"/>
          </w:tcPr>
          <w:p>
            <w:pPr>
              <w:spacing w:after="0"/>
              <w:rPr>
                <w:sz w:val="20"/>
                <w:szCs w:val="20"/>
                <w:color w:val="auto"/>
              </w:rPr>
            </w:pPr>
            <w:r>
              <w:rPr>
                <w:rFonts w:ascii="Arial" w:cs="Arial" w:eastAsia="Arial" w:hAnsi="Arial"/>
                <w:sz w:val="14"/>
                <w:szCs w:val="14"/>
                <w:color w:val="auto"/>
              </w:rPr>
              <w:t>Adjusted Operating profit (loss)</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0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w w:val="98"/>
              </w:rPr>
              <w:t>(39.2)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309"/>
        </w:trPr>
        <w:tc>
          <w:tcPr>
            <w:tcW w:w="50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2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20"/>
                <w:szCs w:val="20"/>
                <w:color w:val="auto"/>
              </w:rPr>
            </w:pPr>
            <w:r>
              <w:rPr>
                <w:rFonts w:ascii="Arial" w:cs="Arial" w:eastAsia="Arial" w:hAnsi="Arial"/>
                <w:sz w:val="14"/>
                <w:szCs w:val="14"/>
                <w:color w:val="auto"/>
              </w:rPr>
              <w:t>Adjusted EBITDA</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w w:val="98"/>
              </w:rPr>
              <w:t>(39.2)</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50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-107.4 %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-76.6 %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-104.6 %</w:t>
            </w: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338"/>
        </w:trPr>
        <w:tc>
          <w:tcPr>
            <w:tcW w:w="50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20"/>
        <w:spacing w:after="0"/>
        <w:tabs>
          <w:tab w:leader="none" w:pos="1024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22 of </w:t>
      </w:r>
      <w:hyperlink w:anchor="page27">
        <w:r>
          <w:rPr>
            <w:rFonts w:ascii="Arial" w:cs="Arial" w:eastAsia="Arial" w:hAnsi="Arial"/>
            <w:sz w:val="14"/>
            <w:szCs w:val="14"/>
            <w:b w:val="1"/>
            <w:bCs w:val="1"/>
            <w:color w:val="auto"/>
          </w:rPr>
          <w:t>24</w:t>
        </w:r>
      </w:hyperlink>
    </w:p>
    <w:p>
      <w:pPr>
        <w:sectPr>
          <w:pgSz w:w="11900" w:h="16838" w:orient="portrait"/>
          <w:cols w:equalWidth="0" w:num="1">
            <w:col w:w="11220"/>
          </w:cols>
          <w:pgMar w:left="340" w:top="1053" w:right="3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r>
      <w:tr>
        <w:trPr>
          <w:trHeight w:val="230"/>
        </w:trPr>
        <w:tc>
          <w:tcPr>
            <w:tcW w:w="8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1,269.2</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(2,835.5)</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Net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(2,191.0)</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200" w:lineRule="exact"/>
        <w:rPr>
          <w:sz w:val="20"/>
          <w:szCs w:val="20"/>
          <w:color w:val="auto"/>
        </w:rPr>
      </w:pPr>
    </w:p>
    <w:p>
      <w:pPr>
        <w:spacing w:after="0" w:line="272"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23 of </w:t>
      </w:r>
      <w:hyperlink w:anchor="page27">
        <w:r>
          <w:rPr>
            <w:rFonts w:ascii="Arial" w:cs="Arial" w:eastAsia="Arial" w:hAnsi="Arial"/>
            <w:sz w:val="14"/>
            <w:szCs w:val="14"/>
            <w:b w:val="1"/>
            <w:bCs w:val="1"/>
            <w:color w:val="auto"/>
          </w:rPr>
          <w:t>24</w:t>
        </w:r>
      </w:hyperlink>
    </w:p>
    <w:p>
      <w:pPr>
        <w:sectPr>
          <w:pgSz w:w="11900" w:h="16838" w:orient="portrait"/>
          <w:cols w:equalWidth="0" w:num="1">
            <w:col w:w="11240"/>
          </w:cols>
          <w:pgMar w:left="320" w:top="1053"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Three Months Ended June</w:t>
            </w:r>
          </w:p>
        </w:tc>
        <w:tc>
          <w:tcPr>
            <w:tcW w:w="280" w:type="dxa"/>
            <w:vAlign w:val="bottom"/>
          </w:tcPr>
          <w:p>
            <w:pPr>
              <w:spacing w:after="0"/>
              <w:rPr>
                <w:sz w:val="17"/>
                <w:szCs w:val="17"/>
                <w:color w:val="auto"/>
              </w:rPr>
            </w:pPr>
          </w:p>
        </w:tc>
        <w:tc>
          <w:tcPr>
            <w:tcW w:w="268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w w:val="99"/>
              </w:rPr>
              <w:t>Cash provided (required) by operating activities from continuing operations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590"/>
              <w:spacing w:after="0"/>
              <w:rPr>
                <w:sz w:val="20"/>
                <w:szCs w:val="20"/>
                <w:color w:val="auto"/>
              </w:rPr>
            </w:pPr>
            <w:r>
              <w:rPr>
                <w:rFonts w:ascii="Arial" w:cs="Arial" w:eastAsia="Arial" w:hAnsi="Arial"/>
                <w:sz w:val="18"/>
                <w:szCs w:val="18"/>
                <w:color w:val="auto"/>
                <w:w w:val="91"/>
              </w:rPr>
              <w:t>95.6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9"/>
              </w:rPr>
              <w:t>(83.9)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Free cash flow (deficit) from continuing operations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85"/>
              </w:rPr>
              <w:t>11.7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Free cash flow (deficit) from continuing operations, is a non-GAAP financial measure and is defined as cash provided by operating activities less capital expenditures. Management uses this non-GAAP financial measure to evaluate our financial condition. We believe from continuing operations, free cash flow (deficit) from continuing operations is a meaningful financial measure that may assist investors in understanding our financial condition and results of operations.</w:t>
      </w:r>
    </w:p>
    <w:p>
      <w:pPr>
        <w:spacing w:after="0" w:line="200" w:lineRule="exact"/>
        <w:rPr>
          <w:sz w:val="20"/>
          <w:szCs w:val="20"/>
          <w:color w:val="auto"/>
        </w:rPr>
      </w:pPr>
    </w:p>
    <w:p>
      <w:pPr>
        <w:spacing w:after="0" w:line="271" w:lineRule="exact"/>
        <w:rPr>
          <w:sz w:val="20"/>
          <w:szCs w:val="20"/>
          <w:color w:val="auto"/>
        </w:rPr>
      </w:pPr>
    </w:p>
    <w:p>
      <w:pPr>
        <w:ind w:left="5040"/>
        <w:spacing w:after="0"/>
        <w:tabs>
          <w:tab w:leader="none" w:pos="1026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24 of </w:t>
      </w:r>
      <w:hyperlink w:anchor="page27">
        <w:r>
          <w:rPr>
            <w:rFonts w:ascii="Arial" w:cs="Arial" w:eastAsia="Arial" w:hAnsi="Arial"/>
            <w:sz w:val="14"/>
            <w:szCs w:val="14"/>
            <w:b w:val="1"/>
            <w:bCs w:val="1"/>
            <w:color w:val="auto"/>
          </w:rPr>
          <w:t>24</w:t>
        </w:r>
      </w:hyperlink>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2021-07-21T15:33:15Z</dcterms:created>
  <dcterms:modified xsi:type="dcterms:W3CDTF">2021-07-21T15:33:15Z</dcterms:modified>
</cp:coreProperties>
</file>