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02/17/2026</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16, 2027.</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3,259</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2" w:hAnchor="page" w:vAnchor="page" w:x="9303"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117,628</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037"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YEARWOOD JOHN</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77.8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4.35pt;margin-top:292.1pt;z-index:-16776084;width:24.6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938" w:hAnchor="page" w:vAnchor="page" w:x="2953"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30th day of June 2025. /s/ John Yearwood Name: John Yearwood</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1103</Words>
  <Characters>5772</Characters>
  <Application>e-iceblue</Application>
  <DocSecurity>0</DocSecurity>
  <Lines>178</Lines>
  <Paragraphs>178</Paragraphs>
  <ScaleCrop>false</ScaleCrop>
  <Company>e-iceblue</Company>
  <LinksUpToDate>false</LinksUpToDate>
  <CharactersWithSpaces>6701</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2026-02-18T00:44:12Z</dcterms:created>
  <dc:creator>root</dc:creator>
  <cp:lastModifiedBy>root</cp:lastModifiedBy>
  <dcterms:modified xsi:type="dcterms:W3CDTF">2026-02-18T00:44:12Z</dcterms:modified>
  <cp:revision>1</cp:revision>
</cp:coreProperties>
</file>