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118110</wp:posOffset>
            </wp:positionV>
            <wp:extent cx="380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192405</wp:posOffset>
            </wp:positionV>
            <wp:extent cx="3807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4" w:lineRule="exact"/>
        <w:rPr>
          <w:sz w:val="24"/>
          <w:szCs w:val="24"/>
          <w:color w:val="auto"/>
        </w:rPr>
      </w:pPr>
    </w:p>
    <w:p>
      <w:pPr>
        <w:ind w:left="720" w:right="540" w:hanging="685"/>
        <w:spacing w:after="0" w:line="26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60"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tbl>
      <w:tblPr>
        <w:tblLayout w:type="fixed"/>
        <w:tblInd w:w="40" w:type="dxa"/>
        <w:tblCellMar>
          <w:top w:w="0" w:type="dxa"/>
          <w:left w:w="0" w:type="dxa"/>
          <w:bottom w:w="0" w:type="dxa"/>
          <w:right w:w="0" w:type="dxa"/>
        </w:tblCellMar>
      </w:tblPr>
      <w:tr>
        <w:trPr>
          <w:trHeight w:val="239"/>
        </w:trPr>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80" w:type="dxa"/>
            <w:vAlign w:val="bottom"/>
            <w:gridSpan w:val="2"/>
          </w:tcPr>
          <w:p>
            <w:pPr>
              <w:ind w:left="1040"/>
              <w:spacing w:after="0"/>
              <w:rPr>
                <w:sz w:val="20"/>
                <w:szCs w:val="20"/>
                <w:color w:val="auto"/>
              </w:rPr>
            </w:pPr>
            <w:r>
              <w:rPr>
                <w:rFonts w:ascii="Arial" w:cs="Arial" w:eastAsia="Arial" w:hAnsi="Arial"/>
                <w:sz w:val="18"/>
                <w:szCs w:val="18"/>
                <w:b w:val="1"/>
                <w:bCs w:val="1"/>
                <w:color w:val="auto"/>
              </w:rPr>
              <w:t>For the transition period from</w:t>
            </w:r>
          </w:p>
        </w:tc>
        <w:tc>
          <w:tcPr>
            <w:tcW w:w="2940" w:type="dxa"/>
            <w:vAlign w:val="bottom"/>
            <w:gridSpan w:val="3"/>
          </w:tcPr>
          <w:p>
            <w:pPr>
              <w:ind w:left="300"/>
              <w:spacing w:after="0"/>
              <w:rPr>
                <w:sz w:val="20"/>
                <w:szCs w:val="20"/>
                <w:color w:val="auto"/>
              </w:rPr>
            </w:pPr>
            <w:r>
              <w:rPr>
                <w:rFonts w:ascii="Arial" w:cs="Arial" w:eastAsia="Arial" w:hAnsi="Arial"/>
                <w:sz w:val="18"/>
                <w:szCs w:val="18"/>
                <w:b w:val="1"/>
                <w:bCs w:val="1"/>
                <w:color w:val="auto"/>
              </w:rPr>
              <w:t>to</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820" w:type="dxa"/>
            <w:vAlign w:val="bottom"/>
            <w:gridSpan w:val="5"/>
          </w:tcPr>
          <w:p>
            <w:pPr>
              <w:jc w:val="center"/>
              <w:ind w:right="739"/>
              <w:spacing w:after="0"/>
              <w:rPr>
                <w:sz w:val="20"/>
                <w:szCs w:val="20"/>
                <w:color w:val="auto"/>
              </w:rPr>
            </w:pPr>
            <w:r>
              <w:rPr>
                <w:rFonts w:ascii="Arial" w:cs="Arial" w:eastAsia="Arial" w:hAnsi="Arial"/>
                <w:sz w:val="14"/>
                <w:szCs w:val="14"/>
                <w:b w:val="1"/>
                <w:bCs w:val="1"/>
                <w:color w:val="auto"/>
              </w:rPr>
              <w:t>Commission file number 001-37983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0" w:type="dxa"/>
            <w:vAlign w:val="bottom"/>
            <w:tcBorders>
              <w:bottom w:val="single" w:sz="8" w:color="auto"/>
            </w:tcBorders>
            <w:gridSpan w:val="3"/>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7"/>
        </w:trPr>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20" w:type="dxa"/>
            <w:vAlign w:val="bottom"/>
            <w:gridSpan w:val="5"/>
          </w:tcPr>
          <w:p>
            <w:pPr>
              <w:jc w:val="center"/>
              <w:ind w:right="739"/>
              <w:spacing w:after="0"/>
              <w:rPr>
                <w:sz w:val="20"/>
                <w:szCs w:val="20"/>
                <w:color w:val="auto"/>
              </w:rPr>
            </w:pPr>
            <w:r>
              <w:rPr>
                <w:rFonts w:ascii="Arial" w:cs="Arial" w:eastAsia="Arial" w:hAnsi="Arial"/>
                <w:sz w:val="32"/>
                <w:szCs w:val="32"/>
                <w:b w:val="1"/>
                <w:bCs w:val="1"/>
                <w:color w:val="auto"/>
              </w:rPr>
              <w:t>TechnipFMC plc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20" w:type="dxa"/>
            <w:vAlign w:val="bottom"/>
            <w:gridSpan w:val="5"/>
          </w:tcPr>
          <w:p>
            <w:pPr>
              <w:jc w:val="center"/>
              <w:ind w:right="759"/>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8"/>
        </w:trPr>
        <w:tc>
          <w:tcPr>
            <w:tcW w:w="1240" w:type="dxa"/>
            <w:vAlign w:val="bottom"/>
          </w:tcPr>
          <w:p>
            <w:pPr>
              <w:spacing w:after="0"/>
              <w:rPr>
                <w:sz w:val="24"/>
                <w:szCs w:val="24"/>
                <w:color w:val="auto"/>
              </w:rPr>
            </w:pPr>
          </w:p>
        </w:tc>
        <w:tc>
          <w:tcPr>
            <w:tcW w:w="4460" w:type="dxa"/>
            <w:vAlign w:val="bottom"/>
            <w:gridSpan w:val="2"/>
          </w:tcPr>
          <w:p>
            <w:pPr>
              <w:jc w:val="center"/>
              <w:ind w:right="1213"/>
              <w:spacing w:after="0"/>
              <w:rPr>
                <w:sz w:val="20"/>
                <w:szCs w:val="20"/>
                <w:color w:val="auto"/>
              </w:rPr>
            </w:pPr>
            <w:r>
              <w:rPr>
                <w:rFonts w:ascii="Arial" w:cs="Arial" w:eastAsia="Arial" w:hAnsi="Arial"/>
                <w:sz w:val="18"/>
                <w:szCs w:val="18"/>
                <w:b w:val="1"/>
                <w:bCs w:val="1"/>
                <w:color w:val="auto"/>
                <w:w w:val="99"/>
              </w:rPr>
              <w:t>England and Wales</w:t>
            </w:r>
          </w:p>
        </w:tc>
        <w:tc>
          <w:tcPr>
            <w:tcW w:w="860" w:type="dxa"/>
            <w:vAlign w:val="bottom"/>
          </w:tcPr>
          <w:p>
            <w:pPr>
              <w:spacing w:after="0"/>
              <w:rPr>
                <w:sz w:val="24"/>
                <w:szCs w:val="24"/>
                <w:color w:val="auto"/>
              </w:rPr>
            </w:pPr>
          </w:p>
        </w:tc>
        <w:tc>
          <w:tcPr>
            <w:tcW w:w="2940" w:type="dxa"/>
            <w:vAlign w:val="bottom"/>
            <w:gridSpan w:val="3"/>
          </w:tcPr>
          <w:p>
            <w:pPr>
              <w:jc w:val="right"/>
              <w:ind w:right="399"/>
              <w:spacing w:after="0"/>
              <w:rPr>
                <w:sz w:val="20"/>
                <w:szCs w:val="20"/>
                <w:color w:val="auto"/>
              </w:rPr>
            </w:pPr>
            <w:r>
              <w:rPr>
                <w:rFonts w:ascii="Arial" w:cs="Arial" w:eastAsia="Arial" w:hAnsi="Arial"/>
                <w:sz w:val="18"/>
                <w:szCs w:val="18"/>
                <w:color w:val="auto"/>
              </w:rPr>
              <w:t>98-1283037</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860" w:type="dxa"/>
            <w:vAlign w:val="bottom"/>
          </w:tcPr>
          <w:p>
            <w:pPr>
              <w:spacing w:after="0"/>
              <w:rPr>
                <w:sz w:val="18"/>
                <w:szCs w:val="18"/>
                <w:color w:val="auto"/>
              </w:rPr>
            </w:pPr>
          </w:p>
        </w:tc>
        <w:tc>
          <w:tcPr>
            <w:tcW w:w="3580" w:type="dxa"/>
            <w:vAlign w:val="bottom"/>
            <w:gridSpan w:val="4"/>
          </w:tcPr>
          <w:p>
            <w:pPr>
              <w:jc w:val="center"/>
              <w:ind w:left="277"/>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435"/>
        </w:trPr>
        <w:tc>
          <w:tcPr>
            <w:tcW w:w="1240" w:type="dxa"/>
            <w:vAlign w:val="bottom"/>
          </w:tcPr>
          <w:p>
            <w:pPr>
              <w:spacing w:after="0"/>
              <w:rPr>
                <w:sz w:val="24"/>
                <w:szCs w:val="24"/>
                <w:color w:val="auto"/>
              </w:rPr>
            </w:pPr>
          </w:p>
        </w:tc>
        <w:tc>
          <w:tcPr>
            <w:tcW w:w="4460" w:type="dxa"/>
            <w:vAlign w:val="bottom"/>
            <w:gridSpan w:val="2"/>
          </w:tcPr>
          <w:p>
            <w:pPr>
              <w:jc w:val="center"/>
              <w:ind w:right="1193"/>
              <w:spacing w:after="0"/>
              <w:rPr>
                <w:sz w:val="20"/>
                <w:szCs w:val="20"/>
                <w:color w:val="auto"/>
              </w:rPr>
            </w:pPr>
            <w:r>
              <w:rPr>
                <w:rFonts w:ascii="Arial" w:cs="Arial" w:eastAsia="Arial" w:hAnsi="Arial"/>
                <w:sz w:val="18"/>
                <w:szCs w:val="18"/>
                <w:b w:val="1"/>
                <w:bCs w:val="1"/>
                <w:color w:val="auto"/>
                <w:w w:val="99"/>
              </w:rPr>
              <w:t>One St. Paul’s Churchyard</w:t>
            </w:r>
          </w:p>
        </w:tc>
        <w:tc>
          <w:tcPr>
            <w:tcW w:w="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p>
        </w:tc>
        <w:tc>
          <w:tcPr>
            <w:tcW w:w="4460" w:type="dxa"/>
            <w:vAlign w:val="bottom"/>
            <w:gridSpan w:val="2"/>
          </w:tcPr>
          <w:p>
            <w:pPr>
              <w:jc w:val="center"/>
              <w:ind w:right="1213"/>
              <w:spacing w:after="0"/>
              <w:rPr>
                <w:sz w:val="20"/>
                <w:szCs w:val="20"/>
                <w:color w:val="auto"/>
              </w:rPr>
            </w:pPr>
            <w:r>
              <w:rPr>
                <w:rFonts w:ascii="Arial" w:cs="Arial" w:eastAsia="Arial" w:hAnsi="Arial"/>
                <w:sz w:val="18"/>
                <w:szCs w:val="18"/>
                <w:b w:val="1"/>
                <w:bCs w:val="1"/>
                <w:color w:val="auto"/>
              </w:rPr>
              <w:t>London, United Kingdom</w:t>
            </w:r>
          </w:p>
        </w:tc>
        <w:tc>
          <w:tcPr>
            <w:tcW w:w="860" w:type="dxa"/>
            <w:vAlign w:val="bottom"/>
          </w:tcPr>
          <w:p>
            <w:pPr>
              <w:spacing w:after="0"/>
              <w:rPr>
                <w:sz w:val="20"/>
                <w:szCs w:val="20"/>
                <w:color w:val="auto"/>
              </w:rPr>
            </w:pPr>
          </w:p>
        </w:tc>
        <w:tc>
          <w:tcPr>
            <w:tcW w:w="2940" w:type="dxa"/>
            <w:vAlign w:val="bottom"/>
            <w:gridSpan w:val="3"/>
          </w:tcPr>
          <w:p>
            <w:pPr>
              <w:jc w:val="center"/>
              <w:ind w:left="917"/>
              <w:spacing w:after="0"/>
              <w:rPr>
                <w:sz w:val="20"/>
                <w:szCs w:val="20"/>
                <w:color w:val="auto"/>
              </w:rPr>
            </w:pPr>
            <w:r>
              <w:rPr>
                <w:rFonts w:ascii="Arial" w:cs="Arial" w:eastAsia="Arial" w:hAnsi="Arial"/>
                <w:sz w:val="18"/>
                <w:szCs w:val="18"/>
                <w:b w:val="1"/>
                <w:bCs w:val="1"/>
                <w:color w:val="auto"/>
                <w:w w:val="99"/>
              </w:rPr>
              <w:t>EC4M 8AP</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4460" w:type="dxa"/>
            <w:vAlign w:val="bottom"/>
            <w:gridSpan w:val="2"/>
          </w:tcPr>
          <w:p>
            <w:pPr>
              <w:jc w:val="center"/>
              <w:ind w:right="1213"/>
              <w:spacing w:after="0"/>
              <w:rPr>
                <w:sz w:val="20"/>
                <w:szCs w:val="20"/>
                <w:color w:val="auto"/>
              </w:rPr>
            </w:pPr>
            <w:r>
              <w:rPr>
                <w:rFonts w:ascii="Arial" w:cs="Arial" w:eastAsia="Arial" w:hAnsi="Arial"/>
                <w:sz w:val="14"/>
                <w:szCs w:val="14"/>
                <w:b w:val="1"/>
                <w:bCs w:val="1"/>
                <w:color w:val="auto"/>
              </w:rPr>
              <w:t>(Address of principal executive offices)</w:t>
            </w:r>
          </w:p>
        </w:tc>
        <w:tc>
          <w:tcPr>
            <w:tcW w:w="860" w:type="dxa"/>
            <w:vAlign w:val="bottom"/>
          </w:tcPr>
          <w:p>
            <w:pPr>
              <w:spacing w:after="0"/>
              <w:rPr>
                <w:sz w:val="18"/>
                <w:szCs w:val="18"/>
                <w:color w:val="auto"/>
              </w:rPr>
            </w:pPr>
          </w:p>
        </w:tc>
        <w:tc>
          <w:tcPr>
            <w:tcW w:w="294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(Zip Code)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20" w:type="dxa"/>
            <w:vAlign w:val="bottom"/>
            <w:gridSpan w:val="5"/>
          </w:tcPr>
          <w:p>
            <w:pPr>
              <w:jc w:val="center"/>
              <w:ind w:right="739"/>
              <w:spacing w:after="0"/>
              <w:rPr>
                <w:sz w:val="20"/>
                <w:szCs w:val="20"/>
                <w:color w:val="auto"/>
              </w:rPr>
            </w:pPr>
            <w:r>
              <w:rPr>
                <w:rFonts w:ascii="Arial" w:cs="Arial" w:eastAsia="Arial" w:hAnsi="Arial"/>
                <w:sz w:val="14"/>
                <w:szCs w:val="14"/>
                <w:b w:val="1"/>
                <w:bCs w:val="1"/>
                <w:color w:val="auto"/>
              </w:rPr>
              <w:t>Registrant’s telephone number, including area code: +44 203-429-3950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20" w:type="dxa"/>
            <w:vAlign w:val="bottom"/>
            <w:gridSpan w:val="5"/>
          </w:tcPr>
          <w:p>
            <w:pPr>
              <w:jc w:val="center"/>
              <w:ind w:right="759"/>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24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4460" w:type="dxa"/>
            <w:vAlign w:val="bottom"/>
            <w:gridSpan w:val="2"/>
          </w:tcPr>
          <w:p>
            <w:pPr>
              <w:spacing w:after="0"/>
              <w:rPr>
                <w:sz w:val="24"/>
                <w:szCs w:val="24"/>
                <w:color w:val="auto"/>
              </w:rPr>
            </w:pPr>
          </w:p>
        </w:tc>
        <w:tc>
          <w:tcPr>
            <w:tcW w:w="3800" w:type="dxa"/>
            <w:vAlign w:val="bottom"/>
            <w:gridSpan w:val="4"/>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3040" w:type="dxa"/>
            <w:vAlign w:val="bottom"/>
            <w:gridSpan w:val="3"/>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700" w:type="dxa"/>
            <w:vAlign w:val="bottom"/>
            <w:gridSpan w:val="3"/>
          </w:tcPr>
          <w:p>
            <w:pPr>
              <w:spacing w:after="0"/>
              <w:rPr>
                <w:sz w:val="20"/>
                <w:szCs w:val="20"/>
                <w:color w:val="auto"/>
              </w:rPr>
            </w:pPr>
            <w:r>
              <w:rPr>
                <w:rFonts w:ascii="Arial" w:cs="Arial" w:eastAsia="Arial" w:hAnsi="Arial"/>
                <w:sz w:val="14"/>
                <w:szCs w:val="14"/>
                <w:color w:val="auto"/>
              </w:rPr>
              <w:t>Ordinary shares, $1.00 par value per share</w:t>
            </w:r>
          </w:p>
        </w:tc>
        <w:tc>
          <w:tcPr>
            <w:tcW w:w="3800" w:type="dxa"/>
            <w:vAlign w:val="bottom"/>
            <w:gridSpan w:val="4"/>
          </w:tcPr>
          <w:p>
            <w:pPr>
              <w:spacing w:after="0"/>
              <w:rPr>
                <w:sz w:val="20"/>
                <w:szCs w:val="20"/>
                <w:color w:val="auto"/>
              </w:rPr>
            </w:pPr>
            <w:r>
              <w:rPr>
                <w:rFonts w:ascii="Arial" w:cs="Arial" w:eastAsia="Arial" w:hAnsi="Arial"/>
                <w:sz w:val="14"/>
                <w:szCs w:val="14"/>
                <w:color w:val="auto"/>
              </w:rPr>
              <w:t>New York Stock Exchange</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20" w:type="dxa"/>
            <w:vAlign w:val="bottom"/>
            <w:gridSpan w:val="5"/>
          </w:tcPr>
          <w:p>
            <w:pPr>
              <w:jc w:val="center"/>
              <w:ind w:right="759"/>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000" w:type="dxa"/>
            <w:vAlign w:val="bottom"/>
            <w:tcBorders>
              <w:bottom w:val="single" w:sz="8" w:color="auto"/>
            </w:tcBorders>
            <w:gridSpan w:val="3"/>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vMerge w:val="restart"/>
          </w:tcPr>
          <w:p>
            <w:pPr>
              <w:ind w:left="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64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97"/>
        </w:trPr>
        <w:tc>
          <w:tcPr>
            <w:tcW w:w="8680" w:type="dxa"/>
            <w:vAlign w:val="bottom"/>
            <w:gridSpan w:val="5"/>
          </w:tcPr>
          <w:p>
            <w:pPr>
              <w:ind w:left="3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9500" w:type="dxa"/>
            <w:vAlign w:val="bottom"/>
            <w:gridSpan w:val="7"/>
          </w:tcPr>
          <w:p>
            <w:pPr>
              <w:ind w:left="40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6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right="180" w:firstLine="432"/>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 w:lineRule="exact"/>
        <w:rPr>
          <w:sz w:val="24"/>
          <w:szCs w:val="24"/>
          <w:color w:val="auto"/>
        </w:rPr>
      </w:pPr>
    </w:p>
    <w:p>
      <w:pPr>
        <w:ind w:right="200" w:firstLine="432"/>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30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6" w:lineRule="exact"/>
        <w:rPr>
          <w:sz w:val="24"/>
          <w:szCs w:val="24"/>
          <w:color w:val="auto"/>
        </w:rPr>
      </w:pPr>
    </w:p>
    <w:p>
      <w:pPr>
        <w:ind w:firstLine="432"/>
        <w:spacing w:after="0" w:line="19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5" w:lineRule="exact"/>
        <w:rPr>
          <w:sz w:val="24"/>
          <w:szCs w:val="24"/>
          <w:color w:val="auto"/>
        </w:rPr>
      </w:pPr>
    </w:p>
    <w:p>
      <w:pPr>
        <w:jc w:val="both"/>
        <w:ind w:right="80" w:firstLine="432"/>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60" w:type="dxa"/>
        <w:tblCellMar>
          <w:top w:w="0" w:type="dxa"/>
          <w:left w:w="0" w:type="dxa"/>
          <w:bottom w:w="0" w:type="dxa"/>
          <w:right w:w="0" w:type="dxa"/>
        </w:tblCellMar>
      </w:tblPr>
      <w:tr>
        <w:trPr>
          <w:trHeight w:val="254"/>
        </w:trPr>
        <w:tc>
          <w:tcPr>
            <w:tcW w:w="3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80" w:type="dxa"/>
            <w:vAlign w:val="bottom"/>
          </w:tcPr>
          <w:p>
            <w:pPr>
              <w:ind w:left="188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680" w:type="dxa"/>
            <w:vAlign w:val="bottom"/>
            <w:vMerge w:val="restart"/>
          </w:tcPr>
          <w:p>
            <w:pPr>
              <w:ind w:left="16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80" w:type="dxa"/>
            <w:vAlign w:val="bottom"/>
          </w:tcPr>
          <w:p>
            <w:pPr>
              <w:ind w:left="1880"/>
              <w:spacing w:after="0"/>
              <w:rPr>
                <w:sz w:val="20"/>
                <w:szCs w:val="20"/>
                <w:color w:val="auto"/>
              </w:rPr>
            </w:pPr>
            <w:r>
              <w:rPr>
                <w:rFonts w:ascii="Arial" w:cs="Arial" w:eastAsia="Arial" w:hAnsi="Arial"/>
                <w:sz w:val="16"/>
                <w:szCs w:val="16"/>
                <w:color w:val="auto"/>
              </w:rPr>
              <w:t>o</w:t>
            </w:r>
          </w:p>
        </w:tc>
        <w:tc>
          <w:tcPr>
            <w:tcW w:w="366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680" w:type="dxa"/>
            <w:vAlign w:val="bottom"/>
          </w:tcPr>
          <w:p>
            <w:pPr>
              <w:ind w:left="16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680" w:type="dxa"/>
            <w:vAlign w:val="bottom"/>
          </w:tcPr>
          <w:p>
            <w:pPr>
              <w:ind w:left="16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180" w:firstLine="648"/>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440"/>
        <w:spacing w:after="0" w:line="184" w:lineRule="exact"/>
        <w:tabs>
          <w:tab w:leader="none" w:pos="85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right="180" w:firstLine="432"/>
        <w:spacing w:after="0" w:line="260" w:lineRule="auto"/>
        <w:rPr>
          <w:sz w:val="20"/>
          <w:szCs w:val="20"/>
          <w:color w:val="auto"/>
        </w:rPr>
      </w:pPr>
      <w:r>
        <w:rPr>
          <w:rFonts w:ascii="Arial" w:cs="Arial" w:eastAsia="Arial" w:hAnsi="Arial"/>
          <w:sz w:val="16"/>
          <w:szCs w:val="16"/>
          <w:color w:val="auto"/>
        </w:rPr>
        <w:t>The aggregate market value of the registrant’s ordinary shares held by non-affiliates of the registrant, determined by multiplying the outstanding shares on June 29, 2018, by the closing price on such day of $31.74 as reported on the New York Stock Exchange, was $11,624,003,759.</w:t>
      </w:r>
    </w:p>
    <w:p>
      <w:pPr>
        <w:spacing w:after="0" w:line="6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number of shares of the registrant’s ordinary shares outstanding as of March 4, 2019 was 450,129,380.</w:t>
      </w:r>
    </w:p>
    <w:p>
      <w:pPr>
        <w:spacing w:after="0" w:line="6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jc w:val="both"/>
        <w:ind w:right="80" w:firstLine="648"/>
        <w:spacing w:after="0" w:line="253" w:lineRule="auto"/>
        <w:rPr>
          <w:sz w:val="20"/>
          <w:szCs w:val="20"/>
          <w:color w:val="auto"/>
        </w:rPr>
      </w:pPr>
      <w:r>
        <w:rPr>
          <w:rFonts w:ascii="Arial" w:cs="Arial" w:eastAsia="Arial" w:hAnsi="Arial"/>
          <w:sz w:val="16"/>
          <w:szCs w:val="16"/>
          <w:color w:val="auto"/>
        </w:rPr>
        <w:t>Portions of the registrant’s definitive Proxy Statement relating to its 2019 Annual General Meeting of Shareholders are incorporated by reference into Part III of this Annual Report on Form 10-K where indicated. The 2019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14" w:right="259" w:bottom="42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80" w:type="dxa"/>
            <w:vAlign w:val="bottom"/>
            <w:gridSpan w:val="6"/>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Page</w:t>
            </w:r>
          </w:p>
        </w:tc>
      </w:tr>
      <w:tr>
        <w:trPr>
          <w:trHeight w:val="258"/>
        </w:trPr>
        <w:tc>
          <w:tcPr>
            <w:tcW w:w="40" w:type="dxa"/>
            <w:vAlign w:val="bottom"/>
          </w:tcPr>
          <w:p>
            <w:pPr>
              <w:spacing w:after="0"/>
              <w:rPr>
                <w:sz w:val="22"/>
                <w:szCs w:val="22"/>
                <w:color w:val="auto"/>
              </w:rPr>
            </w:pPr>
          </w:p>
        </w:tc>
        <w:tc>
          <w:tcPr>
            <w:tcW w:w="10820" w:type="dxa"/>
            <w:vAlign w:val="bottom"/>
            <w:gridSpan w:val="24"/>
          </w:tcPr>
          <w:p>
            <w:pPr>
              <w:spacing w:after="0"/>
              <w:rPr>
                <w:sz w:val="20"/>
                <w:szCs w:val="20"/>
                <w:color w:val="auto"/>
              </w:rPr>
            </w:pPr>
            <w:r>
              <w:rPr>
                <w:rFonts w:ascii="Arial" w:cs="Arial" w:eastAsia="Arial" w:hAnsi="Arial"/>
                <w:sz w:val="14"/>
                <w:szCs w:val="14"/>
                <w:b w:val="1"/>
                <w:bCs w:val="1"/>
                <w:color w:val="auto"/>
              </w:rPr>
              <w:t>PART I</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2"/>
        </w:trPr>
        <w:tc>
          <w:tcPr>
            <w:tcW w:w="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Item 1. Business</w:t>
              </w:r>
            </w:hyperlink>
          </w:p>
        </w:tc>
        <w:tc>
          <w:tcPr>
            <w:tcW w:w="9760" w:type="dxa"/>
            <w:vAlign w:val="bottom"/>
            <w:gridSpan w:val="22"/>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Executive Officers of the Registrant</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9">
              <w:r>
                <w:rPr>
                  <w:rFonts w:ascii="Arial" w:cs="Arial" w:eastAsia="Arial" w:hAnsi="Arial"/>
                  <w:sz w:val="14"/>
                  <w:szCs w:val="14"/>
                  <w:color w:val="0000EE"/>
                </w:rPr>
                <w:t>19</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spacing w:after="0"/>
              <w:rPr>
                <w:rFonts w:ascii="Arial" w:cs="Arial" w:eastAsia="Arial" w:hAnsi="Arial"/>
                <w:sz w:val="14"/>
                <w:szCs w:val="14"/>
                <w:color w:val="0000EE"/>
              </w:rPr>
            </w:pPr>
            <w:hyperlink w:anchor="page21">
              <w:r>
                <w:rPr>
                  <w:rFonts w:ascii="Arial" w:cs="Arial" w:eastAsia="Arial" w:hAnsi="Arial"/>
                  <w:sz w:val="14"/>
                  <w:szCs w:val="14"/>
                  <w:color w:val="0000EE"/>
                </w:rPr>
                <w:t>Item 1A. Risk Factors</w:t>
              </w:r>
            </w:hyperlink>
          </w:p>
        </w:tc>
        <w:tc>
          <w:tcPr>
            <w:tcW w:w="9440" w:type="dxa"/>
            <w:vAlign w:val="bottom"/>
            <w:gridSpan w:val="20"/>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21">
              <w:r>
                <w:rPr>
                  <w:rFonts w:ascii="Arial" w:cs="Arial" w:eastAsia="Arial" w:hAnsi="Arial"/>
                  <w:sz w:val="14"/>
                  <w:szCs w:val="14"/>
                  <w:color w:val="0000EE"/>
                </w:rPr>
                <w:t>21</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Item 1B. Unresolved Staff Comments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33">
              <w:r>
                <w:rPr>
                  <w:rFonts w:ascii="Arial" w:cs="Arial" w:eastAsia="Arial" w:hAnsi="Arial"/>
                  <w:sz w:val="14"/>
                  <w:szCs w:val="14"/>
                  <w:color w:val="0000EE"/>
                </w:rPr>
                <w:t>33</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Item 2. Properties</w:t>
              </w:r>
            </w:hyperlink>
          </w:p>
        </w:tc>
        <w:tc>
          <w:tcPr>
            <w:tcW w:w="9680" w:type="dxa"/>
            <w:vAlign w:val="bottom"/>
            <w:gridSpan w:val="21"/>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Item 3. Legal Proceedings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2020" w:type="dxa"/>
            <w:vAlign w:val="bottom"/>
            <w:gridSpan w:val="9"/>
            <w:shd w:val="clear" w:color="auto" w:fill="CCEEFF"/>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Item 4. Mine Safety Disclosures</w:t>
              </w:r>
            </w:hyperlink>
          </w:p>
        </w:tc>
        <w:tc>
          <w:tcPr>
            <w:tcW w:w="8800" w:type="dxa"/>
            <w:vAlign w:val="bottom"/>
            <w:gridSpan w:val="15"/>
            <w:shd w:val="clear" w:color="auto" w:fill="CCEEFF"/>
          </w:tcPr>
          <w:p>
            <w:pPr>
              <w:spacing w:after="0"/>
              <w:rPr>
                <w:sz w:val="17"/>
                <w:szCs w:val="17"/>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r>
      <w:tr>
        <w:trPr>
          <w:trHeight w:val="264"/>
        </w:trPr>
        <w:tc>
          <w:tcPr>
            <w:tcW w:w="40" w:type="dxa"/>
            <w:vAlign w:val="bottom"/>
            <w:tcBorders>
              <w:top w:val="single" w:sz="8" w:color="CCEEFF"/>
            </w:tcBorders>
          </w:tcPr>
          <w:p>
            <w:pPr>
              <w:spacing w:after="0"/>
              <w:rPr>
                <w:sz w:val="22"/>
                <w:szCs w:val="22"/>
                <w:color w:val="auto"/>
              </w:rPr>
            </w:pPr>
          </w:p>
        </w:tc>
        <w:tc>
          <w:tcPr>
            <w:tcW w:w="2020" w:type="dxa"/>
            <w:vAlign w:val="bottom"/>
            <w:tcBorders>
              <w:top w:val="single" w:sz="8" w:color="0000EE"/>
            </w:tcBorders>
            <w:gridSpan w:val="9"/>
          </w:tcPr>
          <w:p>
            <w:pPr>
              <w:spacing w:after="0"/>
              <w:rPr>
                <w:sz w:val="20"/>
                <w:szCs w:val="20"/>
                <w:color w:val="auto"/>
              </w:rPr>
            </w:pPr>
            <w:r>
              <w:rPr>
                <w:rFonts w:ascii="Arial" w:cs="Arial" w:eastAsia="Arial" w:hAnsi="Arial"/>
                <w:sz w:val="14"/>
                <w:szCs w:val="14"/>
                <w:b w:val="1"/>
                <w:bCs w:val="1"/>
                <w:color w:val="auto"/>
              </w:rPr>
              <w:t>PART II</w:t>
            </w:r>
          </w:p>
        </w:tc>
        <w:tc>
          <w:tcPr>
            <w:tcW w:w="8800" w:type="dxa"/>
            <w:vAlign w:val="bottom"/>
            <w:tcBorders>
              <w:top w:val="single" w:sz="8" w:color="CCEEFF"/>
            </w:tcBorders>
            <w:gridSpan w:val="15"/>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182"/>
        </w:trPr>
        <w:tc>
          <w:tcPr>
            <w:tcW w:w="40" w:type="dxa"/>
            <w:vAlign w:val="bottom"/>
            <w:shd w:val="clear" w:color="auto" w:fill="CCEEFF"/>
          </w:tcPr>
          <w:p>
            <w:pPr>
              <w:spacing w:after="0"/>
              <w:rPr>
                <w:sz w:val="15"/>
                <w:szCs w:val="15"/>
                <w:color w:val="auto"/>
              </w:rPr>
            </w:pPr>
          </w:p>
        </w:tc>
        <w:tc>
          <w:tcPr>
            <w:tcW w:w="7580" w:type="dxa"/>
            <w:vAlign w:val="bottom"/>
            <w:gridSpan w:val="23"/>
            <w:shd w:val="clear" w:color="auto" w:fill="CCEEFF"/>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Item 5. Market for Registrant’s Common Equity, Related Stockholder Matters and Issuer Purchases of Equity Securities</w:t>
              </w:r>
            </w:hyperlink>
          </w:p>
        </w:tc>
        <w:tc>
          <w:tcPr>
            <w:tcW w:w="3240" w:type="dxa"/>
            <w:vAlign w:val="bottom"/>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580" w:type="dxa"/>
            <w:vAlign w:val="bottom"/>
            <w:gridSpan w:val="23"/>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Item 6. Selected Financial Data</w:t>
              </w:r>
            </w:hyperlink>
          </w:p>
        </w:tc>
        <w:tc>
          <w:tcPr>
            <w:tcW w:w="3240" w:type="dxa"/>
            <w:vAlign w:val="bottom"/>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39">
              <w:r>
                <w:rPr>
                  <w:rFonts w:ascii="Arial" w:cs="Arial" w:eastAsia="Arial" w:hAnsi="Arial"/>
                  <w:sz w:val="14"/>
                  <w:szCs w:val="14"/>
                  <w:color w:val="0000EE"/>
                </w:rPr>
                <w:t>39</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140" w:type="dxa"/>
            <w:vAlign w:val="bottom"/>
            <w:gridSpan w:val="20"/>
            <w:shd w:val="clear" w:color="auto" w:fill="CCEEFF"/>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Item 7. Management’s Discussion and Analysis of Financial Condition and Results of Operations</w:t>
              </w:r>
            </w:hyperlink>
          </w:p>
        </w:tc>
        <w:tc>
          <w:tcPr>
            <w:tcW w:w="4680" w:type="dxa"/>
            <w:vAlign w:val="bottom"/>
            <w:gridSpan w:val="4"/>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0">
              <w:r>
                <w:rPr>
                  <w:rFonts w:ascii="Arial" w:cs="Arial" w:eastAsia="Arial" w:hAnsi="Arial"/>
                  <w:sz w:val="14"/>
                  <w:szCs w:val="14"/>
                  <w:color w:val="0000EE"/>
                </w:rPr>
                <w:t>40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6140" w:type="dxa"/>
            <w:vAlign w:val="bottom"/>
            <w:gridSpan w:val="20"/>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Item 7A. Quantitative and Qualitative Disclosures About Market Risk</w:t>
              </w:r>
            </w:hyperlink>
          </w:p>
        </w:tc>
        <w:tc>
          <w:tcPr>
            <w:tcW w:w="4680" w:type="dxa"/>
            <w:vAlign w:val="bottom"/>
            <w:gridSpan w:val="4"/>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62">
              <w:r>
                <w:rPr>
                  <w:rFonts w:ascii="Arial" w:cs="Arial" w:eastAsia="Arial" w:hAnsi="Arial"/>
                  <w:sz w:val="14"/>
                  <w:szCs w:val="14"/>
                  <w:color w:val="0000EE"/>
                </w:rPr>
                <w:t>62</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460" w:type="dxa"/>
            <w:vAlign w:val="bottom"/>
            <w:gridSpan w:val="16"/>
            <w:shd w:val="clear" w:color="auto" w:fill="CCEEFF"/>
          </w:tcPr>
          <w:p>
            <w:pPr>
              <w:spacing w:after="0"/>
              <w:rPr>
                <w:rFonts w:ascii="Arial" w:cs="Arial" w:eastAsia="Arial" w:hAnsi="Arial"/>
                <w:sz w:val="14"/>
                <w:szCs w:val="14"/>
                <w:color w:val="0000EE"/>
              </w:rPr>
            </w:pPr>
            <w:hyperlink w:anchor="page64">
              <w:r>
                <w:rPr>
                  <w:rFonts w:ascii="Arial" w:cs="Arial" w:eastAsia="Arial" w:hAnsi="Arial"/>
                  <w:sz w:val="14"/>
                  <w:szCs w:val="14"/>
                  <w:color w:val="0000EE"/>
                </w:rPr>
                <w:t>Item 8. Financial Statements and Supplementary Data</w:t>
              </w:r>
            </w:hyperlink>
          </w:p>
        </w:tc>
        <w:tc>
          <w:tcPr>
            <w:tcW w:w="7360" w:type="dxa"/>
            <w:vAlign w:val="bottom"/>
            <w:gridSpan w:val="8"/>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4">
              <w:r>
                <w:rPr>
                  <w:rFonts w:ascii="Arial" w:cs="Arial" w:eastAsia="Arial" w:hAnsi="Arial"/>
                  <w:sz w:val="14"/>
                  <w:szCs w:val="14"/>
                  <w:color w:val="0000EE"/>
                </w:rPr>
                <w:t>64</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30">
              <w:r>
                <w:rPr>
                  <w:rFonts w:ascii="Arial" w:cs="Arial" w:eastAsia="Arial" w:hAnsi="Arial"/>
                  <w:sz w:val="14"/>
                  <w:szCs w:val="14"/>
                  <w:color w:val="0000EE"/>
                </w:rPr>
                <w:t>Item 9. 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30">
              <w:r>
                <w:rPr>
                  <w:rFonts w:ascii="Arial" w:cs="Arial" w:eastAsia="Arial" w:hAnsi="Arial"/>
                  <w:sz w:val="14"/>
                  <w:szCs w:val="14"/>
                  <w:color w:val="0000EE"/>
                </w:rPr>
                <w:t>130</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0820" w:type="dxa"/>
            <w:vAlign w:val="bottom"/>
            <w:gridSpan w:val="24"/>
            <w:shd w:val="clear" w:color="auto" w:fill="CCEEFF"/>
          </w:tcPr>
          <w:p>
            <w:pPr>
              <w:spacing w:after="0"/>
              <w:rPr>
                <w:rFonts w:ascii="Arial" w:cs="Arial" w:eastAsia="Arial" w:hAnsi="Arial"/>
                <w:sz w:val="14"/>
                <w:szCs w:val="14"/>
                <w:color w:val="0000EE"/>
              </w:rPr>
            </w:pPr>
            <w:hyperlink w:anchor="page130">
              <w:r>
                <w:rPr>
                  <w:rFonts w:ascii="Arial" w:cs="Arial" w:eastAsia="Arial" w:hAnsi="Arial"/>
                  <w:sz w:val="14"/>
                  <w:szCs w:val="14"/>
                  <w:color w:val="0000EE"/>
                </w:rPr>
                <w:t>Item 9A. Controls and Procedures</w:t>
              </w:r>
            </w:hyperlink>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30">
              <w:r>
                <w:rPr>
                  <w:rFonts w:ascii="Arial" w:cs="Arial" w:eastAsia="Arial" w:hAnsi="Arial"/>
                  <w:sz w:val="14"/>
                  <w:szCs w:val="14"/>
                  <w:color w:val="0000EE"/>
                </w:rPr>
                <w:t>130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gridSpan w:val="11"/>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Item 9B. Other Information</w:t>
              </w:r>
            </w:hyperlink>
          </w:p>
        </w:tc>
        <w:tc>
          <w:tcPr>
            <w:tcW w:w="8660" w:type="dxa"/>
            <w:vAlign w:val="bottom"/>
            <w:gridSpan w:val="13"/>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34">
              <w:r>
                <w:rPr>
                  <w:rFonts w:ascii="Arial" w:cs="Arial" w:eastAsia="Arial" w:hAnsi="Arial"/>
                  <w:sz w:val="14"/>
                  <w:szCs w:val="14"/>
                  <w:color w:val="0000EE"/>
                </w:rPr>
                <w:t>134</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0820" w:type="dxa"/>
            <w:vAlign w:val="bottom"/>
            <w:gridSpan w:val="24"/>
            <w:shd w:val="clear" w:color="auto" w:fill="CCEEFF"/>
          </w:tcPr>
          <w:p>
            <w:pPr>
              <w:spacing w:after="0"/>
              <w:rPr>
                <w:sz w:val="20"/>
                <w:szCs w:val="20"/>
                <w:color w:val="auto"/>
              </w:rPr>
            </w:pPr>
            <w:r>
              <w:rPr>
                <w:rFonts w:ascii="Arial" w:cs="Arial" w:eastAsia="Arial" w:hAnsi="Arial"/>
                <w:sz w:val="14"/>
                <w:szCs w:val="14"/>
                <w:b w:val="1"/>
                <w:bCs w:val="1"/>
                <w:color w:val="auto"/>
              </w:rPr>
              <w:t>PART III</w:t>
            </w: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Item 10. Directors, Executive Officers and Corporate Governance</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35">
              <w:r>
                <w:rPr>
                  <w:rFonts w:ascii="Arial" w:cs="Arial" w:eastAsia="Arial" w:hAnsi="Arial"/>
                  <w:sz w:val="14"/>
                  <w:szCs w:val="14"/>
                  <w:color w:val="0000EE"/>
                </w:rPr>
                <w:t>135</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0820" w:type="dxa"/>
            <w:vAlign w:val="bottom"/>
            <w:gridSpan w:val="24"/>
            <w:shd w:val="clear" w:color="auto" w:fill="CCEEFF"/>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Item 11. Executive Compensation</w:t>
              </w:r>
            </w:hyperlink>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35">
              <w:r>
                <w:rPr>
                  <w:rFonts w:ascii="Arial" w:cs="Arial" w:eastAsia="Arial" w:hAnsi="Arial"/>
                  <w:sz w:val="14"/>
                  <w:szCs w:val="14"/>
                  <w:color w:val="0000EE"/>
                </w:rPr>
                <w:t>135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36">
              <w:r>
                <w:rPr>
                  <w:rFonts w:ascii="Arial" w:cs="Arial" w:eastAsia="Arial" w:hAnsi="Arial"/>
                  <w:sz w:val="14"/>
                  <w:szCs w:val="14"/>
                  <w:color w:val="0000EE"/>
                </w:rPr>
                <w:t>Item 12. Security Ownership of Certain Beneficial Owners and Management and Related Stockholder Matters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36">
              <w:r>
                <w:rPr>
                  <w:rFonts w:ascii="Arial" w:cs="Arial" w:eastAsia="Arial" w:hAnsi="Arial"/>
                  <w:sz w:val="14"/>
                  <w:szCs w:val="14"/>
                  <w:color w:val="0000EE"/>
                </w:rPr>
                <w:t>136</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5420" w:type="dxa"/>
            <w:vAlign w:val="bottom"/>
            <w:gridSpan w:val="19"/>
            <w:shd w:val="clear" w:color="auto" w:fill="CCEEFF"/>
          </w:tcPr>
          <w:p>
            <w:pPr>
              <w:spacing w:after="0"/>
              <w:rPr>
                <w:rFonts w:ascii="Arial" w:cs="Arial" w:eastAsia="Arial" w:hAnsi="Arial"/>
                <w:sz w:val="14"/>
                <w:szCs w:val="14"/>
                <w:color w:val="0000EE"/>
              </w:rPr>
            </w:pPr>
            <w:hyperlink w:anchor="page136">
              <w:r>
                <w:rPr>
                  <w:rFonts w:ascii="Arial" w:cs="Arial" w:eastAsia="Arial" w:hAnsi="Arial"/>
                  <w:sz w:val="14"/>
                  <w:szCs w:val="14"/>
                  <w:color w:val="0000EE"/>
                </w:rPr>
                <w:t>Item 13. Certain Relationships and Related Transactions, and Director Independence</w:t>
              </w:r>
            </w:hyperlink>
          </w:p>
        </w:tc>
        <w:tc>
          <w:tcPr>
            <w:tcW w:w="5400" w:type="dxa"/>
            <w:vAlign w:val="bottom"/>
            <w:gridSpan w:val="5"/>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36">
              <w:r>
                <w:rPr>
                  <w:rFonts w:ascii="Arial" w:cs="Arial" w:eastAsia="Arial" w:hAnsi="Arial"/>
                  <w:sz w:val="14"/>
                  <w:szCs w:val="14"/>
                  <w:color w:val="0000EE"/>
                </w:rPr>
                <w:t>136</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5420" w:type="dxa"/>
            <w:vAlign w:val="bottom"/>
            <w:gridSpan w:val="19"/>
          </w:tcPr>
          <w:p>
            <w:pPr>
              <w:spacing w:after="0"/>
              <w:rPr>
                <w:rFonts w:ascii="Arial" w:cs="Arial" w:eastAsia="Arial" w:hAnsi="Arial"/>
                <w:sz w:val="14"/>
                <w:szCs w:val="14"/>
                <w:color w:val="0000EE"/>
              </w:rPr>
            </w:pPr>
            <w:hyperlink w:anchor="page136">
              <w:r>
                <w:rPr>
                  <w:rFonts w:ascii="Arial" w:cs="Arial" w:eastAsia="Arial" w:hAnsi="Arial"/>
                  <w:sz w:val="14"/>
                  <w:szCs w:val="14"/>
                  <w:color w:val="0000EE"/>
                </w:rPr>
                <w:t>Item 14. Principal Accounting Fees and Services</w:t>
              </w:r>
            </w:hyperlink>
          </w:p>
        </w:tc>
        <w:tc>
          <w:tcPr>
            <w:tcW w:w="5400" w:type="dxa"/>
            <w:vAlign w:val="bottom"/>
            <w:gridSpan w:val="5"/>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36">
              <w:r>
                <w:rPr>
                  <w:rFonts w:ascii="Arial" w:cs="Arial" w:eastAsia="Arial" w:hAnsi="Arial"/>
                  <w:sz w:val="14"/>
                  <w:szCs w:val="14"/>
                  <w:color w:val="0000EE"/>
                </w:rPr>
                <w:t>136</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0820" w:type="dxa"/>
            <w:vAlign w:val="bottom"/>
            <w:gridSpan w:val="24"/>
            <w:shd w:val="clear" w:color="auto" w:fill="CCEEFF"/>
          </w:tcPr>
          <w:p>
            <w:pPr>
              <w:spacing w:after="0"/>
              <w:rPr>
                <w:sz w:val="20"/>
                <w:szCs w:val="20"/>
                <w:color w:val="auto"/>
              </w:rPr>
            </w:pPr>
            <w:r>
              <w:rPr>
                <w:rFonts w:ascii="Arial" w:cs="Arial" w:eastAsia="Arial" w:hAnsi="Arial"/>
                <w:sz w:val="14"/>
                <w:szCs w:val="14"/>
                <w:b w:val="1"/>
                <w:bCs w:val="1"/>
                <w:color w:val="auto"/>
              </w:rPr>
              <w:t>PART IV</w:t>
            </w: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76"/>
        </w:trPr>
        <w:tc>
          <w:tcPr>
            <w:tcW w:w="40" w:type="dxa"/>
            <w:vAlign w:val="bottom"/>
          </w:tcPr>
          <w:p>
            <w:pPr>
              <w:spacing w:after="0"/>
              <w:rPr>
                <w:sz w:val="15"/>
                <w:szCs w:val="15"/>
                <w:color w:val="auto"/>
              </w:rPr>
            </w:pPr>
          </w:p>
        </w:tc>
        <w:tc>
          <w:tcPr>
            <w:tcW w:w="10820" w:type="dxa"/>
            <w:vAlign w:val="bottom"/>
            <w:gridSpan w:val="24"/>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Item 15. Exhibits, Financial Statement Schedules</w:t>
              </w:r>
            </w:hyperlink>
          </w:p>
        </w:tc>
        <w:tc>
          <w:tcPr>
            <w:tcW w:w="560" w:type="dxa"/>
            <w:vAlign w:val="bottom"/>
            <w:gridSpan w:val="5"/>
          </w:tcPr>
          <w:p>
            <w:pPr>
              <w:jc w:val="right"/>
              <w:ind w:right="20"/>
              <w:spacing w:after="0"/>
              <w:rPr>
                <w:rFonts w:ascii="Arial" w:cs="Arial" w:eastAsia="Arial" w:hAnsi="Arial"/>
                <w:sz w:val="14"/>
                <w:szCs w:val="14"/>
                <w:color w:val="0000EE"/>
              </w:rPr>
            </w:pPr>
            <w:hyperlink w:anchor="page137">
              <w:r>
                <w:rPr>
                  <w:rFonts w:ascii="Arial" w:cs="Arial" w:eastAsia="Arial" w:hAnsi="Arial"/>
                  <w:sz w:val="14"/>
                  <w:szCs w:val="14"/>
                  <w:color w:val="0000EE"/>
                </w:rPr>
                <w:t>137</w:t>
              </w:r>
            </w:hyperlink>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900" w:type="dxa"/>
            <w:vAlign w:val="bottom"/>
            <w:gridSpan w:val="7"/>
            <w:shd w:val="clear" w:color="auto" w:fill="CCEEFF"/>
          </w:tcPr>
          <w:p>
            <w:pPr>
              <w:spacing w:after="0"/>
              <w:rPr>
                <w:rFonts w:ascii="Arial" w:cs="Arial" w:eastAsia="Arial" w:hAnsi="Arial"/>
                <w:sz w:val="14"/>
                <w:szCs w:val="14"/>
                <w:color w:val="0000EE"/>
              </w:rPr>
            </w:pPr>
            <w:hyperlink w:anchor="page139">
              <w:r>
                <w:rPr>
                  <w:rFonts w:ascii="Arial" w:cs="Arial" w:eastAsia="Arial" w:hAnsi="Arial"/>
                  <w:sz w:val="14"/>
                  <w:szCs w:val="14"/>
                  <w:color w:val="0000EE"/>
                </w:rPr>
                <w:t>Item 16. Form 10-K Summary</w:t>
              </w:r>
            </w:hyperlink>
          </w:p>
        </w:tc>
        <w:tc>
          <w:tcPr>
            <w:tcW w:w="8920" w:type="dxa"/>
            <w:vAlign w:val="bottom"/>
            <w:gridSpan w:val="17"/>
            <w:shd w:val="clear" w:color="auto" w:fill="CCEEFF"/>
          </w:tcPr>
          <w:p>
            <w:pPr>
              <w:spacing w:after="0"/>
              <w:rPr>
                <w:sz w:val="15"/>
                <w:szCs w:val="15"/>
                <w:color w:val="auto"/>
              </w:rPr>
            </w:pPr>
          </w:p>
        </w:tc>
        <w:tc>
          <w:tcPr>
            <w:tcW w:w="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39">
              <w:r>
                <w:rPr>
                  <w:rFonts w:ascii="Arial" w:cs="Arial" w:eastAsia="Arial" w:hAnsi="Arial"/>
                  <w:sz w:val="14"/>
                  <w:szCs w:val="14"/>
                  <w:color w:val="0000EE"/>
                </w:rPr>
                <w:t>139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00" w:type="dxa"/>
            <w:vAlign w:val="bottom"/>
            <w:gridSpan w:val="7"/>
          </w:tcPr>
          <w:p>
            <w:pPr>
              <w:spacing w:after="0"/>
              <w:rPr>
                <w:rFonts w:ascii="Arial" w:cs="Arial" w:eastAsia="Arial" w:hAnsi="Arial"/>
                <w:sz w:val="14"/>
                <w:szCs w:val="14"/>
                <w:color w:val="0000EE"/>
              </w:rPr>
            </w:pPr>
            <w:hyperlink w:anchor="page142">
              <w:r>
                <w:rPr>
                  <w:rFonts w:ascii="Arial" w:cs="Arial" w:eastAsia="Arial" w:hAnsi="Arial"/>
                  <w:sz w:val="14"/>
                  <w:szCs w:val="14"/>
                  <w:color w:val="0000EE"/>
                </w:rPr>
                <w:t>Signatures</w:t>
              </w:r>
            </w:hyperlink>
          </w:p>
        </w:tc>
        <w:tc>
          <w:tcPr>
            <w:tcW w:w="8920" w:type="dxa"/>
            <w:vAlign w:val="bottom"/>
            <w:gridSpan w:val="17"/>
          </w:tcPr>
          <w:p>
            <w:pPr>
              <w:spacing w:after="0"/>
              <w:rPr>
                <w:sz w:val="15"/>
                <w:szCs w:val="15"/>
                <w:color w:val="auto"/>
              </w:rPr>
            </w:pPr>
          </w:p>
        </w:tc>
        <w:tc>
          <w:tcPr>
            <w:tcW w:w="560" w:type="dxa"/>
            <w:vAlign w:val="bottom"/>
            <w:gridSpan w:val="5"/>
          </w:tcPr>
          <w:p>
            <w:pPr>
              <w:jc w:val="right"/>
              <w:ind w:right="20"/>
              <w:spacing w:after="0"/>
              <w:rPr>
                <w:rFonts w:ascii="Arial" w:cs="Arial" w:eastAsia="Arial" w:hAnsi="Arial"/>
                <w:sz w:val="14"/>
                <w:szCs w:val="14"/>
                <w:color w:val="0000EE"/>
              </w:rPr>
            </w:pPr>
            <w:hyperlink w:anchor="page142">
              <w:r>
                <w:rPr>
                  <w:rFonts w:ascii="Arial" w:cs="Arial" w:eastAsia="Arial" w:hAnsi="Arial"/>
                  <w:sz w:val="14"/>
                  <w:szCs w:val="14"/>
                  <w:color w:val="0000EE"/>
                </w:rPr>
                <w:t>141</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Annual Report on Form 10-K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 Item 1A, “Risk Factors” and elsewhere of this Annual Report on Form 10-K.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76" w:right="2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TechnipFMC plc, a public limited company incorporated and organized under the laws of England and Wales, with registered number 09909709, and with registered office at One St. Paul’s Churchyard, London EC4M 8AP, United Kingdom (“TechnipFMC”, the “Company,” “we,” or “our”) is a global energy service company with a portfolio of solutions for the production and transformation of hydrocarbons. These solutions range from discreet products and services to fully integrated solutions based on proprietary technologies, with a clear focus to deliver greater efficiency across project lifecycles from concept to delivery and beyond.</w:t>
      </w:r>
    </w:p>
    <w:p>
      <w:pPr>
        <w:spacing w:after="0" w:line="15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have operational headquarters in Paris, France and Houston, Texas, United States. We operate across three business segments: Subsea, Onshore/Offshore, and Surface Technologies. Through these segments, we are levered to the three energy growth areas of unconventionals, liquified natural gas (“LNG”), and deepwater developments.</w:t>
      </w:r>
    </w:p>
    <w:p>
      <w:pPr>
        <w:spacing w:after="0" w:line="14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have a unique and comprehensive set of capabilities to serve the oil and gas industry. With our proprietary technologies and production systems, integration expertise, and comprehensive solutions, we are transforming our clients’ project economics.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Enhancement of the Company’s performance and competitiveness is a key component of this strategy that is achieved through technology and innovation differentiation, seamless execution, and reliance on simplification to drive costs down. We are targeting profitable and sustainable growth, seizing growing market opportunities, expanding the range of our services, and managing our assets efficiently to ensure that we are well-prepared to drive and benefit from the recovery we are experiencing in many of the segments we serve.</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of our more than 37,000 employees is driven by a steadfast commitment to clients and a culture of purposeful innovation, challenging industry conventions, and finding new and better ways of working to unlock possibilities. This leads to fresh thinking, streamlined decisions, and smarter results, enabling us to achieve our vision of enhancing the performance of the world’s energy industry.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March 2015, FMC Technologies, Inc., a U.S. Delaware corporation (“FMC Technologies”), and Technip S.A., a French société anonyme (“Technip”), signed an agreement to form an exclusive alliance and to launch Forsys Subsea, a 50/50 joint venture, that would unite the skills and capabilities of two subsea industry leaders. This alliance, which became operational on June 1, 2015, was established to identify new and innovative approaches to the design, delivery, and maintenance of subsea fields.</w:t>
      </w:r>
    </w:p>
    <w:p>
      <w:pPr>
        <w:spacing w:after="0" w:line="15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Forsys Subsea brought the industry's most talented subsea professionals together early in operators’ project concept phase with the technical capabilities to design and integrate products, systems and installation to significantly reduce the cost of subsea field development and enhance overall project economics.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Based on the success of the Forsys joint venture and its innovative approach to integrate solutions, Technip and FMC Technologies announced in May 2016 that the companies would combine through a merger of equals to create a global leader, TechnipFMC, that would drive change by redefining the production and transformation of oil and gas. The business combination was completed on January 16, 2017 (the “Merger”), and on January 17, 2017, TechnipFMC began operating as a unified, combined company trading on the New York Stock Exchange (“NYSE”) and on the Euronext Paris Stock Exchange (“Euronext Paris”) under the symbol “FTI.”</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ind w:right="80"/>
        <w:spacing w:after="0" w:line="251" w:lineRule="auto"/>
        <w:rPr>
          <w:sz w:val="20"/>
          <w:szCs w:val="20"/>
          <w:color w:val="auto"/>
        </w:rPr>
      </w:pPr>
      <w:r>
        <w:rPr>
          <w:rFonts w:ascii="Arial" w:cs="Arial" w:eastAsia="Arial" w:hAnsi="Arial"/>
          <w:sz w:val="18"/>
          <w:szCs w:val="18"/>
          <w:color w:val="auto"/>
        </w:rPr>
        <w:t>In 2017, our first year as a merged company, TechnipFMC secured several project awards as many operators moved forward with final investment decisions for major onshore projects and subsea developments. Several of the subsea awards incorporated the use of our integrated approach to project delivery, validating our unique business model aimed at lowering project costs and accelerating the delivery of initial hydrocarbon production. This approach was made possible by bringing together the complimentary work scopes of the merged companies. With the industry’s most comprehensive and only truly integrated market offering, we have continued to expand the deepwater opportunity set for our customers. TechnipFMC’s expertise does not end with the production of hydrocarbons. Because of its best in class project design and execution capabilities, enabled by a portfolio of proprietary technologies, TechnipFMC continues to secure and deliver projects that further enable our clients to monetize resources - from liquefaction of gas, both onshore and on floating vessels, through refining and product facilities.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continues to innovate and introduce new technologies across our portfolio of products and services. TechnipFMC also delivered strong financial performance in 2018, driven by a relentless focus on operational execution and cost reduction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Subsea</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Subsea segment provides integrated design, engineering, procurement, manufacturing, fabrication and installation, and life of field services for subsea systems, subsea field infrastructure, and subsea pipe systems used in oil and gas production and transportation.</w:t>
      </w:r>
    </w:p>
    <w:p>
      <w:pPr>
        <w:spacing w:after="0" w:line="14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an industry leader in front-end engineering and design (“FEED”), subsea production systems (“SPS”), flexible pipe, and subsea umbilicals, risers, and flowlines (“SURF”). We also have the capability to install these products and related subsea infrastructure with our fleet of highly specialized vessels. By driving even greater value through integrating the SPS and SURF work scopes and more efficiently execute the installation campaign, our strong commercial focus has enabled the successful market introduction of an integrated subsea business model, iEPCI™ (“iEPCI”), which spans a project’s early phase design the life of field. Our integrated model business model is unlocking incremental opportunities and materially expanding the deepwater opportunity set.</w:t>
      </w:r>
    </w:p>
    <w:p>
      <w:pPr>
        <w:spacing w:after="0" w:line="15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Through integrated FEED studies, or iFEED™ (“iFEED”), we are uniquely positioned to influence project concept and design. Using innovative solutions for field architecture, including standardized equipment, new technologies, and simplified installation, we can significantly reduce subsea development costs and accelerate time to first production.</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first-mover advantage and ability to convert iFEED studies into iEPCI contracts, often as a direct award, creates a unique set of opportunities for the Company that are not available to our peers. This allows us to deliver a fully integrated - and technologically differentiated</w:t>
      </w:r>
    </w:p>
    <w:p>
      <w:pPr>
        <w:spacing w:after="0" w:line="1" w:lineRule="exact"/>
        <w:rPr>
          <w:sz w:val="20"/>
          <w:szCs w:val="20"/>
          <w:color w:val="auto"/>
        </w:rPr>
      </w:pPr>
    </w:p>
    <w:p>
      <w:pPr>
        <w:ind w:right="140" w:firstLine="8"/>
        <w:spacing w:after="0" w:line="262" w:lineRule="auto"/>
        <w:tabs>
          <w:tab w:leader="none" w:pos="11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subsea system, and to better manage the complete work scope through a single contracting mechanism and single interface, yielding great improvements in project economics and time to first oil.</w:t>
      </w:r>
    </w:p>
    <w:p>
      <w:pPr>
        <w:spacing w:after="0" w:line="142"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Our Subsea business depends on our ability to maintain a cost-effective and efficient production system, achieve planned equipment production targets, successfully develop new products, and meet or exceed stringent performance and reliability standards.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u w:val="single" w:color="auto"/>
          <w:color w:val="auto"/>
        </w:rPr>
        <w:t>Subsea Production Systems.</w:t>
      </w:r>
      <w:r>
        <w:rPr>
          <w:rFonts w:ascii="Arial" w:cs="Arial" w:eastAsia="Arial" w:hAnsi="Arial"/>
          <w:sz w:val="18"/>
          <w:szCs w:val="18"/>
          <w:color w:val="auto"/>
        </w:rPr>
        <w:t xml:space="preserve"> Our systems are used in the offshore production of crude oil and natural gas. Subsea systems are placed on the seafloor and are used to control the flow of crude oil and natural gas from the reservoir to a host processing facility, such as a floating production facility, a fixed platform, or an onshore facility.</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subsea production systems and products include subsea trees, chokes and flow modules, manifold pipeline systems, control and data management systems, well access systems, multiphase and wetgas meters, and additional technologies. The design and manufacture of our subsea systems requires a high degree of technical expertise and innovation. Some of our systems are designed to withstand exposure to the extreme hydrostatic pressure of deepwater environments, as well as internal pressures of up to 20,000 pounds per square inch (“psi”) and temperatures of up to 400º F. The development of our integrated subsea production systems includes initial engineering design studies and field development planning to consider all relevant aspects and project requirements, including optimization of drilling programs and subsea architecture.</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598" w:right="339" w:bottom="1440" w:gutter="0" w:footer="0" w:header="0"/>
        </w:sectPr>
      </w:pPr>
    </w:p>
    <w:bookmarkStart w:id="5" w:name="page6"/>
    <w:bookmarkEnd w:id="5"/>
    <w:p>
      <w:pPr>
        <w:jc w:val="both"/>
        <w:ind w:right="60"/>
        <w:spacing w:after="0" w:line="256" w:lineRule="auto"/>
        <w:rPr>
          <w:sz w:val="20"/>
          <w:szCs w:val="20"/>
          <w:color w:val="auto"/>
        </w:rPr>
      </w:pPr>
      <w:r>
        <w:rPr>
          <w:rFonts w:ascii="Arial" w:cs="Arial" w:eastAsia="Arial" w:hAnsi="Arial"/>
          <w:sz w:val="18"/>
          <w:szCs w:val="18"/>
          <w:color w:val="auto"/>
        </w:rPr>
        <w:t>Our subsea processing systems, which include subsea boosting, subsea gas compression, and subsea separation, are designed to accelerate production, increase recovery, extend field life, and/or lower operators’ production costs. To provide these products, systems and services, we utilize our engineering, project management, procurement, manufacturing, and assembly and test capabilities.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Flexible Pipe and Umbilical Supply.</w:t>
      </w:r>
      <w:r>
        <w:rPr>
          <w:rFonts w:ascii="Arial" w:cs="Arial" w:eastAsia="Arial" w:hAnsi="Arial"/>
          <w:sz w:val="18"/>
          <w:szCs w:val="18"/>
          <w:color w:val="auto"/>
        </w:rPr>
        <w:t xml:space="preserve"> We perform the engineering and manufacturing of flexible pipes, relying on our engineering centers, and the thermoplastic, steel tube, hybrid (a combination of steel tube, thermoplastic hose, and electrical cables), and power cable umbilical manufacturing units across various regions. In other markets, TechnipFMC vessels will typically perform the installation of the flexible pipes and umbilicals but we will also provide these products to other vessels.</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use our engineering and technical expertise to respond to tenders from a variety of clients including oil companies, engineering, procurement, construction, and installation services (“EPCI”) contractors and other subsea production system manufacturers, often as part of a broader scope.</w:t>
      </w:r>
    </w:p>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We operate a fleet of 18 vessels, with one additional vessel under construction. Of the 18 vessels currently in operation, we have sole ownership of eight vessels, ownership of seven vessels as part of joint ventures and operate three vessels under long-term charter.</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wholly own five pipelay support vessels and jointly own eight subsea construction vessels, including one under construction. The jointly-owned vessels operate under a 50/50 ownership structure exclusively in the Brazilian market. These vessels are primarily contracted to Petróleo Brasileiro S.A. - Petrobras (“Petrobras”), principally to install umbilical and flexible flowlines and risers to connect subsea wells to floating production units across a range of water depths. We also own one subsea construction and pipelay vessel mostly dedicated to the Asia Pacific market and have long-term charter agreements for three further construction vessels. The Company also owns two dive support vessels.</w:t>
      </w:r>
    </w:p>
    <w:p>
      <w:pPr>
        <w:spacing w:after="0" w:line="15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u w:val="single" w:color="auto"/>
          <w:color w:val="auto"/>
        </w:rPr>
        <w:t>Subsea Services.</w:t>
      </w:r>
      <w:r>
        <w:rPr>
          <w:rFonts w:ascii="Arial" w:cs="Arial" w:eastAsia="Arial" w:hAnsi="Arial"/>
          <w:sz w:val="18"/>
          <w:szCs w:val="18"/>
          <w:color w:val="auto"/>
        </w:rPr>
        <w:t xml:space="preserve"> We provide an array of subsea services to improve uptime, lower lifecycle costs and increase recovery over the life of the field for our clients’ subsea production systems. These services include: (i) provision of exploration and production well head systems; (ii) installation and well completion; (iii) asset management services for test, maintenance, refurbishment, and upgrade of subsea equipment and tooling; (iv) field performance services based on product data and field data to optimize the performance of the subsea production system; (v) inspection, maintenance, and repair (“IMR”) of subsea infrastructure; (vi) well access and intervention services, both rig-based and vessel-based (riserless light well intervention or “RLWI”), to enhance well production; (vii) remotely operated vehicle (“ROV”) services; and (viii) well plug and abandonment and decommissioning.</w:t>
      </w:r>
    </w:p>
    <w:p>
      <w:pPr>
        <w:spacing w:after="0" w:line="15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Key drivers of subsea services market activity are the inspection and maintenance of subsea infrastructure, driven in large part by aging infrastructure on mature fields. The need for well intervention services also continues to grow, with more than 6,000 wells operated globally, of which 33% are older than 10 years and 65% are older than five years.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our extensive experience in subsea equipment, our large installed base of subsea production equipment, our broad range of services, and our historical technical leadership, we are in a unique position to offer integrated solutions through “life of field” services combining asset light solutions (e.g., RLWI), digital services (e.g., Condition Performance Monitoring / Flow Manager suite of applications), and leading edge automated systems (e.g., Schilling ROVs, In-service Riser Inspection System or “IRIS”) to enhance the economics of producing fields through maximization of asset uptime, higher production volumes and lower operating expense.</w:t>
      </w:r>
    </w:p>
    <w:p>
      <w:pPr>
        <w:spacing w:after="0" w:line="15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u w:val="single" w:color="auto"/>
          <w:color w:val="auto"/>
        </w:rPr>
        <w:t>Robotics, Controls and Automation.</w:t>
      </w:r>
      <w:r>
        <w:rPr>
          <w:rFonts w:ascii="Arial" w:cs="Arial" w:eastAsia="Arial" w:hAnsi="Arial"/>
          <w:sz w:val="18"/>
          <w:szCs w:val="18"/>
          <w:color w:val="auto"/>
        </w:rPr>
        <w:t xml:space="preserve"> We design and manufacture ROVs and manipulator arms that are used in subsea drilling, construction, IMR, and life of field services. Our product offering includes electric and hydraulic work-class ROVs, tether-management systems, launch and recovery systems, remote manipulator arms, and modular control systems . We also provide support and services such as product training, pilot simulator training, spare parts, and technical assistance.</w:t>
      </w: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also provide electro-hydraulic and electric production and intervention control systems, allowing accurate control and monitoring of subsea installations to ensure the highest production availability while providing safe and environmentally friendly field operations. These include the sensors, multiphase flow meters, digital infrastructure, integrity monitoring, control functionality, and automation features needed for subsea systems. Robotics capabilities are now being used in the control of manifold valves during production. This is a convergence of our technologies in order to provide better systems for our customers.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8" w:right="259" w:bottom="1440" w:gutter="0" w:footer="0" w:header="0"/>
        </w:sectPr>
      </w:pPr>
    </w:p>
    <w:bookmarkStart w:id="6" w:name="page7"/>
    <w:bookmarkEnd w:id="6"/>
    <w:p>
      <w:pPr>
        <w:ind w:right="180"/>
        <w:spacing w:after="0" w:line="253" w:lineRule="auto"/>
        <w:rPr>
          <w:sz w:val="20"/>
          <w:szCs w:val="20"/>
          <w:color w:val="auto"/>
        </w:rPr>
      </w:pPr>
      <w:r>
        <w:rPr>
          <w:rFonts w:ascii="Arial" w:cs="Arial" w:eastAsia="Arial" w:hAnsi="Arial"/>
          <w:sz w:val="18"/>
          <w:szCs w:val="18"/>
          <w:color w:val="auto"/>
        </w:rPr>
        <w:t>Engineering, Manufacturing and Supply Chain (“EMS”) is a new organization we formed in November 2017 to help achieve productivity improvements by reducing the cost of engineering and manufacturing our products, including working with our suppliers to reduce their costs, and optimizing our processes and how we manage workflow. Through EMS, we are focused on implementing world-class manufacturing practices, including lean flow and automation, to improve reliability while reducing total product cost and lead time to delivery. Our EMS organization primarily supports our subsea segment but is also integrated across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the systems and products we supply for subsea applications are highly engineered to meet the unique demands of our customers’ field properties and are typically ordered one to two years prior to installation. We often receive advance payments and progress billings from our customers to fund initial development and working capital requirements. However, our working capital balances can vary significantly depending on the payment terms and execution timing on contracts.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Generally, our customers in this segment are major integrated oil companies, national oil companies, and independent exploration and production companies.</w:t>
      </w:r>
    </w:p>
    <w:p>
      <w:pPr>
        <w:spacing w:after="0" w:line="142"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We actively pursue alliances with companies that are engaged in the subsea development of oil and natural gas to promote our integrated systems for subsea production. These alliances are typically related to the procurement of subsea production equipment, although some alliances are related to EPCI services. Development of subsea fields, particularly in deepwater environments, involves substantial capital investments. Operators have also sought the security of alliances with us to ensure timely and cost-effective delivery of subsea and other energy-related systems that provide integrated solutions to meet their needs.</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alliances establish important ongoing relationships with our customers. While these alliances do not contractually commit our customers to purchase our systems and services, they have historically led to, and we expect that they would continue to result in, such purchases.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 single Subsea customer accounted for 10% or more of our 2018 consolidated revenue.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a result of the Merger, we are the only company that can provide the full suite of subsea production equipment, umbilicals, and flowlines, as well as the installation services to develop a subsea production field. Our company competes with companies that supply some of the components as well as installation companies. Our competitors include Aker Solutions ASA, Baker Hughes, a GE Company (“BHGE”), Dril-Quip, Inc., McDermott International, Inc. (“McDermott”), National Oilwell Varco, Oceaneering International, Inc., Saipem S.p.A. (“Saipem”), Schlumberger, Ltd. (“Schlumberger”), and Subsea 7 S.A.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8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the North Sea, winter weather generally subdues drilling activity, reducing vessel utilization and demand for subsea services as certain activities cannot be performed. As a result, the level of offshore activity in our Subsea segment is negatively impacted in the first quarter of each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low crude oil price environment over the last three years led many of our customers to reduce their capital spending plans or defer new deepwater projects. The reduction and deferral of projects has resulted in delayed subsea project inbound for the industry. In response to the lower commodity prices and reduced cash flow, operators took actions needed to improve their subsea project economics, and suppliers, in turn, took the steps necessary to further reduce project break-even levels by offering cost-effective approaches for project developments. These actions continue.</w:t>
      </w:r>
    </w:p>
    <w:p>
      <w:pPr>
        <w:spacing w:after="0" w:line="15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rate of project sanctioning for new subsea developments has moved higher since the market trough as project economics and operator confidence have improved. The risk of project sanctioning delays is still present in the current environment; however, innovative approaches to subsea projects, like our iEPCI solution, have improved project economics, and many offshore discoveries can be developed economically at today’s crude oil prices. In the long-term, deepwater development is expected to remain a significant part of many of our customers’ portfolios.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Strategy</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our proprietary technologies and production systems, integration expertise, and comprehensive solutions, we are transforming our clients’ project economics. We have used these capabilities to develop a new subsea commercial model that is transforming the way we interact with our customers and create value with them.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strategy includes the following priorities:</w:t>
      </w:r>
    </w:p>
    <w:p>
      <w:pPr>
        <w:spacing w:after="0" w:line="171" w:lineRule="exact"/>
        <w:rPr>
          <w:sz w:val="20"/>
          <w:szCs w:val="20"/>
          <w:color w:val="auto"/>
        </w:rPr>
      </w:pPr>
    </w:p>
    <w:p>
      <w:pPr>
        <w:ind w:left="660" w:right="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Engagement in the conceptual design and integrated front-end engineering, or iFEED, of subsea development projects to create value through technology and integration of scopes (iEPCI) by simplifying field architecture and accelerating both delivery schedules and time to first production;</w:t>
      </w:r>
    </w:p>
    <w:p>
      <w:pPr>
        <w:spacing w:after="0" w:line="1"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Innovative research and development (“R&amp;D”), often in collaboration with clients and partners, to develop leading products and technologies that deliver greater efficiency to the client, lower development costs, and enable frontier developments;</w:t>
      </w:r>
    </w:p>
    <w:p>
      <w:pPr>
        <w:ind w:left="660" w:right="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Superior project execution capabilities allowing the Company to mobilize the right teams, assets, and facilities to capture and profitably execute complex subsea projects and services;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combined competencies coming from alliances and partnerships with both clients and suppliers; and</w:t>
      </w:r>
    </w:p>
    <w:p>
      <w:pPr>
        <w:spacing w:after="0" w:line="9"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supplier relationships to optimize supply chain market dynamics and implement greater simplification and standardization in products and processes.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many of our customers reducing their capital spending plans or deferring new deepwater projects in response to the low crude oil price environment, we have adjusted our workforce and manufacturing capacity to align our operations with our anticipated outlook for project inbound. These restructuring actions have resulted in a leaner cost structure. The operational improvements and cost reductions made in 2016, combined with additional actions taken in 2017 and 2018, will partially offset the anticipated decline in operating margins in 2019.</w:t>
      </w:r>
    </w:p>
    <w:p>
      <w:pPr>
        <w:spacing w:after="0" w:line="15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 completely new suite of products called Subsea 2.0™ (“Subsea 2.0”), commercialized in November 2017, is gaining traction, and the first components are already in the water. Relative to traditional subsea equipment, the Subsea 2.0 technology portfolio significantly reduces the size, weight, and part count of the equipment installed on the seabed. Subsea 2.0 technologies can enhance project economics both as a stand-alone offering and as part of an integrated solution, further unlocking oil and gas reserves that otherwise would not be developed.</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believe that 2016 marked the inflection in subsea order activity as demonstrated by the increased number of final investment decisions made on offshore project developments. The Company’s full-year Subsea inbound orders increased significantly in 2017 and remained at this improved level in 2018, with integrated project awards taking greater share of our order activity. Our integrated business model is clearly demonstrating the ability to positively impact project economics and expand the deepwater opportunity set.</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fourth quarter of 2018, the Company performed impairment assessments and determined that goodwill and certain of our vessels had carrying values that exceeded their fair value, resulting in an impairment. Refer to Note 12 and Note 17 to our consolidated financial statements included in Part II, Item 8 of the Annual Report on Form 10-K for additional information on these impairments.</w:t>
      </w:r>
    </w:p>
    <w:p>
      <w:pPr>
        <w:spacing w:after="0" w:line="14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2019, we expect to see another increase in subsea market activity. We also anticipate a further increase in our inbound orders, where we expect our iEPCI capabilities to provide a competitive advantage as we deliver comprehensive and differentiated solutions. In addition, we anticipate the following longer-term trends in the subsea market:</w:t>
      </w:r>
    </w:p>
    <w:p>
      <w:pPr>
        <w:spacing w:after="0" w:line="148" w:lineRule="exact"/>
        <w:rPr>
          <w:sz w:val="20"/>
          <w:szCs w:val="20"/>
          <w:color w:val="auto"/>
        </w:rPr>
      </w:pPr>
    </w:p>
    <w:p>
      <w:pPr>
        <w:ind w:left="660" w:right="2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market adoption of integrated subsea projects, leading to further penetration of our integrated business model and higher levels of iEPCI order activity for our Company;</w:t>
      </w:r>
    </w:p>
    <w:p>
      <w:pPr>
        <w:ind w:left="660" w:right="1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Growing service opportunities, driven by (i) higher levels of project activity, (ii) increased asset integrity and production management activities focused on improving uptime and production volume, and (iii) increased maintenance and intervention activity resulting from an expanding and aging installed equipment base;</w:t>
      </w:r>
    </w:p>
    <w:p>
      <w:pPr>
        <w:spacing w:after="0" w:line="1" w:lineRule="exact"/>
        <w:rPr>
          <w:rFonts w:ascii="Arial" w:cs="Arial" w:eastAsia="Arial" w:hAnsi="Arial"/>
          <w:sz w:val="18"/>
          <w:szCs w:val="18"/>
          <w:color w:val="auto"/>
        </w:rPr>
      </w:pPr>
    </w:p>
    <w:p>
      <w:pPr>
        <w:ind w:left="660" w:right="1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Smaller projects and direct awards will continue to contribute meaningfully to our order mix. In 2017 and 2018, these awards collectively represented just under one-half of total subsea inbound orders, with the remainder being publicly announced projects and subsea service activities. Subsea tiebacks are often part of this mix, and these shorter cycle brownfield expansions provide operators with faster paybacks and higher returns;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ind w:left="660" w:right="6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for new greenfield projects will be sanctioned and average project size will increase as the subsea market recovery develops;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 a growing trend towards independent operators and new entrants undertaking subsea developments; we are a natural partner for this customer group because of our ability to offer fully integrated solutions; and</w:t>
      </w:r>
    </w:p>
    <w:p>
      <w:pPr>
        <w:ind w:left="660" w:right="6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gas developments are growing in prominence. We believe that more than half of offshore capital expenditures could be directed at natural gas developments by early next decade.</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continue to work closely with our customers and believe that, in the context of lower oil prices, with our unique business model we can further reduce their project break-even levels by offering cost-effective approaches to their project developments and accelerate time to first oil and gas.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8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continue to expand our Subsea portfolio of technology-based solutions to deliver a complete production system for high pressure and high temperature applications. In 2014, we entered into a joint development agreement with several major operators to develop common standards for subsea production equipment capable of operating at pressures as high as 20,000 psi and temperatures up to 350º F. This joint development agreement is delivering standardized design, materials, processes, and interfaces to provide improved reliability and operations over the life of the field.</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Technology development progressed on the Subsea 2.0 product platform, the next generation of subsea equipment, using designs that are significantly simpler, leaner, and smarter than current designs. These new products incorporate a modular product architecture and component level standardization to enable a flexible configure-to-order approach that delivers a 70-90% reduction in manual activities during the production process, reducing hardware delivery time for clients. The products are expected to deliver breakthroughs in the way subsea products are manufactured, assembled, installed, and maintained over the life of the field. The smaller, lighter products achieve up to a 50% reduction in size, weight, and part count, while maintaining the same or improved functionality. When combined with iEPCI, our powerful integrated approach to field architecture, and project execution, Subsea 2.0 improves project economics and unlocks first oil and gas faster.</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Several major elements of the portfolio were launched to the market during the year, including the compact tree, compact manifold, flexible jumpers, distribution, controls, and horizontal connectors. We have incorporated Subsea 2.0 elements into several projects including the Shell Kaikias subsea development, which sits in 4,575 feet of water in the Gulf of Mexico and is a tieback to the Ursa platform. On March 4, 2018, TechnipFMC and Shell celebrated the successful delivery and installation of the first application of TechnipFMC’s compact pipeline and manifold (“PLEM”) and horizontal connection system technologies with flexible jumpers. We also completed the development of our second generation of electrically trace heated pipe-in-pipe (“ETH-PiP”), which delivers significant advancements in power output and length-enabling hydrate prevention in longer distance tiebacks of 50 kilometers or more.</w:t>
      </w:r>
    </w:p>
    <w:p>
      <w:pPr>
        <w:spacing w:after="0" w:line="15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addition to investments to develop lower cost production solutions, we also invest in the development of technology to expand our service portfolio. During the year, we qualified new technology to enable the inspection of flexible risers and flowlines. We also are advancing subsea robotic productivity through the development of more efficient ROV systems that are easier to operate and maintain.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February 2018, we signed an agreement with the Island Offshore Group to acquire a 51% stake in Island Offshore’s wholly-owned subsidiary, Island Offshore Subsea AS. Island Offshore Subsea AS provides RLWI project management and engineering services for plug and abandonment (“P&amp;A”), riserless coiled tubing, and well completion operations. In connection with the acquisition of the controlling interest, TechnipFMC and Island Offshore entered into a strategic cooperation agreement to deliver RLWI services on a worldwide basis, which also include TechnipFMC’s RLWI capabilities. Island Offshore Subsea AS has been rebranded to TIOS and is now the operating unit for TechnipFMC’s RLWI activities worldwide.</w:t>
      </w:r>
    </w:p>
    <w:p>
      <w:pPr>
        <w:spacing w:after="0" w:line="15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March 2018, we announced a collaboration agreement with Magma Global Ltd. to develop a new generation of hybrid flexible pipe (“HFP”) for use in offshore applications. HFP is expected to provide increased strength and fatigue performance, while also achieving dramatic weight and cost reductions, for subsea fluid transport applications. As part of the collaboration, TechnipFMC purchased a minority stake in Magma Global.</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98"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Onshore/Offshore segment offers a full range of designing and project development services to our customers spanning the entire downstream value chain, including technical consulting, concept selection, and final acceptance test. We have been successful in meeting our clients’ needs given our proven skills in managing large engineering, procurement, and construction (“EPC”) projects.</w:t>
      </w:r>
    </w:p>
    <w:p>
      <w:pPr>
        <w:spacing w:after="0" w:line="14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Onshore business combines the study, engineering, procurement, construction, and project management of the entire range of onshore facilities related to the production, treatment, and transportation of oil and gas, as well as the transformation of petrochemicals such as ethylene, polymers, and fertilizers, as well as other activities.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 large-scale, complex, and challenging projects that involve extreme climatic conditions and non-conventional resources and are subject to increasing environmental and regulatory performance standards. We rely on technological know-how for process design and engineering, either through the integration of technologies from leading alliance partners or through our own technologies. We seek to integrate and develop advanced technologies and reinforce our project execution capabilities in each of our Onshore activities.</w:t>
      </w:r>
    </w:p>
    <w:p>
      <w:pPr>
        <w:spacing w:after="0" w:line="15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Offshore business combines the study, engineering, procurement, construction, and project management within the entire range of fixed and floating offshore oil and gas facilities, many of which were the first of their kind, including the development of floating liquefied natural gas (“FLNG”)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8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Onshore Field Development - We design and build different types of facilities for the development of onshore oil and gas, processing facilities, and product export systems. In addition, we also renovate existing facilities by modernizing production equipment and control systems, in accordance with applicable environmental standards.</w:t>
      </w:r>
    </w:p>
    <w:p>
      <w:pPr>
        <w:spacing w:after="0" w:line="13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Refining - </w:t>
      </w:r>
      <w:r>
        <w:rPr>
          <w:rFonts w:ascii="Arial" w:cs="Arial" w:eastAsia="Arial" w:hAnsi="Arial"/>
          <w:sz w:val="18"/>
          <w:szCs w:val="18"/>
          <w:color w:val="auto"/>
        </w:rPr>
        <w:t>We are a leader in the design and construction of oil refineries. We manage many aspects of these projects,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 of concept and feasibility studies, and the design, construction, and start-up of complex refineries or single refinery units. We have been involved in the design and construction of 30 new refineries, and are one of the few contractors in the world to have built six new refineries since 2000. We have extensive experience with technologies related to refining and have completed more than 850 individual process units, from 100 major expansion or refurbishment projects implemented in more than 75 countries. As a result of our cooperation with the most highly renowned technology licensors and catalyst suppliers and our strong technological expertise and refinery consulting services, we are able to provide an independent selection of appropriate technologies to meet specific project and client targets. These technologies result in direct benefits to the client, such as emission control and environmental protection, including hydrogen and carbon dioxide management, sulfur recovery units, water treatment, and zero flaring. With a strong record of accomplishment in refinery optimization projects, we have experience and competence in relevant technological fields in the oil refining sector.</w:t>
      </w:r>
    </w:p>
    <w:p>
      <w:pPr>
        <w:spacing w:after="0" w:line="13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Natural Gas Treatment and Liquefaction </w:t>
      </w:r>
      <w:r>
        <w:rPr>
          <w:rFonts w:ascii="Arial" w:cs="Arial" w:eastAsia="Arial" w:hAnsi="Arial"/>
          <w:sz w:val="18"/>
          <w:szCs w:val="18"/>
          <w:color w:val="auto"/>
        </w:rPr>
        <w:t>- We offer a complete range of services across the gas value chain to support our clients’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from concept to delivery. Our capabilities include the design and construction of facilities for LNG, gas-to-liquids (“GTL”), natural gas liquids (“NGL”) recovery, and gas treatment.</w:t>
      </w:r>
    </w:p>
    <w:p>
      <w:pPr>
        <w:spacing w:after="0" w:line="1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field of LNG, we pioneered base-load LNG plant construction through the first-ever facility in Arzew, Algeria. Working with our partners, we have constructed facilities that can deliver more than 90 million metric tons per annum (“Mtpa”), representing over 20% of the global liquefaction capacity in operation today. TechnipFMC brings knowledge and conceptual design capabilities that are unique among engineering and construction companies involved in LNG. We have engineered and delivered a broad range of LNG plants, including mid-scale and very large-scale plants, both onshore and offshore, and plants in remote locations. We have experience in the complete range of services for LNG receiving terminals from conceptual design studies to EPC. Reference projects include LNG trains in Qatar (the six largest ever constructed), Yemen, and a series of mid-scale LNG plants in China, and together with our joint venture partners, we are currently delivering the Yamal LNG plant (“Yamal”) in the Russian Arctic with the 3 trains put in production before the end of 2018.</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also well positioned in the GTL market and are one of the few contractors with experience in large GTL facilities. We have unique experience in delivering plants using Sasol’s “Slurry Phase Distillate” technology, and we have provided front-end engineering design for the Fischer-Tropsch section of more than 60% of commercial coal-to-liquids and GTL capacity worldwide. Our clients also benefit from our development of environmental protection measures, including low nitrogen oxide and sulfur oxide emissions, waste-water treatment, and waste management.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6" w:right="259" w:bottom="1440" w:gutter="0" w:footer="0" w:header="0"/>
        </w:sectPr>
      </w:pPr>
    </w:p>
    <w:bookmarkStart w:id="10" w:name="page11"/>
    <w:bookmarkEnd w:id="10"/>
    <w:p>
      <w:pPr>
        <w:ind w:right="60"/>
        <w:spacing w:after="0" w:line="253" w:lineRule="auto"/>
        <w:rPr>
          <w:sz w:val="20"/>
          <w:szCs w:val="20"/>
          <w:color w:val="auto"/>
        </w:rPr>
      </w:pPr>
      <w:r>
        <w:rPr>
          <w:rFonts w:ascii="Arial" w:cs="Arial" w:eastAsia="Arial" w:hAnsi="Arial"/>
          <w:sz w:val="18"/>
          <w:szCs w:val="18"/>
          <w:color w:val="auto"/>
        </w:rPr>
        <w:t>We specialize in the design and construction of large-scale gas treatment complexes as well as existing facility upgrades. Gas treatment includes the removal of carbon dioxide and sulfur components from natural gas using chemical or physical solvents, sulfur recovery, and gas sweetening processes based on the use of an amine solvent. The Company ranks among the top contractors in the field in relation to sulfur recovery units installed in refineries or natural gas processing plants. Given our long-term experience in the field of sour gas processing, we can provide support to clients for the overall evaluation of the gas sweetening/sulfur recovery chain and the selection of optimum technologies.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Ethylene </w:t>
      </w:r>
      <w:r>
        <w:rPr>
          <w:rFonts w:ascii="Arial" w:cs="Arial" w:eastAsia="Arial" w:hAnsi="Arial"/>
          <w:sz w:val="18"/>
          <w:szCs w:val="18"/>
          <w:color w:val="auto"/>
        </w:rPr>
        <w:t>- We hold proprietary technologies and are a leader in the design, construction, and commissioning of ethylene production plants. We</w:t>
      </w:r>
      <w:r>
        <w:rPr>
          <w:rFonts w:ascii="Arial" w:cs="Arial" w:eastAsia="Arial" w:hAnsi="Arial"/>
          <w:sz w:val="18"/>
          <w:szCs w:val="18"/>
          <w:i w:val="1"/>
          <w:iCs w:val="1"/>
          <w:color w:val="auto"/>
        </w:rPr>
        <w:t xml:space="preserve"> </w:t>
      </w:r>
      <w:r>
        <w:rPr>
          <w:rFonts w:ascii="Arial" w:cs="Arial" w:eastAsia="Arial" w:hAnsi="Arial"/>
          <w:sz w:val="18"/>
          <w:szCs w:val="18"/>
          <w:color w:val="auto"/>
        </w:rPr>
        <w:t>design steam crackers, from concept stage through construction and commissioning, for both new plants (including mega-crackers) and plant expansions. We have a portfolio of the latest generation of commercially proven technologies and are uniquely positioned to be both a licensor and an EPC contractor. Our technological developments have improved the energy efficiency in ethylene plants by improving thermal efficiency of the furnaces and reducing the compression power required per ton, reducing carbon dioxide emissions per ton of ethylene by 30% over the last 25 years.</w:t>
      </w:r>
    </w:p>
    <w:p>
      <w:pPr>
        <w:spacing w:after="0" w:line="12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Petrochemicals and Fertilizers </w:t>
      </w:r>
      <w:r>
        <w:rPr>
          <w:rFonts w:ascii="Arial" w:cs="Arial" w:eastAsia="Arial" w:hAnsi="Arial"/>
          <w:sz w:val="18"/>
          <w:szCs w:val="18"/>
          <w:color w:val="auto"/>
        </w:rPr>
        <w:t>- We are one of the world leaders in the process design, licensing, and realization of petrochemical units,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basic chemicals, intermediate and derivative plants. We provide a range of services that includes process technology licensing and development and full EPC complexes. We license a portfolio of chemical technologies through long-standing alliances and relationships with leading manufacturing companies and technology providers. We have research centers to develop and test technologies for polymer and petrochemical applications, where fully automated pilot plants gather design data to scale-up processes for commercialization</w:t>
      </w:r>
    </w:p>
    <w:p>
      <w:pPr>
        <w:spacing w:after="0" w:line="130"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Hydrogen </w:t>
      </w:r>
      <w:r>
        <w:rPr>
          <w:rFonts w:ascii="Arial" w:cs="Arial" w:eastAsia="Arial" w:hAnsi="Arial"/>
          <w:sz w:val="18"/>
          <w:szCs w:val="18"/>
          <w:color w:val="auto"/>
        </w:rPr>
        <w:t>- Hydrogen is the most widely used industrial gas in the refining, chemical, and petrochemical industries, and is also widely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production of cleaner transport fuels. We offer a single point of responsibility for the design and construction of hydrogen and synthesis gas production units, with solutions ranging from Process Design Packages to full lump-sum turnkey projects. We also offer services for maintenance and performance optimization of running units. We have solutions in place for carbon capture readiness in future hydrogen plants, targeting more than a two-thirds reduction in carbon dioxide release from the hydrogen plant.</w:t>
      </w:r>
    </w:p>
    <w:p>
      <w:pPr>
        <w:spacing w:after="0" w:line="130"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Fixed Platforms </w:t>
      </w:r>
      <w:r>
        <w:rPr>
          <w:rFonts w:ascii="Arial" w:cs="Arial" w:eastAsia="Arial" w:hAnsi="Arial"/>
          <w:sz w:val="18"/>
          <w:szCs w:val="18"/>
          <w:color w:val="auto"/>
        </w:rPr>
        <w:t>- We offer a broad range of fixed platform solutions in shallow water, including: (i) large conventional platforms with pile steel</w:t>
      </w:r>
      <w:r>
        <w:rPr>
          <w:rFonts w:ascii="Arial" w:cs="Arial" w:eastAsia="Arial" w:hAnsi="Arial"/>
          <w:sz w:val="18"/>
          <w:szCs w:val="18"/>
          <w:i w:val="1"/>
          <w:iCs w:val="1"/>
          <w:color w:val="auto"/>
        </w:rPr>
        <w:t xml:space="preserve"> </w:t>
      </w:r>
      <w:r>
        <w:rPr>
          <w:rFonts w:ascii="Arial" w:cs="Arial" w:eastAsia="Arial" w:hAnsi="Arial"/>
          <w:sz w:val="18"/>
          <w:szCs w:val="18"/>
          <w:color w:val="auto"/>
        </w:rPr>
        <w:t>jackets whose topsides are installed offshore either by heavy lift vessel or floatover; (ii) small, conventional platforms installed by small crane vessel; (iii) steel gravity-based structure platforms, generally with floatover topsides; and (iv) small to large self-installing platforms.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Floating Production Units </w:t>
      </w:r>
      <w:r>
        <w:rPr>
          <w:rFonts w:ascii="Arial" w:cs="Arial" w:eastAsia="Arial" w:hAnsi="Arial"/>
          <w:sz w:val="18"/>
          <w:szCs w:val="18"/>
          <w:color w:val="auto"/>
        </w:rPr>
        <w:t>- We offer a broad range of floating platform solutions for moderate to ultra-deepwater applications, including:</w:t>
      </w:r>
    </w:p>
    <w:p>
      <w:pPr>
        <w:spacing w:after="0" w:line="171" w:lineRule="exact"/>
        <w:rPr>
          <w:sz w:val="20"/>
          <w:szCs w:val="20"/>
          <w:color w:val="auto"/>
        </w:rPr>
      </w:pPr>
    </w:p>
    <w:p>
      <w:pPr>
        <w:ind w:left="660" w:right="100" w:hanging="328"/>
        <w:spacing w:after="0" w:line="266"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Spar Platforms: </w:t>
      </w:r>
      <w:r>
        <w:rPr>
          <w:rFonts w:ascii="Arial" w:cs="Arial" w:eastAsia="Arial" w:hAnsi="Arial"/>
          <w:sz w:val="18"/>
          <w:szCs w:val="18"/>
          <w:color w:val="auto"/>
        </w:rPr>
        <w:t>Capable of operating in a wide range of water depths, the Spar is a low motion floater that can support full drilling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dry trees or with tender assist and flexible or steel catenary risers. The Spar topside is installed offshore either by heavy lift vessel or floatover.</w:t>
      </w:r>
    </w:p>
    <w:p>
      <w:pPr>
        <w:spacing w:after="0" w:line="122" w:lineRule="exact"/>
        <w:rPr>
          <w:rFonts w:ascii="Arial" w:cs="Arial" w:eastAsia="Arial" w:hAnsi="Arial"/>
          <w:sz w:val="18"/>
          <w:szCs w:val="18"/>
          <w:i w:val="1"/>
          <w:iCs w:val="1"/>
          <w:color w:val="auto"/>
        </w:rPr>
      </w:pPr>
    </w:p>
    <w:p>
      <w:pPr>
        <w:ind w:left="660" w:right="260" w:hanging="328"/>
        <w:spacing w:after="0" w:line="28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Semi-Submersible Platforms</w:t>
      </w:r>
      <w:r>
        <w:rPr>
          <w:rFonts w:ascii="Arial" w:cs="Arial" w:eastAsia="Arial" w:hAnsi="Arial"/>
          <w:sz w:val="17"/>
          <w:szCs w:val="17"/>
          <w:color w:val="auto"/>
        </w:rPr>
        <w:t>: These platforms are well-suited to oil field developments where subsea wells drilled by the mobile</w:t>
      </w:r>
      <w:r>
        <w:rPr>
          <w:rFonts w:ascii="Arial" w:cs="Arial" w:eastAsia="Arial" w:hAnsi="Arial"/>
          <w:sz w:val="17"/>
          <w:szCs w:val="17"/>
          <w:i w:val="1"/>
          <w:iCs w:val="1"/>
          <w:color w:val="auto"/>
        </w:rPr>
        <w:t xml:space="preserve"> </w:t>
      </w:r>
      <w:r>
        <w:rPr>
          <w:rFonts w:ascii="Arial" w:cs="Arial" w:eastAsia="Arial" w:hAnsi="Arial"/>
          <w:sz w:val="17"/>
          <w:szCs w:val="17"/>
          <w:color w:val="auto"/>
        </w:rPr>
        <w:t>offshore drilling unit are appropriate. Semi-Submersibles can operate in a wide range of water depths and have full drilling and large topside capability. We have our own unique design of low-motion Semi-Submersible platforms that can accommodate dry trees.</w:t>
      </w:r>
    </w:p>
    <w:p>
      <w:pPr>
        <w:spacing w:after="0" w:line="104"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Tension-Leg Platforms </w:t>
      </w:r>
      <w:r>
        <w:rPr>
          <w:rFonts w:ascii="Arial" w:cs="Arial" w:eastAsia="Arial" w:hAnsi="Arial"/>
          <w:sz w:val="18"/>
          <w:szCs w:val="18"/>
          <w:color w:val="auto"/>
        </w:rPr>
        <w:t>(“TLP”): An appropriate platform for deepwater drilling and production in water depths up to approximately 1,500</w:t>
      </w:r>
      <w:r>
        <w:rPr>
          <w:rFonts w:ascii="Arial" w:cs="Arial" w:eastAsia="Arial" w:hAnsi="Arial"/>
          <w:sz w:val="18"/>
          <w:szCs w:val="18"/>
          <w:i w:val="1"/>
          <w:iCs w:val="1"/>
          <w:color w:val="auto"/>
        </w:rPr>
        <w:t xml:space="preserve"> </w:t>
      </w:r>
      <w:r>
        <w:rPr>
          <w:rFonts w:ascii="Arial" w:cs="Arial" w:eastAsia="Arial" w:hAnsi="Arial"/>
          <w:sz w:val="18"/>
          <w:szCs w:val="18"/>
          <w:color w:val="auto"/>
        </w:rPr>
        <w:t>meters, the TLP can be configured with full drilling or with tender assist and is generally a dry tree unit. The TLP and our topside can be integrated onto the substructure at a cost-effective manner at quayside.</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Floating Production, Storage and Offloading (“FPSO”) </w:t>
      </w:r>
      <w:r>
        <w:rPr>
          <w:rFonts w:ascii="Arial" w:cs="Arial" w:eastAsia="Arial" w:hAnsi="Arial"/>
          <w:sz w:val="18"/>
          <w:szCs w:val="18"/>
          <w:color w:val="auto"/>
        </w:rPr>
        <w:t>- Working with our construction partners, we have delivered some of the largest FPSOs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world. FPSOs enable offshore production and storage of oil which is then transported by a tanker where pipeline export is uneconomic or technically challenged (for example, ultra-deepwater). FPSOs utilize onshore processes adapted to a floating marine environment. They can support large topsides and hence large production capacities. Leveraging our industry-leading capabilities in gas monetization, particularly FLNG, we are currently well-positioned to leverage the global offshore gas cycle with gas FPSO.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98" w:right="25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i w:val="1"/>
          <w:iCs w:val="1"/>
          <w:color w:val="auto"/>
        </w:rPr>
        <w:t xml:space="preserve">Floating Liquefied Natural Gas (“FLNG”) </w:t>
      </w:r>
      <w:r>
        <w:rPr>
          <w:rFonts w:ascii="Arial" w:cs="Arial" w:eastAsia="Arial" w:hAnsi="Arial"/>
          <w:sz w:val="18"/>
          <w:szCs w:val="18"/>
          <w:color w:val="auto"/>
        </w:rPr>
        <w:t>- FLNG is an innovative alternative to traditional onshore LNG plants and is suitable for remote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stranded gas fields that were previously deemed uneconomical. FLNG is a commercially attractive and environmentally friendly approach to the monetization of offshore gas fields. It avoids the potential environmental impact of building and operating long-distance pipelines and extensive onshore infrastructure. We pioneered the FLNG industry and are the only contractor to integrate all of the core activities required to deliver an FLNG project: LNG process, offshore facilities, loading systems, and subsea infrastructure. We delivered the industry’s first and largest FLNG facilities and are currently executing two FLNG projects, Shell Prelude and ENI Coral South, with the latter being the inaugural LNG facility in Africa.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Onshore/Offshore business executes turnkey contracts on a lump-sum or reimbursable basis through engineering, procurement, construction, and project management services on both brownfield and greenfield developments and projects. We can execute EPC contracts through sole responsibility, joint ventures, or consortiums with other companies. We often receive advance payments and progress billings from our customers to fund initial development and working capital requirements. However, our working capital balances can vary significantly through the project lifecycle depending on the payment terms and timing on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Generally, our Onshore/Offshore customers are major integrated oil companies or national oil companies. We have developed privileged relationships with our main clients around our portfolio of technologies, expertise in project management, and execution. Our customers have sought the security of alliances with us to ensure timely and cost-effective delivery of their projects.</w:t>
      </w:r>
    </w:p>
    <w:p>
      <w:pPr>
        <w:spacing w:after="0" w:line="14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One customer, JSC Yamal LNG, represented more than 10% of 2018 consolidated revenue. We consolidate all revenue from the JSC Yamal LNG partnership, including revenue associated with the minority partners of the joint venture.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the Onshore market, we face a large number of competitors, including U.S. companies (Bechtel Corporation, Fluor Corporation, Jacobs Engineering Group Inc., KBR, Inc. (“KBR”), and McDermott), Japanese companies (Chiyoda Corporation, JGC Corporation, and Toyo Engineering Corporation), European companies (Maire Tecnimont Group, Petrofac, Ltd., Saipem, Tecnicas Reunidas, S.A., and John Wood Group plc), and Korean companies (Daelim Industrial Co., Ltd., GS Caltex Corporation, Hyundai Oilbank, Samsung Engineering Co., Ltd., and SK Energy Co., Ltd.). In addition, we compete against smaller, specialized, and locally-based engineering and construction companies in certain countries or for specific units such as petrochemicals.</w:t>
      </w:r>
    </w:p>
    <w:p>
      <w:pPr>
        <w:spacing w:after="0" w:line="15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Competition in the Offshore market is relatively fragmented and includes various players with different core capabilities, including offshore construction contractors, shipyards, leasing contractors, and local yards in Asia Pacific, the Middle East, and Africa. Competitors include Daewoo Shipbuilding &amp; Marine Engineering Co., Ltd., Hyundai Heavy Industries Co., Ltd., Samsung Heavy Industries Co., Ltd., Saipem, KBR, McDermott, China Offshore Oil Engineering Co., Ltd., and JGC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8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Our Onshore business is generally not impacted by seasonality. Our Offshore business could be impacted by seasonality in the North Sea region during the offshore installation campaign at the end of a project.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Onshore market is impacted by changes in oil and gas prices, but is typically more resilient than offshore markets. Indeed, some downstream markets have benefited from low commodity prices where market fundamentals are influenced by other economic factors (e.g., petrochemicals and fertilizers that are linked to world growth). This market dynamic is mostly present in developing countries with rapidly growing energy demand (in particular, Asia) and countries with abundant oil and gas reserves that have decided to expand downstream (in particular, the Middle East and Russia). The Onshore market remains relatively small in Western Europe, although with a diversity of projects, including a second generation of bio ethanol plants. The North American Onshore market is experiencing a strong recovery in the wake of the oil and gas shale revolution.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ind w:right="140"/>
        <w:spacing w:after="0" w:line="254" w:lineRule="auto"/>
        <w:rPr>
          <w:sz w:val="20"/>
          <w:szCs w:val="20"/>
          <w:color w:val="auto"/>
        </w:rPr>
      </w:pPr>
      <w:r>
        <w:rPr>
          <w:rFonts w:ascii="Arial" w:cs="Arial" w:eastAsia="Arial" w:hAnsi="Arial"/>
          <w:sz w:val="18"/>
          <w:szCs w:val="18"/>
          <w:color w:val="auto"/>
        </w:rPr>
        <w:t>The Offshore market is more directly impacted by changes in oil prices. Offshore fields in the Gulf of Mexico, the Middle East, and the North Sea were the traditional backbone for investments in the last decade. Recent discoveries of offshore fields with reserves in other regions such as Brazil, Australia, and East Africa are expected to become drivers of increased investment. In the long-term, gas is expected to become a bigger portion of the global energy mix, requiring new investments in the upstream industry.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based on the following:</w:t>
      </w:r>
    </w:p>
    <w:p>
      <w:pPr>
        <w:spacing w:after="0" w:line="171" w:lineRule="exact"/>
        <w:rPr>
          <w:sz w:val="20"/>
          <w:szCs w:val="20"/>
          <w:color w:val="auto"/>
        </w:rPr>
      </w:pPr>
    </w:p>
    <w:p>
      <w:pPr>
        <w:ind w:left="660" w:right="30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Selectivity of clients, projects, and geographies, which serves to maintain early engagement, leading to influence over technological choices, design considerations, and project specifications that make projects economically viable;</w:t>
      </w:r>
    </w:p>
    <w:p>
      <w:pPr>
        <w:spacing w:after="0" w:line="142"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Technology-driven differentiation with strong project management, which eliminates or significantly reduces technical and project risks, leading to both schedule and cost certainty without compromising safety; and</w:t>
      </w:r>
    </w:p>
    <w:p>
      <w:pPr>
        <w:spacing w:after="0" w:line="142"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Excellence in project execution, because of our global, multi-center project delivery model complemented by deep partnerships and alliances to ensure the best possible execution for complex projects.</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TechnipFMC’s Onshore/Offshore segment continually invests in innovation and technology. The Company is at the forefront of digital solutions due in part to our investment in 3D models and interfaces.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8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response to industry challenges to improve project economics in the Offshore market, we are continuing our cost reduction efforts to align capacity and capabilities with market demands. As such, in 2018 we sold our interest in the Pori Offshore yard in Finland.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Onshore market activity continues to provide a tangible set of opportunities, including natural gas, refining, and petrochemical projects.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Activity in LNG is fueled by higher demand for natural gas a fuel source continues to take a greater share of global energy demand. This trend is structural, driven by market preference for cleaner energy sources and the need to satisfy growing domestic demand in markets such as Asia and the Middle East. To meet this demand, we believe that large gas projects will need to be sanctioned in the near future, as evidenced by both the significant increase in pre-FEED and FEED contract awards and higher levels of pre-bid project planning experienced in 2018.</w:t>
      </w:r>
    </w:p>
    <w:p>
      <w:pPr>
        <w:spacing w:after="0" w:line="1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Onshore market activity levels remain stable, it provides our business with the opportunity to engage early with our clients and pursue additional front-end engineering studies which serve to optimize project economics while also mitigating risks during project execution. Market opportunities for downstream front-end engineering studies and full EPC projects are most prevalent in the Middle East, African, and Asian markets in both LNG and refining. We continue to track near-term prospects for petrochemical and fertilizer projects as well. We believe this broad opportunity set could generate additional inbound orders in the coming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89"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are positioned as a premier provider of project execution and technology solutions which enable our customers to unlock resources at advantaged capital and operating economics. We invest Onshore/Offshore R&amp;D in these main areas: (i) the development of process technology and equipment for economy of scale; (ii) continuous improvement of our proprietary process technologies and other solutions to reduce operating and investment cost; and (iii) diversification of our proprietary technology offering.</w:t>
      </w:r>
    </w:p>
    <w:p>
      <w:pPr>
        <w:spacing w:after="0" w:line="15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Offshore R&amp;D efforts are focused on improving the economics of FLNG through innovations in design and constructability. We also launched a new program to develop solutions for smaller scale FLNG and LNG import projects. Additionally, to further reduce operating and investment costs, we progressed the development of robotic solutions for offshore platforms and continue work on a standard and adaptable design for Normally Unmanned Installations (“NUI”).</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89"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In January 2017, we officially opened our Modular Manufacturing Yard at Dahej, in Gujarat state, located in Western India. The approximately 150,000 square meter yard combines our strengths in process technology, modularized engineering, and manufacturing and construction.</w:t>
      </w:r>
    </w:p>
    <w:p>
      <w:pPr>
        <w:spacing w:after="0" w:line="12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yard represents a culmination of our knowledge, skills, and technological expertise, covering a range of product lines including: (i) designed modular hydrogen plants; (ii) modular process plant and equipment using proprietary process technology as well as partnering with leading technology partners worldwide; (iii) the components and assemblies of fired heaters, reformers, and ethylene furnaces; and (iv) proprietary special application burners.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or significant investments occurred during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Surface Technologies segment designs and manufactures products and systems, and provides services used by oil and gas companies involved in land and offshore exploration and production of crude oil and natural gas. Such products and systems include wellhead systems as well as technologically advanced high pressure valves, flowlines, and pumps used in stimulation activities for oilfield service companies. Surface Technologies also provides: (i) hydraulic fracturing (“frac”) systems and support services; (ii) production, separation, and flow processing systems; and (iii) measurement systems and loading arm solutions for exploration and production companies. We manufacture most of our products in facilities located worldwide.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Upstream: Drilling, Completion, Pressure Control, and Production </w:t>
      </w:r>
      <w:r>
        <w:rPr>
          <w:rFonts w:ascii="Arial" w:cs="Arial" w:eastAsia="Arial" w:hAnsi="Arial"/>
          <w:sz w:val="18"/>
          <w:szCs w:val="18"/>
          <w:color w:val="auto"/>
        </w:rPr>
        <w:t>- We provide a full range of drilling, completion, pressure control,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systems for both standard and custom-engineered applications. Surface wellheads and trees are used to control and regulate the flow of crude oil and natural gas from the well. Our surface wellheads are used worldwide on conventional and unconventional platform base applications including desert high temperatures and shale fields. Our wellhead product portfolio includes conventional wellheads, unihead drill-thru wellheads designed for faster installations, drill-time optimization conventional wellheads designed to reduce overall rig time, sealing technology, thermal equipment, valves, and actuators.</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surface completions portfolio includes integrated frac solutions for shale fields that, together with our digitalized control systems, provide customers the fracturing service companies with a one-stop-shop equipment supplier from wellhead to pipeline. Our portfolio includes manifolds, trees, and well testing equipment for timely and cost-effective well completion. We also provide closed-loop flowback services for the recovery of solids, fluids, and hydrocarbons from oil and natural gas wells after the stimulation of the well, and we provide chokes, de-sanding, and early production equipment and services through to permanent production facilities and services for oil and gas operators.</w:t>
      </w:r>
    </w:p>
    <w:p>
      <w:pPr>
        <w:spacing w:after="0" w:line="15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design and manufacture articulated rigid flowline products under the Weco®/Chiksan® trademarks, flexible flowline and choke-and-kill products under the Coflexip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trademark, articulating frac arm manifold trailers, manifold skids, well service pumps, compact valves, and reciprocating pumps used in well completion and stimulation activities by major oilfield service and drilling companies, such as BHGE, Halliburton Company, Schlumberger, Transocean, Ltd., and Weatherford International plc, as well as by oil and gas operators directly. Our flowline Coflexip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are used in equipment that pumps fluid into a well during the well construction and stimulation processes. Our Coflexip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are also used by drilling companies for choke-and-kill lines and other applications. Our well service pump product line includes triplex and quintuplex pumps utilized in a variety of applications, including fracturing, acidizing, and matrix stimulation, and are capable of delivering flow rates up to 35 barrels per minute at pressures up to 20,000 psi.</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production offering includes separation and processing systems, production monitoring and optimization systems, well control and integrity systems, standard pumps, compact valves, and measurement solutions designed to enhance field project economics and reduce operating expenditures with an integrated system that spans from wellhead to pipeline.</w:t>
      </w:r>
    </w:p>
    <w:p>
      <w:pPr>
        <w:spacing w:after="0" w:line="14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support our customers through comprehensive service packages that provide solutions to ensure optimal equipment performance and reliability. These service packages include all phases of the asset’s life cycle: from the early planning stages through testing and installation, commissioning and operations, replacement and upgrade, intervention, decommissioning and abandonment, and maintenance, storage, and preservation.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0" w:right="25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i w:val="1"/>
          <w:iCs w:val="1"/>
          <w:color w:val="auto"/>
        </w:rPr>
        <w:t xml:space="preserve">Measurement Solutions </w:t>
      </w:r>
      <w:r>
        <w:rPr>
          <w:rFonts w:ascii="Arial" w:cs="Arial" w:eastAsia="Arial" w:hAnsi="Arial"/>
          <w:sz w:val="18"/>
          <w:szCs w:val="18"/>
          <w:color w:val="auto"/>
        </w:rPr>
        <w:t>- We design, manufacture, and service measurement products for the worldwide oil and gas industry. Our flow</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 and control systems manage and monitor liquid and gas measurement for applications such as custody transfer, fiscal measurement, and batch loading and deliveries. Our FPSO metering systems provide the precision and reliability required for measuring large flow rates characteristic of marine loading operations. Our gas and liquid measurement systems provide many solutions in energy-related applications such as crude oil and natural gas production and transportation, refined product transportation, petroleum refining, and petroleum marketing and distribution. We combine advanced measurement technology with state-of-the-art electronics and supervisory control systems to provide the measurement of both liquids and gases to ensure processes operate efficiently while reducing operating costs and minimizing the risks associated with custody transfer.</w:t>
      </w:r>
    </w:p>
    <w:p>
      <w:pPr>
        <w:spacing w:after="0" w:line="131" w:lineRule="exact"/>
        <w:rPr>
          <w:sz w:val="20"/>
          <w:szCs w:val="20"/>
          <w:color w:val="auto"/>
        </w:rPr>
      </w:pPr>
    </w:p>
    <w:p>
      <w:pPr>
        <w:ind w:right="220"/>
        <w:spacing w:after="0"/>
        <w:rPr>
          <w:sz w:val="20"/>
          <w:szCs w:val="20"/>
          <w:color w:val="auto"/>
        </w:rPr>
      </w:pPr>
      <w:r>
        <w:rPr>
          <w:rFonts w:ascii="Arial" w:cs="Arial" w:eastAsia="Arial" w:hAnsi="Arial"/>
          <w:sz w:val="18"/>
          <w:szCs w:val="18"/>
          <w:i w:val="1"/>
          <w:iCs w:val="1"/>
          <w:color w:val="auto"/>
        </w:rPr>
        <w:t xml:space="preserve">Loading Systems </w:t>
      </w:r>
      <w:r>
        <w:rPr>
          <w:rFonts w:ascii="Arial" w:cs="Arial" w:eastAsia="Arial" w:hAnsi="Arial"/>
          <w:sz w:val="18"/>
          <w:szCs w:val="18"/>
          <w:color w:val="auto"/>
        </w:rPr>
        <w:t>- We provide land- and marine-based loading and transfer systems to the oil and gas, petrochemical, and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Our systems provide loading and transfer solutions using articulated rigid Chiksan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loading arms and Chiksan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swivel joint technologies and flexible-based Coflexip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technologies, which are capable of diverse applications. While our marine systems are typically constructed on a fixed jetty platform, we have developed advanced loading systems that can be mounted on a vessel or offshore structure to facilitate ship-to-ship and tandem loading and offloading operations in open seas or exposed locations. Both our land- and marine-based loading and transfer systems are capable of handling a wide range of products including petroleum products, LNG, and chemical products.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Surface Technologies manufactures most of its products, resulting in a reliance on manufacturing locations throughout the world. We also maintain a large quantity of rental equipment related to pressure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single Surface Technologies customer accounted for 10% or more of our 2018 consolidated revenue.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Surface Technologies is a market leader for our primary products and services. Some of the factors that distinguish us from other companies in the same sector include our technological innovation, reliability, product quality, and ability to integrate across a broad portfolio scope. Surface Technologies competes with other companies that supply surface production equipment and pressure control products. Some of our major competitors in Surface Technologies include BHGE, Cactus, Inc., Forum Energy Technologies, Inc., Gardner Denver, Inc., Schlumberger, and The Weir Group plc.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Western Canada, the level of activity in the oilfield services industry is influenced by seasonal weather patterns. During the spring months, wet weather and the spring thaw make the ground unstable and less capable of supporting heavy equipment and machinery. As a result, municipalities and provincial transportation departments enforce road bans that restrict the movement of heavy equipment during the spring months, which reduces activity levels. There is greater demand for oilfield services provided by our Canadian services business, specifically completion services, in the winter season when freezing permits the movement and operation of heavy equipment. Activities tend to increase in the fall and peak in the winter months of November through March.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Surface Technologies’ performance is typically driven by variations in global drilling activity, creating a dynamic environment. Operating results can be further impacted by pressure pumping activity and completions intensity in the Americas.</w:t>
      </w:r>
    </w:p>
    <w:p>
      <w:pPr>
        <w:spacing w:after="0" w:line="14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North American market recovery that began in late 2016 continued well into 2018, with rig count and drilling and completion activity steadily improving through the first half of the year. The increased activity resulted in stronger demand for the Company’s products and services. The market also benefited from increased service intensity related to hydraulic fracturing activity. As a result of these market dynamics, we experienced stronger demand for pressure control equipment. When combined with our cost rationalization initiatives, we were able to capture the economic benefits of the higher activity levels. Activity outside of North America remained generally stable after turning down in 2015 but continued to experience competitive pricing pressure in certain markets.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Strategy</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strategy is focused on being a leading provider of best-cost and high-performance integrated assets and services for our customers in the drilling, completion, upstream production, and midstream transportation sectors. We distinguish our offering by combining three elements – a flawless customer experience, leading digital tools, and integrated systems.</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Providing a flawless customer experience is our most important priority and occupies the central pillar of our strategy. For this reason, we have developed the digital tools and customer-centric organizational culture that enable our customers to seamlessly transition into the next era of hydrocarbon production. In addition, our system integration capabilities and automation technologies (i) enable reductions in both capital and operating expenditures by reducing cycle time, allowing our customers to achieve first oil faster, and (ii) optimize the production process by minimizing facility footprint, manual interventions, and environmental impacts.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89" w:lineRule="exact"/>
        <w:rPr>
          <w:sz w:val="20"/>
          <w:szCs w:val="20"/>
          <w:color w:val="auto"/>
        </w:rPr>
      </w:pPr>
    </w:p>
    <w:p>
      <w:pPr>
        <w:jc w:val="both"/>
        <w:ind w:right="560"/>
        <w:spacing w:after="0" w:line="254" w:lineRule="auto"/>
        <w:rPr>
          <w:sz w:val="20"/>
          <w:szCs w:val="20"/>
          <w:color w:val="auto"/>
        </w:rPr>
      </w:pPr>
      <w:r>
        <w:rPr>
          <w:rFonts w:ascii="Arial" w:cs="Arial" w:eastAsia="Arial" w:hAnsi="Arial"/>
          <w:sz w:val="18"/>
          <w:szCs w:val="18"/>
          <w:color w:val="auto"/>
        </w:rPr>
        <w:t>We continue to operate in a challenging environment as global activity is still below levels achieved in the prior industry cycle and pricing remains competitive. In the second half of 2018, well completion activity in North America moved lower, negatively impacting demand for pressure control equipment. The activity decline was driven by pipeline takeaway capacity constraints, lower commodity prices, and the depletion of operator budgets, constraining activity to certain oil and gas basins that can generate acceptable returns.</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Despite the decline in completions activity, North American drilling activity continued to move higher throughout 2018. With increased well count and reduced completions, the backlog of uncompleted wells continued to grow and further supports our view that completions activity should recover in the second half of 2019 as operator budgets replenish and takeaway capacity improves. As we entered 2019, drilling activity started to decline from the recent peak levels achieved in late 2018. However, with oil prices having rebound from recent lows and operator budgets replenished in the new year, we continue to anticipate that activity levels will move higher for both drilling and completions as we progress through the year.</w:t>
      </w:r>
    </w:p>
    <w:p>
      <w:pPr>
        <w:spacing w:after="0" w:line="155"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Outside of the Americas, we expect global activity levels to improve in 2019. Confidence in an improved outlook for our business is further supported by the strong growth experienced in inbound orders and backlog in late 2018. We believe that the Middle East, Asia Pacific, and Northern Europe are best poised for new order growth. Our international business continued to experience competitive pricing pressure throughout much of 2018. We believe market pricing has since stabilized and expect this pricing environment to continue throughout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8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early 2018, we successfully launched the 2” 10,000 psi cage choke expanding the Company’s traditional product offering for onshore solutions and delivering our first order to a major Middle East customer. For flow testing and early production, we launched a fully automated and digitized Flow Testing Advanced Automated Package (AAP) leveraging the Company’s superior de-sanding and fluid-separation technology and as well as our digital platform, which allows for remote monitoring and real-time data capture via the cloud. We also launched compact, modular permanent production facility solutions for both onshore-shale and offshore shallow-water fields and have recently received our first contract award.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October 2017, we announced an agreement to acquire Plexus Holding plc’s (“Plexus”) wellhead exploration equipment and services business for jack up applications. In conjunction with our global footprint and market presence, this portfolio expansion in the mudline and high-pressure, high-temperature arena will enable us to be a leading provider of products and services to the global jack-up exploration drilling market. This acquisition fits within our strategy to extend and strengthen our position in exploration-drilling products and services while leveraging our global field presence. The acquisition closed in the first quarter of 2018.</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business has been integrated into our Surface Technologies segment, including the transfer of key personnel from Plexus, with their specialized expertise, to ensure continuity and ongoing customer support. The business continues to operate from the existing location in Dyce, Aberdeen, United Kingdom.</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spacing w:after="0" w:line="252" w:lineRule="auto"/>
        <w:rPr>
          <w:sz w:val="20"/>
          <w:szCs w:val="20"/>
          <w:color w:val="auto"/>
        </w:rPr>
      </w:pPr>
      <w:r>
        <w:rPr>
          <w:rFonts w:ascii="Arial" w:cs="Arial" w:eastAsia="Arial" w:hAnsi="Arial"/>
          <w:sz w:val="18"/>
          <w:szCs w:val="18"/>
          <w:color w:val="auto"/>
        </w:rPr>
        <w:t>In December 2017, we opened a new 18,000 square meter facility in Abu Dhabi’s Industrial City 2, and in June 2018, we broke ground on a new 52,000 square meter facility in Dhahran, Saudi Arabia. These facilities are part of our continued investment in the United Arab Emirates and Saudi Arabia to reinforce our leading position in delivering local solutions that extend asset life and improve project returns. They position us to respond to the expected increase in activity for Abu Dhabi National Oil Company (“ADNOC”) and Saudi Aramco in 2019 and beyond while strengthening our capabilities, providing a solid platform for us to grow our integrated offerings into this region, including multiple product lines and aftermarket services that are key to our growth strategy. The new facilities will offer a broader range of capabilities and greater value-add in-country, supporting our full portfolio with high-technology equipment in the drilling, completion, production, and pressure-control sectors.</w:t>
      </w:r>
    </w:p>
    <w:p>
      <w:pPr>
        <w:spacing w:after="0" w:line="131" w:lineRule="exact"/>
        <w:rPr>
          <w:sz w:val="20"/>
          <w:szCs w:val="20"/>
          <w:color w:val="auto"/>
        </w:rPr>
      </w:pPr>
    </w:p>
    <w:p>
      <w:pPr>
        <w:ind w:right="4720"/>
        <w:spacing w:after="0" w:line="451" w:lineRule="auto"/>
        <w:rPr>
          <w:sz w:val="20"/>
          <w:szCs w:val="20"/>
          <w:color w:val="auto"/>
        </w:rPr>
      </w:pPr>
      <w:r>
        <w:rPr>
          <w:rFonts w:ascii="Arial" w:cs="Arial" w:eastAsia="Arial" w:hAnsi="Arial"/>
          <w:sz w:val="18"/>
          <w:szCs w:val="18"/>
          <w:b w:val="1"/>
          <w:bCs w:val="1"/>
          <w:color w:val="auto"/>
        </w:rPr>
        <w:t xml:space="preserve">OTHER BUSINESS INFORMATION RELEVANT TO OUR BUSINESS SEGMENTS </w:t>
      </w:r>
      <w:r>
        <w:rPr>
          <w:rFonts w:ascii="Arial" w:cs="Arial" w:eastAsia="Arial" w:hAnsi="Arial"/>
          <w:sz w:val="18"/>
          <w:szCs w:val="18"/>
          <w:i w:val="1"/>
          <w:iCs w:val="1"/>
          <w:color w:val="auto"/>
        </w:rPr>
        <w:t>Sources and Availability of Raw Materials</w:t>
      </w:r>
    </w:p>
    <w:p>
      <w:pPr>
        <w:ind w:right="220"/>
        <w:spacing w:after="0" w:line="254" w:lineRule="auto"/>
        <w:rPr>
          <w:sz w:val="20"/>
          <w:szCs w:val="20"/>
          <w:color w:val="auto"/>
        </w:rPr>
      </w:pPr>
      <w:r>
        <w:rPr>
          <w:rFonts w:ascii="Arial" w:cs="Arial" w:eastAsia="Arial" w:hAnsi="Arial"/>
          <w:sz w:val="18"/>
          <w:szCs w:val="18"/>
          <w:color w:val="auto"/>
        </w:rPr>
        <w:t>Our business segments purchase carbon steel, stainless steel, aluminum, and steel castings and forgings from the global marketplace. We typically do not use single source suppliers for the majority of our raw material purchases; however, certain geographic areas of our businesses, or a project or group of projects, may heavily depend on certain suppliers for raw materials or supply of semi-finished goods. We believe the available supplies of raw materials are adequate to meet our needs.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engaged in R&amp;D activities directed toward the improvement of existing products and services, the design of specialized products to meet customer needs, and the development of new products, processes, and services. A large part of our product development spending has focused on the improved design and standardization of our Subsea and Onshore/Offshore products to meet our customer needs.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Trademarks and Other Intellectual Property</w:t>
      </w:r>
    </w:p>
    <w:p>
      <w:pPr>
        <w:spacing w:after="0" w:line="1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own a number of patents, trademarks, and licenses that are cumulatively important to our businesses. As part of our ongoing R&amp;D focus, we seek patents when appropriate for new products, product improvements and related service innovations. We have approximately 7,000 issued patents and pending patent applications worldwide. Further, we license intellectual property rights to or from third parties. We also own numerous trademarks and trade names and have approximately 500 registrations and pending applications worldwide.</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protect and promote our intellectual property portfolio and take actions we deem appropriate to enforce and defend our intellectual property rights. We do not believe, however, that the loss of any one patent, trademark, or license, or group of related patents, trademarks, or licenses would have a material adverse effect on our overall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more than 37,000 employees.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and Geographic Financial Information</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majority of our consolidated revenue and segment operating profits are generated in markets outside of the United States. Each segment’s revenue is dependent upon worldwide oil and gas exploration, production and petrochemical activity. Financial information about our segments and geographic areas is incorporated herein by reference from Note 5 to our consolidated financial statements in Part II, Item 8 of this Annual Report on Form 10-K.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Order Backlog</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Information regarding order backlog is incorporated herein by reference from the section entitled “Inbound Orders and Order Backlog” in Part II, Item 7 of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Website Access to Reports and Proxy Statement</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Forms 3, 4, and 5 filed on behalf of directors and executive officers, and amendments to each of those reports and statements, are available free of charge through our website at www.technipfmc.com, under “Investors—Regulatory filings—Regulatory filings” as soon as reasonably practicable after such material is electronically filed with, or furnished to, the U.S. Securities and Exchange Commission (the “SEC”). Alternatively, our reports may be accessed through the website maintained by the SEC at www.sec.gov. Unless expressly noted, the information on our website or any other website is not incorporated by reference in this Annual Report on Form 10-K and should not be considered part of this Annual Report on Form 10-K or any other filing we make with the SEC.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Information regarding our executive officers called for by Item 401(b) of Regulation S-K is hereby included in Part I, Item 1 “Business” of this Annual Report on Form 10-K.</w:t>
      </w:r>
    </w:p>
    <w:p>
      <w:pPr>
        <w:spacing w:after="0" w:line="14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indicates the names and ages of our executive officers as of March 11, 2019, including all offices and positions held by each in the past five years:</w:t>
      </w:r>
    </w:p>
    <w:p>
      <w:pPr>
        <w:sectPr>
          <w:pgSz w:w="11900" w:h="16838" w:orient="portrait"/>
          <w:cols w:equalWidth="0" w:num="1">
            <w:col w:w="11120"/>
          </w:cols>
          <w:pgMar w:left="240" w:top="576" w:right="539" w:bottom="1440" w:gutter="0" w:footer="0" w:header="0"/>
        </w:sect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Age</w:t>
            </w:r>
          </w:p>
        </w:tc>
      </w:tr>
      <w:tr>
        <w:trPr>
          <w:trHeight w:val="472"/>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Thierry Pilenko</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61</w:t>
            </w:r>
          </w:p>
        </w:tc>
      </w:tr>
      <w:tr>
        <w:trPr>
          <w:trHeight w:val="810"/>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Douglas J. Pferdehirt</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55</w:t>
            </w:r>
          </w:p>
        </w:tc>
      </w:tr>
      <w:tr>
        <w:trPr>
          <w:trHeight w:val="621"/>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Maryann T. Mannen</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56</w:t>
            </w:r>
          </w:p>
        </w:tc>
      </w:tr>
      <w:tr>
        <w:trPr>
          <w:trHeight w:val="810"/>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Dianne B. Ralston</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52</w:t>
            </w:r>
          </w:p>
        </w:tc>
      </w:tr>
      <w:tr>
        <w:trPr>
          <w:trHeight w:val="999"/>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Justin Rounce</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52</w:t>
            </w:r>
          </w:p>
        </w:tc>
      </w:tr>
      <w:tr>
        <w:trPr>
          <w:trHeight w:val="810"/>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Agnieszka Kmieciak</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45</w:t>
            </w:r>
          </w:p>
        </w:tc>
      </w:tr>
      <w:tr>
        <w:trPr>
          <w:trHeight w:val="999"/>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Arnaud Piéton</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45</w:t>
            </w:r>
          </w:p>
        </w:tc>
      </w:tr>
      <w:tr>
        <w:trPr>
          <w:trHeight w:val="810"/>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Richard G. Alabaster</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58</w:t>
            </w:r>
          </w:p>
        </w:tc>
      </w:tr>
      <w:tr>
        <w:trPr>
          <w:trHeight w:val="621"/>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Barry Glickman</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50</w:t>
            </w:r>
          </w:p>
        </w:tc>
      </w:tr>
      <w:tr>
        <w:trPr>
          <w:trHeight w:val="621"/>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Nello Uccelletti</w:t>
            </w:r>
            <w:r>
              <w:rPr>
                <w:rFonts w:ascii="Arial" w:cs="Arial" w:eastAsia="Arial" w:hAnsi="Arial"/>
                <w:sz w:val="17"/>
                <w:szCs w:val="17"/>
                <w:color w:val="auto"/>
                <w:vertAlign w:val="superscript"/>
              </w:rPr>
              <w:t>1</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65</w:t>
            </w:r>
          </w:p>
        </w:tc>
      </w:tr>
      <w:tr>
        <w:trPr>
          <w:trHeight w:val="810"/>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Christophe Bélorgeot</w:t>
            </w:r>
            <w:r>
              <w:rPr>
                <w:rFonts w:ascii="Arial" w:cs="Arial" w:eastAsia="Arial" w:hAnsi="Arial"/>
                <w:sz w:val="17"/>
                <w:szCs w:val="17"/>
                <w:color w:val="auto"/>
                <w:vertAlign w:val="superscript"/>
              </w:rPr>
              <w:t>2</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52</w:t>
            </w:r>
          </w:p>
        </w:tc>
      </w:tr>
      <w:tr>
        <w:trPr>
          <w:trHeight w:val="621"/>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Krisztina Doroghazi</w:t>
            </w:r>
            <w:r>
              <w:rPr>
                <w:rFonts w:ascii="Arial" w:cs="Arial" w:eastAsia="Arial" w:hAnsi="Arial"/>
                <w:sz w:val="17"/>
                <w:szCs w:val="17"/>
                <w:color w:val="auto"/>
                <w:vertAlign w:val="superscript"/>
              </w:rPr>
              <w:t>3</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47</w:t>
            </w:r>
          </w:p>
        </w:tc>
      </w:tr>
      <w:tr>
        <w:trPr>
          <w:trHeight w:val="338"/>
        </w:trPr>
        <w:tc>
          <w:tcPr>
            <w:tcW w:w="2160" w:type="dxa"/>
            <w:vAlign w:val="bottom"/>
          </w:tcPr>
          <w:p>
            <w:pPr>
              <w:spacing w:after="0"/>
              <w:rPr>
                <w:sz w:val="20"/>
                <w:szCs w:val="20"/>
                <w:color w:val="auto"/>
              </w:rPr>
            </w:pPr>
            <w:r>
              <w:rPr>
                <w:rFonts w:ascii="Arial" w:cs="Arial" w:eastAsia="Arial" w:hAnsi="Arial"/>
                <w:sz w:val="18"/>
                <w:szCs w:val="18"/>
                <w:color w:val="auto"/>
              </w:rPr>
              <w:t>__________________</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Position and Business Experience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26035</wp:posOffset>
            </wp:positionV>
            <wp:extent cx="724662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Executive Chairman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Chairman and Chief Executive Officer of Technip (2007)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 of FMC Technologies (2016)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Operating Officer of FMC Technologies (2015)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 Chief Operating Officer of FMC Technologies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31750</wp:posOffset>
            </wp:positionV>
            <wp:extent cx="724662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 Chief Financial Officer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 Chief Financial Officer for FMC Technologies (2014)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 for FMC Technologies (2011)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Chief Legal Officer and Secretary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General Counsel, and Secretary of FMC Technologies, Inc. (2015)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General Counsel, and Secretary of Weatherford International plc (2014)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Deputy General Counsel—Corporate of Schlumberger Limited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31750</wp:posOffset>
            </wp:positionV>
            <wp:extent cx="7246620"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 Chief Technology Officer (2018)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President—Valves &amp; Measurement for Schlumberger Limited (2018)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President—Marketing &amp; Technology for Schlumberger Limited (2016)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President—Marketing &amp; Chief Technology Officer for Cameron International Corporation (2015)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President—Marketing &amp; Technology for OneSubsea (2013)</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President—People and Culture (2018)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HR Director—Production Group for Schlumberger Limited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Talent Manager and Workforce Planning Manager for Schlumberger Limited (2015)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M-I SWACO HR Manager for Schlumberger Limited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31750</wp:posOffset>
            </wp:positionV>
            <wp:extent cx="7246620"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President—Subsea (2018)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President—People and Culture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President—Asia-Pacific Region of Technip (2016)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Chief Operating Officer, Subsea—Asia-Pacific Region of Technip (2014)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Subsea Projects—North America Region of Technip (2011)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President—Surface Technologies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President—Surface Technologies of FMC Technologies (2015)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General Manager—Surface Integrated Services of FMC Technologies (2013)</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General Manager—Fluid Control of FMC Technologies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31750</wp:posOffset>
            </wp:positionV>
            <wp:extent cx="724662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President—Engineering, Manufacturing and Supply Chain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President—Subsea Services of FMC Technologies (2015)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General Manager—Subsea Systems Western Region of FMC Technologies (2012)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President—Onshore/Offshore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President—Onshore/Offshore of Technip (2014)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President—Onshore/Offshore of Technip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31750</wp:posOffset>
            </wp:positionV>
            <wp:extent cx="724662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Corporate Engagement (2018)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Corporate Communications (2017)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Communications and CEO Office of Technip (2014)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Communications of Technip (2010)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Controller, and Chief Accounting Officer (2018)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Financing Planning and Reporting of MOL Group (2015)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Regional Chief Financial Officer of MOL Group (2012)</w:t>
      </w:r>
    </w:p>
    <w:p>
      <w:pPr>
        <w:spacing w:after="0" w:line="550" w:lineRule="exact"/>
        <w:rPr>
          <w:sz w:val="20"/>
          <w:szCs w:val="20"/>
          <w:color w:val="auto"/>
        </w:rPr>
      </w:pPr>
    </w:p>
    <w:p>
      <w:pPr>
        <w:sectPr>
          <w:pgSz w:w="11900" w:h="16838" w:orient="portrait"/>
          <w:cols w:equalWidth="0" w:num="2">
            <w:col w:w="2760" w:space="140"/>
            <w:col w:w="8220"/>
          </w:cols>
          <w:pgMar w:left="240" w:top="576" w:right="539" w:bottom="1440" w:gutter="0" w:footer="0" w:header="0"/>
          <w:type w:val="continuous"/>
        </w:sectPr>
      </w:pPr>
    </w:p>
    <w:p>
      <w:pPr>
        <w:ind w:left="80" w:hanging="72"/>
        <w:spacing w:after="0"/>
        <w:tabs>
          <w:tab w:leader="none" w:pos="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Member of the Executive Leadership Team and a Rule 3b-7 executive officer and Section 16 officer under the Exchange Act</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Member of the Executive Leadership Team</w:t>
      </w: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4"/>
          <w:szCs w:val="14"/>
          <w:color w:val="auto"/>
        </w:rPr>
        <w:t xml:space="preserve"> Section 16 officer under the Exchange Act</w:t>
      </w:r>
    </w:p>
    <w:p>
      <w:pPr>
        <w:spacing w:after="0" w:line="36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240" w:top="576" w:right="539" w:bottom="1440" w:gutter="0" w:footer="0" w:header="0"/>
          <w:type w:val="continuous"/>
        </w:sectPr>
      </w:pPr>
    </w:p>
    <w:bookmarkStart w:id="19" w:name="page20"/>
    <w:bookmarkEnd w:id="19"/>
    <w:p>
      <w:pPr>
        <w:spacing w:after="0" w:line="254" w:lineRule="auto"/>
        <w:rPr>
          <w:sz w:val="20"/>
          <w:szCs w:val="20"/>
          <w:color w:val="auto"/>
        </w:rPr>
      </w:pPr>
      <w:r>
        <w:rPr>
          <w:rFonts w:ascii="Arial" w:cs="Arial" w:eastAsia="Arial" w:hAnsi="Arial"/>
          <w:sz w:val="18"/>
          <w:szCs w:val="18"/>
          <w:color w:val="auto"/>
        </w:rPr>
        <w:t>No family relationships exist among any of the above-listed officers, and there are no arrangements or understandings between any of the above-listed officers and any other person pursuant to which they serve as an officer. During the past 10 years, none of the above-listed officers was involved in any legal proceedings as defined in Item 401(f) of Regulation S-K. All officers are appointed by the Board of Directors to hold office until their successors are appointed.</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598"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Important risk factors that could impact our ability to achieve our anticipated operating results and growth plan goals are presented below. The following risk factors should be read in conjunction with discussions of our business and the factors affecting our business located elsewhere in this Annual Report on Form 10-K and in our other filings with the SEC.</w:t>
      </w:r>
    </w:p>
    <w:p>
      <w:pPr>
        <w:spacing w:after="0" w:line="12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operate in a highly competitive environment and unanticipated changes relating to competitive factors in our industry, including ongoing industry consolidation, may impact our results of operations.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compete on the basis of a number of different factors, such as product offerings, project execution, customer service, and price. In order to compete effectively we must develop and implement innovative technologies and processes, and execute our clients’ projects effectively. We can give no assurances that we will continue to be able to compete effectively with the products and services or prices offered by our competitors.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industry, including our customers and competitors, has experienced unanticipated changes in recent years. Moreover, the industry is undergoing vertical and horizontal consolidation to create economies of scale and control the value chain, which may affect demand for our products and services because of price concessions for our competitors or decreased customer capital spending. This consolidation activity could impact our ability to maintain market share, maintain or increase pricing for our products and services or negotiate favorable contract terms with our customers and suppliers, which could have a significant negative impact on our results of operations, financial condition or cash flows. We are unable to predict what effect consolidations and other competitive factors in the industry may have on prices, capital spending by our customers, our selling strategies, our competitive position, our ability to retain customers or our ability to negotiate favorable agreements with our customers.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Demand for our products and services depends on oil and gas industry activity and expenditure levels, which are directly affected by trends in the demand for and price of crude oil and natural gas.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substantially dependent on conditions in the oil and gas industry, including (i) the level of exploration, development and production activity, (ii) capital spending, and (iii) the processing of oil and natural gas in refining units, petrochemical sites, and natural gas liquefaction plants by energy companies that are our customers.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 and are likely to continue to be volatile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prices of oil and natural gas include, but are not limited to, the following:</w:t>
      </w:r>
    </w:p>
    <w:p>
      <w:pPr>
        <w:spacing w:after="0" w:line="171" w:lineRule="exact"/>
        <w:rPr>
          <w:sz w:val="20"/>
          <w:szCs w:val="20"/>
          <w:color w:val="auto"/>
        </w:rPr>
      </w:pPr>
    </w:p>
    <w:p>
      <w:pPr>
        <w:ind w:left="340" w:right="140" w:hanging="332"/>
        <w:spacing w:after="0" w:line="26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hydrocarbons, which is affected by worldwide population growth, economic growth rates, and general economic and business conditions;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exploring for, producing, and delivering oil and natural gas;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policies and subsidies related to the production, use, and exportation/importation of oil and natural gas;</w:t>
      </w:r>
    </w:p>
    <w:p>
      <w:pPr>
        <w:spacing w:after="0" w:line="171" w:lineRule="exact"/>
        <w:rPr>
          <w:rFonts w:ascii="Arial" w:cs="Arial" w:eastAsia="Arial" w:hAnsi="Arial"/>
          <w:sz w:val="18"/>
          <w:szCs w:val="18"/>
          <w:color w:val="auto"/>
        </w:rPr>
      </w:pPr>
    </w:p>
    <w:p>
      <w:pPr>
        <w:ind w:left="340" w:right="140" w:hanging="332"/>
        <w:spacing w:after="0" w:line="26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available excess production capacity within the Organization of Petroleum Exporting Countries (“OPEC”) and the level of oil production by non-OPEC countries;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 refining and transportation capacity and shifts in end-customer preferences toward fuel efficiency and the use of natural gas;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171" w:lineRule="exact"/>
        <w:rPr>
          <w:rFonts w:ascii="Arial" w:cs="Arial" w:eastAsia="Arial" w:hAnsi="Arial"/>
          <w:sz w:val="18"/>
          <w:szCs w:val="18"/>
          <w:color w:val="auto"/>
        </w:rPr>
      </w:pPr>
    </w:p>
    <w:p>
      <w:pPr>
        <w:ind w:left="340" w:right="480" w:hanging="332"/>
        <w:spacing w:after="0" w:line="26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exploitation, and relative price, and availability of alternative sources of energy and our customers’ shift of capital to the development of these sources;</w:t>
      </w:r>
    </w:p>
    <w:p>
      <w:pPr>
        <w:spacing w:after="0" w:line="142" w:lineRule="exact"/>
        <w:rPr>
          <w:rFonts w:ascii="Arial" w:cs="Arial" w:eastAsia="Arial" w:hAnsi="Arial"/>
          <w:sz w:val="18"/>
          <w:szCs w:val="18"/>
          <w:color w:val="auto"/>
        </w:rPr>
      </w:pPr>
    </w:p>
    <w:p>
      <w:pPr>
        <w:ind w:left="340" w:right="260" w:hanging="332"/>
        <w:spacing w:after="0" w:line="26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in, and access to, capital and credit markets, which may affect our customers’ activity levels, and spending for our products and services; and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76" w:right="259" w:bottom="1440" w:gutter="0" w:footer="0" w:header="0"/>
        </w:sectPr>
      </w:pPr>
    </w:p>
    <w:bookmarkStart w:id="21" w:name="page22"/>
    <w:bookmarkEnd w:id="21"/>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While oil and natural gas prices have recently started to rebound from the downturn that began in 2014, the market remains quite volatile and the sustainability of the price recovery and business activity levels is dependent on variables beyond our control, such as geopolitical stability, OPEC’s actions to regulate its production capacity, changes in demand patterns, and international sanctions and tariffs. Continued volatility or any future reduction in demand for oilfield services and could further adversely affect our financial condition,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develop, implement, and protect new technologies and services.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on the ongoing development and implementation of new product designs, including the processes used by us to produce and market our products, and on our ability to protect and maintain critical intellectual property assets related to these developments. If we are not able to obtain patent, trade secret or other protection of our intellectual property rights, if our patents are unenforceable or the claims allowed under our patents are not sufficient to protect our technology, or if we are not able to adequately protect our patents or trade secrets, we may not be able to continue to develop our services, products and related technologies. Additionally, our competitors may be able to independently develop technology that is similar to ours without infringing on our patents or gaining access to our trade secrets. If any of these events occurs, we may be unable to meet evolving industry requirements or do so at prices acceptable to our customers, which could adversely affect our financial condition, results of operations, and cash flows.</w:t>
      </w:r>
    </w:p>
    <w:p>
      <w:pPr>
        <w:spacing w:after="0" w:line="130"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i w:val="1"/>
          <w:iCs w:val="1"/>
          <w:color w:val="auto"/>
        </w:rPr>
        <w:t>The industries in which we operate or have operated expose us to potential liabilities, including the installation or use of our products, which may not be covered by insurance or may be in excess of policy limits, or for which expected recoveries may not be realized.</w:t>
      </w:r>
    </w:p>
    <w:p>
      <w:pPr>
        <w:spacing w:after="0" w:line="13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subject to potential liabilities arising from, among other possibilities, equipment malfunctions, equipment misuse, personal injuries, and natural disasters, any of which may result in hazardous situations, including uncontrollable flows of gas or well fluids, fires, and explosions. Although we have obtained insurance against many of these risks, our insurance may not be adequate to cover our liabilities. Further, the insurance may not generally be available in the future or, if available, premiums may not be commercially justifiable. If we incur substantial liability and the damages are not covered by insurance or are in excess of policy limits, or if we were to incur liability at a time when we are not able to obtain liability insurance, such potential liabilities could have a material adverse effect on our business, results of operations, financial condition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money on fixed-price contracts.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customary for some of our projects, we often agree to provide products and services under fixed-price contracts. We are subject to material risks in connection with such fixed-price contracts. It is not possible to estimate with complete certainty the final cost or margin of a project at the time of bidding or during the early phases of its execution. Actual expenses incurred in executing these fixed-price contracts can vary substantially from those originally anticipated for several reasons including, but not limited to, the following:</w:t>
      </w:r>
    </w:p>
    <w:p>
      <w:pPr>
        <w:spacing w:after="0" w:line="177" w:lineRule="exact"/>
        <w:rPr>
          <w:sz w:val="20"/>
          <w:szCs w:val="20"/>
          <w:color w:val="auto"/>
        </w:rPr>
      </w:pPr>
    </w:p>
    <w:p>
      <w:pPr>
        <w:ind w:right="300" w:firstLine="8"/>
        <w:spacing w:after="0" w:line="309" w:lineRule="auto"/>
        <w:tabs>
          <w:tab w:leader="none" w:pos="3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additional costs related to the purchase of substantial equipment necessary for contract fulfillment or labor shortages in the markets for where the contracts are performed;</w:t>
      </w:r>
    </w:p>
    <w:p>
      <w:pPr>
        <w:spacing w:after="0" w:line="11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mechanical failure of our production equipment and machinery;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caused by local weather conditions and/or natural disasters (including earthquakes and floods);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failure of suppliers, subcontractors, or joint venture partners to perform their contractual obligations.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realization of any material risks and unforeseen circumstances could also lead to delays in the execution schedule of a project. We may be held liable to a customer should we fail to meet project milestones or deadlines or to comply with other contractual provisions. Additionally, delays in certain projects could lead to delays in subsequent projects for which production equipment and machinery currently being utilized on a project were intended.</w:t>
      </w:r>
    </w:p>
    <w:p>
      <w:pPr>
        <w:spacing w:after="0" w:line="150"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Pursuant to the terms of fixed-price contracts, we are not always able to increase the price of the contract to reflect factors that were unforeseen at the time its bid was submitted, and this risk may be heightened for projects with</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98" w:right="259" w:bottom="1440" w:gutter="0" w:footer="0" w:header="0"/>
        </w:sectPr>
      </w:pPr>
    </w:p>
    <w:bookmarkStart w:id="22" w:name="page23"/>
    <w:bookmarkEnd w:id="22"/>
    <w:p>
      <w:pPr>
        <w:ind w:right="20"/>
        <w:spacing w:after="0" w:line="262" w:lineRule="auto"/>
        <w:rPr>
          <w:sz w:val="20"/>
          <w:szCs w:val="20"/>
          <w:color w:val="auto"/>
        </w:rPr>
      </w:pPr>
      <w:r>
        <w:rPr>
          <w:rFonts w:ascii="Arial" w:cs="Arial" w:eastAsia="Arial" w:hAnsi="Arial"/>
          <w:sz w:val="18"/>
          <w:szCs w:val="18"/>
          <w:color w:val="auto"/>
        </w:rPr>
        <w:t>longer terms. Depending on the size of a project, variations from estimated contract performance, or variations in multiple contracts, could have a significant impact on our financial condition, results of operations or cash flows.</w:t>
      </w:r>
    </w:p>
    <w:p>
      <w:pPr>
        <w:spacing w:after="0" w:line="12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New capital asset construction projects for vessels and manufacturing facilities are subject to risks, including delays and cost overruns, which could have a material adverse effect on our financial condition, or results of operations.</w:t>
      </w:r>
    </w:p>
    <w:p>
      <w:pPr>
        <w:spacing w:after="0" w:line="12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regularly carry out capital asset construction projects to maintain, upgrade, and develop our asset base, and such projects are subject to risks of delay and cost overruns that are inherent to any large construction project, and are the result of numerous factors including, but not limited to, the following:</w:t>
      </w:r>
    </w:p>
    <w:p>
      <w:pPr>
        <w:spacing w:after="0" w:line="14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unscheduled delays in the delivery or ordered materials and equipment;</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and engineering issues;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shipyard delays and performance issues.</w:t>
      </w:r>
    </w:p>
    <w:p>
      <w:pPr>
        <w:spacing w:after="0" w:line="17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Failure to complete construction in time, or the inability to complete construction in accordance with its design specifications, may result in loss of revenue. Additionally, capital expenditures for construction projects could materially exceed the initially planned investments or can result in delays in putting such assets into operation.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timely deliver our backlog could affect future sales, profitability, and relationships with our customers.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Many of the contracts we enter into with our customers require long manufacturing lead times due to complex technical and logistical requirements. These contracts may contain clauses related to liquidated damages or financial incentives regarding on-time delivery, and a failure by us to deliver in accordance with customer expectations could subject us to liquidated damages or loss of financial incentives, reduce our margins on these contracts, or result in damage to existing customer relationships. The ability to meet customer delivery schedules for this backlog is dependent upon a number of factors, including, but not limited to, access to the raw materials required for production, an adequately trained and capable workforce, subcontractor performance, project engineering expertise and execution, sufficient manufacturing plant capacity, and appropriate planning and scheduling of manufacturing resources. Failure to deliver backlog in accordance with expectations could negatively impact our financial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our reliance on subcontractors, suppliers, and our joint venture partners.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generally rely on subcontractors, suppliers, and our joint venture partners for the performance of our contracts. Although we are not dependent upon any single supplier, certain geographic areas of our business or a project or group of projects may depend heavily on certain suppliers for raw materials or semi-finished goods.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Any difficulty in engaging suitable subcontractors or acquiring equipment and materials could compromise our ability to generate a significant margin on a project or to complete such project within the allocated timeframe. If subcontractors, suppliers or joint venture partners refuse to adhere to their contractual obligations with us or are unable to do so due to a deterioration of their financial condition, we may be unable to find a suitable replacement at a comparable price, or at all. Moreover, the failure of one of our joint venture partners to perform their obligations in a timely and satisfactory manner could lead to additional obligations and costs being imposed on us as we may be obligated to assume our defaulting partner’s obligations or compensate our customers.</w:t>
      </w:r>
    </w:p>
    <w:p>
      <w:pPr>
        <w:spacing w:after="0" w:line="15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Any delay, failure to meet contractual obligations, or other event beyond our control or not foreseeable by us, that is attributable to a subcontractor, supplier or joint venture partner, could lead to delays in the overall progress of the project and/or generate significant extra costs. Even if we are entitled to make a claim for these extra costs against the defaulting supplier, subcontractor or joint venture partner, we may be unable to recover the entirety of these costs and this could materially adversely affect our business, financial condition or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dependent on the continuing services of certain of our key managers and employees.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depend on key personnel. The loss of any key personnel could adversely impact our business if we are unable to implement key strategies or transactions in their absence. The loss of qualified employees or failure to retain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8" w:right="239" w:bottom="1440" w:gutter="0" w:footer="0" w:header="0"/>
        </w:sectPr>
      </w:pPr>
    </w:p>
    <w:bookmarkStart w:id="23" w:name="page24"/>
    <w:bookmarkEnd w:id="23"/>
    <w:p>
      <w:pPr>
        <w:ind w:right="260"/>
        <w:spacing w:after="0" w:line="262" w:lineRule="auto"/>
        <w:rPr>
          <w:sz w:val="20"/>
          <w:szCs w:val="20"/>
          <w:color w:val="auto"/>
        </w:rPr>
      </w:pPr>
      <w:r>
        <w:rPr>
          <w:rFonts w:ascii="Arial" w:cs="Arial" w:eastAsia="Arial" w:hAnsi="Arial"/>
          <w:sz w:val="18"/>
          <w:szCs w:val="18"/>
          <w:color w:val="auto"/>
        </w:rPr>
        <w:t>motivate additional highly-skilled employees required for the operation and expansion of our business could hinder our ability to successfully conduct research activities and develop marketable products and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Pirates endanger our maritime employees and assets.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face material piracy risks in the Gulf of Guinea, the Somali Basin, and the Gulf of Aden, and, to a lesser extent, in Southeast Asia, Malacca, and the Singapore Straits. Piracy represents a risk for both our projects and our vessels, which operate and transport through sensitive maritime areas. Such risks have the potential to significantly harm our crews and to negatively impact the execution schedule for our projects. If our maritime employees or assets are endangered, additional time may be required to find an alternative solution, which may delay project realization and negatively impact our business, financial condition,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weather conditions could adversely affect demand for our services and operations.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business may be materially affected by variation from normal weather patterns, such as cooler or warmer summers and winters. Adverse weather conditions, such as hurricanes in the Gulf of Mexico or extreme winter conditions in Canada, Russia, and the North Sea, may interrupt or curtail our operations, or our customers’ operations, cause supply disruptions or loss of productivity, and may result in a loss of revenue or damage to our equipment and facilities, which may or may not be insured. Any of these events or outcomes could have a material adverse effect on our business, financial condition, cash flows, and results of operations.</w:t>
      </w:r>
    </w:p>
    <w:p>
      <w:pPr>
        <w:spacing w:after="0" w:line="13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Due to the types of contracts we enter into and the markets in which we operate, the cumulative loss of several major contracts, customers, or alliances may have an adverse effect on our results of operations.</w:t>
      </w:r>
    </w:p>
    <w:p>
      <w:pPr>
        <w:spacing w:after="0" w:line="1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often enter into large, long-term contracts that, collectively, represent a significant portion of our revenue. These agreements, if terminated or breached, may have a larger impact on our operating results or our financial condition than shorter-term contracts due to the value at risk. Moreover, the global market for the production, transportation, and transformation of hydrocarbons and by-products, as well as the other industrial markets in which we operate, is dominated by a small number of companies. As a result, our business relies on a limited number of customers. If we were to lose several key contracts, customers, or alliances over a relatively short period of time, we could experience a significant adverse impact on our financial condition, results of operations, or cash flows.</w:t>
      </w:r>
    </w:p>
    <w:p>
      <w:pPr>
        <w:spacing w:after="0" w:line="13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Our operations require us to comply with numerous regulations, violations of which could have a material adverse effect on our financial condition, results of operations, or cash flows.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operations and manufacturing activities are governed by international, regional, transnational, and national laws and regulations in every place where we operate relating to matters such as environmental protection, health and safety, labor and employment, import/export controls, currency exchange, bribery and corruption, and taxation. These laws and regulations are complex, frequently change, and have tended to become more stringent over time. In the event the scope of these laws and regulations expand in the future, the incremental cost of compliance could adversely impact our financial condition, results of operations, or cash flows.</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international operations are subject to anti-corruption laws and regulations, such as the U.S. Foreign Corrupt Practices Act (“FCPA”), the U.K. Bribery Act of 2010 (the “Bribery Act”), the anti-corruption provisions of French law n° 2016-1691 dated December 9, 2016 relating to Transparency, Anti-corruption and Modernization of the Business Practice (“Sapin II Law”), the Brazilian Anti-Bribery Act (also known as the Brazilian Clean Company Act), and economic and trade sanctions, including those administered by the United Nations, the European Union, the Office of Foreign Assets Control of the U.S. Department of the Treasury (“U.S. Treasury”), and the U.S. Department of State. The FCPA prohibits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our transactions or dealings with certain sanctioned countries, territories, and designated persons.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doing business in foreign countries, including through partners and agents, we are exposed to a risk of violating anti-corruption laws and sanctions regulations. Some of the international locations in which we currently or may, in the future, operate, have developing legal systems and may have higher levels of corruption than more developed nations. Our continued expansion and worldwide operations, including in developing countries, our development of joint venture relationships worldwide, and the employment of local agents in the countries in which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98" w:right="259" w:bottom="1440" w:gutter="0" w:footer="0" w:header="0"/>
        </w:sectPr>
      </w:pPr>
    </w:p>
    <w:bookmarkStart w:id="24" w:name="page25"/>
    <w:bookmarkEnd w:id="24"/>
    <w:p>
      <w:pPr>
        <w:ind w:right="260"/>
        <w:spacing w:after="0" w:line="253" w:lineRule="auto"/>
        <w:rPr>
          <w:sz w:val="20"/>
          <w:szCs w:val="20"/>
          <w:color w:val="auto"/>
        </w:rPr>
      </w:pPr>
      <w:r>
        <w:rPr>
          <w:rFonts w:ascii="Arial" w:cs="Arial" w:eastAsia="Arial" w:hAnsi="Arial"/>
          <w:sz w:val="18"/>
          <w:szCs w:val="18"/>
          <w:color w:val="auto"/>
        </w:rPr>
        <w:t>we operate increases the risk of violations of anti-corruption laws and economic and trade sanctions. Violations of anti-corruption laws and economic and trade sanctions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implemented internal controls designed to minimize and detect potential violations of laws and regulations in a timely manner but we can provide no assurance that such policies and procedures will be followed at all times or will effectively detect and prevent violations of the applicable laws by one or more of our employees, consultants, agents, or partners. The occurrence of any such violation could subject us to penalties and material adverse consequences on our business, financial condition, or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environmental laws and regulations may adversely affect our business and results of operations.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Environmental laws and regulations in various countries affect the equipment, systems, and services we design, market, and sell, as well as the facilities where we manufacture our equipment and systems, and any other operations we undertake.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the issuance of orders enjoining our operations, or other claims. These laws and regulations, as well as the adoption of new legal requirements or other laws and regulations affecting exploration and development of drilling for crude oil and natural gas, are becoming increasingly strict and could adversely affect our business and operating results by increasing our costs, limiting the demand for our products and services, or restricting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or future laws and regulations relating to greenhouse gas emissions and climate change may adversely affect our business.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Existing or future laws concerning the release of greenhouse gas emissions or that concern climate change (including laws and regulations that seek to mitigate the effects of climate change) may adversely impact demand for the equipment, systems and services we design, market and sell. For example, oil and natural gas exploration and production may decline as a result of such laws and regulations and as a consequence demand for our equipment, systems and services may also decline. In addition, such laws and regulations may also result in more onerous obligations with respect to our operations, including the facilities where we manufacture our equipment and systems. Such decline in demand for our equipment, systems and services and such onerous obligations in respect of our operations may adversely affect our financial condition, results of operations and cash flows.</w:t>
      </w:r>
    </w:p>
    <w:p>
      <w:pPr>
        <w:spacing w:after="0" w:line="13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Disruptions in the political, regulatory, economic, and social conditions of the countries in which we conduct business could adversely affect our business or results of operations.</w:t>
      </w:r>
    </w:p>
    <w:p>
      <w:pPr>
        <w:spacing w:after="0" w:line="12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operate in various countries across the world. Instability and unforeseen changes in any of the markets in which we conduct business, including economically and politically volatile areas could have an adverse effect on the demand for our services and products, our financial condition, or our results of operations. These factors include, but are not limited to, the following:</w:t>
      </w:r>
    </w:p>
    <w:p>
      <w:pPr>
        <w:spacing w:after="0" w:line="14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burdensome taxation;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inflationary and recessionary markets, including capital and equity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civil unrest, labor issues, political instability, terrorist attacks, cyber-terrorism, military activity, and wars;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disruptions in key oil producing countries;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OPEC to set and maintain production levels and pricing;</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restrictions, trade protection measures, price controls, or trade disputes;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98" w:right="259" w:bottom="1440" w:gutter="0" w:footer="0" w:header="0"/>
        </w:sectPr>
      </w:pPr>
    </w:p>
    <w:bookmarkStart w:id="25" w:name="page26"/>
    <w:bookmarkEnd w:id="25"/>
    <w:p>
      <w:pPr>
        <w:ind w:left="340" w:right="46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sanctions, such as prohibitions or restrictions by the United States against countries that are the targets of economic sanctions, or are designated as state sponsors of terrorism;</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71" w:lineRule="exact"/>
        <w:rPr>
          <w:rFonts w:ascii="Arial" w:cs="Arial" w:eastAsia="Arial" w:hAnsi="Arial"/>
          <w:sz w:val="18"/>
          <w:szCs w:val="18"/>
          <w:color w:val="auto"/>
        </w:rPr>
      </w:pPr>
    </w:p>
    <w:p>
      <w:pPr>
        <w:ind w:left="340" w:right="78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operations, trade practices, trade partners, and investment decisions resulting from domestic and foreign laws, and regulations;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regime changes;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and the administration of, treaties, laws, and regulations;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repatriate income or capital;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in the availability of qualified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fluctuations or currency restrictions;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interest rate component of forward foreign currency rates.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and Euroclear Paris may cease to act as depository and clearing agencies for our shares.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shares were issued into the facilities of The Depository Trust Company (“DTC”) with respect to shares listed on the NYSE and Euroclear with respect to shares listed on Euronext Paris (DTC and Euroclear being referred to as the “Clearance Services”). The Clearance Services are widely used mechanisms that allow for rapid electronic transfers of securities between the participants in their respective systems, which include many large banks and brokerage firms. The Clearance Services have general discretion to cease to act as a depository and clearing agencies for our shares. If either of the Clearance Services determine at any time that our shares are not eligible for continued deposit and clearance within its facilities, then we believe that our shares would not be eligible for continued listing on the NYSE or Euronext Paris, as applicable, and trading in our shares would be disrupted. Any such disruption could have a material adverse effect on the trading price of our shares.</w:t>
      </w:r>
    </w:p>
    <w:p>
      <w:pPr>
        <w:spacing w:after="0" w:line="13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The United Kingdom’s proposed withdrawal from the European Union may have a negative effect on global economic conditions, financial markets, and our business.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based in the United Kingdom and have operational headquarters in Paris, France; Houston, Texas, United States; and in London, United Kingdom, with worldwide operations, including material business operations in Europe. In June 2016, a majority of voters in the United Kingdom elected to withdraw from the European Union in a national referendum (“Brexit”). The referendum was advisory, and the United Kingdom government served notice under Article 50 of the Treaty of the European Union in March 2017 to formally initiate a withdrawal process. The United Kingdom and the European Union have had a two-year period under Article 50 to negotiate the terms for the United Kingdom’s withdrawal from the European Union. The withdrawal agreement and political declaration that were endorsed at a special meeting of the European Council on November 25, 2018 did not receive the approval of the United Kingdom Parliament in January 2019. Further discussions are ongoing, although the European Commission has stated that the European Union will not reopen the withdrawal agreement. Any extension of the negotiation period for withdrawal will require the consent of the remaining 27 member states of the European Union. Brexit has created significant uncertainty about the future relationship between the United Kingdom and the European Union and has given rise to calls for certain regions within the United Kingdom to preserve their place in the European Union by separating from the United Kingdom.</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These developments, or the perception that any of them could occur,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applicable future laws, regulations, or treaties as the United Kingdom negotiates the terms of a withdrawal, as well as the operation of any such rules pursuant to any withdrawal terms,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further decrease foreign direct investment in the United Kingdom. For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8" w:right="239" w:bottom="1440" w:gutter="0" w:footer="0" w:header="0"/>
        </w:sectPr>
      </w:pPr>
    </w:p>
    <w:bookmarkStart w:id="26" w:name="page27"/>
    <w:bookmarkEnd w:id="26"/>
    <w:p>
      <w:pPr>
        <w:jc w:val="both"/>
        <w:ind w:right="300"/>
        <w:spacing w:after="0" w:line="256" w:lineRule="auto"/>
        <w:rPr>
          <w:sz w:val="20"/>
          <w:szCs w:val="20"/>
          <w:color w:val="auto"/>
        </w:rPr>
      </w:pPr>
      <w:r>
        <w:rPr>
          <w:rFonts w:ascii="Arial" w:cs="Arial" w:eastAsia="Arial" w:hAnsi="Arial"/>
          <w:sz w:val="18"/>
          <w:szCs w:val="18"/>
          <w:color w:val="auto"/>
        </w:rPr>
        <w:t>example, withdrawal from the European Union could, depending on the negotiated terms of such withdrawal, eliminate the benefit of certain tax-related E.U. directives currently applicable to U.K. companies such as us, including the Parent-Subsidiary Directive and the Interest and Royalties Directive, which could, subject to any relief under an available tax treaty, raise our tax costs.</w:t>
      </w:r>
    </w:p>
    <w:p>
      <w:pPr>
        <w:spacing w:after="0" w:line="14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If the United Kingdom and the European Union are unable to negotiate mutually acceptable withdrawal terms or if other E.U. member states pursue withdrawal, barrier-free access between the United Kingdom and other E.U. member states or within the European Economic Area overall could be diminished or eliminated. Any of these factors could have a material adverse effect on our business, financial condition, and results of operations.</w:t>
      </w:r>
    </w:p>
    <w:p>
      <w:pPr>
        <w:spacing w:after="0" w:line="12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As an English public limited company, we must meet certain additional financial requirements before we may declare dividends or repurchase shares and certain capital structure decisions may require stockholder approval which may limit our flexibility to manage our capital structure. We may not be able to pay dividends or repurchase shares of our ordinary shares in accordance with our announced intent, or at all.</w:t>
      </w:r>
    </w:p>
    <w:p>
      <w:pPr>
        <w:spacing w:after="0" w:line="14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as a public limited company incorporated in England and Wales, we may only make a distribution if the amount of our net assets is not less than the aggregate of our called-up share capital and non-distributable reserves and to the extent that the distribution does not reduce the amount of those assets to less than that aggregate.</w:t>
      </w:r>
    </w:p>
    <w:p>
      <w:pPr>
        <w:spacing w:after="0" w:line="15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Following the Merger, we implemented a court-approved reduction of our capital, which was completed on June 29, 2017, in order to create distributable profits to support the payment of possible future dividends or future share repurchases. Our articles of association permit us by ordinary resolution of the stockholders to declare dividends, provided that the directors have made a recommendation as to its amount. The dividend shall not exceed the amount recommended by the Board of Directors. The directors may also decide to pay interim dividends if it appears to them that the profits available for distribution justify the payment. When recommending or declaring payment of a dividend, the directors are required under English law to comply with their duties, including considering our future financial requirements.</w:t>
      </w:r>
    </w:p>
    <w:p>
      <w:pPr>
        <w:spacing w:after="0" w:line="15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the Board of Directors’ determinations regarding dividends and share repurchases will depend on a variety of other factors, including our net income, cash flow generated from operations or other sources, liquidity position, and potential alternative uses of cash, such as acquisitions, as well as economic conditions and expected future financial results. Our ability to declare and pay future dividends and make future share repurchases will depend on our future financial performance, which in turn depends on the successful implementation of our strategy and on financial, competitive, regulatory, technical, and other factors, general economic conditions, demand and selling prices for our products and services, and other factors specific to our industry or specific projects, many of which are beyond our control. Therefore, our ability to generate cash depends on the performance of our operations and could be limited by decreases in our profitability or increases in costs, regulatory changes, capital expenditures, or debt servicing requirements.</w:t>
      </w:r>
    </w:p>
    <w:p>
      <w:pPr>
        <w:spacing w:after="0" w:line="15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Any failure to pay dividends or repurchase shares of our ordinary shares could negatively impact our reputation, harm investor confidence in us, and cause the market price of our ordinary shares to decline.</w:t>
      </w:r>
    </w:p>
    <w:p>
      <w:pPr>
        <w:spacing w:after="0" w:line="12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substantial existing debt. As of December 31, 2018, after giving effect to the Merger, our total debt is $4.2 billion. We also have the capacity under our $2.5 billion credit facility, in addition to our bilateral facilities to incur substantial additional debt. Our level of debt could have important consequences. For example, it could:</w:t>
      </w:r>
    </w:p>
    <w:p>
      <w:pPr>
        <w:spacing w:after="0" w:line="14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171" w:lineRule="exact"/>
        <w:rPr>
          <w:rFonts w:ascii="Arial" w:cs="Arial" w:eastAsia="Arial" w:hAnsi="Arial"/>
          <w:sz w:val="18"/>
          <w:szCs w:val="18"/>
          <w:color w:val="auto"/>
        </w:rPr>
      </w:pPr>
    </w:p>
    <w:p>
      <w:pPr>
        <w:ind w:left="340" w:right="120" w:hanging="332"/>
        <w:spacing w:after="0" w:line="26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distributions, and other general partnership purposes;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98" w:right="259" w:bottom="1440" w:gutter="0" w:footer="0" w:header="0"/>
        </w:sectPr>
      </w:pPr>
    </w:p>
    <w:bookmarkStart w:id="27" w:name="page28"/>
    <w:bookmarkEnd w:id="27"/>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Additionally, any failure to meet required payments on our debt or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London Inter-bank Offered Rate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interest rates on our current or future debt obligations may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debt rating could restrict our ability to access the capital markets.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terms of our financing are, in part, dependent on the credit ratings assigned to our debt by independent credit rating agencies. We cannot provide assurance that any of our current credit ratings will remain in effect for any given period of time or that a rating will not be lowered or withdrawn entirely by a rating agency. Factors that may impact our credit ratings include debt levels, capital structure, planned asset purchases or sales, near- and long-term production growth opportunities, market position, liquidity, asset quality, cost structure, product mix, customer and geographic diversification, and commodity price levels. A downgrade in our credit ratings, particularly to non-investment grade levels, could limit our ability to access the debt capital markets or refinance our existing debt or cause us to refinance or issue debt with less favorable terms and conditions. Moreover, our revolving credit agreement includes an increase in interest rates if the ratings for our debt are downgraded, which could have an adverse effect on our results of operations. An increase in the level of our indebtedness and related interest costs may increase our vulnerability to adverse general economic and industry conditions and may affect our ability to obtain additional financing, as well as have a material adverse effect on our business, financial condition, and results of operations.</w:t>
      </w:r>
    </w:p>
    <w:p>
      <w:pPr>
        <w:spacing w:after="0" w:line="13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Uninsured claims and litigation against us, including intellectual property litigation, could adversely impact our financial condition, results of operations, or cash flows.</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could be impacted by the outcome of pending litigation, as well as unexpected litigation or proceedings. We have insurance coverage against operating hazards, including product liability claims and personal injury claims related to our products or operating environments in which our employees operate, to the extent deemed prudent by our management and to the extent insurance is available. However, our insurance policies are subject to exclusions, limitations, and other conditions and may not apply in all cases, for example where willful wrongdoing on our part is alleged. Additionally, the nature and amount of that insurance may not be sufficient to fully indemnify us against liabilities arising out of pending and future claims and litigation. Additionally, in individual circumstances, certain proceedings or cases may also lead to our formal or informal exclusion from tenders or the revocation or loss of business licenses or permits. Our financial condition, results of operations, or cash flows could be adversely affected by unexpected claims not covered by insurance.</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 tools, techniques, methodologies, programs, and components we use to provide our services may infringe upon the intellectual property rights of others. Infringement claims generally result in significant legal and other costs. The resolution of these claims could require us to enter into license agreements or develop alternative technologies. The development of these technologies or the payment of royalties under licenses from third parties, if available, would increase our costs. If a license were not available, or we are not able to develop alternative technologies, we might not be able to continue providing a particular service or product, which could adversely affect our financial condition, results of operations, or cash flows.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Currency exchange rate fluctuations could adversely affect our financial condition, results of operations, or cash flows.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conduct operations around the world in many different currencies. Because a significant portion of our revenue is denominated in currencies other than our reporting currency, the U.S. dollar, changes in exchange rates will produce fluctuations in our revenue, costs, and earnings, and may also affect the book value of our assets and liabilities and related equity. Although we do not hedge translation impacts on earnings, we do hedge transaction impacts on margins and earnings where the transaction is not in the functional currency of the business unit. Our efforts to minimize our currency exposure through such hedging transactions may not be successful depending on market and business conditions. Moreover, certain currencies in which the Company trades, specifically currencies in countries such as Angola and Nigeria, do not actively trade in the global foreign exchange markets and may subject us to increased foreign currency exposures. As a result, fluctuations in foreign currency exchange rates may adversely affect our financial condition,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Merger-related costs.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incurred and expect to incur additional non-recurring direct and indirect costs associated with the Merger. In addition to the costs and expenses associated with the consummation of the Merger, we are also integrating processes, policies, procedures, operations, technologies, and systems. While we have assumed that a certain level of expenses would be incurred relating to the Merger and continue to assess the magnitude of these costs, there are many factors beyond our control that could affect the total amount or the timing of the integration and implementation expenses. These costs and expenses could reduce the realization of efficiencies and strategic benefits we expect to achieve from the Merger, and the expected net benefit of the Merger may not be achieved in the near term or at all.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and divestiture activities involve substantial risks.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made and expect to continue to pursue acquisitions, dispositions, or other investments that may strategically fit our business and/or growth objectives. We cannot provide assurances that we will be able to locate suitable acquisitions, dispositions, or investments, or that we will be able to consummate any such transactions on terms and conditions acceptable to us. Even if we do successfully execute such transactions, they may not result in anticipated benefits, which could have a material adverse effect on our financial results. If we are unable to successfully integrate and develop acquired businesses, we could fail to achieve anticipated synergies and cost savings, including any expected increases in revenues and operating results. We may not be able to successfully cause a buyer of a divested business to assume the liabilities of that business or, even if such liabilities are assumed, we may have difficulties enforcing our rights, contractual or otherwise, against the buyer. We may invest in companies or businesses that fail, causing a loss of all or part of our investment. In addition, if we determine that an other-than-temporary decline in the fair value exists for a company in which we have invested, we may have to write down that investment to its fair value and recognize the related write-down as an investment loss.</w:t>
      </w:r>
    </w:p>
    <w:p>
      <w:pPr>
        <w:spacing w:after="0" w:line="136"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i w:val="1"/>
          <w:iCs w:val="1"/>
          <w:color w:val="auto"/>
        </w:rPr>
        <w:t>A failure of our IT infrastructure, including as a result of cyber attacks, could adversely impact our business and results of operations.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efficient operation of our business is dependent on our IT systems. Accordingly, we rely upon the capacity, reliability, and security of our IT hardware and software infrastructure and our ability to expand and update this infrastructure in response to changing needs. We have been subject to cyber attacks in the past, including phishing, malware, and ransomware, and although no such attack has had a material adverse effect on our business, this may not be the case with future attacks. Our systems may be vulnerable to damages from such attacks, as well as from natural disasters, failures in hardware or software, power fluctuations, unauthorized access to data and systems, loss or destruction of data (including confidential customer information), human error, and other similar disruptions, and we cannot give assurance that any security measures we have implemented or may in the future implement will be sufficient to identify and prevent or mitigate such disruptions.</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rely on third parties to support the operation of our IT hardware, software infrastructure, and cloud services, and in certain instances, utilize web-based and software-as-a-service applications. The security and privacy measures implemented by such third parties, as well as the measures implemented by any entities we acquire or with whom we do business, may not be sufficient to identify or prevent cyber attacks, and any such attacks may have a material adverse effect on our business. While our IT vendor agreements typically contain provisions that seek to eliminate or limit our exposure to liability for damages from a cyber-attack, we cannot ensure such provisions will withstand legal challenges or cover all or any such damages.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76" w:right="279" w:bottom="1440" w:gutter="0" w:footer="0" w:header="0"/>
        </w:sectPr>
      </w:pPr>
    </w:p>
    <w:bookmarkStart w:id="29" w:name="page30"/>
    <w:bookmarkEnd w:id="29"/>
    <w:p>
      <w:pPr>
        <w:spacing w:after="0" w:line="251" w:lineRule="auto"/>
        <w:rPr>
          <w:sz w:val="20"/>
          <w:szCs w:val="20"/>
          <w:color w:val="auto"/>
        </w:rPr>
      </w:pPr>
      <w:r>
        <w:rPr>
          <w:rFonts w:ascii="Arial" w:cs="Arial" w:eastAsia="Arial" w:hAnsi="Arial"/>
          <w:sz w:val="18"/>
          <w:szCs w:val="18"/>
          <w:color w:val="auto"/>
        </w:rPr>
        <w:t>Threats to our IT systems arise from numerous sources, not all of which are within our control, including fraud or malice on the part of third parties, accidental technological failure, electrical or telecommunication outages, failures of computer servers or other damage to our property or assets, outbreaks of hostilities, or terrorist acts. The failure of our IT systems or those of our vendors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 Our insurance coverage may not cover all of the costs and liabilities we incur as the result of any disruptions or security breaches, and if our business continuity and/or disaster recovery plans do not effectively and timely resolve issues resulting from a cyber-attack, we may suffer material adverse effects on our business.</w:t>
      </w:r>
    </w:p>
    <w:p>
      <w:pPr>
        <w:spacing w:after="0" w:line="13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subject to international data protection laws, such as the General Data Protection Regulation, or GDPR, in the European Economic Area. The GDPR imposes several stringent requirements for controllers and processors of personal data which have increased our obligations, including, for example, by requiring more robust disclosures to individuals, notifications, in some cases, of data breaches to regulators and data subjects, and a record of processing and other policies and procedures to be maintained to adhere to the accountability principle. In addition, we are subject to the GDPR’s rules on transferring personal data outside of the EEA (including to the United States), and some of these rules are currently being challenged in the courts. Failure to comply with the requirements of GDPR and the local laws implementing or supplementing the GDPR could result in fines of up to €20,000,000 or up to 4% of the total worldwide annual turnover of the preceding financial year, whichever is higher, as well as other administrative penalties. We are likely to be required to expend significant capital and other resources to ensure ongoing compliance with the GDPR and other applicable data protection legislation, and we may be required to put in place additional control mechanisms which could be onerous and adversely affect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cost savings, synergies, and other benefits expected from the Merger.</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combination of two independent companies is a complex, costly, and time-consuming process. As a result, we will be required to continue to devote management attention and resources to integrating the business practices and operations of Technip and FMC Technologies. The integration process may disrupt our businesses and, if ineffectively implemented, could preclude realization of the full benefits expected from the Merger. Our failure to meet the challenges involved in successfully integrating the operations of Technip and FMC Technologies or otherwise realize the anticipated benefits of the Merger could interrupt, and seriously harm the results of, our operations. In addition, the overall integration of Technip and FMC Technologies may result in unanticipated expenses, liabilities, competitive responses, loss of client relationships, diversion of management’s attention, or other problems, and such problems could, if material, cause our stock price to decline. The difficulties of combining the operations of Technip and FMC Technologies include, but are not limited to, the following:</w:t>
      </w:r>
    </w:p>
    <w:p>
      <w:pPr>
        <w:spacing w:after="0" w:line="15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aligning and executing our strategy;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integrating two unique business cultures,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8" w:right="239" w:bottom="1440" w:gutter="0" w:footer="0" w:header="0"/>
        </w:sectPr>
      </w:pPr>
    </w:p>
    <w:bookmarkStart w:id="30" w:name="page31"/>
    <w:bookmarkEnd w:id="30"/>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integrating IT, communications, and other systems;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our operations;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taking actions that may be required in connection with obtaining regulatory approvals.</w:t>
      </w:r>
    </w:p>
    <w:p>
      <w:pPr>
        <w:spacing w:after="0" w:line="171"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Many of these factors are at least partially outside our control and any one of them could result in increased costs, decreased revenue, and diversion of management’s time and energy, which could materially impact our business, financial condition, and results of operations. In addition, even if the operations of Technip and FMC Technologies are successfully integrated, we may not realize the full benefits of the Merger, including the synergies, cost savings, sales, or growth opportunities that we expect. These benefits may not be achieved within the anticipated time frame, or at all. As a result, the combination of Technip and FMC Technologies may not result in the realization of the full benefits expected from the Merger.</w:t>
      </w:r>
    </w:p>
    <w:p>
      <w:pPr>
        <w:spacing w:after="0" w:line="13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The IRS may not agree that we should be treated as a foreign corporation for U.S. federal tax purposes and may seek to impose an excise tax on gains recognized by certain individuals.</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Although we are incorporated in the United Kingdom, the U.S. Internal Revenue Service (the “IRS”) may assert that we should be treated as a U.S. “domestic” corporation (and, therefore, a U.S. tax resident) for U.S. federal income tax purposes pursuant to Section 7874 of the U.S. Internal Revenue Code of 1986, as amended (the “Code”). For U.S. federal income tax purposes, a corporation (i) is generally considered a “domestic” corporation (or U.S. tax resident) if it is organized in the United States or of any state or political subdivision therein, and (ii) is generally considered a “foreign” corporation (or non-U.S. tax resident) if it is not considered a domestic corporation. Because we are a U.K. incorporated entity, we would be considered a foreign corporation (and, therefore, a non-U.S. tax resident) under these rules. Section 7874 of the Code (“Section 7874”) provides an exception under which a foreign incorporated entity may, in certain circumstances, be treated as a domestic corporation for U.S. federal income tax purposes.</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believe this exception applies. However, the Section 7874 rules are complex and subject to detailed regulations, the application of which is uncertain in various respects. It is possible that the IRS will not agree with our position. Should the IRS successfully challenge our position, it is also possible that an excise tax under Section 4985 of the Code (the “Section 4985 Excise Tax”) may be assessed against certain “disqualified individuals” (including former officers and directors of FMC Technologies, Inc.) on certain stock-based compensation held thereby. We may, if we determine that it is appropriate, provide disqualified individuals with a payment with respect to the Section 4985 Excise Tax, so that, on a net after-tax basis, they would be in the same position as if no such Section 4985 Excise Tax had been applied.</w:t>
      </w:r>
    </w:p>
    <w:p>
      <w:pPr>
        <w:spacing w:after="0" w:line="1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addition, there can be no assurance that there will not be a change in law or interpretation, including with retroactive effect, that might cause us to be treated as a domestic corporation for U.S. federal income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laws and/or guidance could affect our ability to engage in certain acquisition strategies and certain internal restructurings.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Even if we are treated as a foreign corporation for U.S. federal income tax purposes, Section 7874, U.S. Treasury regulations, and other guidance promulgated thereunder may adversely affect our ability to engage in certain future acquisitions of U.S. businesses or to restructure the non-U.S. members of our group. These limitations, if applicable, may affect the tax efficiencies that otherwise might be achieved in such potential future transactions or restructurings.</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the IRS and the U.S. Treasury have issued final and temporary regulations providing that, even if we are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Although recent guidance from the U.S. Treasury proposes deferring certain documentation requirements that would otherwise be imposed with respect to covered debt instruments, and further indicates that these rules generally are the subject of continuing study and may be further materially modified, the current regulations may adversely affect our future effective tax rate and could also</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598" w:right="299" w:bottom="1440" w:gutter="0" w:footer="0" w:header="0"/>
        </w:sectPr>
      </w:pPr>
    </w:p>
    <w:bookmarkStart w:id="31" w:name="page32"/>
    <w:bookmarkEnd w:id="31"/>
    <w:p>
      <w:pPr>
        <w:ind w:right="600"/>
        <w:spacing w:after="0" w:line="262" w:lineRule="auto"/>
        <w:rPr>
          <w:sz w:val="20"/>
          <w:szCs w:val="20"/>
          <w:color w:val="auto"/>
        </w:rPr>
      </w:pPr>
      <w:r>
        <w:rPr>
          <w:rFonts w:ascii="Arial" w:cs="Arial" w:eastAsia="Arial" w:hAnsi="Arial"/>
          <w:sz w:val="18"/>
          <w:szCs w:val="18"/>
          <w:color w:val="auto"/>
        </w:rPr>
        <w:t>impact our ability to engage in future restructurings if such transactions cause an existing intercompany debt instrument to be treated as reissued for U.S. federal income tax purposes.</w:t>
      </w:r>
    </w:p>
    <w:p>
      <w:pPr>
        <w:spacing w:after="0" w:line="12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are subject to the tax laws of numerous jurisdictions; challenges to the interpretation of, or future changes to, such laws could adversely affect us.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and our subsidiaries are subject to tax laws and regulations in the United Kingdom, the United States, France, and numerous other jurisdictions in which we and our subsidiaries operate. These laws and regulations are inherently complex, and we are, and will continue to be, obligated to make judgments and interpretations about the application of these laws and regulations to our operations and businesses. The interpretation and application of these laws and regulations could be challenged by the relevant governmental authorities, which could result in administrative or judicial procedures, actions, or sanctions, which could be material.</w:t>
      </w:r>
    </w:p>
    <w:p>
      <w:pPr>
        <w:spacing w:after="0" w:line="1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the U.S. Congress, the U.K. Government, the European Union, the Organization for Economic Co-operation and Development (the “OECD”), and other government agencies in jurisdictions where we and our affiliates do business have had an extended focus on issues related to the taxation of multinational corporations. New tax initiatives, directives, and rules, such as the U.S. Tax Cuts and Jobs Act, the OECD’s Base Erosion and Profit Shifting initiative, and the European Union’s Anti-Tax Avoidance Directives, may increase our tax burden and require additional compliance-related expenditures. As a result, our financial condition, results of operations, or cash flows may be adversely affected. Further changes, including with retroactive effect, in the tax laws of the United States, the United Kingdom, the European Union, or other countries in which we and our affiliates do business could also adversely affect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tax treaties entered into between the United Kingdom and other countries.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operate in a manner such that we believe we are eligible for benefits under tax treaties between the United Kingdom and other countries. However, our ability to qualify for such benefits will depend on whether we are treated as a U.K. tax resident, the requirements contained in each treaty and applicable domestic laws, on the facts and circumstances surrounding our operations and management, and on the relevant interpretation of the tax authorities and courts. For example, because of the anticipated withdrawal of the United Kingdom from the European Union (“Brexit”), we may lose some or all of the benefits of tax treaties between the United States and the remaining members of the European Union, and face higher tax liabilities, which may be significant. Another example is the Multilateral Convention to Implement Tax Treaty Related Measures to Prevent Base Erosion and Profit Shifting (the “MLI”), which entered into force for participating jurisdictions on July 1, 2018. The MLI recommends that countries adopt a “limitation-on-benefit” rule and/or a “principle purposes test” rule with regards to their tax treaties. The scope and interpretation of these rules as adopted pursuant to the MLI are presently under development, but the application of either rule might deny us tax treaty benefits that were previously available.</w:t>
      </w:r>
    </w:p>
    <w:p>
      <w:pPr>
        <w:spacing w:after="0" w:line="15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failure by us or our subsidiaries to qualify for benefits under tax treaties entered into between the United Kingdom and other countries could result in adverse tax consequences to us (including an increased tax burden and increased filing obligations) and could result in certain tax consequences of owning and disposing of our shares.</w:t>
      </w:r>
    </w:p>
    <w:p>
      <w:pPr>
        <w:spacing w:after="0" w:line="12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intend to be treated exclusively as a resident of the United Kingdom for tax purposes, but French or other tax authorities may seek to treat us as a tax resident of another jurisdiction.</w:t>
      </w:r>
    </w:p>
    <w:p>
      <w:pPr>
        <w:spacing w:after="0" w:line="12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are incorporated in the United Kingdom. English law currently provides that we will be regarded as a U.K. resident for tax purposes from incorporation and shall remain so unless (i) we are concurrently a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this regard, we have a permanent establishment in France to satisfy certain French tax requirements imposed by the French Tax Code with respect to the Merger. Although it is intended that we will be treated as having our exclusive place of tax residence in the United Kingdom, the French tax authorities may claim that we are a tax resident of France if we were to fail to maintain our “place of effective management” in the United Kingdom. Any such claim would be settled between the French and U.K. tax authorities pursuant to the mutual assistance procedure provided for by the tax treaty concluded between France and the United Kingdom. There is no assurance that these authorities would reach an agreement that we will remain exclusively a U.K. tax resident; a determination which could materially and adversely affect our business, financial condition, results of operations, and future prospects. A failure to maintain exclusive tax residency in the United Kingdom could result in adverse tax</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98" w:right="259" w:bottom="1440" w:gutter="0" w:footer="0" w:header="0"/>
        </w:sectPr>
      </w:pPr>
    </w:p>
    <w:bookmarkStart w:id="32" w:name="page33"/>
    <w:bookmarkEnd w:id="32"/>
    <w:p>
      <w:pPr>
        <w:ind w:right="120"/>
        <w:spacing w:after="0" w:line="262" w:lineRule="auto"/>
        <w:rPr>
          <w:sz w:val="20"/>
          <w:szCs w:val="20"/>
          <w:color w:val="auto"/>
        </w:rPr>
      </w:pPr>
      <w:r>
        <w:rPr>
          <w:rFonts w:ascii="Arial" w:cs="Arial" w:eastAsia="Arial" w:hAnsi="Arial"/>
          <w:sz w:val="18"/>
          <w:szCs w:val="18"/>
          <w:color w:val="auto"/>
        </w:rPr>
        <w:t>consequences to us and our subsidiaries and could result in certain adverse changes in the tax consequences of owning and disposing of our shares.</w:t>
      </w:r>
    </w:p>
    <w:p>
      <w:pPr>
        <w:spacing w:after="0" w:line="1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The Company has identified material weaknesses relating to internal control over financial reporting. If our remedial measures are insufficient to address the material weaknesses, or if one or more additional material weaknesses or significant deficiencies in our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Management identified material weaknesses in the Company’s internal control over financial reporting as of December 31, 2017 and December 31, 2018 as described in Part II, Item 9A of this Annual Report on Form 10-K.</w:t>
      </w:r>
    </w:p>
    <w:p>
      <w:pPr>
        <w:spacing w:after="0" w:line="1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a result of the material weaknesses, management has concluded that our internal control over financial reporting was not effective as of December 31, 2018. In addition, as a result of these material weaknesses, our chief executive officer and chief financial officer have concluded that, as of December 31, 2018, our disclosure controls and procedures were not effective. Until these material weaknesses are remediated, they could lead to errors in our financial results and could have a material adverse effect on our financial condition, results of operations, and cash flows.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our remedial measures are insufficient to address the material weaknesses, or if one or more additional material weaknesses or significant deficiencies in our disclosure controls and procedures or internal control over financial reporting are discovered or occur in the future, our consolidated financial statements may contain material misstatements and we could be required to restate our financial results, which could have a material adverse effect on our financial condition, results of operations, and cash flows, restrict our ability to access the capital markets, require significant resources to correct the weaknesses or deficiencies, subject us to fines, penalties or judgments, harm our reputation or otherwise cause a decline in investor confidence and in the market price of our stock.</w:t>
      </w:r>
    </w:p>
    <w:p>
      <w:pPr>
        <w:spacing w:after="0" w:line="20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Additional material weaknesses or significant deficiencies in our internal control over financial reporting could be identified in the future.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U.S.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among other things, a decline in our stock price.</w:t>
      </w:r>
    </w:p>
    <w:p>
      <w:pPr>
        <w:spacing w:after="0" w:line="20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can give no assurances that the measures we have taken to date, or any future measures we may take, will fully remediate the material weaknesses identified or that any additional material weaknesses will not arise in the future due to our failure to implement and maintain adequate internal control over financial reporting. In addition, even if we are successful in strengthening our controls and procedures, those controls and procedures may not be adequate to prevent or identify irregularities or ensure the fair and accurate presentation of our financial statements included in our periodic reports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98"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corporate headquarters is in London, England. We also maintain corporate offices in Houston, Texas and Paris, France, where significant worldwide global support activity occurs. In addition, we own or lease numerous properties throughout the world.</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our properties and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principal properties by reporting segment at December 31, 2018:</w:t>
      </w:r>
    </w:p>
    <w:p>
      <w:pPr>
        <w:sectPr>
          <w:pgSz w:w="11900" w:h="16838" w:orient="portrait"/>
          <w:cols w:equalWidth="0" w:num="1">
            <w:col w:w="11280"/>
          </w:cols>
          <w:pgMar w:left="240" w:top="576" w:right="379" w:bottom="1440" w:gutter="0" w:footer="0" w:header="0"/>
        </w:sectPr>
      </w:pPr>
    </w:p>
    <w:p>
      <w:pPr>
        <w:spacing w:after="0" w:line="375"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Africa</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Dande, Angola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Hassi-Messaoud, Algeria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Lagos, Nigeria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Lobito, Angola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Luanda, Angola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Malabo, Equatorial New Guinea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Port Harcourt, Nigeria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Takoradi, Ghana</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Hyderabad, India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Jakarta, Indonesia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Kuala Lumpur, Malaysia</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Labuan,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New Delhi, India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Noida,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Nusajaya, Malaysia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Australia</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Henderson,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Perth, Australia</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Aberdeen, United Kingdom</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Aktau, Kazakhstan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Atyrau, Kazakhstan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Arnhem,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Barcelona, Spain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Bergen,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Compiegne, France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Courbevoie (Paris - La Défense),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Dunfermline, United Kingdom</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Ellerbeck,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Evanton, United Kingdom</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Horten,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Kongsberg, Norway</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 Trait,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London, United Kingdom</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Lyon,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Newcastle, United Kingdom</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Lysaker,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Orkanger, Norway</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Segment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Surface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 Onshore/Offshore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Subsea</w:t>
      </w:r>
    </w:p>
    <w:p>
      <w:pPr>
        <w:spacing w:after="0" w:line="200" w:lineRule="exact"/>
        <w:rPr>
          <w:sz w:val="20"/>
          <w:szCs w:val="20"/>
          <w:color w:val="auto"/>
        </w:rPr>
      </w:pPr>
    </w:p>
    <w:p>
      <w:pPr>
        <w:sectPr>
          <w:pgSz w:w="11900" w:h="16838" w:orient="portrait"/>
          <w:cols w:equalWidth="0" w:num="2">
            <w:col w:w="7080" w:space="720"/>
            <w:col w:w="3480"/>
          </w:cols>
          <w:pgMar w:left="240" w:top="576" w:right="379" w:bottom="1440" w:gutter="0" w:footer="0" w:header="0"/>
          <w:type w:val="continuous"/>
        </w:sect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80"/>
          </w:cols>
          <w:pgMar w:left="240" w:top="576" w:right="37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8"/>
        </w:trPr>
        <w:tc>
          <w:tcPr>
            <w:tcW w:w="5440" w:type="dxa"/>
            <w:vAlign w:val="bottom"/>
          </w:tcPr>
          <w:p>
            <w:pPr>
              <w:ind w:left="380"/>
              <w:spacing w:after="0"/>
              <w:rPr>
                <w:sz w:val="20"/>
                <w:szCs w:val="20"/>
                <w:color w:val="auto"/>
              </w:rPr>
            </w:pPr>
            <w:r>
              <w:rPr>
                <w:rFonts w:ascii="Arial" w:cs="Arial" w:eastAsia="Arial" w:hAnsi="Arial"/>
                <w:sz w:val="14"/>
                <w:szCs w:val="14"/>
                <w:color w:val="auto"/>
              </w:rPr>
              <w:t>Paris, France</w:t>
            </w:r>
          </w:p>
        </w:tc>
        <w:tc>
          <w:tcPr>
            <w:tcW w:w="5980" w:type="dxa"/>
            <w:vAlign w:val="bottom"/>
          </w:tcPr>
          <w:p>
            <w:pPr>
              <w:ind w:left="2360"/>
              <w:spacing w:after="0"/>
              <w:rPr>
                <w:sz w:val="20"/>
                <w:szCs w:val="20"/>
                <w:color w:val="auto"/>
              </w:rPr>
            </w:pPr>
            <w:r>
              <w:rPr>
                <w:rFonts w:ascii="Arial" w:cs="Arial" w:eastAsia="Arial" w:hAnsi="Arial"/>
                <w:sz w:val="14"/>
                <w:szCs w:val="14"/>
                <w:color w:val="auto"/>
              </w:rPr>
              <w:t>Subsea, Onshore/Offshore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Rome, Italy</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Onshore/Offshore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Schoonebeck, Netherlands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Sens, France</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Stavanger, Norway</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Subsea, Surface</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Zoetermeer, Netherlands</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Onshore/Offshore</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Middle East</w:t>
            </w:r>
          </w:p>
        </w:tc>
        <w:tc>
          <w:tcPr>
            <w:tcW w:w="5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Abu Dhabi, United Arab Emirates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Onshore/Offshore, 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Dammam, Saudi Arabia</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 America</w:t>
            </w:r>
          </w:p>
        </w:tc>
        <w:tc>
          <w:tcPr>
            <w:tcW w:w="5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Brighton (Colorado),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Calgary (Alberta), Canada</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Corpus Christi (Texas),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Davis (California),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Houston (Texas),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Subsea, Onshore/Offshore, 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Edmonton (Alberta), Canada</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Erie (Pennsylvania),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Odessa (Texas),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Oklahoma City (Oklahoma),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San Antonio (Texas), United States</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Stephenville (Texas),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 John’s (Newfoundland), Canada</w:t>
            </w:r>
          </w:p>
        </w:tc>
        <w:tc>
          <w:tcPr>
            <w:tcW w:w="59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264"/>
        </w:trPr>
        <w:tc>
          <w:tcPr>
            <w:tcW w:w="5440" w:type="dxa"/>
            <w:vAlign w:val="bottom"/>
          </w:tcPr>
          <w:p>
            <w:pPr>
              <w:ind w:left="380"/>
              <w:spacing w:after="0"/>
              <w:rPr>
                <w:sz w:val="20"/>
                <w:szCs w:val="20"/>
                <w:color w:val="auto"/>
              </w:rPr>
            </w:pPr>
            <w:r>
              <w:rPr>
                <w:rFonts w:ascii="Arial" w:cs="Arial" w:eastAsia="Arial" w:hAnsi="Arial"/>
                <w:sz w:val="14"/>
                <w:szCs w:val="14"/>
                <w:color w:val="auto"/>
              </w:rPr>
              <w:t>Theodore (Alabama), United States</w:t>
            </w:r>
          </w:p>
        </w:tc>
        <w:tc>
          <w:tcPr>
            <w:tcW w:w="5980" w:type="dxa"/>
            <w:vAlign w:val="bottom"/>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276"/>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America</w:t>
            </w:r>
          </w:p>
        </w:tc>
        <w:tc>
          <w:tcPr>
            <w:tcW w:w="5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Bogota, Colombia</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Onshore/Offshore</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Macaé, Brazil</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Neuquén, Argentina</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Rio de Janeiro, Brazil</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Subsea, Surface</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São João da Barra, Brazil</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5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Vitória, Brazil</w:t>
            </w:r>
          </w:p>
        </w:tc>
        <w:tc>
          <w:tcPr>
            <w:tcW w:w="5980" w:type="dxa"/>
            <w:vAlign w:val="bottom"/>
            <w:vMerge w:val="restart"/>
            <w:shd w:val="clear" w:color="auto" w:fill="CCEEFF"/>
          </w:tcPr>
          <w:p>
            <w:pPr>
              <w:ind w:left="2360"/>
              <w:spacing w:after="0"/>
              <w:rPr>
                <w:sz w:val="20"/>
                <w:szCs w:val="20"/>
                <w:color w:val="auto"/>
              </w:rPr>
            </w:pPr>
            <w:r>
              <w:rPr>
                <w:rFonts w:ascii="Arial" w:cs="Arial" w:eastAsia="Arial" w:hAnsi="Arial"/>
                <w:sz w:val="14"/>
                <w:szCs w:val="14"/>
                <w:color w:val="auto"/>
              </w:rPr>
              <w:t>Subsea</w:t>
            </w:r>
          </w:p>
        </w:tc>
        <w:tc>
          <w:tcPr>
            <w:tcW w:w="0" w:type="dxa"/>
            <w:vAlign w:val="bottom"/>
          </w:tcPr>
          <w:p>
            <w:pPr>
              <w:spacing w:after="0"/>
              <w:rPr>
                <w:sz w:val="1"/>
                <w:szCs w:val="1"/>
                <w:color w:val="auto"/>
              </w:rPr>
            </w:pPr>
          </w:p>
        </w:tc>
      </w:tr>
      <w:tr>
        <w:trPr>
          <w:trHeight w:val="66"/>
        </w:trPr>
        <w:tc>
          <w:tcPr>
            <w:tcW w:w="5440" w:type="dxa"/>
            <w:vAlign w:val="bottom"/>
            <w:shd w:val="clear" w:color="auto" w:fill="CCEEFF"/>
          </w:tcPr>
          <w:p>
            <w:pPr>
              <w:spacing w:after="0"/>
              <w:rPr>
                <w:sz w:val="5"/>
                <w:szCs w:val="5"/>
                <w:color w:val="auto"/>
              </w:rPr>
            </w:pPr>
          </w:p>
        </w:tc>
        <w:tc>
          <w:tcPr>
            <w:tcW w:w="5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380"/>
              <w:spacing w:after="0"/>
              <w:rPr>
                <w:sz w:val="20"/>
                <w:szCs w:val="20"/>
                <w:color w:val="auto"/>
              </w:rPr>
            </w:pPr>
            <w:r>
              <w:rPr>
                <w:rFonts w:ascii="Arial" w:cs="Arial" w:eastAsia="Arial" w:hAnsi="Arial"/>
                <w:sz w:val="14"/>
                <w:szCs w:val="14"/>
                <w:color w:val="auto"/>
              </w:rPr>
              <w:t>Yogal, Colombia</w:t>
            </w:r>
          </w:p>
        </w:tc>
        <w:tc>
          <w:tcPr>
            <w:tcW w:w="5980" w:type="dxa"/>
            <w:vAlign w:val="bottom"/>
            <w:vMerge w:val="restart"/>
          </w:tcPr>
          <w:p>
            <w:pPr>
              <w:ind w:left="2360"/>
              <w:spacing w:after="0"/>
              <w:rPr>
                <w:sz w:val="20"/>
                <w:szCs w:val="20"/>
                <w:color w:val="auto"/>
              </w:rPr>
            </w:pPr>
            <w:r>
              <w:rPr>
                <w:rFonts w:ascii="Arial" w:cs="Arial" w:eastAsia="Arial" w:hAnsi="Arial"/>
                <w:sz w:val="14"/>
                <w:szCs w:val="14"/>
                <w:color w:val="auto"/>
              </w:rPr>
              <w:t>Surface</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5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shows marine vessels in which we held an interest or operated as of December 31,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Vessel Name</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Vessel Type</w:t>
            </w:r>
          </w:p>
        </w:tc>
        <w:tc>
          <w:tcPr>
            <w:tcW w:w="100" w:type="dxa"/>
            <w:vAlign w:val="bottom"/>
            <w:tcBorders>
              <w:bottom w:val="single" w:sz="8" w:color="CCEEFF"/>
            </w:tcBorders>
          </w:tcPr>
          <w:p>
            <w:pPr>
              <w:spacing w:after="0"/>
              <w:rPr>
                <w:sz w:val="17"/>
                <w:szCs w:val="17"/>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Special Equipment</w:t>
            </w:r>
          </w:p>
        </w:tc>
      </w:tr>
      <w:tr>
        <w:trPr>
          <w:trHeight w:val="25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Deep Blue</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Reeled pipelay/flexible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Deep Energy</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Reeled pipelay/flexible pipelay/umbilical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Apache II</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Reeled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Global 1200</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PLSV/HCV</w:t>
            </w:r>
          </w:p>
        </w:tc>
        <w:tc>
          <w:tcPr>
            <w:tcW w:w="5240" w:type="dxa"/>
            <w:vAlign w:val="bottom"/>
          </w:tcPr>
          <w:p>
            <w:pPr>
              <w:ind w:left="20"/>
              <w:spacing w:after="0"/>
              <w:rPr>
                <w:sz w:val="20"/>
                <w:szCs w:val="20"/>
                <w:color w:val="auto"/>
              </w:rPr>
            </w:pPr>
            <w:r>
              <w:rPr>
                <w:rFonts w:ascii="Arial" w:cs="Arial" w:eastAsia="Arial" w:hAnsi="Arial"/>
                <w:sz w:val="14"/>
                <w:szCs w:val="14"/>
                <w:color w:val="auto"/>
              </w:rPr>
              <w:t>Conventional pipelay/Heavy handling operations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Global 1201</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PLSV/HCV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Conventional pipelay/Heavy handling operations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Deep Orient</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HCV</w:t>
            </w:r>
          </w:p>
        </w:tc>
        <w:tc>
          <w:tcPr>
            <w:tcW w:w="5240" w:type="dxa"/>
            <w:vAlign w:val="bottom"/>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North Sea Atlantic </w:t>
            </w:r>
            <w:r>
              <w:rPr>
                <w:rFonts w:ascii="Arial" w:cs="Arial" w:eastAsia="Arial" w:hAnsi="Arial"/>
                <w:sz w:val="17"/>
                <w:szCs w:val="17"/>
                <w:color w:val="auto"/>
                <w:vertAlign w:val="superscript"/>
              </w:rPr>
              <w:t>(a)</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HCV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 xml:space="preserve">Skandi Africa </w:t>
            </w:r>
            <w:r>
              <w:rPr>
                <w:rFonts w:ascii="Arial" w:cs="Arial" w:eastAsia="Arial" w:hAnsi="Arial"/>
                <w:sz w:val="17"/>
                <w:szCs w:val="17"/>
                <w:color w:val="auto"/>
                <w:vertAlign w:val="superscript"/>
              </w:rPr>
              <w:t>(a)</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HCV</w:t>
            </w:r>
          </w:p>
        </w:tc>
        <w:tc>
          <w:tcPr>
            <w:tcW w:w="5240" w:type="dxa"/>
            <w:vAlign w:val="bottom"/>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North Sea Giant </w:t>
            </w:r>
            <w:r>
              <w:rPr>
                <w:rFonts w:ascii="Arial" w:cs="Arial" w:eastAsia="Arial" w:hAnsi="Arial"/>
                <w:sz w:val="17"/>
                <w:szCs w:val="17"/>
                <w:color w:val="auto"/>
                <w:vertAlign w:val="superscript"/>
              </w:rPr>
              <w:t>(a)</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HCV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Deep Arctic</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DSV/HCV</w:t>
            </w:r>
          </w:p>
        </w:tc>
        <w:tc>
          <w:tcPr>
            <w:tcW w:w="5240" w:type="dxa"/>
            <w:vAlign w:val="bottom"/>
          </w:tcPr>
          <w:p>
            <w:pPr>
              <w:ind w:left="20"/>
              <w:spacing w:after="0"/>
              <w:rPr>
                <w:sz w:val="20"/>
                <w:szCs w:val="20"/>
                <w:color w:val="auto"/>
              </w:rPr>
            </w:pPr>
            <w:r>
              <w:rPr>
                <w:rFonts w:ascii="Arial" w:cs="Arial" w:eastAsia="Arial" w:hAnsi="Arial"/>
                <w:sz w:val="14"/>
                <w:szCs w:val="14"/>
                <w:color w:val="auto"/>
              </w:rPr>
              <w:t>Diver support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Deep Explorer</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DSV/HCV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Diver support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Skandi Vitória</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Skandi Niterói</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Coral do Atlantico</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Estrela do Mar</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Skandi Açu</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7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Skandi Búzios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4"/>
                <w:szCs w:val="14"/>
                <w:color w:val="auto"/>
              </w:rPr>
              <w:t xml:space="preserve">Skandi Olinda </w:t>
            </w:r>
            <w:r>
              <w:rPr>
                <w:rFonts w:ascii="Arial" w:cs="Arial" w:eastAsia="Arial" w:hAnsi="Arial"/>
                <w:sz w:val="17"/>
                <w:szCs w:val="17"/>
                <w:color w:val="auto"/>
                <w:vertAlign w:val="superscript"/>
              </w:rPr>
              <w:t>(b)</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24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Skandi Recife</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bl>
    <w:p>
      <w:pPr>
        <w:spacing w:after="0" w:line="16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Vessels under long term charter.</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Vessel under construction.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PLSV: Pipelay Support Vessel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HCV: Heavy Duty Construction Vessel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LCV: Light Construction Vessel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DSV: Diving Support Vessel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MSV: Multi Service Vessel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A remaining claim for alleged violation of Section 11 of the Securities Act in connection with the reporting of certain financial results in the Company’s Form S-4 Registration Statement filed in 2016 is pending and seeks unspecified damages. The Company is vigorously contesting the litigation and cannot predict its duration or outcome.</w:t>
      </w:r>
    </w:p>
    <w:p>
      <w:pPr>
        <w:spacing w:after="0" w:line="1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to the above-referenced matters,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98"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ordinary shares are listed on the NYSE and the regulated market of Euronext Paris, in each case trading under the “FTI” symbol. Prior to the Merger, FMC Technologies common stock was quoted on the NYSE under the FTI symbol and Technip ordinary shares were listed on Euronext Paris. FMC Technologies common stock and Technip ordinary shares were suspended from trading on the NYSE and Euronext Paris, respectively, prior to the open of trading on January 17, 2017.</w:t>
      </w:r>
    </w:p>
    <w:p>
      <w:pPr>
        <w:spacing w:after="0" w:line="150"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For information about dividends, see Item 6 “Selected Financial Data” and Note 15 “Stockholders’ Equity” to the Consolidated Financial Statements in Item 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25, 2019, we had 81 registered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year ended December 31,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That May Yet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162"/>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per Share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or Programs</w:t>
            </w:r>
          </w:p>
        </w:tc>
        <w:tc>
          <w:tcPr>
            <w:tcW w:w="100" w:type="dxa"/>
            <w:vAlign w:val="bottom"/>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7"/>
                <w:szCs w:val="17"/>
                <w:b w:val="1"/>
                <w:bCs w:val="1"/>
                <w:color w:val="auto"/>
                <w:vertAlign w:val="superscript"/>
              </w:rPr>
              <w:t>(b)</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October 1, 2018 – October 31, 2018</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408,691</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29.29</w:t>
            </w:r>
          </w:p>
        </w:tc>
        <w:tc>
          <w:tcPr>
            <w:tcW w:w="100" w:type="dxa"/>
            <w:vAlign w:val="bottom"/>
            <w:shd w:val="clear" w:color="auto" w:fill="CCEEFF"/>
          </w:tcPr>
          <w:p>
            <w:pPr>
              <w:spacing w:after="0"/>
              <w:rPr>
                <w:sz w:val="16"/>
                <w:szCs w:val="16"/>
                <w:color w:val="auto"/>
              </w:rPr>
            </w:pPr>
          </w:p>
        </w:tc>
        <w:tc>
          <w:tcPr>
            <w:tcW w:w="2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408,691</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3,650,795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00" w:type="dxa"/>
            <w:vAlign w:val="bottom"/>
            <w:gridSpan w:val="3"/>
          </w:tcPr>
          <w:p>
            <w:pPr>
              <w:ind w:left="40"/>
              <w:spacing w:after="0"/>
              <w:rPr>
                <w:sz w:val="20"/>
                <w:szCs w:val="20"/>
                <w:color w:val="auto"/>
              </w:rPr>
            </w:pPr>
            <w:r>
              <w:rPr>
                <w:rFonts w:ascii="Arial" w:cs="Arial" w:eastAsia="Arial" w:hAnsi="Arial"/>
                <w:sz w:val="14"/>
                <w:szCs w:val="14"/>
                <w:color w:val="auto"/>
              </w:rPr>
              <w:t>November 1, 2018 – November 30, 2018</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1,202,133</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23.38</w:t>
            </w:r>
          </w:p>
        </w:tc>
        <w:tc>
          <w:tcPr>
            <w:tcW w:w="100" w:type="dxa"/>
            <w:vAlign w:val="bottom"/>
          </w:tcPr>
          <w:p>
            <w:pPr>
              <w:spacing w:after="0"/>
              <w:rPr>
                <w:sz w:val="17"/>
                <w:szCs w:val="17"/>
                <w:color w:val="auto"/>
              </w:rPr>
            </w:pPr>
          </w:p>
        </w:tc>
        <w:tc>
          <w:tcPr>
            <w:tcW w:w="2040" w:type="dxa"/>
            <w:vAlign w:val="bottom"/>
            <w:vMerge w:val="restart"/>
          </w:tcPr>
          <w:p>
            <w:pPr>
              <w:jc w:val="right"/>
              <w:ind w:right="28"/>
              <w:spacing w:after="0"/>
              <w:rPr>
                <w:sz w:val="20"/>
                <w:szCs w:val="20"/>
                <w:color w:val="auto"/>
              </w:rPr>
            </w:pPr>
            <w:r>
              <w:rPr>
                <w:rFonts w:ascii="Arial" w:cs="Arial" w:eastAsia="Arial" w:hAnsi="Arial"/>
                <w:sz w:val="14"/>
                <w:szCs w:val="14"/>
                <w:color w:val="auto"/>
              </w:rPr>
              <w:t>1,202,057</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2,448,738</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5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December 1, 2018 – December 31, 2018</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928,273</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19.67</w:t>
            </w:r>
          </w:p>
        </w:tc>
        <w:tc>
          <w:tcPr>
            <w:tcW w:w="100" w:type="dxa"/>
            <w:vAlign w:val="bottom"/>
            <w:shd w:val="clear" w:color="auto" w:fill="CCEEFF"/>
          </w:tcPr>
          <w:p>
            <w:pPr>
              <w:spacing w:after="0"/>
              <w:rPr>
                <w:sz w:val="18"/>
                <w:szCs w:val="18"/>
                <w:color w:val="auto"/>
              </w:rPr>
            </w:pPr>
          </w:p>
        </w:tc>
        <w:tc>
          <w:tcPr>
            <w:tcW w:w="2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927,809</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16,091,108</w:t>
            </w:r>
          </w:p>
        </w:tc>
        <w:tc>
          <w:tcPr>
            <w:tcW w:w="0" w:type="dxa"/>
            <w:vAlign w:val="bottom"/>
          </w:tcPr>
          <w:p>
            <w:pPr>
              <w:spacing w:after="0"/>
              <w:rPr>
                <w:sz w:val="1"/>
                <w:szCs w:val="1"/>
                <w:color w:val="auto"/>
              </w:rPr>
            </w:pPr>
          </w:p>
        </w:tc>
      </w:tr>
      <w:tr>
        <w:trPr>
          <w:trHeight w:val="71"/>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40" w:type="dxa"/>
            <w:vAlign w:val="bottom"/>
            <w:tcBorders>
              <w:bottom w:val="single" w:sz="8" w:color="auto"/>
            </w:tcBorders>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2,539,097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2,538,557</w:t>
            </w:r>
          </w:p>
        </w:tc>
        <w:tc>
          <w:tcPr>
            <w:tcW w:w="2140" w:type="dxa"/>
            <w:vAlign w:val="bottom"/>
            <w:gridSpan w:val="2"/>
          </w:tcPr>
          <w:p>
            <w:pPr>
              <w:jc w:val="right"/>
              <w:ind w:right="28"/>
              <w:spacing w:after="0"/>
              <w:rPr>
                <w:sz w:val="20"/>
                <w:szCs w:val="20"/>
                <w:color w:val="auto"/>
              </w:rPr>
            </w:pPr>
            <w:r>
              <w:rPr>
                <w:rFonts w:ascii="Arial" w:cs="Arial" w:eastAsia="Arial" w:hAnsi="Arial"/>
                <w:sz w:val="14"/>
                <w:szCs w:val="14"/>
                <w:color w:val="auto"/>
              </w:rPr>
              <w:t>16,091,108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2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2,538,557 ordinary shares purchased and canceled and 540 ordinary shares purchased and held in an employee benefit trust established for the FMC Technologies, Inc. Non-Qualified Savings and Investment Plan (the “Non-Qualified Plan”). In addition to these shares purchased on the open market, we sold 760 registered ordinary shares held in this trust, as directed by the beneficiaries during the three months ended December 31, 2018.</w:t>
      </w:r>
    </w:p>
    <w:p>
      <w:pPr>
        <w:spacing w:after="0" w:line="145" w:lineRule="exact"/>
        <w:rPr>
          <w:rFonts w:ascii="Arial" w:cs="Arial" w:eastAsia="Arial" w:hAnsi="Arial"/>
          <w:sz w:val="14"/>
          <w:szCs w:val="14"/>
          <w:color w:val="auto"/>
        </w:rPr>
      </w:pPr>
    </w:p>
    <w:p>
      <w:pPr>
        <w:ind w:left="34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April 2017, we announced a repurchase plan approved by our Board of Directors authorizing up to $500 million to repurchase shares of our issued and outstanding ordinary shares through open market purchases. Following a court-approved reduction of our capital, we implemented our share repurchase program on September 25, 2017. The Board of Directors authorized an extension of this program, adding $300 million in December 2018 for a total of $800 million in ordinary shares.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76"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graph below compares the cumulative total shareholder return on our ordinary shares for the period from January 17, 2017 to December 31, 2018 with the Standard &amp; Poor’s 500 Index (“S&amp;P 500 Index”) and PHLX Oil Services Index. The comparison assumes $100 was invested, including reinvestment of dividends, if any, in our ordinary shares on January 17, 2017 and in both of the indexes on the same date. The results shown in the graph below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5866130" cy="3044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613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17</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TechnipFMC plc</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55.89</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119.82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114.56</w:t>
            </w: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PHLX Oil Services Index</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82.00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44.93</w:t>
            </w:r>
          </w:p>
        </w:tc>
      </w:tr>
    </w:tbl>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300" w:top="57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tables set forth selected financial data of the Company for each of the four years in the period ended December 31, 2018. This information should be read in conjunction with Part I, Item 1 “Business,” Part II, Item 7 “Management’s Discussion and Analysis of Financial Condition and Results of Operations” and the audited consolidated financial statements and notes thereto included in Part II, Item 8 of this Annual Report on Form 10-K.</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Pr>
          <w:p>
            <w:pPr>
              <w:spacing w:after="0"/>
              <w:rPr>
                <w:sz w:val="23"/>
                <w:szCs w:val="23"/>
                <w:color w:val="auto"/>
              </w:rPr>
            </w:pP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7"/>
                <w:szCs w:val="17"/>
                <w:b w:val="1"/>
                <w:bCs w:val="1"/>
                <w:color w:val="auto"/>
                <w:vertAlign w:val="superscript"/>
              </w:rPr>
              <w:t>(a)</w:t>
            </w:r>
          </w:p>
        </w:tc>
        <w:tc>
          <w:tcPr>
            <w:tcW w:w="240" w:type="dxa"/>
            <w:vAlign w:val="bottom"/>
          </w:tcPr>
          <w:p>
            <w:pPr>
              <w:spacing w:after="0"/>
              <w:rPr>
                <w:sz w:val="23"/>
                <w:szCs w:val="23"/>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7"/>
                <w:szCs w:val="17"/>
                <w:b w:val="1"/>
                <w:bCs w:val="1"/>
                <w:color w:val="auto"/>
                <w:vertAlign w:val="superscript"/>
              </w:rPr>
              <w:t>(b)</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Statement of income data</w:t>
            </w: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12,552.9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15,056.9</w:t>
            </w:r>
          </w:p>
        </w:tc>
        <w:tc>
          <w:tcPr>
            <w:tcW w:w="100" w:type="dxa"/>
            <w:vAlign w:val="bottom"/>
          </w:tcPr>
          <w:p>
            <w:pPr>
              <w:spacing w:after="0"/>
              <w:rPr>
                <w:sz w:val="22"/>
                <w:szCs w:val="2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9,199.6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11,471.9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and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13,470.5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14,091.7</w:t>
            </w:r>
          </w:p>
        </w:tc>
        <w:tc>
          <w:tcPr>
            <w:tcW w:w="1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8,743.6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11,198.3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(1,910.8)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22"/>
                <w:szCs w:val="2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371.1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TechnipFMC plc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(loss) per share from continuing operations attributable to TechnipFMC plc</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Basic earnings (loss) per share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2"/>
                <w:szCs w:val="2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3"/>
                <w:szCs w:val="23"/>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7"/>
                <w:szCs w:val="17"/>
                <w:b w:val="1"/>
                <w:bCs w:val="1"/>
                <w:color w:val="auto"/>
                <w:vertAlign w:val="superscript"/>
              </w:rPr>
              <w:t>(b)</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Balance sheet data</w:t>
            </w: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24,784.5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28,263.7</w:t>
            </w:r>
          </w:p>
        </w:tc>
        <w:tc>
          <w:tcPr>
            <w:tcW w:w="100" w:type="dxa"/>
            <w:vAlign w:val="bottom"/>
          </w:tcPr>
          <w:p>
            <w:pPr>
              <w:spacing w:after="0"/>
              <w:rPr>
                <w:sz w:val="17"/>
                <w:szCs w:val="17"/>
                <w:color w:val="auto"/>
              </w:rPr>
            </w:pPr>
          </w:p>
        </w:tc>
        <w:tc>
          <w:tcPr>
            <w:tcW w:w="4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18,679.3</w:t>
            </w:r>
          </w:p>
        </w:tc>
        <w:tc>
          <w:tcPr>
            <w:tcW w:w="120" w:type="dxa"/>
            <w:vAlign w:val="bottom"/>
          </w:tcPr>
          <w:p>
            <w:pPr>
              <w:spacing w:after="0"/>
              <w:rPr>
                <w:sz w:val="17"/>
                <w:szCs w:val="17"/>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14,953.6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portion</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4,124.3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3,777.9</w:t>
            </w:r>
          </w:p>
        </w:tc>
        <w:tc>
          <w:tcPr>
            <w:tcW w:w="100" w:type="dxa"/>
            <w:vAlign w:val="bottom"/>
            <w:shd w:val="clear" w:color="auto" w:fill="CCEEFF"/>
          </w:tcPr>
          <w:p>
            <w:pPr>
              <w:spacing w:after="0"/>
              <w:rPr>
                <w:sz w:val="18"/>
                <w:szCs w:val="18"/>
                <w:color w:val="auto"/>
              </w:rPr>
            </w:pPr>
          </w:p>
        </w:tc>
        <w:tc>
          <w:tcPr>
            <w:tcW w:w="4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1,869.3</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40"/>
              <w:spacing w:after="0"/>
              <w:rPr>
                <w:sz w:val="20"/>
                <w:szCs w:val="20"/>
                <w:color w:val="auto"/>
              </w:rPr>
            </w:pPr>
            <w:r>
              <w:rPr>
                <w:rFonts w:ascii="Arial" w:cs="Arial" w:eastAsia="Arial" w:hAnsi="Arial"/>
                <w:sz w:val="14"/>
                <w:szCs w:val="14"/>
                <w:color w:val="auto"/>
              </w:rPr>
              <w:t>Total TechnipFMC plc stockholders’ equity</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10,399.6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13,387.9</w:t>
            </w:r>
          </w:p>
        </w:tc>
        <w:tc>
          <w:tcPr>
            <w:tcW w:w="100" w:type="dxa"/>
            <w:vAlign w:val="bottom"/>
          </w:tcPr>
          <w:p>
            <w:pPr>
              <w:spacing w:after="0"/>
              <w:rPr>
                <w:sz w:val="17"/>
                <w:szCs w:val="17"/>
                <w:color w:val="auto"/>
              </w:rPr>
            </w:pPr>
          </w:p>
        </w:tc>
        <w:tc>
          <w:tcPr>
            <w:tcW w:w="4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5,055.8</w:t>
            </w:r>
          </w:p>
        </w:tc>
        <w:tc>
          <w:tcPr>
            <w:tcW w:w="120" w:type="dxa"/>
            <w:vAlign w:val="bottom"/>
          </w:tcPr>
          <w:p>
            <w:pPr>
              <w:spacing w:after="0"/>
              <w:rPr>
                <w:sz w:val="17"/>
                <w:szCs w:val="17"/>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4,947.2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3"/>
        </w:trPr>
        <w:tc>
          <w:tcPr>
            <w:tcW w:w="6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3"/>
                <w:szCs w:val="23"/>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7"/>
                <w:szCs w:val="17"/>
                <w:b w:val="1"/>
                <w:bCs w:val="1"/>
                <w:color w:val="auto"/>
                <w:vertAlign w:val="superscript"/>
              </w:rPr>
              <w:t>(b)</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Other financial information</w:t>
            </w: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06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368.1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7"/>
                <w:szCs w:val="17"/>
                <w:color w:val="auto"/>
              </w:rPr>
            </w:pPr>
          </w:p>
        </w:tc>
        <w:tc>
          <w:tcPr>
            <w:tcW w:w="4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312.9</w:t>
            </w:r>
          </w:p>
        </w:tc>
        <w:tc>
          <w:tcPr>
            <w:tcW w:w="120" w:type="dxa"/>
            <w:vAlign w:val="bottom"/>
          </w:tcPr>
          <w:p>
            <w:pPr>
              <w:spacing w:after="0"/>
              <w:rPr>
                <w:sz w:val="17"/>
                <w:szCs w:val="17"/>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provided (required) by operating activities</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210.7</w:t>
            </w:r>
          </w:p>
        </w:tc>
        <w:tc>
          <w:tcPr>
            <w:tcW w:w="100" w:type="dxa"/>
            <w:vAlign w:val="bottom"/>
            <w:shd w:val="clear" w:color="auto" w:fill="CCEEFF"/>
          </w:tcPr>
          <w:p>
            <w:pPr>
              <w:spacing w:after="0"/>
              <w:rPr>
                <w:sz w:val="18"/>
                <w:szCs w:val="18"/>
                <w:color w:val="auto"/>
              </w:rPr>
            </w:pPr>
          </w:p>
        </w:tc>
        <w:tc>
          <w:tcPr>
            <w:tcW w:w="4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493.8</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6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4"/>
                <w:szCs w:val="14"/>
                <w:color w:val="auto"/>
              </w:rPr>
              <w:t xml:space="preserve">Net cash </w:t>
            </w:r>
            <w:r>
              <w:rPr>
                <w:rFonts w:ascii="Arial" w:cs="Arial" w:eastAsia="Arial" w:hAnsi="Arial"/>
                <w:sz w:val="17"/>
                <w:szCs w:val="17"/>
                <w:color w:val="auto"/>
                <w:vertAlign w:val="superscript"/>
              </w:rPr>
              <w:t>(c)</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1,348.3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2,882.4</w:t>
            </w:r>
          </w:p>
        </w:tc>
        <w:tc>
          <w:tcPr>
            <w:tcW w:w="100" w:type="dxa"/>
            <w:vAlign w:val="bottom"/>
          </w:tcPr>
          <w:p>
            <w:pPr>
              <w:spacing w:after="0"/>
              <w:rPr>
                <w:sz w:val="18"/>
                <w:szCs w:val="18"/>
                <w:color w:val="auto"/>
              </w:rPr>
            </w:pPr>
          </w:p>
        </w:tc>
        <w:tc>
          <w:tcPr>
            <w:tcW w:w="4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3,716.4</w:t>
            </w:r>
          </w:p>
        </w:tc>
        <w:tc>
          <w:tcPr>
            <w:tcW w:w="120" w:type="dxa"/>
            <w:vAlign w:val="bottom"/>
          </w:tcPr>
          <w:p>
            <w:pPr>
              <w:spacing w:after="0"/>
              <w:rPr>
                <w:sz w:val="18"/>
                <w:szCs w:val="18"/>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0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Order backlog </w:t>
            </w:r>
            <w:r>
              <w:rPr>
                <w:rFonts w:ascii="Arial" w:cs="Arial" w:eastAsia="Arial" w:hAnsi="Arial"/>
                <w:sz w:val="17"/>
                <w:szCs w:val="17"/>
                <w:color w:val="auto"/>
                <w:vertAlign w:val="superscript"/>
              </w:rPr>
              <w:t>(d)</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14,560.0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12,982.8</w:t>
            </w:r>
          </w:p>
        </w:tc>
        <w:tc>
          <w:tcPr>
            <w:tcW w:w="100" w:type="dxa"/>
            <w:vAlign w:val="bottom"/>
            <w:shd w:val="clear" w:color="auto" w:fill="CCEEFF"/>
          </w:tcPr>
          <w:p>
            <w:pPr>
              <w:spacing w:after="0"/>
              <w:rPr>
                <w:sz w:val="19"/>
                <w:szCs w:val="19"/>
                <w:color w:val="auto"/>
              </w:rPr>
            </w:pPr>
          </w:p>
        </w:tc>
        <w:tc>
          <w:tcPr>
            <w:tcW w:w="4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15,002.0</w:t>
            </w:r>
          </w:p>
        </w:tc>
        <w:tc>
          <w:tcPr>
            <w:tcW w:w="12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18,475.5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060" w:type="dxa"/>
            <w:vAlign w:val="bottom"/>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gridSpan w:val="2"/>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220" w:hanging="332"/>
        <w:spacing w:after="0" w:line="250"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results of our operations for the year ended December 31, 2018 includes goodwill and vessels impairment charges of $1,383.0 million and $372.9 million, respectively, and a legal provision of $280.0 million. Refer to Notes 17 and 18 to our consolidated financial statements included in Part II, Item 8 of this Annual Report of Form 10-K for additional information on the impairments and legal provision, respectively.</w:t>
      </w:r>
    </w:p>
    <w:p>
      <w:pPr>
        <w:spacing w:after="0" w:line="145" w:lineRule="exact"/>
        <w:rPr>
          <w:rFonts w:ascii="Arial" w:cs="Arial" w:eastAsia="Arial" w:hAnsi="Arial"/>
          <w:sz w:val="14"/>
          <w:szCs w:val="14"/>
          <w:color w:val="auto"/>
        </w:rPr>
      </w:pPr>
    </w:p>
    <w:p>
      <w:pPr>
        <w:ind w:left="340" w:right="20" w:hanging="332"/>
        <w:spacing w:after="0" w:line="247"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results of our operations for the year ended December 31, 2017 consist of the combined results of operations of Technip and FMC Technologies. Due to the Merger, FMC Technologies’ results of operations have been included in our financial statements for periods subsequent to the consummation of the merger on January 16, 2017 and as result data presented for the year December 31, 2017 is not comparable to actual results presented in prior periods. Since Technip was identified as the accounting acquiree for the Merger, our actual results for the years ended December 31, 2016 and December 31, 2015 represent Technip only.</w:t>
      </w:r>
    </w:p>
    <w:p>
      <w:pPr>
        <w:spacing w:after="0" w:line="147" w:lineRule="exact"/>
        <w:rPr>
          <w:rFonts w:ascii="Arial" w:cs="Arial" w:eastAsia="Arial" w:hAnsi="Arial"/>
          <w:sz w:val="14"/>
          <w:szCs w:val="14"/>
          <w:color w:val="auto"/>
        </w:rPr>
      </w:pPr>
    </w:p>
    <w:p>
      <w:pPr>
        <w:ind w:left="340" w:right="80"/>
        <w:spacing w:after="0" w:line="258" w:lineRule="auto"/>
        <w:rPr>
          <w:rFonts w:ascii="Arial" w:cs="Arial" w:eastAsia="Arial" w:hAnsi="Arial"/>
          <w:sz w:val="14"/>
          <w:szCs w:val="14"/>
          <w:color w:val="auto"/>
        </w:rPr>
      </w:pPr>
      <w:r>
        <w:rPr>
          <w:rFonts w:ascii="Arial" w:cs="Arial" w:eastAsia="Arial" w:hAnsi="Arial"/>
          <w:sz w:val="14"/>
          <w:szCs w:val="14"/>
          <w:color w:val="auto"/>
        </w:rPr>
        <w:t>Refer to Note 2 to our consolidated financial statements included in Part II, Item 8 of this Annual Report on Form 10-K for further information related to the Merger. In order to provide for improved comparability of the 2017 actual results, unaudited pro forma results for 2016 are presented in Part II, Item 7 of this Annual Report on Form 10-K.</w:t>
      </w:r>
    </w:p>
    <w:p>
      <w:pPr>
        <w:spacing w:after="0" w:line="140" w:lineRule="exact"/>
        <w:rPr>
          <w:rFonts w:ascii="Arial" w:cs="Arial" w:eastAsia="Arial" w:hAnsi="Arial"/>
          <w:sz w:val="14"/>
          <w:szCs w:val="14"/>
          <w:color w:val="auto"/>
        </w:rPr>
      </w:pPr>
    </w:p>
    <w:p>
      <w:pPr>
        <w:jc w:val="both"/>
        <w:ind w:left="340" w:right="60" w:hanging="332"/>
        <w:spacing w:after="0" w:line="250"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(debt) cash consists of cash and cash equivalents less short-term debt, long-term debt and the current portion of long-term debt. Net (debt) cash is a non-GAAP measure that management uses to evaluate our capital structure and financial leverage. See “Liquidity and Capital Resources” in Part II, Item 7 of this Annual Report on Form 10-K for additional discussion and reconciliations of net (debt) cash.</w:t>
      </w:r>
    </w:p>
    <w:p>
      <w:pPr>
        <w:spacing w:after="0" w:line="14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a global leader in oil and gas projects, technologies, systems and services. We have manufacturing operations worldwide, strategically located to facilitate efficient delivery of these products, technologies, systems and services to our customers. We report our results of operations in the following segments: Subsea, Onshore/Offshore and Surface Technologies. Management’s determination of the Company’s reporting segments was made on the basis of our strategic priorities and corresponds to the manner in which our Chief Executive Officer reviews and evaluates operating performance to make decisions about resource allocations to each segment.</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description of our products and services and annual financial data for each segment can be found in Part I, Item 1, “Business” and Note 5 to our consolidated financial statements in Part II, Item 8 of this Annual Report on Form 10-K. A discussion and analysis of our consolidated results of operations and the results of operations of each of our segments for the years ended December 31, 2018, 2017 and 2016 follows.</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focus on economic- and industry-specific drivers and key risk factors affecting our business segments as we formulate our strategic plans and make decisions related to allocating capital and human resources. The results of our segments are primarily driven by changes in capital spending by oil and gas companies, which largely depend upon current and anticipated future crude oil and natural gas demand, production volumes, and consequently, commodity prices. We use crude oil and natural gas prices as an indicator of demand. Additionally, we use both onshore and offshore rig count as an indicator of demand, which consequently influences the level of worldwide production activity and spending decisions. We also focus on key risk factors when determining our overall strategy and making decisions for capital allocation. These factors include risks associated with the global economic outlook, product obsolescence and the competitive environment. We address these risks in our business strategies, which incorporate continuing development of leading edge technologies and cultivating strong customer relationships.</w:t>
      </w:r>
    </w:p>
    <w:p>
      <w:pPr>
        <w:spacing w:after="0" w:line="15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Subsea segment is affected by changes in commodity prices and trends in deepwater oil and natural gas production. Our Onshore/Offshore segment is impacted by change in commodity prices, population growth and demand for natural gas, although the onshore market is typically more resilient to these changes impacting the segment. Our Subsea and Onshore/Offshore segments both benefit from the current market fundamentals supporting the demand for new liquefied natural gas facilities. Onshore/Offshore also benefits from the construction of petrochemical and fertilizer plants.</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Surface Technologies segment is primarily affected by changes in commodity prices and trends in land-based and shallow water oil and natural gas production, including trends in shale production. We have developed close working relationships with our customers. Our results reflect our ability to build long-term alliances with oil and natural gas companies and to provide solutions for their needs in a timely and cost-effective manner. We believe that by closely working with our customers, we enhance our competitive advantage, improve our operating results and strengthen our market positions.</w:t>
      </w:r>
    </w:p>
    <w:p>
      <w:pPr>
        <w:spacing w:after="0" w:line="1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we evaluate our operating results, we consider business segment performance indicators like segment revenue, operating profit and capital employed, in addition to the level of inbound orders and order backlog. A significant proportion of our revenue is recognized under the percentage of completion method of accounting. Cash receipts from such arrangements typically occur at milestones achieved under stated contract terms. Consequently, the timing of revenue recognition is not always correlated with the timing of customer payments. We aim to structure our contracts to receive advance payments that we typically use to fund engineering efforts and inventory purchases. Working capital (excluding cash) and net (debt) cash are therefore key performance indicators of cash flows.</w:t>
      </w:r>
    </w:p>
    <w:p>
      <w:pPr>
        <w:spacing w:after="0" w:line="15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each of our segments, we serve customers from around the world. During 2018, approximately 90% of our total sales were recognized outside of the United States. We evaluate international markets and pursue opportunities that fit our technological capabilities and strategies.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7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BUSINESS OUTLOOK</w:t>
      </w:r>
    </w:p>
    <w:p>
      <w:pPr>
        <w:spacing w:after="0" w:line="17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Following the steep decline from prior years, the price of crude oil has been on a gradual upward trend since the cyclical</w:t>
      </w:r>
      <w:r>
        <w:rPr>
          <w:rFonts w:ascii="Arial" w:cs="Arial" w:eastAsia="Arial" w:hAnsi="Arial"/>
          <w:sz w:val="18"/>
          <w:szCs w:val="18"/>
          <w:i w:val="1"/>
          <w:iCs w:val="1"/>
          <w:color w:val="auto"/>
        </w:rPr>
        <w:t xml:space="preserve"> </w:t>
      </w:r>
      <w:r>
        <w:rPr>
          <w:rFonts w:ascii="Arial" w:cs="Arial" w:eastAsia="Arial" w:hAnsi="Arial"/>
          <w:sz w:val="18"/>
          <w:szCs w:val="18"/>
          <w:color w:val="auto"/>
        </w:rPr>
        <w:t>trough experienced in early 2016, though the price of crude oil remains quite volatile. In addition, the sustainability of the price recovery and business activity levels is dependent on several variables, including geopolitical stability, OPEC’s actions to regulate its production capacity, changes in demand patterns, and international sanctions and tariffs. However, as long-term demand is forecast to rise and base production continues to naturally decline, we believe the macroeconomic backdrop will provide our customers with greater confidence to increase their investments in new sources of oil and natural gas production.</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The impact of the low crude oil price environment over the last three years led many of our customers to reduce their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plans and defer new offshore projects. Through this period, we have lowered our cost base through reductions in workforce as well as in manufacturing. This has helped align our operations with the anticipated reductions in activity in order to mitigate some of the negative impact to our operating profit. We have been realizing the benefits from restructuring actions through greater cost efficiency, most notably in our manufacturing operations. We have taken additional actions in 2018, but we have balanced further reductions with the need to preserve capacity in preparation for increased market activity and higher order inbound as industry conditions continue to improve. The operational improvements we have made through the downturn are providing us with the capability to respond to an increase in order activity despite the reductions in both personnel and manufacturing capacity. However, the subsea industry continues to have both underutilized manufacturing and vessel capacity, which may lead to continued pricing pressure. We also recognize the need to further develop and invest in our people to ensure we have the core competencies and capabilities necessary for continued success during the market recovery.</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lowered cost base combined with the aggressive cost reductions taken by our customers has caused project economics to improve. Many current and future offshore projects are deemed to be economic at prices below those experienced in the third quarter. While customer investment decisions can be delayed for a variety of reasons, we continue to work closely with our customers through early engagement in (FEED) studies and the use of our unique integrated approach to subsea development (iEPCI) to allow more project final investment decisions through the cycle. iEPCI™ can support clients’ initiatives to improve subsea project economics by helping to reduce cost and accelerate time to first oil. In the long term, we continue to believe that offshore and deepwater developments will remain a significant part of our customers’ portfolios.</w:t>
      </w:r>
    </w:p>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 market activity continues to provide a tangible set of opportunities, particularly for natural gas monetization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as natural gas continues to take a larger share of global energy demand. Market conditions for liquefied natural gas (“LNG”) have improved as rising demand continues to rebalance an oversupplied market. This is driving an improved outlook for our business, and we are confident that the pace of LNG investments will continue to grow in the near and intermediate term. As an industry leader, we are well positioned for the growth in new liquefaction and regasification capacity and are actively engaged in several LNG FEED studies across multiple geographies. These FEED studies provide a platform for early engagement with clients and can significantly de-risk project execution while also supporting our pursuit of the engineering, procurement and construction (“EPC”) contract. Additionally, we continue to selectively pursue refining, petrochemical, and fertilizer project opportunities in the Middle East, Africa, Asia, and North American markets.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After a period of rapid growth, the North America unconventional market is undergoing near-term volatility. While drilling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has proved to be resilient, completions activity has been reduced, stemming from pipeline take-away capacity constraints and exhaustion of operator capital budgets for exploration and production. Hydraulic fracturing activity has slowed sequentially, particularly in the Permian basin through 2018. These constraints should prove to be transitory, though, as operator budgets renew and pipeline take-away capacity improves and we expect improvement in activity in the second half of 2019. Despite the near-term volatility, we are continuing to introduce new, innovative commercial models in North America. Activity in our surface business outside of North America has been more resilient but continues to experience pressure from competitive pricing; however, growth prospects for these markets are expected to improve further in 2019.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38"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Unaudited supplemental pro forma results of operations for the year ended December 31, 2016 present consolidated information as if (i) the Merger and (ii) the consolidation of legal onshore/offshore contract entities that own and account for the design, engineering and construction of the Yamal had been completed as of January 1, 2016. The pro forma results do not include any potential synergies, cost savings or other expected benefits of these transactions. Accordingly, the pro forma results should not be considered indicative of the results that would have occurred if the transactions had been consummated as of January 1, 2016, nor are they indicative of future results.</w:t>
      </w:r>
    </w:p>
    <w:p>
      <w:pPr>
        <w:spacing w:after="0" w:line="1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Refer to Note 2 and Note 14 to our consolidated financial statements included in Part II, Item 8 of this Annual Report on Form 10-K for further information related to the Merger and Yamal, respectively.</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size of the aforementioned transactions relative to the size of historical results of operations and for purposes of comparability, management’s discussion of the consolidated and segment results of operations are provided on the basis of comparing actual results of operations for the year ended December 31, 2017 to pro forma results of operations for the year ended December 31, 2016. Actual results for the year ended December 31, 2016 represent Technip only.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576"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rPr>
              <w:t>2017 vs. 2016</w:t>
            </w:r>
          </w:p>
        </w:tc>
      </w:tr>
      <w:tr>
        <w:trPr>
          <w:trHeight w:val="196"/>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ind w:left="440"/>
              <w:spacing w:after="0"/>
              <w:rPr>
                <w:sz w:val="20"/>
                <w:szCs w:val="20"/>
                <w:color w:val="auto"/>
              </w:rPr>
            </w:pPr>
            <w:r>
              <w:rPr>
                <w:rFonts w:ascii="Arial" w:cs="Arial" w:eastAsia="Arial" w:hAnsi="Arial"/>
                <w:sz w:val="14"/>
                <w:szCs w:val="14"/>
                <w:b w:val="1"/>
                <w:bCs w:val="1"/>
                <w:color w:val="auto"/>
              </w:rPr>
              <w:t>2018 vs. 2017</w:t>
            </w:r>
          </w:p>
        </w:tc>
        <w:tc>
          <w:tcPr>
            <w:tcW w:w="260" w:type="dxa"/>
            <w:vAlign w:val="bottom"/>
          </w:tcPr>
          <w:p>
            <w:pPr>
              <w:spacing w:after="0"/>
              <w:rPr>
                <w:sz w:val="17"/>
                <w:szCs w:val="17"/>
                <w:color w:val="auto"/>
              </w:rPr>
            </w:pPr>
          </w:p>
        </w:tc>
        <w:tc>
          <w:tcPr>
            <w:tcW w:w="188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rPr>
              <w:t>Pro Forma</w:t>
            </w: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12,552.9</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15,056.9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19,068.8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9,199.6</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(2,504.0)</w:t>
            </w:r>
          </w:p>
        </w:tc>
        <w:tc>
          <w:tcPr>
            <w:tcW w:w="10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(4,011.9)</w:t>
            </w:r>
          </w:p>
        </w:tc>
        <w:tc>
          <w:tcPr>
            <w:tcW w:w="1140" w:type="dxa"/>
            <w:vAlign w:val="bottom"/>
            <w:tcBorders>
              <w:top w:val="single" w:sz="8" w:color="auto"/>
            </w:tcBorders>
            <w:shd w:val="clear" w:color="auto" w:fill="CCEEFF"/>
          </w:tcPr>
          <w:p>
            <w:pPr>
              <w:jc w:val="center"/>
              <w:ind w:left="48"/>
              <w:spacing w:after="0"/>
              <w:rPr>
                <w:sz w:val="20"/>
                <w:szCs w:val="20"/>
                <w:color w:val="auto"/>
              </w:rPr>
            </w:pPr>
            <w:r>
              <w:rPr>
                <w:rFonts w:ascii="Arial" w:cs="Arial" w:eastAsia="Arial" w:hAnsi="Arial"/>
                <w:sz w:val="14"/>
                <w:szCs w:val="14"/>
                <w:color w:val="auto"/>
              </w:rPr>
              <w:t>(21)%</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Costs and expenses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sales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10,273.0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16,382.5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(3,857.9)</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(24)%</w:t>
            </w:r>
          </w:p>
        </w:tc>
      </w:tr>
      <w:tr>
        <w:trPr>
          <w:trHeight w:val="194"/>
        </w:trPr>
        <w:tc>
          <w:tcPr>
            <w:tcW w:w="2420" w:type="dxa"/>
            <w:vAlign w:val="bottom"/>
          </w:tcPr>
          <w:p>
            <w:pPr>
              <w:ind w:left="280"/>
              <w:spacing w:after="0"/>
              <w:rPr>
                <w:sz w:val="20"/>
                <w:szCs w:val="20"/>
                <w:color w:val="auto"/>
              </w:rPr>
            </w:pPr>
            <w:r>
              <w:rPr>
                <w:rFonts w:ascii="Arial" w:cs="Arial" w:eastAsia="Arial" w:hAnsi="Arial"/>
                <w:sz w:val="14"/>
                <w:szCs w:val="14"/>
                <w:color w:val="auto"/>
              </w:rPr>
              <w:t>Selling, general and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2420" w:type="dxa"/>
            <w:vAlign w:val="bottom"/>
          </w:tcPr>
          <w:p>
            <w:pPr>
              <w:ind w:left="280"/>
              <w:spacing w:after="0"/>
              <w:rPr>
                <w:sz w:val="20"/>
                <w:szCs w:val="20"/>
                <w:color w:val="auto"/>
              </w:rPr>
            </w:pPr>
            <w:r>
              <w:rPr>
                <w:rFonts w:ascii="Arial" w:cs="Arial" w:eastAsia="Arial" w:hAnsi="Arial"/>
                <w:sz w:val="14"/>
                <w:szCs w:val="14"/>
                <w:color w:val="auto"/>
              </w:rPr>
              <w:t>administrative expense</w:t>
            </w: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1,140.6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1,060.9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(169.0)</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(14)%</w:t>
            </w:r>
          </w:p>
        </w:tc>
      </w:tr>
      <w:tr>
        <w:trPr>
          <w:trHeight w:val="200"/>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(3)%</w:t>
            </w:r>
          </w:p>
        </w:tc>
      </w:tr>
      <w:tr>
        <w:trPr>
          <w:trHeight w:val="194"/>
        </w:trPr>
        <w:tc>
          <w:tcPr>
            <w:tcW w:w="2420" w:type="dxa"/>
            <w:vAlign w:val="bottom"/>
          </w:tcPr>
          <w:p>
            <w:pPr>
              <w:ind w:left="280"/>
              <w:spacing w:after="0"/>
              <w:rPr>
                <w:sz w:val="20"/>
                <w:szCs w:val="20"/>
                <w:color w:val="auto"/>
              </w:rPr>
            </w:pPr>
            <w:r>
              <w:rPr>
                <w:rFonts w:ascii="Arial" w:cs="Arial" w:eastAsia="Arial" w:hAnsi="Arial"/>
                <w:sz w:val="14"/>
                <w:szCs w:val="14"/>
                <w:color w:val="auto"/>
              </w:rPr>
              <w:t>Impairment, restructuring and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2420" w:type="dxa"/>
            <w:vAlign w:val="bottom"/>
          </w:tcPr>
          <w:p>
            <w:pPr>
              <w:ind w:left="280"/>
              <w:spacing w:after="0"/>
              <w:rPr>
                <w:sz w:val="20"/>
                <w:szCs w:val="20"/>
                <w:color w:val="auto"/>
              </w:rPr>
            </w:pPr>
            <w:r>
              <w:rPr>
                <w:rFonts w:ascii="Arial" w:cs="Arial" w:eastAsia="Arial" w:hAnsi="Arial"/>
                <w:sz w:val="14"/>
                <w:szCs w:val="14"/>
                <w:color w:val="auto"/>
              </w:rPr>
              <w:t>other expense</w:t>
            </w: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1,831.2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1,639.7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856.2 %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(252.1)</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(57)%</w:t>
            </w:r>
          </w:p>
        </w:tc>
      </w:tr>
      <w:tr>
        <w:trPr>
          <w:trHeight w:val="200"/>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Merger transaction and</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integration costs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(26)%</w:t>
            </w:r>
          </w:p>
        </w:tc>
      </w:tr>
      <w:tr>
        <w:trPr>
          <w:trHeight w:val="24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13,470.5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14,091.7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18,413.3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8,743.6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(621.2)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(4,321.6)</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(23)%</w:t>
            </w: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(314)%</w:t>
            </w:r>
          </w:p>
        </w:tc>
      </w:tr>
      <w:tr>
        <w:trPr>
          <w:trHeight w:val="264"/>
        </w:trPr>
        <w:tc>
          <w:tcPr>
            <w:tcW w:w="2420" w:type="dxa"/>
            <w:vAlign w:val="bottom"/>
          </w:tcPr>
          <w:p>
            <w:pPr>
              <w:ind w:left="280"/>
              <w:spacing w:after="0"/>
              <w:rPr>
                <w:sz w:val="20"/>
                <w:szCs w:val="20"/>
                <w:color w:val="auto"/>
              </w:rPr>
            </w:pPr>
            <w:r>
              <w:rPr>
                <w:rFonts w:ascii="Arial" w:cs="Arial" w:eastAsia="Arial" w:hAnsi="Arial"/>
                <w:sz w:val="14"/>
                <w:szCs w:val="14"/>
                <w:color w:val="auto"/>
              </w:rPr>
              <w:t>Income from equity affiliates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105.6 %</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410%</w:t>
            </w: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expense</w:t>
            </w: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(286.1)</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(983)%</w:t>
            </w:r>
          </w:p>
        </w:tc>
      </w:tr>
      <w:tr>
        <w:trPr>
          <w:trHeight w:val="156"/>
        </w:trPr>
        <w:tc>
          <w:tcPr>
            <w:tcW w:w="242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Income (loss) before income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6"/>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679.7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(2,167.8)</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5%</w:t>
            </w: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422.7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545.5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10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260.8</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92%</w:t>
            </w:r>
          </w:p>
        </w:tc>
      </w:tr>
      <w:tr>
        <w:trPr>
          <w:trHeight w:val="156"/>
        </w:trPr>
        <w:tc>
          <w:tcPr>
            <w:tcW w:w="242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Income (loss) from continuing</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6"/>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(2,045.0)</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(230.5)</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(63)%</w:t>
            </w:r>
          </w:p>
        </w:tc>
      </w:tr>
      <w:tr>
        <w:trPr>
          <w:trHeight w:val="200"/>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(loss) from discontinued</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 net of income taxes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100%</w:t>
            </w:r>
          </w:p>
        </w:tc>
      </w:tr>
      <w:tr>
        <w:trPr>
          <w:trHeight w:val="24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(1,910.8)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354.6</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371.1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(2,045.0)</w:t>
            </w:r>
          </w:p>
        </w:tc>
        <w:tc>
          <w:tcPr>
            <w:tcW w:w="10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(1,523.8)%</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(220.4)</w:t>
            </w:r>
          </w:p>
        </w:tc>
        <w:tc>
          <w:tcPr>
            <w:tcW w:w="1140" w:type="dxa"/>
            <w:vAlign w:val="bottom"/>
            <w:tcBorders>
              <w:bottom w:val="single" w:sz="8" w:color="CCEEFF"/>
            </w:tcBorders>
          </w:tcPr>
          <w:p>
            <w:pPr>
              <w:jc w:val="center"/>
              <w:ind w:left="48"/>
              <w:spacing w:after="0"/>
              <w:rPr>
                <w:sz w:val="20"/>
                <w:szCs w:val="20"/>
                <w:color w:val="auto"/>
              </w:rPr>
            </w:pPr>
            <w:r>
              <w:rPr>
                <w:rFonts w:ascii="Arial" w:cs="Arial" w:eastAsia="Arial" w:hAnsi="Arial"/>
                <w:sz w:val="14"/>
                <w:szCs w:val="14"/>
                <w:color w:val="auto"/>
              </w:rPr>
              <w:t>(62)%</w:t>
            </w:r>
          </w:p>
        </w:tc>
      </w:tr>
      <w:tr>
        <w:trPr>
          <w:trHeight w:val="180"/>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(income) attributable to</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4"/>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48.3 %</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1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(189)%</w:t>
            </w:r>
          </w:p>
        </w:tc>
      </w:tr>
      <w:tr>
        <w:trPr>
          <w:trHeight w:val="156"/>
        </w:trPr>
        <w:tc>
          <w:tcPr>
            <w:tcW w:w="242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Net income (loss) attributable to</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9"/>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TechnipFMC plc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(2,034.9)</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(70)%</w:t>
            </w: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29" w:lineRule="exact"/>
        <w:rPr>
          <w:sz w:val="20"/>
          <w:szCs w:val="20"/>
          <w:color w:val="auto"/>
        </w:rPr>
      </w:pPr>
    </w:p>
    <w:p>
      <w:pPr>
        <w:ind w:left="260" w:right="540" w:hanging="225"/>
        <w:spacing w:after="0" w:line="258" w:lineRule="auto"/>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 to “Pro Forma Results of Operations” above for further information related to the presentation of and transactions included in pro forma results for the year ended December 31,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2018 Compared With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decreased $2.5 billion in 2018 compared to the prior-year period, primarily as a result of declining project activity. Subsea project activity declined in Africa, Asia Pacific, and North America. Onshore/Offshore activity also declined as projects progressed towards completion, driven primarily by Yamal LNG, partially offset by an increase in project activity in the Middle East and Asia Pacific. Surface Technologies’ revenue increased primarily as a result of strong demand for the North American land market recovery.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Gross profit (revenue less cost of sales) increased as a percentage of sales to 18.2% in 2018, from 16.8% in the prior-year. The increase in gross profit as a percentage of sales was primarily due to the realization of cost reduction opportunities on certain projects, a lower overall cost structure due to cost reduction and synergy initiatives, the successful progression of several major projects with strong economic performance, and the benefit of a better product and service mix.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Selling, general and administrative expense increased $79.7 million year-over-year. FMC Technologies operations prior to the Merger date of January, 17, 2017 is excluded from 2017. FMC Technologies' selling, general and administrative expenses for this period were $63.0 million. On a comparable basis, selling, general and administrative expense increased by $16.7 million, primarily due to increased tendering costs related to an increasing number of FEED studies and future project awards.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incurred impairment, restructuring and other expense of $1.8 billion primarily driven by a $1.4 billion impairment of goodwill and $372.9 million impairment of our vessels. Refer to Note 17 to our consolidated financial statements included in Part II, Item 8 of this Annual Report on Form 10-K for additional information related to impairments.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incurred integration costs of $ 36.5 million during 2018. Refer to Note 2 to our consolidated financial statements included in Part II, Item 8 of this Annual Report on Form 10-K for additional information related to the Merger.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Other income (expense), net, primarily reflects $280.0 million in legal provisions and $116.5 million of net foreign exchange losses associated with the remeasurement of net cash positions and foreign currency derivatives.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year ended December 31, 2018, we revalued the mandatorily redeemable financial liability to reflect current expectations about the obligation and recognized a loss of $322.3 million. Refer to Note 22 for further information regarding the fair value measurement assumptions of the mandatorily redeemable financial liability and related changes in its fair value. Net interest expense, excluding the fair value measurement of the mandatorily redeemable financial liability, also includes interest income and expenses, which were higher by $17.2 million on a net basis compared to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 tax rate was (28.4)% in 2018 and 80.3% in 2017. The effective tax rate for 2018 was significantly impacted by impairments which were only partially tax-effective and non-deductible legal provision. The change in the effective tax rate in 2018 as compared to 2017, excluding these items, was primarily attributable to an unfavorable change in actual country mix of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2017 Compared With 2016 Pro Forma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Revenue decreased $4.0 billion in 2017 compared to the prior-year period on a pro forma basis, primarily resulting from a sharp decline in Subsea activities in the Europe and Africa region due to lower order activity during 2015 and 2016, resulting in a lower backlog of business coming into 2017. The decrease was also attributable to the completion of several projects, combined with lower Subsea vessel utilization. Revenue also decreased across all Onshore/Offshore businesses year-over-year on a pro forma basis, primarily driven by lower levels of project backlog coming into 2017 for the Middle East, North America, and South America regions.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Gross profit (revenue less cost of sales) increased as a percentage of sales to 16.8% in 2017, from 14.1% in the prior-year on a pro forma basis. The improvement in gross profit as a percentage of sales was primarily due to the reduction of cost of sales year-over-year on a pro forma basis as a result of the realization of cost reduction opportunities on certain projects, a lower overall cost structure due to cost reduction and synergy initiatives, the successful progression of several major projects with strong economic performance, and the benefit of a better product and service mix.</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76"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Selling, general and administrative expense decreased $169.0 million year-over-year on a pro forma basis, resulting from lower headcount across all reporting segments, due in part to the benefit of Merger synergies and decreased sales commissions due to the reduced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Impairment, restructuring and other expense decreased by $252.1 million year-over-year on a pro forma basis. Impairment, restructuring and other expense for 2017 included $157.2 million of restructuring expense and $34.3 million of impairment expense.</w:t>
      </w:r>
    </w:p>
    <w:p>
      <w:pPr>
        <w:spacing w:after="0" w:line="142"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the comparable periods, on a pro forma basis, we have implemented restructuring plans across our segments to reduce costs and better align our workforce with anticipated activity levels. Thus, we previously incurred significant restructuring expenses in 2016 on a pro forma basis. In 2017 we continued to align our capacity to expected operating activity levels for 2018 and beyond and we were also negatively impacted by Hurricane Harvey, as a result of which we incurred expenses of $10.9 million due to lost productivity.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incurred merger transaction and integration costs of $101.8 million during 2017 due to the Merger. A significant portion of the expenses recorded in the period are related to transaction and leased facility termination fees, with a lower portion but still material related to integration activities pertaining to combining the two legacy companies. Refer to Note 2 to our consolidated financial statements included in Part II, Item 8 of this Annual Report on Form 10-K for further information related to the Merger.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Other income (expense), net, primarily reflects foreign currency gains and losses. These include gains and losses associated with the remeasurement of net cash positions as well as foreign currency derivatives. During 2017, we incurred $40.1 million of additional net foreign exchange losses compared to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increase in interest expense was due to the changes in the fair value of a mandatorily redeemable financial liability. During the year ended December 31, 2017, we revalued the liability to reflect current expectations about the obligation and recognized a loss of $293.7 million. Refer to Note 22 for further information regarding the fair value measurement assumptions of the mandatorily redeemable financial liability and related changes in its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income tax provisions for 2017 and 2016 on a historical basis reflected effective tax rates of 80.3% and 32.7%, respectively. The year-over-year increase in the effective tax rate was primarily due to increases in our valuation allowance due to additional losses generated during the year for which no tax benefit is expected to be realized and an unfavorable change in actual country mix of earnings. In addition, due to U.S. legislation passed in the fourth quarter of 2017, we incurred a one-time deemed repatriation transition tax of $148.7 million and an unfavorable tax provision impact of $18.9 million from the revaluation of the U.S. deferred individual tax assets and liabilities.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OPERATING RESULTS OF BUSINESS SEGMENTS</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5 to our consolidated financial statements included in Part II, Item 8 of this Annual Report on Form 10-K for further information.</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report our results of operations in U.S. dollars; however, our earnings are generated in various currencies worldwide. In order to provide worldwide consolidated results, the earnings of subsidiaries functioning in their local currencies are translated into U.S. dollars based upon the average exchange rate during the period. While the U.S. dollar results reported reflect the actual economics of the period reported upon, the variances from prior periods include the impact of translating earnings at different rates.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Favorable/(Unfavorable)</w:t>
            </w:r>
          </w:p>
        </w:tc>
        <w:tc>
          <w:tcPr>
            <w:tcW w:w="800" w:type="dxa"/>
            <w:vAlign w:val="bottom"/>
            <w:tcBorders>
              <w:bottom w:val="single" w:sz="8" w:color="auto"/>
            </w:tcBorders>
          </w:tcPr>
          <w:p>
            <w:pPr>
              <w:spacing w:after="0"/>
              <w:rPr>
                <w:sz w:val="17"/>
                <w:szCs w:val="17"/>
                <w:color w:val="auto"/>
              </w:rPr>
            </w:pPr>
          </w:p>
        </w:tc>
      </w:tr>
      <w:tr>
        <w:trPr>
          <w:trHeight w:val="175"/>
        </w:trPr>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2018 vs.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2017 vs.</w:t>
            </w:r>
          </w:p>
        </w:tc>
        <w:tc>
          <w:tcPr>
            <w:tcW w:w="800" w:type="dxa"/>
            <w:vAlign w:val="bottom"/>
          </w:tcPr>
          <w:p>
            <w:pPr>
              <w:spacing w:after="0"/>
              <w:rPr>
                <w:sz w:val="15"/>
                <w:szCs w:val="15"/>
                <w:color w:val="auto"/>
              </w:rPr>
            </w:pPr>
          </w:p>
        </w:tc>
      </w:tr>
      <w:tr>
        <w:trPr>
          <w:trHeight w:val="202"/>
        </w:trPr>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60" w:type="dxa"/>
            <w:vAlign w:val="bottom"/>
          </w:tcPr>
          <w:p>
            <w:pPr>
              <w:spacing w:after="0"/>
              <w:rPr>
                <w:sz w:val="17"/>
                <w:szCs w:val="17"/>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7"/>
                <w:szCs w:val="17"/>
                <w:b w:val="1"/>
                <w:bCs w:val="1"/>
                <w:color w:val="auto"/>
                <w:vertAlign w:val="superscript"/>
              </w:rPr>
              <w:t>(a)</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2016 Pro Forma</w:t>
            </w:r>
          </w:p>
        </w:tc>
        <w:tc>
          <w:tcPr>
            <w:tcW w:w="26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2016 Pro Forma</w:t>
            </w:r>
          </w:p>
        </w:tc>
      </w:tr>
      <w:tr>
        <w:trPr>
          <w:trHeight w:val="264"/>
        </w:trPr>
        <w:tc>
          <w:tcPr>
            <w:tcW w:w="1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4,840.0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5,877.4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9,150.5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5,850.5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(1,037.4)</w:t>
            </w:r>
          </w:p>
        </w:tc>
        <w:tc>
          <w:tcPr>
            <w:tcW w:w="72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(3,273.1)</w:t>
            </w:r>
          </w:p>
        </w:tc>
        <w:tc>
          <w:tcPr>
            <w:tcW w:w="80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(36)%</w:t>
            </w:r>
          </w:p>
        </w:tc>
      </w:tr>
      <w:tr>
        <w:trPr>
          <w:trHeight w:val="264"/>
        </w:trPr>
        <w:tc>
          <w:tcPr>
            <w:tcW w:w="188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(1,529.5)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460.5</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982.6</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732.0</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(1,990.0)</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(522.1)</w:t>
            </w: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(53)%</w:t>
            </w:r>
          </w:p>
        </w:tc>
      </w:tr>
      <w:tr>
        <w:trPr>
          <w:trHeight w:val="290"/>
        </w:trPr>
        <w:tc>
          <w:tcPr>
            <w:tcW w:w="1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94"/>
        </w:trPr>
        <w:tc>
          <w:tcPr>
            <w:tcW w:w="1880" w:type="dxa"/>
            <w:vAlign w:val="bottom"/>
          </w:tcPr>
          <w:p>
            <w:pPr>
              <w:ind w:left="40"/>
              <w:spacing w:after="0"/>
              <w:rPr>
                <w:sz w:val="20"/>
                <w:szCs w:val="20"/>
                <w:color w:val="auto"/>
              </w:rPr>
            </w:pPr>
            <w:r>
              <w:rPr>
                <w:rFonts w:ascii="Arial" w:cs="Arial" w:eastAsia="Arial" w:hAnsi="Arial"/>
                <w:sz w:val="14"/>
                <w:szCs w:val="14"/>
                <w:color w:val="auto"/>
              </w:rPr>
              <w:t>Operating profit as a</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72"/>
        </w:trPr>
        <w:tc>
          <w:tcPr>
            <w:tcW w:w="1880" w:type="dxa"/>
            <w:vAlign w:val="bottom"/>
          </w:tcPr>
          <w:p>
            <w:pPr>
              <w:ind w:left="40"/>
              <w:spacing w:after="0"/>
              <w:rPr>
                <w:sz w:val="20"/>
                <w:szCs w:val="20"/>
                <w:color w:val="auto"/>
              </w:rPr>
            </w:pPr>
            <w:r>
              <w:rPr>
                <w:rFonts w:ascii="Arial" w:cs="Arial" w:eastAsia="Arial" w:hAnsi="Arial"/>
                <w:sz w:val="14"/>
                <w:szCs w:val="14"/>
                <w:color w:val="auto"/>
              </w:rPr>
              <w:t>percent of revenue</w:t>
            </w:r>
          </w:p>
        </w:tc>
        <w:tc>
          <w:tcPr>
            <w:tcW w:w="260" w:type="dxa"/>
            <w:vAlign w:val="bottom"/>
          </w:tcPr>
          <w:p>
            <w:pPr>
              <w:spacing w:after="0"/>
              <w:rPr>
                <w:sz w:val="14"/>
                <w:szCs w:val="14"/>
                <w:color w:val="auto"/>
              </w:rPr>
            </w:pP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(2.9pts.</w:t>
            </w:r>
          </w:p>
        </w:tc>
      </w:tr>
    </w:tbl>
    <w:p>
      <w:pPr>
        <w:spacing w:after="0" w:line="179" w:lineRule="exact"/>
        <w:rPr>
          <w:sz w:val="20"/>
          <w:szCs w:val="20"/>
          <w:color w:val="auto"/>
        </w:rPr>
      </w:pPr>
    </w:p>
    <w:p>
      <w:pPr>
        <w:ind w:left="340" w:hanging="332"/>
        <w:spacing w:after="0" w:line="25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Due to the Merger, there were 11.5 months included in the year ended 2017 for legacy FMC Technologies, compared with twelve months in pro forma 2016. Refer to Note 2 to our consolidated financial statements included in Part II, Item 8 of this Annual Report on Form 10-K for further information related to the Merger.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1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Subsea revenue decreased $1.0 billion year-over-year, primarily due to projects in Africa, Asia Pacific and North America regions that progressed towards completion, partially offset by increased activity in Europe. Subsea revenue continued to be negatively impacted by prior period lower inbound orders related to the market downturn.</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Subsea operating profit, excluding $1,784.2 million of asset impairment charges, totaled $254.7 million, compared to the prior-year’s operating profit of $460.5 million. The reduction was primarily due to the anticipated revenue decline related to the prior period lower inbound orders, partially offset by Merger synergies and other cost reduction activities, and the successful completion of key project milestones. Additionally, 2018 included $1,784.2 million of asset impairment charges primarily related to the impairment of goodwill and certain of our vessels. Refer to Note 17 to our consolidated financial statements included in Part II, Item 8 of this Annual Report on Form 10-K for additional information related to these asset impairments.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93"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Subsea revenue decreased $3.3 billion year-over-year on a pro forma basis primarily due to lower overall activity in the Europe, Africa and North America regions as a result of the reduced backlog from 2015 and 2016. Additionally, the decrease in revenue was attributable to the completion of several projects during the first nine months of 2017 and lower vessel utilization year-over-year on a pro forma basis primarily due to high vessel campaigns in Africa and Asia in the prior year that did not continue into the current year at similar levels.</w:t>
      </w:r>
    </w:p>
    <w:p>
      <w:pPr>
        <w:spacing w:after="0" w:line="15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Subsea operating profit as a percent of revenue decreased year-over-year on a pro forma basis due to lower revenue in our Subsea projects business across most Subsea regions.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Favorable/(Unfavorable)</w:t>
            </w:r>
          </w:p>
        </w:tc>
        <w:tc>
          <w:tcPr>
            <w:tcW w:w="780" w:type="dxa"/>
            <w:vAlign w:val="bottom"/>
            <w:tcBorders>
              <w:bottom w:val="single" w:sz="8" w:color="auto"/>
            </w:tcBorders>
          </w:tcPr>
          <w:p>
            <w:pPr>
              <w:spacing w:after="0"/>
              <w:rPr>
                <w:sz w:val="17"/>
                <w:szCs w:val="17"/>
                <w:color w:val="auto"/>
              </w:rPr>
            </w:pPr>
          </w:p>
        </w:tc>
      </w:tr>
      <w:tr>
        <w:trPr>
          <w:trHeight w:val="175"/>
        </w:trPr>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2018 vs.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center"/>
              <w:ind w:left="348"/>
              <w:spacing w:after="0"/>
              <w:rPr>
                <w:sz w:val="20"/>
                <w:szCs w:val="20"/>
                <w:color w:val="auto"/>
              </w:rPr>
            </w:pPr>
            <w:r>
              <w:rPr>
                <w:rFonts w:ascii="Arial" w:cs="Arial" w:eastAsia="Arial" w:hAnsi="Arial"/>
                <w:sz w:val="14"/>
                <w:szCs w:val="14"/>
                <w:b w:val="1"/>
                <w:bCs w:val="1"/>
                <w:color w:val="auto"/>
              </w:rPr>
              <w:t>2017 vs.</w:t>
            </w:r>
          </w:p>
        </w:tc>
        <w:tc>
          <w:tcPr>
            <w:tcW w:w="780" w:type="dxa"/>
            <w:vAlign w:val="bottom"/>
          </w:tcPr>
          <w:p>
            <w:pPr>
              <w:spacing w:after="0"/>
              <w:rPr>
                <w:sz w:val="15"/>
                <w:szCs w:val="15"/>
                <w:color w:val="auto"/>
              </w:rPr>
            </w:pPr>
          </w:p>
        </w:tc>
      </w:tr>
      <w:tr>
        <w:trPr>
          <w:trHeight w:val="196"/>
        </w:trPr>
        <w:tc>
          <w:tcPr>
            <w:tcW w:w="18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2016 Pro Forma</w:t>
            </w:r>
          </w:p>
        </w:tc>
        <w:tc>
          <w:tcPr>
            <w:tcW w:w="26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2016 Pro Forma</w:t>
            </w:r>
          </w:p>
        </w:tc>
      </w:tr>
      <w:tr>
        <w:trPr>
          <w:trHeight w:val="270"/>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6,120.7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7,904.5</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8,690.0</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3,349.1</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(1,783.8)</w:t>
            </w:r>
          </w:p>
        </w:tc>
        <w:tc>
          <w:tcPr>
            <w:tcW w:w="8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(785.5)</w:t>
            </w:r>
          </w:p>
        </w:tc>
        <w:tc>
          <w:tcPr>
            <w:tcW w:w="7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(9)%</w:t>
            </w:r>
          </w:p>
        </w:tc>
      </w:tr>
      <w:tr>
        <w:trPr>
          <w:trHeight w:val="264"/>
        </w:trPr>
        <w:tc>
          <w:tcPr>
            <w:tcW w:w="182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824.0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810.9</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22"/>
                <w:szCs w:val="22"/>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8"/>
              <w:spacing w:after="0"/>
              <w:rPr>
                <w:sz w:val="20"/>
                <w:szCs w:val="20"/>
                <w:color w:val="auto"/>
              </w:rPr>
            </w:pPr>
            <w:r>
              <w:rPr>
                <w:rFonts w:ascii="Arial" w:cs="Arial" w:eastAsia="Arial" w:hAnsi="Arial"/>
                <w:sz w:val="14"/>
                <w:szCs w:val="14"/>
                <w:color w:val="auto"/>
              </w:rPr>
              <w:t>13.1</w:t>
            </w:r>
          </w:p>
        </w:tc>
        <w:tc>
          <w:tcPr>
            <w:tcW w:w="820" w:type="dxa"/>
            <w:vAlign w:val="bottom"/>
          </w:tcPr>
          <w:p>
            <w:pPr>
              <w:jc w:val="right"/>
              <w:ind w:right="3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28"/>
              <w:spacing w:after="0"/>
              <w:rPr>
                <w:sz w:val="20"/>
                <w:szCs w:val="20"/>
                <w:color w:val="auto"/>
              </w:rPr>
            </w:pPr>
            <w:r>
              <w:rPr>
                <w:rFonts w:ascii="Arial" w:cs="Arial" w:eastAsia="Arial" w:hAnsi="Arial"/>
                <w:sz w:val="14"/>
                <w:szCs w:val="14"/>
                <w:color w:val="auto"/>
              </w:rPr>
              <w:t>626.4</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340%</w:t>
            </w:r>
          </w:p>
        </w:tc>
      </w:tr>
      <w:tr>
        <w:trPr>
          <w:trHeight w:val="222"/>
        </w:trPr>
        <w:tc>
          <w:tcPr>
            <w:tcW w:w="1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94"/>
        </w:trPr>
        <w:tc>
          <w:tcPr>
            <w:tcW w:w="1820" w:type="dxa"/>
            <w:vAlign w:val="bottom"/>
          </w:tcPr>
          <w:p>
            <w:pPr>
              <w:ind w:left="40"/>
              <w:spacing w:after="0"/>
              <w:rPr>
                <w:sz w:val="20"/>
                <w:szCs w:val="20"/>
                <w:color w:val="auto"/>
              </w:rPr>
            </w:pPr>
            <w:r>
              <w:rPr>
                <w:rFonts w:ascii="Arial" w:cs="Arial" w:eastAsia="Arial" w:hAnsi="Arial"/>
                <w:sz w:val="14"/>
                <w:szCs w:val="14"/>
                <w:color w:val="auto"/>
              </w:rPr>
              <w:t>Operating profit as a</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2"/>
        </w:trPr>
        <w:tc>
          <w:tcPr>
            <w:tcW w:w="1820" w:type="dxa"/>
            <w:vAlign w:val="bottom"/>
          </w:tcPr>
          <w:p>
            <w:pPr>
              <w:ind w:left="40"/>
              <w:spacing w:after="0"/>
              <w:rPr>
                <w:sz w:val="20"/>
                <w:szCs w:val="20"/>
                <w:color w:val="auto"/>
              </w:rPr>
            </w:pPr>
            <w:r>
              <w:rPr>
                <w:rFonts w:ascii="Arial" w:cs="Arial" w:eastAsia="Arial" w:hAnsi="Arial"/>
                <w:sz w:val="14"/>
                <w:szCs w:val="14"/>
                <w:color w:val="auto"/>
              </w:rPr>
              <w:t>percent of revenue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gridSpan w:val="2"/>
          </w:tcPr>
          <w:p>
            <w:pPr>
              <w:ind w:left="300"/>
              <w:spacing w:after="0"/>
              <w:rPr>
                <w:sz w:val="20"/>
                <w:szCs w:val="20"/>
                <w:color w:val="auto"/>
              </w:rPr>
            </w:pPr>
            <w:r>
              <w:rPr>
                <w:rFonts w:ascii="Arial" w:cs="Arial" w:eastAsia="Arial" w:hAnsi="Arial"/>
                <w:sz w:val="14"/>
                <w:szCs w:val="14"/>
                <w:color w:val="auto"/>
              </w:rPr>
              <w:t>3.2 pts.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8.2 pts.</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Onshore/Offshore revenue decreased $1.8 billion year-over-year. The decrease was primarily driven by major projects including Yamal LNG, Silbur, and Martin Linge, that progressed towards completion. The decrease was partially offset by the Energean Karish project awarded in early 2018, FEED work for the Arctic LNG project, and increased work in our Process and Technology business.</w:t>
      </w:r>
    </w:p>
    <w:p>
      <w:pPr>
        <w:spacing w:after="0" w:line="148"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Operating profit year-over-year was favorably impacted by reduced costs, strong project execution and bonus achievements on Yamal LNG due to completion of key milestones ahead of schedule. Additionally, 2018 was favorably impacted by $3.4 million related to settlements on restructured projects and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Onshore/Offshore operating profit as a percentage of revenue increased to 13.5% compared to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93" w:lineRule="exact"/>
        <w:rPr>
          <w:sz w:val="20"/>
          <w:szCs w:val="20"/>
          <w:color w:val="auto"/>
        </w:rPr>
      </w:pPr>
    </w:p>
    <w:p>
      <w:pPr>
        <w:jc w:val="both"/>
        <w:ind w:right="600"/>
        <w:spacing w:after="0" w:line="256" w:lineRule="auto"/>
        <w:rPr>
          <w:sz w:val="20"/>
          <w:szCs w:val="20"/>
          <w:color w:val="auto"/>
        </w:rPr>
      </w:pPr>
      <w:r>
        <w:rPr>
          <w:rFonts w:ascii="Arial" w:cs="Arial" w:eastAsia="Arial" w:hAnsi="Arial"/>
          <w:sz w:val="18"/>
          <w:szCs w:val="18"/>
          <w:color w:val="auto"/>
        </w:rPr>
        <w:t>Onshore/Offshore revenue decreased $785.5 million year-over-year. The decrease in revenue was attributable to lower activity in North America, due to the delivery of several projects in 2016 and early 2017, as well as reduced activity in Yamal, partially offset by increases projects in Prelude FLNG and the Middle East.</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Operating profit and operating profit as a percentage of revenue for the year ended 2017 were both favorable compared to the year ended 2016 on a pro forma basis in comparison and both benefited by successful progression of several major projects, including Yamal and Prelude FLNG, and the successful resolution of certain contract disputes. In addition, the year-over-year performances were favorably impacted by a decrease of $209.7 million related to impairment, restructuring and other expense.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Surface Technologies </w:t>
      </w:r>
      <w:r>
        <w:rPr>
          <w:rFonts w:ascii="Arial" w:cs="Arial" w:eastAsia="Arial" w:hAnsi="Arial"/>
          <w:sz w:val="21"/>
          <w:szCs w:val="21"/>
          <w:b w:val="1"/>
          <w:bCs w:val="1"/>
          <w:i w:val="1"/>
          <w:iCs w:val="1"/>
          <w:color w:val="auto"/>
          <w:vertAlign w:val="superscript"/>
        </w:rPr>
        <w:t>(b)</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Favorable/(Unfavorable)</w:t>
            </w:r>
          </w:p>
        </w:tc>
        <w:tc>
          <w:tcPr>
            <w:tcW w:w="1520" w:type="dxa"/>
            <w:vAlign w:val="bottom"/>
            <w:tcBorders>
              <w:bottom w:val="single" w:sz="8" w:color="auto"/>
            </w:tcBorders>
          </w:tcPr>
          <w:p>
            <w:pPr>
              <w:spacing w:after="0"/>
              <w:rPr>
                <w:sz w:val="17"/>
                <w:szCs w:val="17"/>
                <w:color w:val="auto"/>
              </w:rPr>
            </w:pPr>
          </w:p>
        </w:tc>
      </w:tr>
      <w:tr>
        <w:trPr>
          <w:trHeight w:val="175"/>
        </w:trPr>
        <w:tc>
          <w:tcPr>
            <w:tcW w:w="2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2018 vs.</w:t>
            </w: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tcPr>
          <w:p>
            <w:pPr>
              <w:jc w:val="center"/>
              <w:ind w:right="848"/>
              <w:spacing w:after="0"/>
              <w:rPr>
                <w:sz w:val="20"/>
                <w:szCs w:val="20"/>
                <w:color w:val="auto"/>
              </w:rPr>
            </w:pPr>
            <w:r>
              <w:rPr>
                <w:rFonts w:ascii="Arial" w:cs="Arial" w:eastAsia="Arial" w:hAnsi="Arial"/>
                <w:sz w:val="14"/>
                <w:szCs w:val="14"/>
                <w:b w:val="1"/>
                <w:bCs w:val="1"/>
                <w:color w:val="auto"/>
              </w:rPr>
              <w:t>2017 vs.</w:t>
            </w:r>
          </w:p>
        </w:tc>
      </w:tr>
      <w:tr>
        <w:trPr>
          <w:trHeight w:val="202"/>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60" w:type="dxa"/>
            <w:vAlign w:val="bottom"/>
          </w:tcPr>
          <w:p>
            <w:pPr>
              <w:spacing w:after="0"/>
              <w:rPr>
                <w:sz w:val="17"/>
                <w:szCs w:val="17"/>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7"/>
                <w:szCs w:val="17"/>
                <w:b w:val="1"/>
                <w:bCs w:val="1"/>
                <w:color w:val="auto"/>
                <w:vertAlign w:val="superscript"/>
              </w:rPr>
              <w:t>(a)</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2016 Pro Forma</w:t>
            </w: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2016 Pro Forma</w:t>
            </w:r>
          </w:p>
        </w:tc>
      </w:tr>
      <w:tr>
        <w:trPr>
          <w:trHeight w:val="264"/>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1,592.2</w:t>
            </w:r>
          </w:p>
        </w:tc>
        <w:tc>
          <w:tcPr>
            <w:tcW w:w="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1,274.6</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1,252.2</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317.6</w:t>
            </w:r>
          </w:p>
        </w:tc>
        <w:tc>
          <w:tcPr>
            <w:tcW w:w="940" w:type="dxa"/>
            <w:vAlign w:val="bottom"/>
            <w:tcBorders>
              <w:top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25%</w:t>
            </w:r>
          </w:p>
        </w:tc>
        <w:tc>
          <w:tcPr>
            <w:tcW w:w="42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5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2%</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172.8</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48"/>
              <w:spacing w:after="0"/>
              <w:rPr>
                <w:sz w:val="20"/>
                <w:szCs w:val="20"/>
                <w:color w:val="auto"/>
              </w:rPr>
            </w:pPr>
            <w:r>
              <w:rPr>
                <w:rFonts w:ascii="Arial" w:cs="Arial" w:eastAsia="Arial" w:hAnsi="Arial"/>
                <w:sz w:val="14"/>
                <w:szCs w:val="14"/>
                <w:color w:val="auto"/>
              </w:rPr>
              <w:t>90.1</w:t>
            </w:r>
          </w:p>
        </w:tc>
        <w:tc>
          <w:tcPr>
            <w:tcW w:w="940" w:type="dxa"/>
            <w:vAlign w:val="bottom"/>
          </w:tcPr>
          <w:p>
            <w:pPr>
              <w:jc w:val="right"/>
              <w:ind w:right="448"/>
              <w:spacing w:after="0"/>
              <w:rPr>
                <w:sz w:val="20"/>
                <w:szCs w:val="20"/>
                <w:color w:val="auto"/>
              </w:rPr>
            </w:pPr>
            <w:r>
              <w:rPr>
                <w:rFonts w:ascii="Arial" w:cs="Arial" w:eastAsia="Arial" w:hAnsi="Arial"/>
                <w:sz w:val="14"/>
                <w:szCs w:val="14"/>
                <w:color w:val="auto"/>
              </w:rPr>
              <w:t>109%</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204.7</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168%</w:t>
            </w:r>
          </w:p>
        </w:tc>
      </w:tr>
      <w:tr>
        <w:trPr>
          <w:trHeight w:val="222"/>
        </w:trPr>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94"/>
        </w:trPr>
        <w:tc>
          <w:tcPr>
            <w:tcW w:w="2540" w:type="dxa"/>
            <w:vAlign w:val="bottom"/>
          </w:tcPr>
          <w:p>
            <w:pPr>
              <w:ind w:left="40"/>
              <w:spacing w:after="0"/>
              <w:rPr>
                <w:sz w:val="20"/>
                <w:szCs w:val="20"/>
                <w:color w:val="auto"/>
              </w:rPr>
            </w:pPr>
            <w:r>
              <w:rPr>
                <w:rFonts w:ascii="Arial" w:cs="Arial" w:eastAsia="Arial" w:hAnsi="Arial"/>
                <w:sz w:val="14"/>
                <w:szCs w:val="14"/>
                <w:color w:val="auto"/>
              </w:rPr>
              <w:t>Operating profit (loss) as a percent of</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72"/>
        </w:trPr>
        <w:tc>
          <w:tcPr>
            <w:tcW w:w="2540" w:type="dxa"/>
            <w:vAlign w:val="bottom"/>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tcPr>
          <w:p>
            <w:pPr>
              <w:spacing w:after="0"/>
              <w:rPr>
                <w:sz w:val="14"/>
                <w:szCs w:val="14"/>
                <w:color w:val="auto"/>
              </w:rPr>
            </w:pPr>
          </w:p>
        </w:tc>
        <w:tc>
          <w:tcPr>
            <w:tcW w:w="1220" w:type="dxa"/>
            <w:vAlign w:val="bottom"/>
            <w:gridSpan w:val="2"/>
          </w:tcPr>
          <w:p>
            <w:pPr>
              <w:jc w:val="right"/>
              <w:ind w:right="308"/>
              <w:spacing w:after="0"/>
              <w:rPr>
                <w:sz w:val="20"/>
                <w:szCs w:val="20"/>
                <w:color w:val="auto"/>
              </w:rPr>
            </w:pPr>
            <w:r>
              <w:rPr>
                <w:rFonts w:ascii="Arial" w:cs="Arial" w:eastAsia="Arial" w:hAnsi="Arial"/>
                <w:sz w:val="14"/>
                <w:szCs w:val="14"/>
                <w:color w:val="auto"/>
              </w:rPr>
              <w:t>10.9%</w:t>
            </w: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ind w:left="380"/>
              <w:spacing w:after="0"/>
              <w:rPr>
                <w:sz w:val="20"/>
                <w:szCs w:val="20"/>
                <w:color w:val="auto"/>
              </w:rPr>
            </w:pPr>
            <w:r>
              <w:rPr>
                <w:rFonts w:ascii="Arial" w:cs="Arial" w:eastAsia="Arial" w:hAnsi="Arial"/>
                <w:sz w:val="14"/>
                <w:szCs w:val="14"/>
                <w:color w:val="auto"/>
              </w:rPr>
              <w:t>4.4 pts.</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ind w:left="920"/>
              <w:spacing w:after="0"/>
              <w:rPr>
                <w:sz w:val="20"/>
                <w:szCs w:val="20"/>
                <w:color w:val="auto"/>
              </w:rPr>
            </w:pPr>
            <w:r>
              <w:rPr>
                <w:rFonts w:ascii="Arial" w:cs="Arial" w:eastAsia="Arial" w:hAnsi="Arial"/>
                <w:sz w:val="14"/>
                <w:szCs w:val="14"/>
                <w:color w:val="auto"/>
              </w:rPr>
              <w:t>16.2 pts.</w:t>
            </w:r>
          </w:p>
        </w:tc>
      </w:tr>
    </w:tbl>
    <w:p>
      <w:pPr>
        <w:spacing w:after="0" w:line="179" w:lineRule="exact"/>
        <w:rPr>
          <w:sz w:val="20"/>
          <w:szCs w:val="20"/>
          <w:color w:val="auto"/>
        </w:rPr>
      </w:pPr>
    </w:p>
    <w:p>
      <w:pPr>
        <w:ind w:left="340" w:hanging="332"/>
        <w:spacing w:after="0" w:line="25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Due to the Merger, there were 11.5 months included in the year ended 2017 for legacy FMC Technologies, compared with twelve months in pro forma 2016. Refer to Note 2 to our consolidated financial statements included in Part II, Item 8 of this Annual Report on Form 10-K.</w:t>
      </w:r>
    </w:p>
    <w:p>
      <w:pPr>
        <w:spacing w:after="0" w:line="140" w:lineRule="exact"/>
        <w:rPr>
          <w:rFonts w:ascii="Arial" w:cs="Arial" w:eastAsia="Arial" w:hAnsi="Arial"/>
          <w:sz w:val="14"/>
          <w:szCs w:val="14"/>
          <w:color w:val="auto"/>
        </w:rPr>
      </w:pPr>
    </w:p>
    <w:p>
      <w:pPr>
        <w:ind w:left="340" w:right="280" w:hanging="332"/>
        <w:spacing w:after="0" w:line="25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Prior to the Merger, we reported our business in two segments, Subsea and Onshore/Offshore. As a result of the Merger and the addition of FMC Technologies, we began reporting our business in three segments. As such, actual results of operations for 2016 do not include Surface Technologies.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7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Surface Technologies revenue increased $317.6 million year-over-year primarily driven by increased activity in the North American market. The solid growth in North America reflected increased demand for flowline, hydraulic fracturing services, wellhead systems, and pressure control equipment and services. Outside of North America, revenue also increased year-over-year primarily driven by increased demand for pressure control equipment and services.</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Surface Technologies operating profit as a percent of revenue increased significantly year-over-year. The increase was primarily driven by increased volume in North America and cost reductions, partially offset by continued international pricing pressure. Additionally, 2018 included $13.8 million of impairment and restructuring and other severance charges compared to $19.2 million in the prior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Surface Technologies operating profit as a percentage of revenue increased to 10.9% compared to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Surface Technologies revenue increased $22.4 million year-over-year on a pro forma basis. Lower revenue in our surface international, measurement solutions, and loading systems businesses year-over-year on a pro forma basis was more than offset by revenue increase in our surface Americas business. The increase for surface Americas was driven primarily by a higher rig count, which had a positive impact on our flowline and well service pump revenues.</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Surface Technologies operating profit as a percent of revenue increased year-over-year on a pro forma basis and was driven primarily by increased volume in flowline and well service pump products in our surface Americas business, and a $48.8 million decrease in impairment, restructuring and other severance charges.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Favorable/(Unfavorable)</w:t>
            </w:r>
          </w:p>
        </w:tc>
        <w:tc>
          <w:tcPr>
            <w:tcW w:w="680" w:type="dxa"/>
            <w:vAlign w:val="bottom"/>
            <w:tcBorders>
              <w:bottom w:val="single" w:sz="8" w:color="auto"/>
            </w:tcBorders>
          </w:tcPr>
          <w:p>
            <w:pPr>
              <w:spacing w:after="0"/>
              <w:rPr>
                <w:sz w:val="17"/>
                <w:szCs w:val="17"/>
                <w:color w:val="auto"/>
              </w:rPr>
            </w:pPr>
          </w:p>
        </w:tc>
      </w:tr>
      <w:tr>
        <w:trPr>
          <w:trHeight w:val="175"/>
        </w:trPr>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center"/>
              <w:ind w:left="328"/>
              <w:spacing w:after="0"/>
              <w:rPr>
                <w:sz w:val="20"/>
                <w:szCs w:val="20"/>
                <w:color w:val="auto"/>
              </w:rPr>
            </w:pPr>
            <w:r>
              <w:rPr>
                <w:rFonts w:ascii="Arial" w:cs="Arial" w:eastAsia="Arial" w:hAnsi="Arial"/>
                <w:sz w:val="14"/>
                <w:szCs w:val="14"/>
                <w:b w:val="1"/>
                <w:bCs w:val="1"/>
                <w:color w:val="auto"/>
              </w:rPr>
              <w:t>2018 vs.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rPr>
              <w:t>2017 vs.</w:t>
            </w:r>
          </w:p>
        </w:tc>
        <w:tc>
          <w:tcPr>
            <w:tcW w:w="680" w:type="dxa"/>
            <w:vAlign w:val="bottom"/>
          </w:tcPr>
          <w:p>
            <w:pPr>
              <w:spacing w:after="0"/>
              <w:rPr>
                <w:sz w:val="15"/>
                <w:szCs w:val="15"/>
                <w:color w:val="auto"/>
              </w:rPr>
            </w:pPr>
          </w:p>
        </w:tc>
      </w:tr>
      <w:tr>
        <w:trPr>
          <w:trHeight w:val="196"/>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6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2016 Pro Forma</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2016 Pro Forma</w:t>
            </w:r>
          </w:p>
        </w:tc>
      </w:tr>
      <w:tr>
        <w:trPr>
          <w:trHeight w:val="270"/>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(594.5)</w:t>
            </w:r>
          </w:p>
        </w:tc>
        <w:tc>
          <w:tcPr>
            <w:tcW w:w="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(359.2)</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(366.6)</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(235.3)</w:t>
            </w:r>
          </w:p>
        </w:tc>
        <w:tc>
          <w:tcPr>
            <w:tcW w:w="78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(66)%</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7.4</w:t>
            </w:r>
          </w:p>
        </w:tc>
        <w:tc>
          <w:tcPr>
            <w:tcW w:w="68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Corporate expense increased by $235.3 million year-over-year. The increase is due primarily to a legal provision of $280.0 million recorded in 2018. See Note 18 to our consolidated financial statements included in Part II, Item 8 of this Annual Report on Form 10-K. Offsetting the increase was $65.3 million less integration costs and $24.4 million less restructuring costs than in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9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Corporate expense decreased by $7.4 million year-over-year on a pro forma basis. The decrease is primarily attributable to a reduction of business combination transaction and integration costs of $34.4 million in 2017 compared to 2016 on a pro forma basis.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9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14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income, excluding charges and credits, as well as measures derived from it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194945</wp:posOffset>
            </wp:positionV>
            <wp:extent cx="33445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73"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Year Ended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80"/>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97"/>
              </w:rPr>
              <w:t>December 31, 2018</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40"/>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57"/>
              <w:spacing w:after="0" w:line="140" w:lineRule="exact"/>
              <w:rPr>
                <w:sz w:val="20"/>
                <w:szCs w:val="20"/>
                <w:color w:val="auto"/>
              </w:rPr>
            </w:pPr>
            <w:r>
              <w:rPr>
                <w:rFonts w:ascii="Arial" w:cs="Arial" w:eastAsia="Arial" w:hAnsi="Arial"/>
                <w:sz w:val="13"/>
                <w:szCs w:val="13"/>
                <w:b w:val="1"/>
                <w:bCs w:val="1"/>
                <w:color w:val="auto"/>
              </w:rPr>
              <w:t>Onshore/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rPr>
              <w:t>Surface</w:t>
            </w:r>
          </w:p>
        </w:tc>
        <w:tc>
          <w:tcPr>
            <w:tcW w:w="10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Corporate and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8"/>
        </w:trPr>
        <w:tc>
          <w:tcPr>
            <w:tcW w:w="39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Offshore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4,840.0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6,120.7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1,592.2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12,552.9</w:t>
            </w:r>
          </w:p>
        </w:tc>
      </w:tr>
      <w:tr>
        <w:trPr>
          <w:trHeight w:val="270"/>
        </w:trPr>
        <w:tc>
          <w:tcPr>
            <w:tcW w:w="3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(1,529.5)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824.0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172.8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(1,127.2)</w:t>
            </w:r>
          </w:p>
        </w:tc>
      </w:tr>
      <w:tr>
        <w:trPr>
          <w:trHeight w:val="270"/>
        </w:trPr>
        <w:tc>
          <w:tcPr>
            <w:tcW w:w="3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3900" w:type="dxa"/>
            <w:vAlign w:val="bottom"/>
          </w:tcPr>
          <w:p>
            <w:pPr>
              <w:ind w:left="26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2"/>
                <w:szCs w:val="22"/>
                <w:color w:val="auto"/>
              </w:rPr>
            </w:pP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1,784.2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1,792.6</w:t>
            </w:r>
          </w:p>
        </w:tc>
      </w:tr>
      <w:tr>
        <w:trPr>
          <w:trHeight w:val="276"/>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38.6</w:t>
            </w:r>
          </w:p>
        </w:tc>
      </w:tr>
      <w:tr>
        <w:trPr>
          <w:trHeight w:val="264"/>
        </w:trPr>
        <w:tc>
          <w:tcPr>
            <w:tcW w:w="3900" w:type="dxa"/>
            <w:vAlign w:val="bottom"/>
          </w:tcPr>
          <w:p>
            <w:pPr>
              <w:ind w:left="26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2"/>
                <w:szCs w:val="2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36.5</w:t>
            </w:r>
          </w:p>
        </w:tc>
      </w:tr>
      <w:tr>
        <w:trPr>
          <w:trHeight w:val="276"/>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Legal provision</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280.0</w:t>
            </w:r>
          </w:p>
        </w:tc>
      </w:tr>
      <w:tr>
        <w:trPr>
          <w:trHeight w:val="264"/>
        </w:trPr>
        <w:tc>
          <w:tcPr>
            <w:tcW w:w="3900" w:type="dxa"/>
            <w:vAlign w:val="bottom"/>
          </w:tcPr>
          <w:p>
            <w:pPr>
              <w:ind w:left="260"/>
              <w:spacing w:after="0"/>
              <w:rPr>
                <w:sz w:val="20"/>
                <w:szCs w:val="20"/>
                <w:color w:val="auto"/>
              </w:rPr>
            </w:pPr>
            <w:r>
              <w:rPr>
                <w:rFonts w:ascii="Arial" w:cs="Arial" w:eastAsia="Arial" w:hAnsi="Arial"/>
                <w:sz w:val="14"/>
                <w:szCs w:val="14"/>
                <w:color w:val="auto"/>
              </w:rPr>
              <w:t>Gain on divestitures</w:t>
            </w:r>
          </w:p>
        </w:tc>
        <w:tc>
          <w:tcPr>
            <w:tcW w:w="160" w:type="dxa"/>
            <w:vAlign w:val="bottom"/>
          </w:tcPr>
          <w:p>
            <w:pPr>
              <w:spacing w:after="0"/>
              <w:rPr>
                <w:sz w:val="22"/>
                <w:szCs w:val="22"/>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(31.6)</w:t>
            </w:r>
          </w:p>
        </w:tc>
      </w:tr>
      <w:tr>
        <w:trPr>
          <w:trHeight w:val="200"/>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price accounting adjustments - non-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84"/>
        </w:trPr>
        <w:tc>
          <w:tcPr>
            <w:tcW w:w="3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related</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w:t>
            </w:r>
          </w:p>
        </w:tc>
      </w:tr>
      <w:tr>
        <w:trPr>
          <w:trHeight w:val="194"/>
        </w:trPr>
        <w:tc>
          <w:tcPr>
            <w:tcW w:w="3900" w:type="dxa"/>
            <w:vAlign w:val="bottom"/>
          </w:tcPr>
          <w:p>
            <w:pPr>
              <w:ind w:left="260"/>
              <w:spacing w:after="0"/>
              <w:rPr>
                <w:sz w:val="20"/>
                <w:szCs w:val="20"/>
                <w:color w:val="auto"/>
              </w:rPr>
            </w:pPr>
            <w:r>
              <w:rPr>
                <w:rFonts w:ascii="Arial" w:cs="Arial" w:eastAsia="Arial" w:hAnsi="Arial"/>
                <w:sz w:val="14"/>
                <w:szCs w:val="14"/>
                <w:color w:val="auto"/>
              </w:rPr>
              <w:t>Purchase price accounting adjustments - amortization</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8"/>
        </w:trPr>
        <w:tc>
          <w:tcPr>
            <w:tcW w:w="3900" w:type="dxa"/>
            <w:vAlign w:val="bottom"/>
          </w:tcPr>
          <w:p>
            <w:pPr>
              <w:ind w:left="26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91.3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91.3</w:t>
            </w:r>
          </w:p>
        </w:tc>
      </w:tr>
      <w:tr>
        <w:trPr>
          <w:trHeight w:val="256"/>
        </w:trPr>
        <w:tc>
          <w:tcPr>
            <w:tcW w:w="39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1,880.5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20.9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2,204.9</w:t>
            </w:r>
          </w:p>
        </w:tc>
      </w:tr>
      <w:tr>
        <w:trPr>
          <w:trHeight w:val="270"/>
        </w:trPr>
        <w:tc>
          <w:tcPr>
            <w:tcW w:w="39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r>
      <w:tr>
        <w:trPr>
          <w:trHeight w:val="244"/>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351.0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792.3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193.7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(259.3)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1,077.7</w:t>
            </w:r>
          </w:p>
        </w:tc>
      </w:tr>
      <w:tr>
        <w:trPr>
          <w:trHeight w:val="270"/>
        </w:trPr>
        <w:tc>
          <w:tcPr>
            <w:tcW w:w="3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349.2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459.1</w:t>
            </w:r>
          </w:p>
        </w:tc>
      </w:tr>
      <w:tr>
        <w:trPr>
          <w:trHeight w:val="270"/>
        </w:trPr>
        <w:tc>
          <w:tcPr>
            <w:tcW w:w="39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700.2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830.4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260.3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1,536.8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270"/>
        </w:trPr>
        <w:tc>
          <w:tcPr>
            <w:tcW w:w="3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r>
      <w:tr>
        <w:trPr>
          <w:trHeight w:val="270"/>
        </w:trPr>
        <w:tc>
          <w:tcPr>
            <w:tcW w:w="3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12.2 %</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76"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8"/>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Year Ended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80"/>
        </w:trPr>
        <w:tc>
          <w:tcPr>
            <w:tcW w:w="3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5"/>
              </w:rPr>
              <w:t>December 31, 2017</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0"/>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57"/>
              <w:spacing w:after="0" w:line="140" w:lineRule="exact"/>
              <w:rPr>
                <w:sz w:val="20"/>
                <w:szCs w:val="20"/>
                <w:color w:val="auto"/>
              </w:rPr>
            </w:pPr>
            <w:r>
              <w:rPr>
                <w:rFonts w:ascii="Arial" w:cs="Arial" w:eastAsia="Arial" w:hAnsi="Arial"/>
                <w:sz w:val="13"/>
                <w:szCs w:val="13"/>
                <w:b w:val="1"/>
                <w:bCs w:val="1"/>
                <w:color w:val="auto"/>
              </w:rPr>
              <w:t>Onshore/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6"/>
              </w:rPr>
              <w:t>Surface</w:t>
            </w:r>
          </w:p>
        </w:tc>
        <w:tc>
          <w:tcPr>
            <w:tcW w:w="104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Corporate and</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8"/>
        </w:trPr>
        <w:tc>
          <w:tcPr>
            <w:tcW w:w="3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Offshore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r>
      <w:tr>
        <w:trPr>
          <w:trHeight w:val="257"/>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5,877.4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7,904.5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1,274.6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15,056.9</w:t>
            </w:r>
          </w:p>
        </w:tc>
      </w:tr>
      <w:tr>
        <w:trPr>
          <w:trHeight w:val="270"/>
        </w:trPr>
        <w:tc>
          <w:tcPr>
            <w:tcW w:w="3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460.5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810.9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994.9</w:t>
            </w:r>
          </w:p>
        </w:tc>
      </w:tr>
      <w:tr>
        <w:trPr>
          <w:trHeight w:val="270"/>
        </w:trPr>
        <w:tc>
          <w:tcPr>
            <w:tcW w:w="3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3860" w:type="dxa"/>
            <w:vAlign w:val="bottom"/>
          </w:tcPr>
          <w:p>
            <w:pPr>
              <w:ind w:left="26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2"/>
                <w:szCs w:val="22"/>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34.3</w:t>
            </w:r>
          </w:p>
        </w:tc>
      </w:tr>
      <w:tr>
        <w:trPr>
          <w:trHeight w:val="276"/>
        </w:trPr>
        <w:tc>
          <w:tcPr>
            <w:tcW w:w="3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157.2</w:t>
            </w:r>
          </w:p>
        </w:tc>
      </w:tr>
      <w:tr>
        <w:trPr>
          <w:trHeight w:val="264"/>
        </w:trPr>
        <w:tc>
          <w:tcPr>
            <w:tcW w:w="3860" w:type="dxa"/>
            <w:vAlign w:val="bottom"/>
          </w:tcPr>
          <w:p>
            <w:pPr>
              <w:ind w:left="26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101.8</w:t>
            </w:r>
          </w:p>
        </w:tc>
      </w:tr>
      <w:tr>
        <w:trPr>
          <w:trHeight w:val="276"/>
        </w:trPr>
        <w:tc>
          <w:tcPr>
            <w:tcW w:w="3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accounting estimate</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21.9</w:t>
            </w:r>
          </w:p>
        </w:tc>
      </w:tr>
      <w:tr>
        <w:trPr>
          <w:trHeight w:val="194"/>
        </w:trPr>
        <w:tc>
          <w:tcPr>
            <w:tcW w:w="3860" w:type="dxa"/>
            <w:vAlign w:val="bottom"/>
          </w:tcPr>
          <w:p>
            <w:pPr>
              <w:ind w:left="260"/>
              <w:spacing w:after="0"/>
              <w:rPr>
                <w:sz w:val="20"/>
                <w:szCs w:val="20"/>
                <w:color w:val="auto"/>
              </w:rPr>
            </w:pPr>
            <w:r>
              <w:rPr>
                <w:rFonts w:ascii="Arial" w:cs="Arial" w:eastAsia="Arial" w:hAnsi="Arial"/>
                <w:sz w:val="14"/>
                <w:szCs w:val="14"/>
                <w:color w:val="auto"/>
              </w:rPr>
              <w:t>Purchase price accounting adjustments - non-</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8"/>
        </w:trPr>
        <w:tc>
          <w:tcPr>
            <w:tcW w:w="3860" w:type="dxa"/>
            <w:vAlign w:val="bottom"/>
          </w:tcPr>
          <w:p>
            <w:pPr>
              <w:ind w:left="260"/>
              <w:spacing w:after="0"/>
              <w:rPr>
                <w:sz w:val="20"/>
                <w:szCs w:val="20"/>
                <w:color w:val="auto"/>
              </w:rPr>
            </w:pPr>
            <w:r>
              <w:rPr>
                <w:rFonts w:ascii="Arial" w:cs="Arial" w:eastAsia="Arial" w:hAnsi="Arial"/>
                <w:sz w:val="14"/>
                <w:szCs w:val="14"/>
                <w:color w:val="auto"/>
              </w:rPr>
              <w:t>amortization related</w:t>
            </w:r>
          </w:p>
        </w:tc>
        <w:tc>
          <w:tcPr>
            <w:tcW w:w="18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58.2</w:t>
            </w:r>
          </w:p>
        </w:tc>
      </w:tr>
      <w:tr>
        <w:trPr>
          <w:trHeight w:val="200"/>
        </w:trPr>
        <w:tc>
          <w:tcPr>
            <w:tcW w:w="3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price accounting adjustments - amortization</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related</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139.2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150.4</w:t>
            </w:r>
          </w:p>
        </w:tc>
      </w:tr>
      <w:tr>
        <w:trPr>
          <w:trHeight w:val="244"/>
        </w:trPr>
        <w:tc>
          <w:tcPr>
            <w:tcW w:w="3860" w:type="dxa"/>
            <w:vAlign w:val="bottom"/>
          </w:tcPr>
          <w:p>
            <w:pPr>
              <w:ind w:left="480"/>
              <w:spacing w:after="0"/>
              <w:rPr>
                <w:sz w:val="20"/>
                <w:szCs w:val="20"/>
                <w:color w:val="auto"/>
              </w:rPr>
            </w:pPr>
            <w:r>
              <w:rPr>
                <w:rFonts w:ascii="Arial" w:cs="Arial" w:eastAsia="Arial" w:hAnsi="Arial"/>
                <w:sz w:val="14"/>
                <w:szCs w:val="14"/>
                <w:color w:val="auto"/>
              </w:rPr>
              <w:t>Subtotal</w:t>
            </w:r>
          </w:p>
        </w:tc>
        <w:tc>
          <w:tcPr>
            <w:tcW w:w="180" w:type="dxa"/>
            <w:vAlign w:val="bottom"/>
          </w:tcPr>
          <w:p>
            <w:pPr>
              <w:spacing w:after="0"/>
              <w:rPr>
                <w:sz w:val="21"/>
                <w:szCs w:val="21"/>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523.8</w:t>
            </w:r>
          </w:p>
        </w:tc>
      </w:tr>
      <w:tr>
        <w:trPr>
          <w:trHeight w:val="276"/>
        </w:trPr>
        <w:tc>
          <w:tcPr>
            <w:tcW w:w="38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r>
      <w:tr>
        <w:trPr>
          <w:trHeight w:val="24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751.9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837.9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167.7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(238.8)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1,518.7</w:t>
            </w:r>
          </w:p>
        </w:tc>
      </w:tr>
      <w:tr>
        <w:trPr>
          <w:trHeight w:val="270"/>
        </w:trPr>
        <w:tc>
          <w:tcPr>
            <w:tcW w:w="3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386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2"/>
                <w:szCs w:val="22"/>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368.0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464.3</w:t>
            </w:r>
          </w:p>
        </w:tc>
      </w:tr>
      <w:tr>
        <w:trPr>
          <w:trHeight w:val="276"/>
        </w:trPr>
        <w:tc>
          <w:tcPr>
            <w:tcW w:w="38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r>
      <w:tr>
        <w:trPr>
          <w:trHeight w:val="277"/>
        </w:trPr>
        <w:tc>
          <w:tcPr>
            <w:tcW w:w="38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1,119.9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879.0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218.8</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(234.7)</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1,983.0</w:t>
            </w:r>
          </w:p>
        </w:tc>
      </w:tr>
      <w:tr>
        <w:trPr>
          <w:trHeight w:val="251"/>
        </w:trPr>
        <w:tc>
          <w:tcPr>
            <w:tcW w:w="38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r>
      <w:tr>
        <w:trPr>
          <w:trHeight w:val="264"/>
        </w:trPr>
        <w:tc>
          <w:tcPr>
            <w:tcW w:w="386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276"/>
        </w:trPr>
        <w:tc>
          <w:tcPr>
            <w:tcW w:w="3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386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276"/>
        </w:trPr>
        <w:tc>
          <w:tcPr>
            <w:tcW w:w="3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58"/>
        </w:trPr>
        <w:tc>
          <w:tcPr>
            <w:tcW w:w="386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3330575</wp:posOffset>
            </wp:positionH>
            <wp:positionV relativeFrom="page">
              <wp:posOffset>466090</wp:posOffset>
            </wp:positionV>
            <wp:extent cx="3361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160"/>
          </w:cols>
          <w:pgMar w:left="1380" w:top="820" w:right="1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4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5,178.5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5,143.6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7,425.9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3,812.9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1,686.6</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1,239.8</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14,291.0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10,196.3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 See</w:t>
      </w:r>
      <w:r>
        <w:rPr>
          <w:rFonts w:ascii="Arial" w:cs="Arial" w:eastAsia="Arial" w:hAnsi="Arial"/>
          <w:sz w:val="18"/>
          <w:szCs w:val="18"/>
          <w:i w:val="1"/>
          <w:iCs w:val="1"/>
          <w:color w:val="auto"/>
        </w:rPr>
        <w:t xml:space="preserve"> “Transaction Price Allocated to the Remaining Unsatisfied Performance Obligations” </w:t>
      </w:r>
      <w:r>
        <w:rPr>
          <w:rFonts w:ascii="Arial" w:cs="Arial" w:eastAsia="Arial" w:hAnsi="Arial"/>
          <w:sz w:val="18"/>
          <w:szCs w:val="18"/>
          <w:color w:val="auto"/>
        </w:rPr>
        <w:t>in Note 4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II, Item 8 of this Annual Report on Form 10-K for more information on order backlog.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Order Backlog</w:t>
            </w:r>
          </w:p>
        </w:tc>
        <w:tc>
          <w:tcPr>
            <w:tcW w:w="96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5,999.6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6,203.9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8,090.5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6,369.1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469.9</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409.8</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14,560.0</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12,982.8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December 31, 2018, decreased by $204.3 million from December 31, 2017. Subsea backlog of $6.0</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at December 31, 2018, was composed of various subsea projects, including Petrobras’ pipelay support vessel and pre-salt tree awards; the Eni Coral project; Total’s Kaombo; VNG’s Fenja; Peregrino Phase II; and BP’s Shah Deniz.</w:t>
      </w:r>
    </w:p>
    <w:p>
      <w:pPr>
        <w:spacing w:after="0" w:line="12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Onshore/Offshore order backlog at December 31, 2018, increased by $1.7 billion compared to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Onshore/Offshore backlog of $8.1 billion was composed of various projects, including Yamal; Long Son EPC contract, Energean Karish project, HURL Ammonia fertilizer projects, and Neste bio-diesel expansion project in Singapore.</w:t>
      </w:r>
    </w:p>
    <w:p>
      <w:pPr>
        <w:spacing w:after="0" w:line="122"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Non-consolidated</w:t>
            </w:r>
          </w:p>
        </w:tc>
      </w:tr>
      <w:tr>
        <w:trPr>
          <w:trHeight w:val="196"/>
        </w:trPr>
        <w:tc>
          <w:tcPr>
            <w:tcW w:w="9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backlog</w:t>
            </w:r>
          </w:p>
        </w:tc>
      </w:tr>
      <w:tr>
        <w:trPr>
          <w:trHeight w:val="175"/>
        </w:trPr>
        <w:tc>
          <w:tcPr>
            <w:tcW w:w="9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2018</w:t>
            </w: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Subsea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974.0</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1,748.5</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2,722.5</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in the US and in other jurisdictions to best meet the liquidity needs of our global operations. Under current U.S. law, as amended by the Tax Cuts and Jobs Act (TCJA), signed into law on December 22, 2017, any repatriation to the U.S. in the form of a dividend would be eligible for a 100% dividend received deduction and therefore would not be subject to U.S. federal income tax.</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our commercial paper programs, and our existing revolving credit facility.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4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6,737.4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(77.1)</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portion</w:t>
            </w:r>
          </w:p>
        </w:tc>
        <w:tc>
          <w:tcPr>
            <w:tcW w:w="1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(4,124.3)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(3,777.9)</w:t>
            </w:r>
          </w:p>
        </w:tc>
      </w:tr>
      <w:tr>
        <w:trPr>
          <w:trHeight w:val="237"/>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1,348.3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2,882.4</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each of the years in the three-year period ended December 31, 2018,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(required) by operating activities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493.8</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Cash provided (required) by investing activities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(460.2)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3,110.5</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required by financing activities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3,091.3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(759.0)</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r>
    </w:tbl>
    <w:p>
      <w:pPr>
        <w:spacing w:after="0" w:line="14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auto"/>
        </w:rPr>
        <w:t xml:space="preserve">Operating cash flows - </w:t>
      </w:r>
      <w:r>
        <w:rPr>
          <w:rFonts w:ascii="Arial" w:cs="Arial" w:eastAsia="Arial" w:hAnsi="Arial"/>
          <w:sz w:val="18"/>
          <w:szCs w:val="18"/>
          <w:color w:val="auto"/>
        </w:rPr>
        <w:t>During 2018, we used $185.4 million in cash flows from operating activities as compared to $210.7 million generated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resulting in a $396.1 million decrease compared to 2017. Our cash flows from operating activities in 2017 were $283.1 million lower than 2016.</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working capital balances can vary significantly depending on the payment and delivery terms on key contracts in our portfolio of projects. The year-over-year changes in operating cash flow were primarily due to the changes in trade receivables, net and contract assets and accounts payable, trade.</w:t>
      </w:r>
    </w:p>
    <w:p>
      <w:pPr>
        <w:spacing w:after="0" w:line="13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i w:val="1"/>
          <w:iCs w:val="1"/>
          <w:color w:val="auto"/>
        </w:rPr>
        <w:t xml:space="preserve">Investing cash flows - </w:t>
      </w:r>
      <w:r>
        <w:rPr>
          <w:rFonts w:ascii="Arial" w:cs="Arial" w:eastAsia="Arial" w:hAnsi="Arial"/>
          <w:sz w:val="18"/>
          <w:szCs w:val="18"/>
          <w:color w:val="auto"/>
        </w:rPr>
        <w:t>Investing activities used $460.2 million of cash in 2018 primarily due to capital expenditures of $368.1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acquisitions of $104.9 million.</w:t>
      </w:r>
    </w:p>
    <w:p>
      <w:pPr>
        <w:spacing w:after="0" w:line="1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Cash provided by investing activities in 2017 was $1,250.0 million, primarily reflecting cash acquired in the Merger. Refer to Note 2 to our consolidated financial statements included in Part II, Item 8 of this Annual Report on Form 10-K for further information related to the Merger.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76" w:right="239" w:bottom="1440" w:gutter="0" w:footer="0" w:header="0"/>
        </w:sectPr>
      </w:pPr>
    </w:p>
    <w:bookmarkStart w:id="52" w:name="page53"/>
    <w:bookmarkEnd w:id="52"/>
    <w:p>
      <w:pPr>
        <w:ind w:right="120"/>
        <w:spacing w:after="0" w:line="256" w:lineRule="auto"/>
        <w:rPr>
          <w:sz w:val="20"/>
          <w:szCs w:val="20"/>
          <w:color w:val="auto"/>
        </w:rPr>
      </w:pPr>
      <w:r>
        <w:rPr>
          <w:rFonts w:ascii="Arial" w:cs="Arial" w:eastAsia="Arial" w:hAnsi="Arial"/>
          <w:sz w:val="18"/>
          <w:szCs w:val="18"/>
          <w:color w:val="auto"/>
        </w:rPr>
        <w:t>Cash provided by investing activities in 2016 was $3,110.5 million, primarily reflecting cash acquired through an acquisition. Refer to Note 9 to our consolidated financial statements included in Part II, Item 8 of this Annual Report on Form 10-K for further information related to the acquisition and consolidation of legal onshore/offshore contract entities that own and account for Yamal.</w:t>
      </w:r>
    </w:p>
    <w:p>
      <w:pPr>
        <w:spacing w:after="0" w:line="13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Financing cash flows - </w:t>
      </w:r>
      <w:r>
        <w:rPr>
          <w:rFonts w:ascii="Arial" w:cs="Arial" w:eastAsia="Arial" w:hAnsi="Arial"/>
          <w:sz w:val="18"/>
          <w:szCs w:val="18"/>
          <w:color w:val="auto"/>
        </w:rPr>
        <w:t>Financing activities used $444.8 million in 2018. The decrease of $610.0 million in cash required for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repayments of long-term debt in 2017.</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Financing activities used $1,054.8 million in 2017. The increase of $520.2 million in cash required for financing activities was primarily due to a decrease in proceeds from the issuance of long-term debt in 2016, an increase in settlements on mandatorily redeemable liability, and an increase in payments of taxes withheld on share-based compensation, offset by increased borrowings of our commercial paper during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at December 31, 2018 and 2017, comprised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18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1,450.4</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490.9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502.4</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2020</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2022</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155.9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2027</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2032</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7880" w:type="dxa"/>
            <w:vAlign w:val="bottom"/>
          </w:tcPr>
          <w:p>
            <w:pPr>
              <w:ind w:left="20"/>
              <w:spacing w:after="0"/>
              <w:rPr>
                <w:sz w:val="20"/>
                <w:szCs w:val="20"/>
                <w:color w:val="auto"/>
              </w:rPr>
            </w:pPr>
            <w:r>
              <w:rPr>
                <w:rFonts w:ascii="Arial" w:cs="Arial" w:eastAsia="Arial" w:hAnsi="Arial"/>
                <w:sz w:val="14"/>
                <w:szCs w:val="14"/>
                <w:color w:val="auto"/>
              </w:rPr>
              <w:t>Notes due 2033</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119.9</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7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28.2</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debt issuance costs and discounts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borrowings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4,191.7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3,855.0</w:t>
            </w: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revolving credit facility at December 31,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Paper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Letters</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Unused</w:t>
            </w: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center"/>
              <w:ind w:left="1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of Credit</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Capacity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Five-year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583.9</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r>
    </w:tbl>
    <w:p>
      <w:pPr>
        <w:spacing w:after="0" w:line="167" w:lineRule="exact"/>
        <w:rPr>
          <w:sz w:val="20"/>
          <w:szCs w:val="20"/>
          <w:color w:val="auto"/>
        </w:rPr>
      </w:pPr>
    </w:p>
    <w:p>
      <w:pPr>
        <w:ind w:left="340" w:right="500" w:hanging="251"/>
        <w:spacing w:after="0" w:line="25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$ 1,916.1 million of commercial paper issued under our facilities at December 31, 2018. As we had both the ability and intent to refinance these obligations on a long-term basis, our commercial paper borrowings were classified as long-term debt in the accompanying consolidated balance sheets at December 31, 2018.</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98" w:right="239" w:bottom="1440" w:gutter="0" w:footer="0" w:header="0"/>
        </w:sectPr>
      </w:pPr>
    </w:p>
    <w:bookmarkStart w:id="53" w:name="page54"/>
    <w:bookmarkEnd w:id="53"/>
    <w:p>
      <w:pPr>
        <w:ind w:right="20"/>
        <w:spacing w:after="0" w:line="254" w:lineRule="auto"/>
        <w:rPr>
          <w:sz w:val="20"/>
          <w:szCs w:val="20"/>
          <w:color w:val="auto"/>
        </w:rPr>
      </w:pPr>
      <w:r>
        <w:rPr>
          <w:rFonts w:ascii="Arial" w:cs="Arial" w:eastAsia="Arial" w:hAnsi="Arial"/>
          <w:sz w:val="18"/>
          <w:szCs w:val="18"/>
          <w:color w:val="auto"/>
        </w:rPr>
        <w:t>Our revolving credit facility contains customary covenants as defined by the credit facility agreement which includes a financial covenant requiring that our total capitalization ratio not exceed 60% at the end of any financial quarter. The facility agreement also contains covenants restricting our ability and our subsidiaries ability to incur additional liens and indebtedness, enter into asset sales, make certain investments. As of December 31, 2018, we were in compliance with all restrictive covenants under our revolving credit facility.</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Refer to Note 13 and Note 14 to our consolidated financial statements included in Part II, Item 8 of this Annual Report on Form 10-K for further information related to our credit facility and our mandatorily redeemable liability,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Valuations of derivative assets and liabilities reflect the fair value of the instruments, including the values associated with counterparty risk. These values must also take into account our credit standing, thus including in the valuation of the derivative instrument and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the income approach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At this time, we have no credit-risk-related contingent features in our agreements with the financial institutions that would require us to post collateral for derivative positions in a liability position.</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Additional information about credit risk is incorporated herein by reference to Note 22 to our consolidated financial statements included in Part II, Item 8 of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Historically, we have generated our liquidity and capital resources primarily through operations and, when needed, through our credit facility. We have $583.9 million of capacity available under our revolving credit facility that we expect to utilize if working capital needs temporarily increase. The volatility in credit, equity and commodity markets creates some uncertainty for our business. Any payment deferrals or discounts on pricing granted to clients in prior years may adversely affect our results of operations and cash flows in 2019 and beyond.</w:t>
      </w:r>
    </w:p>
    <w:p>
      <w:pPr>
        <w:spacing w:after="0" w:line="15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project spending approximately $350 million in 2019 for capital expenditures. However, projected capital expenditures for 2019 do not include any contingent capital that may be needed to respond to a contract award.</w:t>
      </w:r>
    </w:p>
    <w:p>
      <w:pPr>
        <w:spacing w:after="0" w:line="14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implemented a U.K. court-approved reduction of our capital, which was completed on June 29, 2017, in order to create distributable profits to support the payment of future dividends or future share repurchases. Our board of directors authorized $500 million for the repurchase of shares which was completed in 2018. The Board of Directors authorized an extension of this program, adding $300 million in December 2018 for a total of $800 million in ordinary shares. Also, on October 23, 2018, it was announced that our Board of Directors authorized and declared a quarterly cash dividend of $0.13 per ordinary share.</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2019, we expect to make contributions of approximately $ 2.7 million to our international pension plans, representing primarily the Netherlands qualified pension plans and U.K. Actual contribution amounts are dependent upon plan investment returns, changes in pension obligations, regulatory environments and other economic factors. We update our pension estimates annually during the fourth quarter or more frequently upon the occurrence of significant events. We do not expect to make any contributions to our U.S. Qualified Pension Plan and our U.S. Non-Qualified Defined Benefit Pension Plan in 2019.</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98"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contractual obligations at December 31,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6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After 5</w:t>
            </w:r>
          </w:p>
        </w:tc>
      </w:tr>
      <w:tr>
        <w:trPr>
          <w:trHeight w:val="196"/>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years</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Debt </w:t>
            </w:r>
            <w:r>
              <w:rPr>
                <w:rFonts w:ascii="Arial" w:cs="Arial" w:eastAsia="Arial" w:hAnsi="Arial"/>
                <w:sz w:val="17"/>
                <w:szCs w:val="17"/>
                <w:color w:val="auto"/>
                <w:vertAlign w:val="superscript"/>
              </w:rPr>
              <w:t>(a)</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307.2</w:t>
            </w:r>
          </w:p>
        </w:tc>
      </w:tr>
      <w:tr>
        <w:trPr>
          <w:trHeight w:val="270"/>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Interest on debt </w:t>
            </w:r>
            <w:r>
              <w:rPr>
                <w:rFonts w:ascii="Arial" w:cs="Arial" w:eastAsia="Arial" w:hAnsi="Arial"/>
                <w:sz w:val="17"/>
                <w:szCs w:val="17"/>
                <w:color w:val="auto"/>
                <w:vertAlign w:val="superscript"/>
              </w:rPr>
              <w:t>(a)</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119.4</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Operating leases </w:t>
            </w:r>
            <w:r>
              <w:rPr>
                <w:rFonts w:ascii="Arial" w:cs="Arial" w:eastAsia="Arial" w:hAnsi="Arial"/>
                <w:sz w:val="17"/>
                <w:szCs w:val="17"/>
                <w:color w:val="auto"/>
                <w:vertAlign w:val="superscript"/>
              </w:rPr>
              <w:t>(b)</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1,519.7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485.6</w:t>
            </w:r>
          </w:p>
        </w:tc>
      </w:tr>
      <w:tr>
        <w:trPr>
          <w:trHeight w:val="270"/>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Purchase obligations </w:t>
            </w:r>
            <w:r>
              <w:rPr>
                <w:rFonts w:ascii="Arial" w:cs="Arial" w:eastAsia="Arial" w:hAnsi="Arial"/>
                <w:sz w:val="17"/>
                <w:szCs w:val="17"/>
                <w:color w:val="auto"/>
                <w:vertAlign w:val="superscript"/>
              </w:rPr>
              <w:t>(c)</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3,766.1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3,211.8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552.0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Pension and other post-retirement benefits </w:t>
            </w:r>
            <w:r>
              <w:rPr>
                <w:rFonts w:ascii="Arial" w:cs="Arial" w:eastAsia="Arial" w:hAnsi="Arial"/>
                <w:sz w:val="17"/>
                <w:szCs w:val="17"/>
                <w:color w:val="auto"/>
                <w:vertAlign w:val="superscript"/>
              </w:rPr>
              <w:t>(d)</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Unrecognized tax benefits </w:t>
            </w:r>
            <w:r>
              <w:rPr>
                <w:rFonts w:ascii="Arial" w:cs="Arial" w:eastAsia="Arial" w:hAnsi="Arial"/>
                <w:sz w:val="17"/>
                <w:szCs w:val="17"/>
                <w:color w:val="auto"/>
                <w:vertAlign w:val="superscript"/>
              </w:rPr>
              <w:t>(e)</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contractual obligations </w:t>
            </w:r>
            <w:r>
              <w:rPr>
                <w:rFonts w:ascii="Arial" w:cs="Arial" w:eastAsia="Arial" w:hAnsi="Arial"/>
                <w:sz w:val="17"/>
                <w:szCs w:val="17"/>
                <w:color w:val="auto"/>
                <w:vertAlign w:val="superscript"/>
              </w:rPr>
              <w:t>(f)</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1,028.3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358.3</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r>
      <w:tr>
        <w:trPr>
          <w:trHeight w:val="237"/>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11,008.9</w:t>
            </w:r>
          </w:p>
        </w:tc>
        <w:tc>
          <w:tcPr>
            <w:tcW w:w="120" w:type="dxa"/>
            <w:vAlign w:val="bottom"/>
          </w:tcPr>
          <w:p>
            <w:pPr>
              <w:spacing w:after="0"/>
              <w:rPr>
                <w:sz w:val="20"/>
                <w:szCs w:val="20"/>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4,043.7</w:t>
            </w:r>
          </w:p>
        </w:tc>
        <w:tc>
          <w:tcPr>
            <w:tcW w:w="5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4,474.8</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1,526.3</w:t>
            </w:r>
          </w:p>
        </w:tc>
        <w:tc>
          <w:tcPr>
            <w:tcW w:w="10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964.1</w:t>
            </w:r>
          </w:p>
        </w:tc>
      </w:tr>
      <w:tr>
        <w:trPr>
          <w:trHeight w:val="20"/>
        </w:trPr>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400" w:hanging="332"/>
        <w:spacing w:after="0" w:line="250"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available debt is dependent upon our compliance with covenants, including negative covenants related to liens and our total capitalization ratio. Any violation of covenants or other events of default, which are not waived or cured, or changes in our credit rating could have a material impact on our ability to maintain our committed financing arrangements.</w:t>
      </w:r>
    </w:p>
    <w:p>
      <w:pPr>
        <w:spacing w:after="0" w:line="145" w:lineRule="exact"/>
        <w:rPr>
          <w:rFonts w:ascii="Arial" w:cs="Arial" w:eastAsia="Arial" w:hAnsi="Arial"/>
          <w:sz w:val="14"/>
          <w:szCs w:val="14"/>
          <w:color w:val="auto"/>
        </w:rPr>
      </w:pPr>
    </w:p>
    <w:p>
      <w:pPr>
        <w:ind w:left="340" w:right="220"/>
        <w:spacing w:after="0" w:line="258" w:lineRule="auto"/>
        <w:rPr>
          <w:rFonts w:ascii="Arial" w:cs="Arial" w:eastAsia="Arial" w:hAnsi="Arial"/>
          <w:sz w:val="14"/>
          <w:szCs w:val="14"/>
          <w:color w:val="auto"/>
        </w:rPr>
      </w:pPr>
      <w:r>
        <w:rPr>
          <w:rFonts w:ascii="Arial" w:cs="Arial" w:eastAsia="Arial" w:hAnsi="Arial"/>
          <w:sz w:val="14"/>
          <w:szCs w:val="14"/>
          <w:color w:val="auto"/>
        </w:rPr>
        <w:t>Due to our intent and ability to refinance commercial paper obligations on a long-term basis under our revolving credit facility and the variable interest rates associated with these debt instruments, only interest on our Senior Notes is included in the table. During 2018, we paid $99.0 million for interest charges, net of interest capitalized.</w:t>
      </w:r>
    </w:p>
    <w:p>
      <w:pPr>
        <w:spacing w:after="0" w:line="140" w:lineRule="exact"/>
        <w:rPr>
          <w:rFonts w:ascii="Arial" w:cs="Arial" w:eastAsia="Arial" w:hAnsi="Arial"/>
          <w:sz w:val="14"/>
          <w:szCs w:val="14"/>
          <w:color w:val="auto"/>
        </w:rPr>
      </w:pPr>
    </w:p>
    <w:p>
      <w:pPr>
        <w:ind w:left="340" w:hanging="332"/>
        <w:spacing w:after="0" w:line="245"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lease office space, manufacturing facilities and various types of manufacturing and data processing equipment. Leases of real estate generally provide for payment of property taxes, insurance and repairs by us. Substantially all of our leases are classified as operating leases. In addition, in 2014 we entered into construction and operating lease agreements to finance the construction of manufacturing and office facilities located in Houston, TX. In January 2016, construction of the facilities was completed and the operating lease commenced. Upon expiration of the lease term in September 2021, we have the option to renew the lease, purchase the facilities or re-market the facilities on behalf of the lessor, including certain guarantees of residual value under the re-marketing option.</w:t>
      </w:r>
    </w:p>
    <w:p>
      <w:pPr>
        <w:spacing w:after="0" w:line="150" w:lineRule="exact"/>
        <w:rPr>
          <w:rFonts w:ascii="Arial" w:cs="Arial" w:eastAsia="Arial" w:hAnsi="Arial"/>
          <w:sz w:val="14"/>
          <w:szCs w:val="14"/>
          <w:color w:val="auto"/>
        </w:rPr>
      </w:pPr>
    </w:p>
    <w:p>
      <w:pPr>
        <w:ind w:left="340" w:right="160" w:hanging="332"/>
        <w:spacing w:after="0" w:line="247"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the normal course of business, we enter into agreements with our suppliers to purchase raw materials or services. These agreements include a requirement that our supplier provide products or services to our specifications and require us to make a firm purchase commitment to our supplier. As substantially all of these commitments are associated with purchases made to fulfill our customers’ orders, the costs associated with these agreements will ultimately be reflected in cost of sales on our consolidated statements of income.</w:t>
      </w:r>
    </w:p>
    <w:p>
      <w:pPr>
        <w:spacing w:after="0" w:line="147" w:lineRule="exact"/>
        <w:rPr>
          <w:rFonts w:ascii="Arial" w:cs="Arial" w:eastAsia="Arial" w:hAnsi="Arial"/>
          <w:sz w:val="14"/>
          <w:szCs w:val="14"/>
          <w:color w:val="auto"/>
        </w:rPr>
      </w:pPr>
    </w:p>
    <w:p>
      <w:pPr>
        <w:ind w:left="340" w:hanging="332"/>
        <w:spacing w:after="0" w:line="250"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expect to contribute approximately $2.7 million to our international pension plans during 2019. Required contributions for future years depend on factors that cannot be determined at this time. Additionally, we expect to pay directly to beneficiaries approximately $9.0 million for international unfunded pension plan and $5.5 million for U.S. Non-Qualified unfunded pension plan during 2019.</w:t>
      </w:r>
    </w:p>
    <w:p>
      <w:pPr>
        <w:spacing w:after="0" w:line="145" w:lineRule="exact"/>
        <w:rPr>
          <w:rFonts w:ascii="Arial" w:cs="Arial" w:eastAsia="Arial" w:hAnsi="Arial"/>
          <w:sz w:val="14"/>
          <w:szCs w:val="14"/>
          <w:color w:val="auto"/>
        </w:rPr>
      </w:pPr>
    </w:p>
    <w:p>
      <w:pPr>
        <w:ind w:left="340" w:right="340" w:hanging="332"/>
        <w:spacing w:after="0" w:line="250"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It is reasonably possible that $1.3 million of liabilities for unrecognized tax benefits will be settled during 2019, and this amount is reflected in income taxes payable in our consolidated balance sheet as of December 31, 2018. Although unrecognized tax benefits are not contractual obligations, they are presented in this table because they represent demands on our liquidity.</w:t>
      </w:r>
    </w:p>
    <w:p>
      <w:pPr>
        <w:spacing w:after="0" w:line="145" w:lineRule="exact"/>
        <w:rPr>
          <w:rFonts w:ascii="Arial" w:cs="Arial" w:eastAsia="Arial" w:hAnsi="Arial"/>
          <w:sz w:val="14"/>
          <w:szCs w:val="14"/>
          <w:color w:val="auto"/>
        </w:rPr>
      </w:pPr>
    </w:p>
    <w:p>
      <w:pPr>
        <w:ind w:left="340" w:right="60" w:hanging="332"/>
        <w:spacing w:after="0" w:line="244"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contractual obligations represent a mandatorily redeemable financial liability. In the fourth quarter of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A mandatorily redeemable financial liability of $174.8 million was recognized as of December 31, 2016 to account for the fair value of the non-controlling interests. During the year ended December 31, 2018 we revalued the liability to reflect current expectations about the obligation. Refer to Note 22 for further information regarding the fair value measurement assumptions of the mandatorily redeemable financial liability and related changes in its fair value.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OTHER 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off-balance sheet arrangements at December 31,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Amount of Commitment Expiration per Period</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5"/>
                <w:szCs w:val="15"/>
                <w:color w:val="auto"/>
              </w:rPr>
            </w:pPr>
          </w:p>
        </w:tc>
        <w:tc>
          <w:tcPr>
            <w:tcW w:w="1160" w:type="dxa"/>
            <w:vAlign w:val="bottom"/>
          </w:tcPr>
          <w:p>
            <w:pPr>
              <w:jc w:val="right"/>
              <w:ind w:right="56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6"/>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7"/>
                <w:szCs w:val="17"/>
                <w:color w:val="auto"/>
              </w:rPr>
            </w:pPr>
          </w:p>
        </w:tc>
        <w:tc>
          <w:tcPr>
            <w:tcW w:w="1160" w:type="dxa"/>
            <w:vAlign w:val="bottom"/>
          </w:tcPr>
          <w:p>
            <w:pPr>
              <w:jc w:val="right"/>
              <w:ind w:right="46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Letters of credit and bank guarantees </w:t>
            </w:r>
            <w:r>
              <w:rPr>
                <w:rFonts w:ascii="Arial" w:cs="Arial" w:eastAsia="Arial" w:hAnsi="Arial"/>
                <w:sz w:val="17"/>
                <w:szCs w:val="17"/>
                <w:color w:val="auto"/>
                <w:vertAlign w:val="superscript"/>
              </w:rPr>
              <w:t>(a)</w:t>
            </w: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Surety bonds </w:t>
            </w:r>
            <w:r>
              <w:rPr>
                <w:rFonts w:ascii="Arial" w:cs="Arial" w:eastAsia="Arial" w:hAnsi="Arial"/>
                <w:sz w:val="17"/>
                <w:szCs w:val="17"/>
                <w:color w:val="auto"/>
                <w:vertAlign w:val="superscript"/>
              </w:rPr>
              <w:t>(a)</w:t>
            </w:r>
          </w:p>
        </w:tc>
        <w:tc>
          <w:tcPr>
            <w:tcW w:w="300" w:type="dxa"/>
            <w:vAlign w:val="bottom"/>
          </w:tcPr>
          <w:p>
            <w:pPr>
              <w:spacing w:after="0"/>
              <w:rPr>
                <w:sz w:val="18"/>
                <w:szCs w:val="18"/>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off-balance sheet arrangements</w:t>
            </w: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80" w:hanging="332"/>
        <w:spacing w:after="0" w:line="245"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collateral for our performance on certain sales contracts or as part of our agreements with insurance companies, we are liable under letters of credit, surety bonds and other bank guarantees. Our ability to generate revenue from certain contracts is dependent upon our ability to obtain these off-balance sheet financial instruments. These off-balance sheet financial instruments may be renewed, revised or released based on changes in the underlying commitment. Historically, our commercial commitments have not been drawn upon to a material extent; consequently, management believes it is not reasonably likely there will be material claims against these commitments. However, should these financial instruments become unavailable to us, our operations and liquidity could be negatively impacted.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consolidated financial statements included in Part II, Item 8 of this Annual Report on Form 10-K for a description of our significant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majority of our revenue is derived from long-term contracts that can span several years. We account for revenue in accordance with Accounting Standard Codification (“ASC”) Topic 606, Revenues from Contracts with Customers. The unit of account in ASC Topic 606 is a performance obligation. A contract’s transaction price is allocated to each distinct performance obligation and recognized as revenue when, or as, the performance obligation is satisfied. Our performance obligations are satisfied over time as work progresses or at a point in time.</w:t>
      </w:r>
    </w:p>
    <w:p>
      <w:pPr>
        <w:spacing w:after="0" w:line="15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 significant portion of our total revenue recognized over time relates to our Onshore/Offshore and Subsea segments, primarily for the entire range of onshore facilities, fixed and floating offshore oil and gas facilities, and subsea exploration and production equipment projects that involve the design, engineering, manufacturing, construction, and assembly of complex, customer-specific systems.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that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w:t>
      </w:r>
    </w:p>
    <w:p>
      <w:pPr>
        <w:spacing w:after="0" w:line="15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 and cost at completion is complex, subject to many variables, and requires significant judgment. It is common for our long-term contracts to contain award fees, incentive fees, or other provisions that can either increase or decrease the transaction price. We include estimated amounts in the transaction price when we believe we have an enforceable right to the modification, the amount can be estimated reliably, and its realization is probable. The estimated amounts are included in the transaction price to the extent it is probable that a significant reversal of cumulative revenue recognized will not occur when the uncertainty associated with the variable consideration is resolved.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38" w:right="239" w:bottom="1440" w:gutter="0" w:footer="0" w:header="0"/>
        </w:sectPr>
      </w:pPr>
    </w:p>
    <w:bookmarkStart w:id="56" w:name="page57"/>
    <w:bookmarkEnd w:id="56"/>
    <w:p>
      <w:pPr>
        <w:spacing w:after="0" w:line="252" w:lineRule="auto"/>
        <w:rPr>
          <w:sz w:val="20"/>
          <w:szCs w:val="20"/>
          <w:color w:val="auto"/>
        </w:rPr>
      </w:pPr>
      <w:r>
        <w:rPr>
          <w:rFonts w:ascii="Arial" w:cs="Arial" w:eastAsia="Arial" w:hAnsi="Arial"/>
          <w:sz w:val="18"/>
          <w:szCs w:val="18"/>
          <w:color w:val="auto"/>
        </w:rPr>
        <w:t>We execute contracts with our customers that clearly describe the equipment, systems, and/or services.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all of which can affect the accuracy of our cost estimates, and ultimately, our future profitability.</w:t>
      </w:r>
    </w:p>
    <w:p>
      <w:pPr>
        <w:spacing w:after="0" w:line="15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operating profit for the year ended December 31, 2018 was negatively impacted by approximately $6.7 million, as a result of changes in contract estimates related to projects that were in progress at December 31, 2017. During the year ended December 31, 2018, we recognized changes in our estimates that had an impact on our margin in the amounts of $(5.1) million, $(5.9) million and $4.3 million in our Onshore/Offshore, Subsea and Surface technologies segments, respectively. The changes in contract estimates are attributed to better than expected performance throughout our execution of our projects.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determining our current income tax provision, we assess temporary differences resulting from differing treatments of items for tax and accounting purposes. These differences result in deferred tax assets and liabilities, which are recorded in our consolidated balance sheets. When we maintain deferred tax assets, we must assess the likelihood that these assets will be recovered through adjustments to future taxable income. To the extent, we believe recovery is not likely, we establish a valuation allowance. We record a valuation allowance to reduce the asset to a value we believe will be recoverable based on our 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15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our judgment related to the expected realizability of a deferred tax asset results in an adjustment to the associated valuation allowance.</w:t>
      </w:r>
    </w:p>
    <w:p>
      <w:pPr>
        <w:spacing w:after="0" w:line="15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of December 31, 2018, we have provided a valuation allowance against the related deferred tax assets where we believe it is more likely than not that we will generate future taxable income in jurisdictions in which we have cumulative net operating losses.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598" w:right="279" w:bottom="1440" w:gutter="0" w:footer="0" w:header="0"/>
        </w:sectPr>
      </w:pPr>
    </w:p>
    <w:bookmarkStart w:id="57" w:name="page58"/>
    <w:bookmarkEnd w:id="57"/>
    <w:p>
      <w:pPr>
        <w:ind w:right="60"/>
        <w:spacing w:after="0" w:line="252" w:lineRule="auto"/>
        <w:rPr>
          <w:sz w:val="20"/>
          <w:szCs w:val="20"/>
          <w:color w:val="auto"/>
        </w:rPr>
      </w:pPr>
      <w:r>
        <w:rPr>
          <w:rFonts w:ascii="Arial" w:cs="Arial" w:eastAsia="Arial" w:hAnsi="Arial"/>
          <w:sz w:val="18"/>
          <w:szCs w:val="18"/>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determination of the projected benefit obligations of our pension and other post-retirement benefit plans are important to the recorded amounts of such obligations on our consolidated balance sheet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 of our plan assets, respectively. These measures are critical accounting estimates because they are subject to management’s judgment and can materially affect net income.</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actuarial assumptions and estimates made by management in determining our pension benefit obligations may materially differ from actual results as a result of changing market and economic conditions and changes in plan participant assumptions. While we believe the assumptions and estimates used are appropriate, differences in actual experience or changes in plan participant assumptions may materially affect our financial position or results of operations.</w:t>
      </w:r>
    </w:p>
    <w:p>
      <w:pPr>
        <w:spacing w:after="0" w:line="1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illustrates the sensitivity of changes in the discount rate and expected long-term return on plan assets on pension expense and the projected benefit obligation: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Increase (Decrease)</w:t>
            </w:r>
          </w:p>
        </w:tc>
      </w:tr>
      <w:tr>
        <w:trPr>
          <w:trHeight w:val="162"/>
        </w:trPr>
        <w:tc>
          <w:tcPr>
            <w:tcW w:w="6480" w:type="dxa"/>
            <w:vAlign w:val="bottom"/>
          </w:tcPr>
          <w:p>
            <w:pPr>
              <w:spacing w:after="0"/>
              <w:rPr>
                <w:sz w:val="14"/>
                <w:szCs w:val="14"/>
                <w:color w:val="auto"/>
              </w:rPr>
            </w:pPr>
          </w:p>
        </w:tc>
        <w:tc>
          <w:tcPr>
            <w:tcW w:w="3300" w:type="dxa"/>
            <w:vAlign w:val="bottom"/>
            <w:gridSpan w:val="2"/>
          </w:tcPr>
          <w:p>
            <w:pPr>
              <w:ind w:left="1680"/>
              <w:spacing w:after="0"/>
              <w:rPr>
                <w:sz w:val="20"/>
                <w:szCs w:val="20"/>
                <w:color w:val="auto"/>
              </w:rPr>
            </w:pPr>
            <w:r>
              <w:rPr>
                <w:rFonts w:ascii="Arial" w:cs="Arial" w:eastAsia="Arial" w:hAnsi="Arial"/>
                <w:sz w:val="14"/>
                <w:szCs w:val="14"/>
                <w:b w:val="1"/>
                <w:bCs w:val="1"/>
                <w:color w:val="auto"/>
              </w:rPr>
              <w:t>Increase (Decrease) in</w:t>
            </w:r>
          </w:p>
        </w:tc>
        <w:tc>
          <w:tcPr>
            <w:tcW w:w="16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in Projected Benefit</w:t>
            </w:r>
          </w:p>
        </w:tc>
      </w:tr>
      <w:tr>
        <w:trPr>
          <w:trHeight w:val="162"/>
        </w:trPr>
        <w:tc>
          <w:tcPr>
            <w:tcW w:w="6480" w:type="dxa"/>
            <w:vAlign w:val="bottom"/>
          </w:tcPr>
          <w:p>
            <w:pPr>
              <w:spacing w:after="0"/>
              <w:rPr>
                <w:sz w:val="14"/>
                <w:szCs w:val="14"/>
                <w:color w:val="auto"/>
              </w:rPr>
            </w:pPr>
          </w:p>
        </w:tc>
        <w:tc>
          <w:tcPr>
            <w:tcW w:w="3300" w:type="dxa"/>
            <w:vAlign w:val="bottom"/>
            <w:gridSpan w:val="2"/>
          </w:tcPr>
          <w:p>
            <w:pPr>
              <w:ind w:left="1660"/>
              <w:spacing w:after="0"/>
              <w:rPr>
                <w:sz w:val="20"/>
                <w:szCs w:val="20"/>
                <w:color w:val="auto"/>
              </w:rPr>
            </w:pPr>
            <w:r>
              <w:rPr>
                <w:rFonts w:ascii="Arial" w:cs="Arial" w:eastAsia="Arial" w:hAnsi="Arial"/>
                <w:sz w:val="14"/>
                <w:szCs w:val="14"/>
                <w:b w:val="1"/>
                <w:bCs w:val="1"/>
                <w:color w:val="auto"/>
              </w:rPr>
              <w:t>2018 Pension Expense</w:t>
            </w:r>
          </w:p>
        </w:tc>
        <w:tc>
          <w:tcPr>
            <w:tcW w:w="160" w:type="dxa"/>
            <w:vAlign w:val="bottom"/>
          </w:tcPr>
          <w:p>
            <w:pPr>
              <w:spacing w:after="0"/>
              <w:rPr>
                <w:sz w:val="14"/>
                <w:szCs w:val="14"/>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Obligation at</w:t>
            </w:r>
          </w:p>
        </w:tc>
      </w:tr>
      <w:tr>
        <w:trPr>
          <w:trHeight w:val="196"/>
        </w:trPr>
        <w:tc>
          <w:tcPr>
            <w:tcW w:w="64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basis points)</w:t>
            </w:r>
          </w:p>
        </w:tc>
        <w:tc>
          <w:tcPr>
            <w:tcW w:w="3300" w:type="dxa"/>
            <w:vAlign w:val="bottom"/>
            <w:gridSpan w:val="2"/>
          </w:tcPr>
          <w:p>
            <w:pPr>
              <w:ind w:left="17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2018</w:t>
            </w:r>
          </w:p>
        </w:tc>
      </w:tr>
      <w:tr>
        <w:trPr>
          <w:trHeight w:val="276"/>
        </w:trPr>
        <w:tc>
          <w:tcPr>
            <w:tcW w:w="6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basis point decrease in discount rate</w:t>
            </w:r>
          </w:p>
        </w:tc>
        <w:tc>
          <w:tcPr>
            <w:tcW w:w="2320" w:type="dxa"/>
            <w:vAlign w:val="bottom"/>
            <w:shd w:val="clear" w:color="auto" w:fill="CCEEFF"/>
          </w:tcPr>
          <w:p>
            <w:pPr>
              <w:ind w:left="16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r>
      <w:tr>
        <w:trPr>
          <w:trHeight w:val="264"/>
        </w:trPr>
        <w:tc>
          <w:tcPr>
            <w:tcW w:w="6480" w:type="dxa"/>
            <w:vAlign w:val="bottom"/>
          </w:tcPr>
          <w:p>
            <w:pPr>
              <w:ind w:left="40"/>
              <w:spacing w:after="0"/>
              <w:rPr>
                <w:sz w:val="20"/>
                <w:szCs w:val="20"/>
                <w:color w:val="auto"/>
              </w:rPr>
            </w:pPr>
            <w:r>
              <w:rPr>
                <w:rFonts w:ascii="Arial" w:cs="Arial" w:eastAsia="Arial" w:hAnsi="Arial"/>
                <w:sz w:val="14"/>
                <w:szCs w:val="14"/>
                <w:color w:val="auto"/>
              </w:rPr>
              <w:t>25 basis point increase in discount rate</w:t>
            </w:r>
          </w:p>
        </w:tc>
        <w:tc>
          <w:tcPr>
            <w:tcW w:w="2320" w:type="dxa"/>
            <w:vAlign w:val="bottom"/>
          </w:tcPr>
          <w:p>
            <w:pPr>
              <w:ind w:left="16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76"/>
        </w:trPr>
        <w:tc>
          <w:tcPr>
            <w:tcW w:w="6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basis point decrease in expected long-term rate of return on plan assets</w:t>
            </w:r>
          </w:p>
        </w:tc>
        <w:tc>
          <w:tcPr>
            <w:tcW w:w="2320" w:type="dxa"/>
            <w:vAlign w:val="bottom"/>
            <w:shd w:val="clear" w:color="auto" w:fill="CCEEFF"/>
          </w:tcPr>
          <w:p>
            <w:pPr>
              <w:ind w:left="16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N/A</w:t>
            </w:r>
          </w:p>
        </w:tc>
      </w:tr>
      <w:tr>
        <w:trPr>
          <w:trHeight w:val="258"/>
        </w:trPr>
        <w:tc>
          <w:tcPr>
            <w:tcW w:w="6480" w:type="dxa"/>
            <w:vAlign w:val="bottom"/>
          </w:tcPr>
          <w:p>
            <w:pPr>
              <w:ind w:left="40"/>
              <w:spacing w:after="0"/>
              <w:rPr>
                <w:sz w:val="20"/>
                <w:szCs w:val="20"/>
                <w:color w:val="auto"/>
              </w:rPr>
            </w:pPr>
            <w:r>
              <w:rPr>
                <w:rFonts w:ascii="Arial" w:cs="Arial" w:eastAsia="Arial" w:hAnsi="Arial"/>
                <w:sz w:val="14"/>
                <w:szCs w:val="14"/>
                <w:color w:val="auto"/>
              </w:rPr>
              <w:t>25 basis point increase in expected long-term rate of return on plan assets</w:t>
            </w:r>
          </w:p>
        </w:tc>
        <w:tc>
          <w:tcPr>
            <w:tcW w:w="2320" w:type="dxa"/>
            <w:vAlign w:val="bottom"/>
          </w:tcPr>
          <w:p>
            <w:pPr>
              <w:ind w:left="16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9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Business combinations are described in Note 2 to our consolidated financial statements included in Part II, Item 8 of this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Intangible Assets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Long-lived assets, including vessels, property, plant and equipment, identifiable intangible assets being amortized and capitalized software costs are reviewed for impairment whenever events or changes in circumstances indicate the carrying amount of the long-lived asset may not be recoverable. The carrying amount of a long-lived asset is not recoverable if it exceeds the sum of the undiscounted cash flows expected to result from the use and eventual disposition of the asset. If it is determined that an impairment loss has occurred, the loss is measured as the amount by which the carrying amount of the long-lived asset exceeds its fair value. The determination of future cash flows as well as the estimated fair value of long-lived assets involves significant estimates on the part of management. Because there usually is a lack of quoted market prices for long-lived assets, fair value of impaired assets is typically determined based on the present values of expected future cash flows using discount rates believed to be consistent with those used by principal market participants, or based on a multiple of operating cash flow validated with historical market transactions of similar assets where possible. The expected future cash flows used for impairment reviews and related fair value calculations are based on judgmental assessments of future productivity of the asset, operating costs and capital decisions and all available information at the date of review. If future market conditions deteriorate beyond our current expectations and assumptions, impairments of long-lived assets may be identified if we conclude that the carrying amounts are no longer recoverable.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Goodwill represents the excess of cost over the fair market value of net assets acquired in business combinations. Goodwill is not subject to amortization but is tested for impairment on an annual basis at a reporting level unit, or more frequently if impairment indicators arise. We have established October 31 as the date of our annual test for impairment of goodwill. We identify a potential impairment by comparing the fair value of the applicable reporting unit to its net book value, including goodwill. If the net book value exceeds the fair value of the reporting unit, we measure the impairment by comparing the carrying value of the reporting unit to its fair value. Reporting units with goodwill are tested for impairment using a quantitative impairment test.</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using the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76" w:right="239" w:bottom="1440" w:gutter="0" w:footer="0" w:header="0"/>
        </w:sectPr>
      </w:pPr>
    </w:p>
    <w:bookmarkStart w:id="59" w:name="page60"/>
    <w:bookmarkEnd w:id="59"/>
    <w:p>
      <w:pPr>
        <w:spacing w:after="0" w:line="252"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 based on internal forecasts of revenues and expenses over a specified period plus a terminal value (the income approach). When assessing triggering factors, on a quarterly and also on an annual basis, we also analyze the relationship between our market capitalization and our consolidated book value of equity.</w:t>
      </w:r>
    </w:p>
    <w:p>
      <w:pPr>
        <w:spacing w:after="0" w:line="15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Under the market multiple approach, we determine the estimated fair value of each of our reporting units by applying transaction multiples to each reporting unit’s projected EBITDA and then averaging that estimate with similar historical calculations using either a one, two or three year average. Our reporting unit valuations were determined primarily by utilizing the income approach, with a lesser weighting attributed the market multiple approach.</w:t>
      </w:r>
    </w:p>
    <w:p>
      <w:pPr>
        <w:spacing w:after="0" w:line="15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Late in the fourth quarter of 2018, oil prices fell dramatically and our market capitalization declined significantly, together with other companies in the oil service industry. This short-term event is not expected to have significant negative impact on our short-term performance and it is not changing materially our medium-term and long-term cash flow projections.</w:t>
      </w:r>
    </w:p>
    <w:p>
      <w:pPr>
        <w:spacing w:after="0" w:line="2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excess of fair value over carrying amount for our Surface Technologies and Onshore/Offshore reporting units ranged from approximately 56% to in excess of 200% of the respective carrying amounts.</w:t>
      </w:r>
    </w:p>
    <w:p>
      <w:pPr>
        <w:spacing w:after="0" w:line="14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During the year ended December 31, 2018, we recorded $1,383.0 million of goodwill impairment charges in our Subsea reporting unit. Refer to Note 17 to our consolidated financial statements included in Part II, Item 8 of this Annual Report on Form 10-K for additional disclosure related to the impairment of goodwill during the year ended December 31, 2018.</w:t>
      </w:r>
    </w:p>
    <w:p>
      <w:pPr>
        <w:spacing w:after="0" w:line="14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 presents the significant estimates used by management in determining the fair values of our reporting units at December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216"/>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 of cash flows before terminal value</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10"/>
        </w:trPr>
        <w:tc>
          <w:tcPr>
            <w:tcW w:w="9780" w:type="dxa"/>
            <w:vAlign w:val="bottom"/>
          </w:tcPr>
          <w:p>
            <w:pPr>
              <w:ind w:left="40"/>
              <w:spacing w:after="0"/>
              <w:rPr>
                <w:sz w:val="20"/>
                <w:szCs w:val="20"/>
                <w:color w:val="auto"/>
              </w:rPr>
            </w:pPr>
            <w:r>
              <w:rPr>
                <w:rFonts w:ascii="Arial" w:cs="Arial" w:eastAsia="Arial" w:hAnsi="Arial"/>
                <w:sz w:val="14"/>
                <w:szCs w:val="14"/>
                <w:color w:val="auto"/>
              </w:rPr>
              <w:t>Discount rates</w:t>
            </w:r>
          </w:p>
        </w:tc>
        <w:tc>
          <w:tcPr>
            <w:tcW w:w="1580" w:type="dxa"/>
            <w:vAlign w:val="bottom"/>
          </w:tcPr>
          <w:p>
            <w:pPr>
              <w:ind w:left="280"/>
              <w:spacing w:after="0"/>
              <w:rPr>
                <w:sz w:val="20"/>
                <w:szCs w:val="20"/>
                <w:color w:val="auto"/>
              </w:rPr>
            </w:pPr>
            <w:r>
              <w:rPr>
                <w:rFonts w:ascii="Arial" w:cs="Arial" w:eastAsia="Arial" w:hAnsi="Arial"/>
                <w:sz w:val="14"/>
                <w:szCs w:val="14"/>
                <w:color w:val="auto"/>
              </w:rPr>
              <w:t>12.0% to 13.0%</w:t>
            </w:r>
          </w:p>
        </w:tc>
      </w:tr>
      <w:tr>
        <w:trPr>
          <w:trHeight w:val="222"/>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EBITDA multiples</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7.0 - 8.5x</w:t>
            </w:r>
          </w:p>
        </w:tc>
      </w:tr>
    </w:tbl>
    <w:p>
      <w:pPr>
        <w:spacing w:after="0" w:line="161"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Refer to Note 12 to our consolidated financial statements included in Part II, Item 8 of this Annual Report on Form 10-K for additional information related to goodwill impairment testing during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We have contacted the Brazilian authorities (Federal Prosecution Service (MPF), the Comptroller General of Brazil (CGU) and the Attorney General of Brazil (AGU)) and are cooperating with their investigation concerning the projects in Brazil and have also contacted French authorities (the Parquet National Financier (PNF)) about these existing matters.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98" w:right="259" w:bottom="1440" w:gutter="0" w:footer="0" w:header="0"/>
        </w:sectPr>
      </w:pPr>
    </w:p>
    <w:bookmarkStart w:id="60" w:name="page61"/>
    <w:bookmarkEnd w:id="60"/>
    <w:p>
      <w:pPr>
        <w:jc w:val="both"/>
        <w:ind w:right="20"/>
        <w:spacing w:after="0" w:line="256" w:lineRule="auto"/>
        <w:rPr>
          <w:sz w:val="20"/>
          <w:szCs w:val="20"/>
          <w:color w:val="auto"/>
        </w:rPr>
      </w:pPr>
      <w:r>
        <w:rPr>
          <w:rFonts w:ascii="Arial" w:cs="Arial" w:eastAsia="Arial" w:hAnsi="Arial"/>
          <w:sz w:val="18"/>
          <w:szCs w:val="18"/>
          <w:color w:val="auto"/>
        </w:rPr>
        <w:t>We have been informed that these authorities in Brazil, the U.S. and France have been coordinating their investigations, which could result in a global resolution. These matters have progressed to a point where a probable estimate of the aggregate settlement amount with all authorities is $280.0 million for which we have taken a provision in the fourth quarter and year ended December 31, 2018</w:t>
      </w:r>
      <w:r>
        <w:rPr>
          <w:rFonts w:ascii="Arial" w:cs="Arial" w:eastAsia="Arial" w:hAnsi="Arial"/>
          <w:sz w:val="18"/>
          <w:szCs w:val="18"/>
          <w:color w:val="4472C4"/>
        </w:rPr>
        <w:t>.</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matters involve negotiations with law enforcement authorities in three separate jurisdictions, and there is no certainty that a global settlement will be reached or that the settlement will not exceed current accruals. These authorities have a broad range of civil and criminal sanctions under anticorruption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deferred prosecution agreements, guilty pleas and other sanctions, including the requirement that the relevant corporation retain a monitor to oversee its compliance with anticorruption laws. Any of these remedial measures, if applicable to us, as well as potential customer reaction to such remedial measures, could have a material adverse impact on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our consolidated financial statements included in Part II, Item 8 of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98"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At December 31, 2018 and December 31, 2017, substantially all of our derivative holdings consisted of foreign currency forward contracts and foreign currency instruments embedded in purchase and sale contracts.</w:t>
      </w:r>
    </w:p>
    <w:p>
      <w:pPr>
        <w:spacing w:after="0" w:line="1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at December 31, 2018, would have changed our revenue and income before income taxes attributable to TechnipFMC by approximately $134.6 million and $5.7 million, respectively.</w:t>
      </w:r>
    </w:p>
    <w:p>
      <w:pPr>
        <w:spacing w:after="0" w:line="1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our foreign currency forward contracts hedging anticipated transactions that are accounted for as cash flow hedges, a 10% increase in the value of the U.S. dollar would have resulted in an additional loss of $50.7 million in the net fair value of cash flow hedges reflected in our consolidated balance sheet at December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At December 31, 2018, we had commercial paper of approximately $1.9 billion with a weighted average interest rate of 1.82%. Using sensitivity analysis to measure the impact of a 10% adverse movement in the interest rate, or eighteen basis points, would result in an increase to interest expense of $3.5 million.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76" w:right="239" w:bottom="1440" w:gutter="0" w:footer="0" w:header="0"/>
        </w:sectPr>
      </w:pPr>
    </w:p>
    <w:bookmarkStart w:id="62" w:name="page63"/>
    <w:bookmarkEnd w:id="62"/>
    <w:p>
      <w:pPr>
        <w:spacing w:after="0" w:line="251" w:lineRule="auto"/>
        <w:rPr>
          <w:sz w:val="20"/>
          <w:szCs w:val="20"/>
          <w:color w:val="auto"/>
        </w:rPr>
      </w:pPr>
      <w:r>
        <w:rPr>
          <w:rFonts w:ascii="Arial" w:cs="Arial" w:eastAsia="Arial" w:hAnsi="Arial"/>
          <w:sz w:val="18"/>
          <w:szCs w:val="18"/>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have exposure in the unrealized valuation of our forward foreign currency contracts to relative changes in interest rates between countries in our results of operations. To the extent any one interest rate increases by 10% across all tenors and other countries’ interest rates remain fixed, and assuming no change in discount rates, we would expect to recognize a decrease of $1.1 million in unrealized earnings in the period of change. Based on our portfolio as of December 31, 2018, we have material positions with exposure to interest rates in the United States, Canada, Australia, Brazil, the United Kingdom, Singapore, the European Community, and Norway.</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598"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TechnipFMC plc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TechnipFMC plc and its subsidiaries (the “Company”) as of December 31, 2018 and 2017, and the related consolidated statements of income, comprehensive income, changes in stockholders’ equity, and cash flows for the years then ended, including the related notes and financial statement schedule of valuation and qualifying accounts for the years ended December 31, 2018 and 2017 appearing under Item 15(a)(2)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issued by the Committee of Sponsoring Organizations of the Treadway Commission (COSO).</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two years then ended in conformity with accounting principles generally accepted in the United States of America. Also in our opinion, the Company did not maintain, in all material respects, effective internal control over financial reporting as of December 31, 2018,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issued by the COSO because material weaknesses in internal control over financial reporting existed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that date related to the design and operating effectiveness of internal controls over (i) the period end financial reporting process, and (ii) the accounting for income taxes.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2018 consolidated financial statements, and our opinion regarding the effectiveness of the Company’s internal control over financial reporting does not affect our opinion on those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were maintained in all material respects.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576"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76" w:right="259" w:bottom="1440" w:gutter="0" w:footer="0" w:header="0"/>
        </w:sectPr>
      </w:pPr>
    </w:p>
    <w:bookmarkStart w:id="65" w:name="page66"/>
    <w:bookmarkEnd w:id="65"/>
    <w:p>
      <w:pPr>
        <w:ind w:right="2520" w:firstLine="2661"/>
        <w:spacing w:after="0" w:line="45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TechnipFMC plc</w:t>
      </w:r>
    </w:p>
    <w:p>
      <w:pPr>
        <w:spacing w:after="0" w:line="251" w:lineRule="auto"/>
        <w:rPr>
          <w:sz w:val="20"/>
          <w:szCs w:val="20"/>
          <w:color w:val="auto"/>
        </w:rPr>
      </w:pPr>
      <w:r>
        <w:rPr>
          <w:rFonts w:ascii="Arial" w:cs="Arial" w:eastAsia="Arial" w:hAnsi="Arial"/>
          <w:sz w:val="18"/>
          <w:szCs w:val="18"/>
          <w:color w:val="auto"/>
        </w:rPr>
        <w:t>In our opinion, the accompanying consolidated statements of income, comprehensive income, cash flows and changes in stockholders’ equity for the year ended December 31, 2016 present fairly, in all material respects, the results of operations and cash flows of TechnipFMC plc and its subsidiaries for the year ended December 31, 2016, in conformity with accounting principles generally accepted in the United States of America. In addition, in our opinion, the financial statement schedule for the year ended December 31, 2016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 We conducted our audit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80"/>
          </w:cols>
          <w:pgMar w:left="240" w:top="576" w:right="37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7"/>
          <w:szCs w:val="17"/>
          <w:b w:val="1"/>
          <w:bCs w:val="1"/>
          <w:color w:val="auto"/>
        </w:rPr>
        <w:t>TECHNIPFMC PLC AND CONSOLIDATED SUBSIDIARIES</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ectPr>
          <w:pgSz w:w="11900" w:h="16838" w:orient="portrait"/>
          <w:cols w:equalWidth="0" w:num="1">
            <w:col w:w="11380"/>
          </w:cols>
          <w:pgMar w:left="280" w:top="576"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data)</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Service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Product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Lease and other revenue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revenue</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Costs and expenses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Cost of service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Cost of product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Cost of lease and other revenue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Impairment, restructuring and other expense (Note 17)</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Merger transaction and integration costs (Note 2)</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costs and expenses</w:t>
      </w: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Income from equity affiliates (Note 9)</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interest income, interest expense and income taxes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expense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(loss) before income taxes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Provision for income taxes (Note 19)</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(income) loss attributable to noncontrolling interests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(loss) attributable to TechnipFMC plc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Earnings (loss) per share attributable to TechnipFMC plc (Note 6)</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Diluted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Weighted average shares outstanding (Note 6)</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528"/>
        </w:trPr>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9,765.0</w:t>
            </w:r>
          </w:p>
        </w:tc>
        <w:tc>
          <w:tcPr>
            <w:tcW w:w="120" w:type="dxa"/>
            <w:vAlign w:val="bottom"/>
          </w:tcPr>
          <w:p>
            <w:pPr>
              <w:spacing w:after="0"/>
              <w:rPr>
                <w:sz w:val="24"/>
                <w:szCs w:val="24"/>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12,210.5</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9,128.7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2,565.2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2,651.8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70.9</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12,552.9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9,199.6</w:t>
            </w:r>
          </w:p>
        </w:tc>
      </w:tr>
      <w:tr>
        <w:trPr>
          <w:trHeight w:val="824"/>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7,895.1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9,984.0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7,585.7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2,234.5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2,403.4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1,140.6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1,060.9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572.6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1,831.2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343.0</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92.6</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13,470.5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8,743.6</w:t>
            </w:r>
          </w:p>
        </w:tc>
      </w:tr>
      <w:tr>
        <w:trPr>
          <w:trHeight w:val="554"/>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(323.9)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117.7</w:t>
            </w:r>
          </w:p>
        </w:tc>
      </w:tr>
      <w:tr>
        <w:trPr>
          <w:trHeight w:val="244"/>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580.2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85.3</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w:t>
            </w:r>
          </w:p>
        </w:tc>
      </w:tr>
      <w:tr>
        <w:trPr>
          <w:trHeight w:val="244"/>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551.4</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545.5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180.3</w:t>
            </w:r>
          </w:p>
        </w:tc>
      </w:tr>
      <w:tr>
        <w:trPr>
          <w:trHeight w:val="244"/>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(1,910.8)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371.1</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w:t>
            </w:r>
          </w:p>
        </w:tc>
      </w:tr>
      <w:tr>
        <w:trPr>
          <w:trHeight w:val="237"/>
        </w:trPr>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(1,921.6)</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39"/>
        </w:trPr>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4"/>
                <w:szCs w:val="24"/>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3.29</w:t>
            </w:r>
          </w:p>
        </w:tc>
      </w:tr>
      <w:tr>
        <w:trPr>
          <w:trHeight w:val="270"/>
        </w:trPr>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458.0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466.7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458.0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-5728970</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-5377180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-5034280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-4682490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-4339590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-3996690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-3653790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-3310890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-2959100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-2616200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-2272665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-1929765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-1586865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-1243965</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-849630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-506095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-163195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5980" w:space="720"/>
            <w:col w:w="4680"/>
          </w:cols>
          <w:pgMar w:left="280" w:top="576" w:right="239" w:bottom="1440" w:gutter="0" w:footer="0" w:header="0"/>
          <w:type w:val="continuous"/>
        </w:sect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80" w:top="576"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(loss)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Foreign currency translation adjustments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gain (losses) arising during the period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Reclassification adjustment for net gains included in net income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gains (losses) on foreign currency translation adjustments</w:t>
      </w:r>
      <w:r>
        <w:rPr>
          <w:rFonts w:ascii="Arial" w:cs="Arial" w:eastAsia="Arial" w:hAnsi="Arial"/>
          <w:sz w:val="17"/>
          <w:szCs w:val="17"/>
          <w:b w:val="1"/>
          <w:bCs w:val="1"/>
          <w:color w:val="auto"/>
          <w:vertAlign w:val="superscript"/>
        </w:rPr>
        <w:t>(a)</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Net gains (losses) on hedging instruments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96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44"/>
        </w:trPr>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(1,910.8)</w:t>
            </w:r>
          </w:p>
        </w:tc>
        <w:tc>
          <w:tcPr>
            <w:tcW w:w="120" w:type="dxa"/>
            <w:vAlign w:val="bottom"/>
          </w:tcPr>
          <w:p>
            <w:pPr>
              <w:spacing w:after="0"/>
              <w:rPr>
                <w:sz w:val="21"/>
                <w:szCs w:val="21"/>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371.1</w:t>
            </w:r>
          </w:p>
        </w:tc>
      </w:tr>
      <w:tr>
        <w:trPr>
          <w:trHeight w:val="540"/>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(71.4)</w:t>
            </w:r>
          </w:p>
        </w:tc>
      </w:tr>
      <w:tr>
        <w:trPr>
          <w:trHeight w:val="276"/>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(224.4)</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-849630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-506095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-163195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6020" w:space="720"/>
            <w:col w:w="468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6740" w:type="dxa"/>
            <w:vAlign w:val="bottom"/>
          </w:tcPr>
          <w:p>
            <w:pPr>
              <w:ind w:left="280"/>
              <w:spacing w:after="0"/>
              <w:rPr>
                <w:sz w:val="20"/>
                <w:szCs w:val="20"/>
                <w:color w:val="auto"/>
              </w:rPr>
            </w:pPr>
            <w:r>
              <w:rPr>
                <w:rFonts w:ascii="Arial" w:cs="Arial" w:eastAsia="Arial" w:hAnsi="Arial"/>
                <w:sz w:val="14"/>
                <w:szCs w:val="14"/>
                <w:color w:val="auto"/>
              </w:rPr>
              <w:t>Net gains (losses) arising during the period</w:t>
            </w:r>
          </w:p>
        </w:tc>
        <w:tc>
          <w:tcPr>
            <w:tcW w:w="4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net gains included in net income</w:t>
            </w: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 xml:space="preserve">Net gains (losses) on hedging instruments </w:t>
            </w:r>
            <w:r>
              <w:rPr>
                <w:rFonts w:ascii="Arial" w:cs="Arial" w:eastAsia="Arial" w:hAnsi="Arial"/>
                <w:sz w:val="17"/>
                <w:szCs w:val="17"/>
                <w:b w:val="1"/>
                <w:bCs w:val="1"/>
                <w:color w:val="auto"/>
                <w:vertAlign w:val="superscript"/>
              </w:rPr>
              <w:t>(b)</w:t>
            </w: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48"/>
        </w:trPr>
        <w:tc>
          <w:tcPr>
            <w:tcW w:w="6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7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gains arising during the period</w:t>
            </w:r>
          </w:p>
        </w:tc>
        <w:tc>
          <w:tcPr>
            <w:tcW w:w="4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80"/>
              <w:spacing w:after="0"/>
              <w:rPr>
                <w:sz w:val="20"/>
                <w:szCs w:val="20"/>
                <w:color w:val="auto"/>
              </w:rPr>
            </w:pPr>
            <w:r>
              <w:rPr>
                <w:rFonts w:ascii="Arial" w:cs="Arial" w:eastAsia="Arial" w:hAnsi="Arial"/>
                <w:sz w:val="14"/>
                <w:szCs w:val="14"/>
                <w:color w:val="auto"/>
              </w:rPr>
              <w:t>Prior service cost arising during the period</w:t>
            </w: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settlement losses included in net income</w:t>
            </w: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8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480" w:type="dxa"/>
            <w:vAlign w:val="bottom"/>
          </w:tcPr>
          <w:p>
            <w:pPr>
              <w:spacing w:after="0"/>
              <w:rPr>
                <w:sz w:val="17"/>
                <w:szCs w:val="17"/>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amortization of net actuarial loss included in net income</w:t>
            </w: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 xml:space="preserve">Net pension and other post-retirement benefits </w:t>
            </w:r>
            <w:r>
              <w:rPr>
                <w:rFonts w:ascii="Arial" w:cs="Arial" w:eastAsia="Arial" w:hAnsi="Arial"/>
                <w:sz w:val="17"/>
                <w:szCs w:val="17"/>
                <w:b w:val="1"/>
                <w:bCs w:val="1"/>
                <w:color w:val="auto"/>
                <w:vertAlign w:val="superscript"/>
              </w:rPr>
              <w:t>(c)</w:t>
            </w: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48"/>
        </w:trPr>
        <w:tc>
          <w:tcPr>
            <w:tcW w:w="67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(loss), net of tax</w:t>
            </w:r>
          </w:p>
        </w:tc>
        <w:tc>
          <w:tcPr>
            <w:tcW w:w="4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4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(2,271.4)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355.8</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4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(2,277.6)</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211.2</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of income tax (expense) benefit of $3.6, $(11.5) and nil for the years ended December 31, 2018, 2017 and 2016,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of income tax (expense) benefit of $16.6, $(52.5) and $(24.3) for the years ended December 31, 2018, 2017 and 2016,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of income tax (expense) benefit of $15.5, $(11.7) and $1.0 for the years ended December 31, 2018, 2017 and 2016,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76"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 except par value data)</w:t>
            </w: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1020" w:type="dxa"/>
            <w:vAlign w:val="bottom"/>
            <w:tcBorders>
              <w:bottom w:val="single" w:sz="8" w:color="auto"/>
            </w:tcBorders>
          </w:tcPr>
          <w:p>
            <w:pPr>
              <w:spacing w:after="0"/>
              <w:rPr>
                <w:sz w:val="15"/>
                <w:szCs w:val="15"/>
                <w:color w:val="auto"/>
              </w:rPr>
            </w:pPr>
          </w:p>
        </w:tc>
      </w:tr>
      <w:tr>
        <w:trPr>
          <w:trHeight w:val="264"/>
        </w:trPr>
        <w:tc>
          <w:tcPr>
            <w:tcW w:w="82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Assets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3"/>
                <w:szCs w:val="13"/>
                <w:b w:val="1"/>
                <w:bCs w:val="1"/>
                <w:color w:val="auto"/>
              </w:rPr>
              <w:t>2018</w:t>
            </w:r>
          </w:p>
        </w:tc>
        <w:tc>
          <w:tcPr>
            <w:tcW w:w="2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3"/>
                <w:szCs w:val="13"/>
                <w:b w:val="1"/>
                <w:bCs w:val="1"/>
                <w:color w:val="auto"/>
              </w:rPr>
              <w:t>2017</w:t>
            </w:r>
          </w:p>
        </w:tc>
      </w:tr>
      <w:tr>
        <w:trPr>
          <w:trHeight w:val="249"/>
        </w:trPr>
        <w:tc>
          <w:tcPr>
            <w:tcW w:w="824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5,540.0</w:t>
            </w: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6,737.4</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Trade receivables, net of allowances of $119.6 in 2018 and $117.4 in 2017</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2,469.7</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1,484.4</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Contract assets</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1,295.0</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1,755.5</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 net (Note 7)</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1,251.2</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987.0</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Derivative financial instruments (Note 21)</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95.7</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78.3</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taxes receivable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284.3</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337.0</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Advances paid to suppliers</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189.7</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391.3</w:t>
            </w:r>
          </w:p>
        </w:tc>
      </w:tr>
      <w:tr>
        <w:trPr>
          <w:trHeight w:val="272"/>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assets (Note 8)</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655.6</w:t>
            </w:r>
          </w:p>
        </w:tc>
        <w:tc>
          <w:tcPr>
            <w:tcW w:w="26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1,206.2</w:t>
            </w:r>
          </w:p>
        </w:tc>
      </w:tr>
      <w:tr>
        <w:trPr>
          <w:trHeight w:val="249"/>
        </w:trPr>
        <w:tc>
          <w:tcPr>
            <w:tcW w:w="824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340" w:type="dxa"/>
            <w:vAlign w:val="bottom"/>
          </w:tcPr>
          <w:p>
            <w:pPr>
              <w:spacing w:after="0"/>
              <w:rPr>
                <w:sz w:val="21"/>
                <w:szCs w:val="21"/>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11,781.2</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12,977.1</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Investments in equity affiliates (Note 9)</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394.5</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272.5</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Property, plant and equipment, net (Note 11)</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3,259.8</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3,871.5</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Goodwill (Note 12)</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7,607.6</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8,929.8</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Intangible assets, net (Note 12)</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1,176.7</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1,333.8</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 (Note 19)</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232.4</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454.7</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Derivative financial instruments (Note 21)</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18.3</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94.9</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314.0</w:t>
            </w:r>
          </w:p>
        </w:tc>
        <w:tc>
          <w:tcPr>
            <w:tcW w:w="26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329.4</w:t>
            </w:r>
          </w:p>
        </w:tc>
      </w:tr>
      <w:tr>
        <w:trPr>
          <w:trHeight w:val="275"/>
        </w:trPr>
        <w:tc>
          <w:tcPr>
            <w:tcW w:w="8240" w:type="dxa"/>
            <w:vAlign w:val="bottom"/>
          </w:tcPr>
          <w:p>
            <w:pPr>
              <w:ind w:left="40"/>
              <w:spacing w:after="0"/>
              <w:rPr>
                <w:sz w:val="20"/>
                <w:szCs w:val="20"/>
                <w:color w:val="auto"/>
              </w:rPr>
            </w:pPr>
            <w:r>
              <w:rPr>
                <w:rFonts w:ascii="Arial" w:cs="Arial" w:eastAsia="Arial" w:hAnsi="Arial"/>
                <w:sz w:val="13"/>
                <w:szCs w:val="13"/>
                <w:b w:val="1"/>
                <w:bCs w:val="1"/>
                <w:color w:val="auto"/>
              </w:rPr>
              <w:t>Total assets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24,784.5</w:t>
            </w: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28,263.7</w:t>
            </w:r>
          </w:p>
        </w:tc>
      </w:tr>
      <w:tr>
        <w:trPr>
          <w:trHeight w:val="265"/>
        </w:trPr>
        <w:tc>
          <w:tcPr>
            <w:tcW w:w="82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2"/>
        </w:trPr>
        <w:tc>
          <w:tcPr>
            <w:tcW w:w="8240" w:type="dxa"/>
            <w:vAlign w:val="bottom"/>
          </w:tcPr>
          <w:p>
            <w:pPr>
              <w:ind w:left="40"/>
              <w:spacing w:after="0"/>
              <w:rPr>
                <w:sz w:val="20"/>
                <w:szCs w:val="20"/>
                <w:color w:val="auto"/>
              </w:rPr>
            </w:pPr>
            <w:r>
              <w:rPr>
                <w:rFonts w:ascii="Arial" w:cs="Arial" w:eastAsia="Arial" w:hAnsi="Arial"/>
                <w:sz w:val="13"/>
                <w:szCs w:val="13"/>
                <w:i w:val="1"/>
                <w:iCs w:val="1"/>
                <w:color w:val="auto"/>
              </w:rPr>
              <w:t>Liabilities and equity</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Short-term debt and current portion of long-term debt (Note 13)</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67.4</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77.1</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Accounts payable, trade</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2,600.3</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3,958.7</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Contract liabilities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4,085.1</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3,314.2</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Accrued payroll</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394.7</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402.2</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21)</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138.4</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69.0</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Income taxes payable</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81.9</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320.3</w:t>
            </w:r>
          </w:p>
        </w:tc>
      </w:tr>
      <w:tr>
        <w:trPr>
          <w:trHeight w:val="21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liabilities (Note 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1,766.6</w:t>
            </w:r>
          </w:p>
        </w:tc>
        <w:tc>
          <w:tcPr>
            <w:tcW w:w="7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1,687.9</w:t>
            </w:r>
          </w:p>
        </w:tc>
      </w:tr>
      <w:tr>
        <w:trPr>
          <w:trHeight w:val="249"/>
        </w:trPr>
        <w:tc>
          <w:tcPr>
            <w:tcW w:w="8240" w:type="dxa"/>
            <w:vAlign w:val="bottom"/>
          </w:tcPr>
          <w:p>
            <w:pPr>
              <w:ind w:left="380"/>
              <w:spacing w:after="0"/>
              <w:rPr>
                <w:sz w:val="20"/>
                <w:szCs w:val="20"/>
                <w:color w:val="auto"/>
              </w:rPr>
            </w:pPr>
            <w:r>
              <w:rPr>
                <w:rFonts w:ascii="Arial" w:cs="Arial" w:eastAsia="Arial" w:hAnsi="Arial"/>
                <w:sz w:val="13"/>
                <w:szCs w:val="13"/>
                <w:color w:val="auto"/>
              </w:rPr>
              <w:t>Total current liabilities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9,134.4</w:t>
            </w:r>
          </w:p>
        </w:tc>
        <w:tc>
          <w:tcPr>
            <w:tcW w:w="26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9,829.4</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 less current portion (Note 13)</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4,124.3</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3,777.9</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Deferred income taxes (Note 19)</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209.2</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419.7</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pension and other post-retirement benefits, less current portion (Note 20)</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298.9</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282.0</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Derivative financial instruments (Note 21)</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44.9</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68.1</w:t>
            </w:r>
          </w:p>
        </w:tc>
      </w:tr>
      <w:tr>
        <w:trPr>
          <w:trHeight w:val="272"/>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503.4</w:t>
            </w:r>
          </w:p>
        </w:tc>
        <w:tc>
          <w:tcPr>
            <w:tcW w:w="26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477.2</w:t>
            </w:r>
          </w:p>
        </w:tc>
      </w:tr>
      <w:tr>
        <w:trPr>
          <w:trHeight w:val="250"/>
        </w:trPr>
        <w:tc>
          <w:tcPr>
            <w:tcW w:w="824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liabilities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14,315.1</w:t>
            </w:r>
          </w:p>
        </w:tc>
        <w:tc>
          <w:tcPr>
            <w:tcW w:w="2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14,854.3</w:t>
            </w:r>
          </w:p>
        </w:tc>
      </w:tr>
      <w:tr>
        <w:trPr>
          <w:trHeight w:val="257"/>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Commitments and contingent liabilities (Note 18)</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Mezzanine equity</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57"/>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Redeemable noncontrolling interest</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38.5</w:t>
            </w:r>
          </w:p>
        </w:tc>
        <w:tc>
          <w:tcPr>
            <w:tcW w:w="2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6"/>
        </w:trPr>
        <w:tc>
          <w:tcPr>
            <w:tcW w:w="8240" w:type="dxa"/>
            <w:vAlign w:val="bottom"/>
          </w:tcPr>
          <w:p>
            <w:pPr>
              <w:ind w:left="40"/>
              <w:spacing w:after="0"/>
              <w:rPr>
                <w:sz w:val="20"/>
                <w:szCs w:val="20"/>
                <w:color w:val="auto"/>
              </w:rPr>
            </w:pPr>
            <w:r>
              <w:rPr>
                <w:rFonts w:ascii="Arial" w:cs="Arial" w:eastAsia="Arial" w:hAnsi="Arial"/>
                <w:sz w:val="13"/>
                <w:szCs w:val="13"/>
                <w:i w:val="1"/>
                <w:iCs w:val="1"/>
                <w:color w:val="auto"/>
              </w:rPr>
              <w:t>Stockholders’ equity (Note 15)</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164"/>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8"/>
              </w:rPr>
              <w:t>Ordinary shares, $1.00 par value; 618.3 shares and 525.0 shares authorized in 2018 and 2017, respectively; 450.5 shares and 465.1 shares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issued and outstanding in 2018 and 2017, respectively; 14.8 and 2.1 shares canceled in 2018 and 2017, respectively</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450.5</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465.1</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Ordinary shares held in employee benefit trust, at cost; 0.1 and 0.1 shares in 2018 and 2017, respectively</w:t>
            </w:r>
          </w:p>
        </w:tc>
        <w:tc>
          <w:tcPr>
            <w:tcW w:w="3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7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Capital in excess of par value of ordinary shares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10,197.0</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10,483.3</w:t>
            </w:r>
          </w:p>
        </w:tc>
      </w:tr>
      <w:tr>
        <w:trPr>
          <w:trHeight w:val="262"/>
        </w:trPr>
        <w:tc>
          <w:tcPr>
            <w:tcW w:w="8240" w:type="dxa"/>
            <w:vAlign w:val="bottom"/>
          </w:tcPr>
          <w:p>
            <w:pPr>
              <w:ind w:left="280"/>
              <w:spacing w:after="0"/>
              <w:rPr>
                <w:sz w:val="20"/>
                <w:szCs w:val="20"/>
                <w:color w:val="auto"/>
              </w:rPr>
            </w:pPr>
            <w:r>
              <w:rPr>
                <w:rFonts w:ascii="Arial" w:cs="Arial" w:eastAsia="Arial" w:hAnsi="Arial"/>
                <w:sz w:val="13"/>
                <w:szCs w:val="13"/>
                <w:color w:val="auto"/>
              </w:rPr>
              <w:t>Retained earnings</w:t>
            </w:r>
          </w:p>
        </w:tc>
        <w:tc>
          <w:tcPr>
            <w:tcW w:w="34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1,114.2</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3,448.0</w:t>
            </w:r>
          </w:p>
        </w:tc>
      </w:tr>
      <w:tr>
        <w:trPr>
          <w:trHeight w:val="272"/>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loss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(1,359.7)</w:t>
            </w:r>
          </w:p>
        </w:tc>
        <w:tc>
          <w:tcPr>
            <w:tcW w:w="26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r>
      <w:tr>
        <w:trPr>
          <w:trHeight w:val="249"/>
        </w:trPr>
        <w:tc>
          <w:tcPr>
            <w:tcW w:w="8240" w:type="dxa"/>
            <w:vAlign w:val="bottom"/>
          </w:tcPr>
          <w:p>
            <w:pPr>
              <w:ind w:left="380"/>
              <w:spacing w:after="0"/>
              <w:rPr>
                <w:sz w:val="20"/>
                <w:szCs w:val="20"/>
                <w:color w:val="auto"/>
              </w:rPr>
            </w:pPr>
            <w:r>
              <w:rPr>
                <w:rFonts w:ascii="Arial" w:cs="Arial" w:eastAsia="Arial" w:hAnsi="Arial"/>
                <w:sz w:val="13"/>
                <w:szCs w:val="13"/>
                <w:color w:val="auto"/>
              </w:rPr>
              <w:t>Total TechnipFMC plc stockholders’ equity</w:t>
            </w:r>
          </w:p>
        </w:tc>
        <w:tc>
          <w:tcPr>
            <w:tcW w:w="340" w:type="dxa"/>
            <w:vAlign w:val="bottom"/>
          </w:tcPr>
          <w:p>
            <w:pPr>
              <w:spacing w:after="0"/>
              <w:rPr>
                <w:sz w:val="21"/>
                <w:szCs w:val="21"/>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10,399.6</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13,387.9</w:t>
            </w:r>
          </w:p>
        </w:tc>
      </w:tr>
      <w:tr>
        <w:trPr>
          <w:trHeight w:val="272"/>
        </w:trPr>
        <w:tc>
          <w:tcPr>
            <w:tcW w:w="8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Noncontrolling interests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31.3</w:t>
            </w:r>
          </w:p>
        </w:tc>
        <w:tc>
          <w:tcPr>
            <w:tcW w:w="26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21.5</w:t>
            </w:r>
          </w:p>
        </w:tc>
      </w:tr>
      <w:tr>
        <w:trPr>
          <w:trHeight w:val="250"/>
        </w:trPr>
        <w:tc>
          <w:tcPr>
            <w:tcW w:w="824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Total equity</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10,430.9</w:t>
            </w:r>
          </w:p>
        </w:tc>
        <w:tc>
          <w:tcPr>
            <w:tcW w:w="2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13,409.4</w:t>
            </w:r>
          </w:p>
        </w:tc>
      </w:tr>
      <w:tr>
        <w:trPr>
          <w:trHeight w:val="242"/>
        </w:trPr>
        <w:tc>
          <w:tcPr>
            <w:tcW w:w="8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24,784.5</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28,263.7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711" w:right="239" w:bottom="107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711" w:right="239" w:bottom="107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60" w:type="dxa"/>
            <w:vAlign w:val="bottom"/>
            <w:shd w:val="clear" w:color="auto" w:fill="CCEEFF"/>
          </w:tcPr>
          <w:p>
            <w:pPr>
              <w:spacing w:after="0"/>
              <w:rPr>
                <w:sz w:val="23"/>
                <w:szCs w:val="23"/>
                <w:color w:val="auto"/>
              </w:rPr>
            </w:pPr>
          </w:p>
        </w:tc>
        <w:tc>
          <w:tcPr>
            <w:tcW w:w="11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(1,910.8)</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371.1</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to cash provided (required) by operating activities</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283.2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Impairments (Note 17)</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1,792.6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(48.1)</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172.7</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(498.3)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Other current assets and liabilities,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921.2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646.5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 and liabilities, net</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493.8</w:t>
            </w:r>
          </w:p>
        </w:tc>
      </w:tr>
      <w:tr>
        <w:trPr>
          <w:trHeight w:val="283"/>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(312.9)</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Cash acquired in merger of FMC Technologies, Inc. and Technip S.A. (Note 2)</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1,479.2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Cash acquired upon consolidation of investee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3,480.7</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divested from deconsolidation</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Proceeds from sale of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1,250.0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3,110.5</w:t>
            </w:r>
          </w:p>
        </w:tc>
      </w:tr>
      <w:tr>
        <w:trPr>
          <w:trHeight w:val="283"/>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increase (decrease) in short-term debt</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increase in commercial paper</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496.6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Repayments of long-term debt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(891.2)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ordinary shares</w:t>
            </w:r>
          </w:p>
        </w:tc>
        <w:tc>
          <w:tcPr>
            <w:tcW w:w="360" w:type="dxa"/>
            <w:vAlign w:val="bottom"/>
            <w:shd w:val="clear" w:color="auto" w:fill="BFE4FF"/>
          </w:tcPr>
          <w:p>
            <w:pPr>
              <w:spacing w:after="0"/>
              <w:rPr>
                <w:sz w:val="24"/>
                <w:szCs w:val="24"/>
                <w:color w:val="auto"/>
              </w:rPr>
            </w:pPr>
          </w:p>
        </w:tc>
        <w:tc>
          <w:tcPr>
            <w:tcW w:w="1140" w:type="dxa"/>
            <w:vAlign w:val="bottom"/>
            <w:tcBorders>
              <w:right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(442.6)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(111.5)</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related to taxes withheld on share-based compensation</w:t>
            </w:r>
          </w:p>
        </w:tc>
        <w:tc>
          <w:tcPr>
            <w:tcW w:w="36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Settlements of mandatorily redeemable financial liability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(534.6)</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r>
      <w:tr>
        <w:trPr>
          <w:trHeight w:val="250"/>
        </w:trPr>
        <w:tc>
          <w:tcPr>
            <w:tcW w:w="6740" w:type="dxa"/>
            <w:vAlign w:val="bottom"/>
          </w:tcPr>
          <w:p>
            <w:pPr>
              <w:ind w:left="180"/>
              <w:spacing w:after="0"/>
              <w:rPr>
                <w:sz w:val="20"/>
                <w:szCs w:val="20"/>
                <w:color w:val="auto"/>
              </w:rPr>
            </w:pPr>
            <w:r>
              <w:rPr>
                <w:rFonts w:ascii="Arial" w:cs="Arial" w:eastAsia="Arial" w:hAnsi="Arial"/>
                <w:sz w:val="14"/>
                <w:szCs w:val="14"/>
                <w:color w:val="auto"/>
              </w:rPr>
              <w:t>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3,091.3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6,737.4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6,269.3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3,178.0</w:t>
            </w:r>
          </w:p>
        </w:tc>
      </w:tr>
      <w:tr>
        <w:trPr>
          <w:trHeight w:val="243"/>
        </w:trPr>
        <w:tc>
          <w:tcPr>
            <w:tcW w:w="6740" w:type="dxa"/>
            <w:vAlign w:val="bottom"/>
          </w:tcPr>
          <w:p>
            <w:pPr>
              <w:ind w:left="40"/>
              <w:spacing w:after="0"/>
              <w:rPr>
                <w:sz w:val="20"/>
                <w:szCs w:val="20"/>
                <w:color w:val="auto"/>
              </w:rPr>
            </w:pPr>
            <w:r>
              <w:rPr>
                <w:rFonts w:ascii="Arial" w:cs="Arial" w:eastAsia="Arial" w:hAnsi="Arial"/>
                <w:sz w:val="14"/>
                <w:szCs w:val="14"/>
                <w:color w:val="auto"/>
              </w:rPr>
              <w:t>Cash and cash equivalents, end of year</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5,540.0</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6,269.3</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576"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Supplemental disclosures of cash flow information</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80"/>
              <w:spacing w:after="0"/>
              <w:rPr>
                <w:sz w:val="20"/>
                <w:szCs w:val="20"/>
                <w:color w:val="auto"/>
              </w:rPr>
            </w:pPr>
            <w:r>
              <w:rPr>
                <w:rFonts w:ascii="Arial" w:cs="Arial" w:eastAsia="Arial" w:hAnsi="Arial"/>
                <w:sz w:val="14"/>
                <w:szCs w:val="14"/>
                <w:color w:val="auto"/>
              </w:rPr>
              <w:t>Cash paid for interest (net of interest capitalized)</w:t>
            </w:r>
          </w:p>
        </w:tc>
        <w:tc>
          <w:tcPr>
            <w:tcW w:w="3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99.0</w:t>
            </w:r>
          </w:p>
        </w:tc>
        <w:tc>
          <w:tcPr>
            <w:tcW w:w="5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 (net of refunds received)</w:t>
            </w:r>
          </w:p>
        </w:tc>
        <w:tc>
          <w:tcPr>
            <w:tcW w:w="3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410.6</w:t>
            </w:r>
          </w:p>
        </w:tc>
        <w:tc>
          <w:tcPr>
            <w:tcW w:w="5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66"/>
        </w:trPr>
        <w:tc>
          <w:tcPr>
            <w:tcW w:w="67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540" w:type="dxa"/>
            <w:vAlign w:val="bottom"/>
            <w:gridSpan w:val="3"/>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96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Ordinary</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Treasury and</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Employee</w:t>
            </w:r>
          </w:p>
        </w:tc>
        <w:tc>
          <w:tcPr>
            <w:tcW w:w="14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11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Ordinary</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40" w:type="dxa"/>
            <w:vAlign w:val="bottom"/>
          </w:tcPr>
          <w:p>
            <w:pPr>
              <w:spacing w:after="0"/>
              <w:rPr>
                <w:sz w:val="11"/>
                <w:szCs w:val="11"/>
                <w:color w:val="auto"/>
              </w:rPr>
            </w:pPr>
          </w:p>
        </w:tc>
        <w:tc>
          <w:tcPr>
            <w:tcW w:w="11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8"/>
        </w:trPr>
        <w:tc>
          <w:tcPr>
            <w:tcW w:w="2420" w:type="dxa"/>
            <w:vAlign w:val="bottom"/>
            <w:gridSpan w:val="3"/>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Shares</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Trust</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5"/>
                <w:szCs w:val="15"/>
                <w:color w:val="auto"/>
              </w:rPr>
            </w:pPr>
          </w:p>
        </w:tc>
        <w:tc>
          <w:tcPr>
            <w:tcW w:w="1100" w:type="dxa"/>
            <w:vAlign w:val="bottom"/>
          </w:tcPr>
          <w:p>
            <w:pPr>
              <w:jc w:val="center"/>
              <w:ind w:right="7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37"/>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5"/>
                <w:shd w:val="clear" w:color="auto" w:fill="CCEEFF"/>
              </w:rPr>
              <w:t>Balance as of December 31, 2015</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2,725.4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3,273.4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4,956.4</w:t>
            </w: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393.3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371.1</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comprehensive income (loss)</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Net capital transactions</w:t>
            </w:r>
          </w:p>
        </w:tc>
        <w:tc>
          <w:tcPr>
            <w:tcW w:w="14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3"/>
                <w:szCs w:val="13"/>
                <w:color w:val="auto"/>
              </w:rPr>
              <w:t>(35.1)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Treasury shares (Note 15)</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Dividends (€2.00 per share) (Note 15)</w:t>
            </w:r>
          </w:p>
        </w:tc>
        <w:tc>
          <w:tcPr>
            <w:tcW w:w="14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(262.6)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(262.6)</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Share-based compensation (Note 16)</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vMerge w:val="restart"/>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4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December 31, 2016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5,044.1</w:t>
            </w:r>
          </w:p>
        </w:tc>
        <w:tc>
          <w:tcPr>
            <w:tcW w:w="0" w:type="dxa"/>
            <w:vAlign w:val="bottom"/>
          </w:tcPr>
          <w:p>
            <w:pPr>
              <w:spacing w:after="0"/>
              <w:rPr>
                <w:sz w:val="1"/>
                <w:szCs w:val="1"/>
                <w:color w:val="auto"/>
              </w:rPr>
            </w:pPr>
          </w:p>
        </w:tc>
      </w:tr>
      <w:tr>
        <w:trPr>
          <w:trHeight w:val="20"/>
        </w:trPr>
        <w:tc>
          <w:tcPr>
            <w:tcW w:w="2420" w:type="dxa"/>
            <w:vAlign w:val="bottom"/>
            <w:gridSpan w:val="3"/>
            <w:vMerge w:val="restart"/>
          </w:tcPr>
          <w:p>
            <w:pPr>
              <w:ind w:left="40"/>
              <w:spacing w:after="0"/>
              <w:rPr>
                <w:sz w:val="20"/>
                <w:szCs w:val="20"/>
                <w:color w:val="auto"/>
              </w:rPr>
            </w:pPr>
            <w:r>
              <w:rPr>
                <w:rFonts w:ascii="Arial" w:cs="Arial" w:eastAsia="Arial" w:hAnsi="Arial"/>
                <w:sz w:val="13"/>
                <w:szCs w:val="13"/>
                <w:color w:val="auto"/>
              </w:rPr>
              <w:t>Net income (loss)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113.3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134.2</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comprehensive income (loss)</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Issuance of ordinary shares due to the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gridSpan w:val="3"/>
          </w:tcPr>
          <w:p>
            <w:pPr>
              <w:ind w:left="40"/>
              <w:spacing w:after="0"/>
              <w:rPr>
                <w:sz w:val="20"/>
                <w:szCs w:val="20"/>
                <w:color w:val="auto"/>
              </w:rPr>
            </w:pPr>
            <w:r>
              <w:rPr>
                <w:rFonts w:ascii="Arial" w:cs="Arial" w:eastAsia="Arial" w:hAnsi="Arial"/>
                <w:sz w:val="13"/>
                <w:szCs w:val="13"/>
                <w:color w:val="auto"/>
                <w:w w:val="96"/>
              </w:rPr>
              <w:t>merger of FMC Technologies and Technip</w:t>
            </w:r>
          </w:p>
        </w:tc>
        <w:tc>
          <w:tcPr>
            <w:tcW w:w="14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351.9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7,825.4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8,170.7</w:t>
            </w:r>
          </w:p>
        </w:tc>
        <w:tc>
          <w:tcPr>
            <w:tcW w:w="0" w:type="dxa"/>
            <w:vAlign w:val="bottom"/>
          </w:tcPr>
          <w:p>
            <w:pPr>
              <w:spacing w:after="0"/>
              <w:rPr>
                <w:sz w:val="1"/>
                <w:szCs w:val="1"/>
                <w:color w:val="auto"/>
              </w:rPr>
            </w:pPr>
          </w:p>
        </w:tc>
      </w:tr>
      <w:tr>
        <w:trPr>
          <w:trHeight w:val="164"/>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8"/>
              </w:rPr>
              <w:t>Cancellation of treasury shares due to the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merger of FMC Technologies and Technip</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Cancellation treasury shares (Note 15)</w:t>
            </w:r>
          </w:p>
        </w:tc>
        <w:tc>
          <w:tcPr>
            <w:tcW w:w="14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3"/>
                <w:szCs w:val="13"/>
                <w:color w:val="auto"/>
              </w:rPr>
              <w:t>(47.6)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8"/>
              </w:rPr>
              <w:t>Net sales of ordinary shares for employee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benefit trust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Issuance of ordinary shares</w:t>
            </w:r>
          </w:p>
        </w:tc>
        <w:tc>
          <w:tcPr>
            <w:tcW w:w="14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vMerge w:val="restart"/>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Dividends ($0.13 per share) (Note 15)</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Share-based compensation (Note 16)</w:t>
            </w:r>
          </w:p>
        </w:tc>
        <w:tc>
          <w:tcPr>
            <w:tcW w:w="14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vMerge w:val="restart"/>
          </w:tcPr>
          <w:p>
            <w:pPr>
              <w:jc w:val="right"/>
              <w:ind w:right="57"/>
              <w:spacing w:after="0"/>
              <w:rPr>
                <w:sz w:val="20"/>
                <w:szCs w:val="20"/>
                <w:color w:val="auto"/>
              </w:rPr>
            </w:pPr>
            <w:r>
              <w:rPr>
                <w:rFonts w:ascii="Arial" w:cs="Arial" w:eastAsia="Arial" w:hAnsi="Arial"/>
                <w:sz w:val="13"/>
                <w:szCs w:val="13"/>
                <w:color w:val="auto"/>
              </w:rPr>
              <w:t>44.4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42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b w:val="1"/>
                <w:bCs w:val="1"/>
                <w:color w:val="auto"/>
              </w:rPr>
              <w:t>Balance as of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465.1</w:t>
            </w:r>
          </w:p>
        </w:tc>
        <w:tc>
          <w:tcPr>
            <w:tcW w:w="12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10,483.3</w:t>
            </w: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3,448.0</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(1,003.7)</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21.5</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13,409.4</w:t>
            </w:r>
          </w:p>
        </w:tc>
        <w:tc>
          <w:tcPr>
            <w:tcW w:w="0" w:type="dxa"/>
            <w:vAlign w:val="bottom"/>
          </w:tcPr>
          <w:p>
            <w:pPr>
              <w:spacing w:after="0"/>
              <w:rPr>
                <w:sz w:val="1"/>
                <w:szCs w:val="1"/>
                <w:color w:val="auto"/>
              </w:rPr>
            </w:pPr>
          </w:p>
        </w:tc>
      </w:tr>
      <w:tr>
        <w:trPr>
          <w:trHeight w:val="111"/>
        </w:trPr>
        <w:tc>
          <w:tcPr>
            <w:tcW w:w="2420" w:type="dxa"/>
            <w:vAlign w:val="bottom"/>
            <w:gridSpan w:val="3"/>
            <w:shd w:val="clear" w:color="auto" w:fill="CCEEFF"/>
          </w:tcPr>
          <w:p>
            <w:pPr>
              <w:ind w:left="40"/>
              <w:spacing w:after="0" w:line="111" w:lineRule="exact"/>
              <w:rPr>
                <w:sz w:val="20"/>
                <w:szCs w:val="20"/>
                <w:color w:val="auto"/>
              </w:rPr>
            </w:pPr>
            <w:r>
              <w:rPr>
                <w:rFonts w:ascii="Arial" w:cs="Arial" w:eastAsia="Arial" w:hAnsi="Arial"/>
                <w:sz w:val="12"/>
                <w:szCs w:val="12"/>
                <w:color w:val="auto"/>
              </w:rPr>
              <w:t>Adoption of accounting standards (Note</w:t>
            </w: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rPr>
          <w:sz w:val="20"/>
          <w:szCs w:val="20"/>
          <w:color w:val="auto"/>
        </w:rPr>
      </w:pPr>
      <w:r>
        <w:rPr>
          <w:rFonts w:ascii="Arial" w:cs="Arial" w:eastAsia="Arial" w:hAnsi="Arial"/>
          <w:sz w:val="13"/>
          <w:szCs w:val="13"/>
          <w:color w:val="auto"/>
        </w:rPr>
        <w:t>Net income (loss)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(loss)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Cancellation of treasury shares (Note 15)</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ordinary shares</w:t>
      </w:r>
    </w:p>
    <w:p>
      <w:pPr>
        <w:spacing w:after="0" w:line="121" w:lineRule="exact"/>
        <w:rPr>
          <w:sz w:val="20"/>
          <w:szCs w:val="20"/>
          <w:color w:val="auto"/>
        </w:rPr>
      </w:pPr>
    </w:p>
    <w:p>
      <w:pPr>
        <w:ind w:left="40" w:right="140"/>
        <w:spacing w:after="0" w:line="230" w:lineRule="auto"/>
        <w:rPr>
          <w:sz w:val="20"/>
          <w:szCs w:val="20"/>
          <w:color w:val="auto"/>
        </w:rPr>
      </w:pPr>
      <w:r>
        <w:rPr>
          <w:rFonts w:ascii="Arial" w:cs="Arial" w:eastAsia="Arial" w:hAnsi="Arial"/>
          <w:sz w:val="13"/>
          <w:szCs w:val="13"/>
          <w:color w:val="auto"/>
        </w:rPr>
        <w:t>Net sales of ordinary shares for employee benefit trust</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($0.52 per share) (Note 15)</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 (Note 16)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86"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13"/>
          <w:szCs w:val="13"/>
          <w:b w:val="1"/>
          <w:bCs w:val="1"/>
          <w:color w:val="auto"/>
        </w:rPr>
        <w:t>Balance as of December 31, 2018</w:t>
      </w:r>
      <w:r>
        <w:rPr>
          <w:sz w:val="20"/>
          <w:szCs w:val="20"/>
          <w:color w:val="auto"/>
        </w:rPr>
        <w:tab/>
      </w: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(1,921.6)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(1,910.8)</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(356.0)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(360.6)</w:t>
            </w:r>
          </w:p>
        </w:tc>
      </w:tr>
      <w:tr>
        <w:trPr>
          <w:trHeight w:val="270"/>
        </w:trPr>
        <w:tc>
          <w:tcPr>
            <w:tcW w:w="560" w:type="dxa"/>
            <w:vAlign w:val="bottom"/>
          </w:tcPr>
          <w:p>
            <w:pPr>
              <w:jc w:val="right"/>
              <w:ind w:right="137"/>
              <w:spacing w:after="0"/>
              <w:rPr>
                <w:sz w:val="20"/>
                <w:szCs w:val="20"/>
                <w:color w:val="auto"/>
              </w:rPr>
            </w:pPr>
            <w:r>
              <w:rPr>
                <w:rFonts w:ascii="Arial" w:cs="Arial" w:eastAsia="Arial" w:hAnsi="Arial"/>
                <w:sz w:val="13"/>
                <w:szCs w:val="13"/>
                <w:color w:val="auto"/>
                <w:w w:val="99"/>
              </w:rPr>
              <w:t>(14.8)</w:t>
            </w:r>
          </w:p>
        </w:tc>
        <w:tc>
          <w:tcPr>
            <w:tcW w:w="5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(333.5)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(442.8)</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0.2</w:t>
            </w:r>
          </w:p>
        </w:tc>
        <w:tc>
          <w:tcPr>
            <w:tcW w:w="5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0.2</w:t>
            </w:r>
          </w:p>
        </w:tc>
      </w:tr>
      <w:tr>
        <w:trPr>
          <w:trHeight w:val="32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(238.1)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(238.1)</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49.1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49.1</w:t>
            </w:r>
          </w:p>
        </w:tc>
      </w:tr>
      <w:tr>
        <w:trPr>
          <w:trHeight w:val="28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13.5</w:t>
            </w:r>
          </w:p>
        </w:tc>
      </w:tr>
      <w:tr>
        <w:trPr>
          <w:trHeight w:val="237"/>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450.5</w:t>
            </w:r>
          </w:p>
        </w:tc>
        <w:tc>
          <w:tcPr>
            <w:tcW w:w="5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10,197.0</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1,114.2</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(1,359.7)</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10,430.9</w:t>
            </w:r>
          </w:p>
        </w:tc>
      </w:tr>
      <w:tr>
        <w:trPr>
          <w:trHeight w:val="20"/>
        </w:trPr>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-1423035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-1080135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-702310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-359410</wp:posOffset>
            </wp:positionV>
            <wp:extent cx="724662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2500" w:space="400"/>
            <w:col w:w="8520"/>
          </w:cols>
          <w:pgMar w:left="240" w:top="576"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76" w:right="23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TechnipFMC plc and consolidated subsidiaries (“TechnipFMC,” “we,” “us” or “our”) is a global leader in oil and gas</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technologies, systems and services through our business segments: Subsea, Onshore/Offshore and Surface Technologies. We have manufacturing operations worldwide, strategically located to facilitate delivery of our products, systems and services to our customers.</w:t>
      </w:r>
    </w:p>
    <w:p>
      <w:pPr>
        <w:spacing w:after="0" w:line="12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Our consolidated financial statements were prepared in U.S. dollars and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of America (“GAAP”) and rules and regulations of the Securities and Exchange Commission (“SEC”) pertaining to annual financial information.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 Certain prior-year amounts have been reclassified to conform to the current year’s presentation.</w:t>
      </w:r>
    </w:p>
    <w:p>
      <w:pPr>
        <w:spacing w:after="0" w:line="1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this Annual Report on Form 10-K, we are reporting the results of our operations for the year ended December 31, 2018, which consist of the combined results of operations of Technip S.A. (“Technip”) and FMC Technologies, Inc. (“FMC Technologies”). Due to the merger of FMC Technologies and Technip, FMC Technologies’ results of operations have been included in our financial statements for periods subsequent to the consummation of the merger on January 16, 2017.</w:t>
      </w:r>
    </w:p>
    <w:p>
      <w:pPr>
        <w:spacing w:after="0" w:line="15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Since TechnipFMC is the successor company to Technip, we are presenting the results of Technip’s operations for the year ended December 31, 2016. Refer to Note 2 for further information related to the merger of FMC Technologies and Technip.</w:t>
      </w:r>
    </w:p>
    <w:p>
      <w:pPr>
        <w:spacing w:after="0" w:line="124"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consolidated financial statements include the accounts of TechnipFMC and its majority-owned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Intercompany accounts and transactions are eliminated in consolidation.</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GAAP requires management to make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affect the 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of fair value in business combinations and estimates related to income taxes.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Investments in the common stock of unconsolidated affiliates - </w:t>
      </w:r>
      <w:r>
        <w:rPr>
          <w:rFonts w:ascii="Arial" w:cs="Arial" w:eastAsia="Arial" w:hAnsi="Arial"/>
          <w:sz w:val="18"/>
          <w:szCs w:val="18"/>
          <w:color w:val="auto"/>
        </w:rPr>
        <w:t>The equity method of accounting is used to account for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affiliates where we have the ability to exert significant influence over the affiliates’ operating and financial policies. The cost method of accounting is used where significant influence over the affiliate is not present. For certain construction joint ventures, we use the proportionate consolidation method, whereby our proportionate share of each entity’s assets, liabilities, revenues and expenses are included in the appropriate classifications in the accompanying consolidated financial statements. Intercompany balances and transactions have been eliminated in preparing the accompanying consolidated financial statements.</w:t>
      </w:r>
    </w:p>
    <w:p>
      <w:pPr>
        <w:spacing w:after="0" w:line="1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76" w:right="239" w:bottom="1440" w:gutter="0" w:footer="0" w:header="0"/>
        </w:sectPr>
      </w:pPr>
    </w:p>
    <w:bookmarkStart w:id="73" w:name="page74"/>
    <w:bookmarkEnd w:id="73"/>
    <w:p>
      <w:pPr>
        <w:ind w:right="440"/>
        <w:spacing w:after="0" w:line="25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cost minus impairment, if any, plus or minus changes resulting from observable price changes in orderly transactions for the identical or a similar investment of the same issuer.</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determine whether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that most significantly affect the VIE’s economic performance and (ii) the obligation to absorb significant losses of or the right to receive significant benefits from the VIE. If we are deemed to be the primary beneficiary, the VIE is consolidated and the other party’s equity interest in the VIE is accounted for as a noncontrolling interest. Our unconsolidated VIEs are accounted for using the equity method of accounting.</w:t>
      </w:r>
    </w:p>
    <w:p>
      <w:pPr>
        <w:spacing w:after="0" w:line="1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Business combinations - </w:t>
      </w:r>
      <w:r>
        <w:rPr>
          <w:rFonts w:ascii="Arial" w:cs="Arial" w:eastAsia="Arial" w:hAnsi="Arial"/>
          <w:sz w:val="18"/>
          <w:szCs w:val="18"/>
          <w:color w:val="auto"/>
        </w:rPr>
        <w:t>Business combinations are accounted for using the acquisition method of accounting. Under the acquisition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assets, assumed liabilities and identifiable intangible assets based on their estimated fair values. Any excess of the purchase price over the estimated fair values of the net assets acquired is recorded as goodwill. Transaction related costs are expensed as incurred.</w:t>
      </w:r>
    </w:p>
    <w:p>
      <w:pPr>
        <w:spacing w:after="0" w:line="1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The majority of our revenue is derived from long-term contracts that can span several years. We account for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Accounting Standard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modified retrospective method. Refer to Note 4 for further discussion of the adoption, including the impact on our 2018 financial statements.</w:t>
      </w:r>
    </w:p>
    <w:p>
      <w:pPr>
        <w:spacing w:after="0" w:line="12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Contract costs to obtain a contract - </w:t>
      </w:r>
      <w:r>
        <w:rPr>
          <w:rFonts w:ascii="Arial" w:cs="Arial" w:eastAsia="Arial" w:hAnsi="Arial"/>
          <w:sz w:val="18"/>
          <w:szCs w:val="18"/>
          <w:color w:val="auto"/>
        </w:rPr>
        <w:t>Our incremental direct costs of obtaining a contract are deferred and amortized over the period of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a longer period, generally the estimated life of the customer relationship, if renewals are expected and the renewal commission is not commensurate with the initial commission. We classify deferred commissions as current or noncurrent based on the timing of when we expect to recognize the expense. The current and noncurrent portions of deferred commissions are included in other current assets and other assets</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in our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commissions is included in selling, general and administrative expenses.</w:t>
      </w:r>
    </w:p>
    <w:p>
      <w:pPr>
        <w:spacing w:after="0" w:line="15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Cash equivalents are highly-liquid, short-term instruments with original maturities of generally three months or less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their date of purchase.</w:t>
      </w:r>
    </w:p>
    <w:p>
      <w:pPr>
        <w:spacing w:after="0" w:line="108" w:lineRule="exact"/>
        <w:rPr>
          <w:sz w:val="20"/>
          <w:szCs w:val="20"/>
          <w:color w:val="auto"/>
        </w:rPr>
      </w:pPr>
    </w:p>
    <w:p>
      <w:pPr>
        <w:ind w:right="560"/>
        <w:spacing w:after="0" w:line="313" w:lineRule="auto"/>
        <w:rPr>
          <w:sz w:val="20"/>
          <w:szCs w:val="20"/>
          <w:color w:val="auto"/>
        </w:rPr>
      </w:pPr>
      <w:r>
        <w:rPr>
          <w:rFonts w:ascii="Arial" w:cs="Arial" w:eastAsia="Arial" w:hAnsi="Arial"/>
          <w:sz w:val="17"/>
          <w:szCs w:val="17"/>
          <w:i w:val="1"/>
          <w:iCs w:val="1"/>
          <w:color w:val="auto"/>
        </w:rPr>
        <w:t xml:space="preserve">Trade receivables, net of allowances - </w:t>
      </w:r>
      <w:r>
        <w:rPr>
          <w:rFonts w:ascii="Arial" w:cs="Arial" w:eastAsia="Arial" w:hAnsi="Arial"/>
          <w:sz w:val="17"/>
          <w:szCs w:val="17"/>
          <w:color w:val="auto"/>
        </w:rPr>
        <w:t>An allowance for doubtful accounts is provided on receivables equal to the estimated uncollectible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This estimate is based on historical collection experience and a specific review of each customer’s receivables balance.</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net realizable value, except as it relates to inventory measured using the last-in, first-out (“LIFO”) method, for which the inventories are stated at the lower of cost or market. Inventory costs include those costs directly attributable to products, including all manufacturing overhead, but excluding costs to distribute. Cost for a significant portion of the U.S. domiciled inventories is determined on the LIFO method. The first-in, first-out (“FIFO”) or weighted average methods are used to determine the cost for the remaining inventories. Write-down on inventories are recorded when the net realizable value of inventories is lower than their net book value.</w:t>
      </w:r>
    </w:p>
    <w:p>
      <w:pPr>
        <w:spacing w:after="0" w:line="12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is recorded at cost. Depreciation is principally provided on the straight-line basis</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estimated useful lives of the assets (vessels - 10 to 30 years; buildings - 10 to 50 years; and machinery and equipment - 3 to 20 years). Gains and losses are realized upon the sale or retirement of assets and are recorded in other income (expense), net on our consolidated statements of income. Maintenance and repair costs are expensed as incurred. Expenditures that extend the useful lives of property, plant and equipment are capitalized and depreciated over the estimated new remaining life of the asset.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98" w:right="239" w:bottom="1440" w:gutter="0" w:footer="0" w:header="0"/>
        </w:sectPr>
      </w:pPr>
    </w:p>
    <w:bookmarkStart w:id="74" w:name="page75"/>
    <w:bookmarkEnd w:id="74"/>
    <w:p>
      <w:pPr>
        <w:ind w:right="60"/>
        <w:spacing w:after="0" w:line="258" w:lineRule="auto"/>
        <w:rPr>
          <w:sz w:val="20"/>
          <w:szCs w:val="20"/>
          <w:color w:val="auto"/>
        </w:rPr>
      </w:pPr>
      <w:r>
        <w:rPr>
          <w:rFonts w:ascii="Arial" w:cs="Arial" w:eastAsia="Arial" w:hAnsi="Arial"/>
          <w:sz w:val="18"/>
          <w:szCs w:val="18"/>
          <w:i w:val="1"/>
          <w:iCs w:val="1"/>
          <w:color w:val="auto"/>
        </w:rPr>
        <w:t xml:space="preserve">Impairment of property, plant and equipment - </w:t>
      </w:r>
      <w:r>
        <w:rPr>
          <w:rFonts w:ascii="Arial" w:cs="Arial" w:eastAsia="Arial" w:hAnsi="Arial"/>
          <w:sz w:val="18"/>
          <w:szCs w:val="18"/>
          <w:color w:val="auto"/>
        </w:rPr>
        <w:t>Property, plant and equipment are reviewed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Goodwill is not subject to amortization but is tested for impairment on an annual basis (or more frequently if impairment indicators</w:t>
      </w:r>
      <w:r>
        <w:rPr>
          <w:rFonts w:ascii="Arial" w:cs="Arial" w:eastAsia="Arial" w:hAnsi="Arial"/>
          <w:sz w:val="18"/>
          <w:szCs w:val="18"/>
          <w:i w:val="1"/>
          <w:iCs w:val="1"/>
          <w:color w:val="auto"/>
        </w:rPr>
        <w:t xml:space="preserve"> </w:t>
      </w:r>
      <w:r>
        <w:rPr>
          <w:rFonts w:ascii="Arial" w:cs="Arial" w:eastAsia="Arial" w:hAnsi="Arial"/>
          <w:sz w:val="18"/>
          <w:szCs w:val="18"/>
          <w:color w:val="auto"/>
        </w:rPr>
        <w:t>arise) by comparing the estimated fair value of each reporting unit to its carrying value, including goodwill. A reporting unit is defined as an operating segment or one level below the operating segment. We have established October 31 as the date of our annual test for impairment of goodwill. Reporting units with goodwill are tested for impairment using a quantitative impairment test known as the income approach, which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If the fair value of the reporting unit is less than its carrying amount as a result of this method, then an impairment loss is recorded.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13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Our acquired intangible assets are generally amortized on a straight-line basis over their estimated useful lives,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range from 2 to 20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1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three to ten years. For Internet website costs, the estimated useful lives do not exceed three years.</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Research and development expense is expensed as incurred. Research and development expense includes improvement of existing products and services, design and development of new products and services and test of new technologies.</w:t>
      </w:r>
    </w:p>
    <w:p>
      <w:pPr>
        <w:spacing w:after="0" w:line="1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Debt instruments - </w:t>
      </w:r>
      <w:r>
        <w:rPr>
          <w:rFonts w:ascii="Arial" w:cs="Arial" w:eastAsia="Arial" w:hAnsi="Arial"/>
          <w:sz w:val="18"/>
          <w:szCs w:val="18"/>
          <w:color w:val="auto"/>
        </w:rPr>
        <w:t>Debt instruments include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premium on debt instruments are included in the cost of debt in the consolidated balance sheets, as an adjustment to the nominal amount of the debt. Loan origination costs for revolving credit facilities are recorded as an asset and amortized over the life of the underlying debt.</w:t>
      </w:r>
    </w:p>
    <w:p>
      <w:pPr>
        <w:spacing w:after="0" w:line="12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i w:val="1"/>
          <w:iCs w:val="1"/>
          <w:color w:val="auto"/>
        </w:rPr>
        <w:t xml:space="preserve">Fair value measurements - </w:t>
      </w:r>
      <w:r>
        <w:rPr>
          <w:rFonts w:ascii="Arial" w:cs="Arial" w:eastAsia="Arial" w:hAnsi="Arial"/>
          <w:sz w:val="18"/>
          <w:szCs w:val="18"/>
          <w:color w:val="auto"/>
        </w:rPr>
        <w:t>Fair value is defined as the price that would be received to sell an asset or paid to transfer a liability (an exit price)</w:t>
      </w:r>
      <w:r>
        <w:rPr>
          <w:rFonts w:ascii="Arial" w:cs="Arial" w:eastAsia="Arial" w:hAnsi="Arial"/>
          <w:sz w:val="18"/>
          <w:szCs w:val="18"/>
          <w:i w:val="1"/>
          <w:iCs w:val="1"/>
          <w:color w:val="auto"/>
        </w:rPr>
        <w:t xml:space="preserve"> </w:t>
      </w:r>
      <w:r>
        <w:rPr>
          <w:rFonts w:ascii="Arial" w:cs="Arial" w:eastAsia="Arial" w:hAnsi="Arial"/>
          <w:sz w:val="18"/>
          <w:szCs w:val="18"/>
          <w:color w:val="auto"/>
        </w:rPr>
        <w:t>in an orderly 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12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71" w:lineRule="exact"/>
        <w:rPr>
          <w:rFonts w:ascii="Arial" w:cs="Arial" w:eastAsia="Arial" w:hAnsi="Arial"/>
          <w:sz w:val="18"/>
          <w:szCs w:val="18"/>
          <w:color w:val="auto"/>
        </w:rPr>
      </w:pPr>
    </w:p>
    <w:p>
      <w:pPr>
        <w:ind w:left="340" w:right="80" w:hanging="332"/>
        <w:spacing w:after="0" w:line="282" w:lineRule="auto"/>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quoted prices for identical assets or liabilities in inactive markets.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580" w:right="259" w:bottom="1440" w:gutter="0" w:footer="0" w:header="0"/>
        </w:sectPr>
      </w:pPr>
    </w:p>
    <w:bookmarkStart w:id="75" w:name="page76"/>
    <w:bookmarkEnd w:id="75"/>
    <w:p>
      <w:pPr>
        <w:ind w:left="340" w:right="240" w:hanging="332"/>
        <w:spacing w:after="0" w:line="282" w:lineRule="auto"/>
        <w:tabs>
          <w:tab w:leader="none" w:pos="34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Current income taxes are provided on income reported for financial statement purposes, adjusted for transactions that do not</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the 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4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Share-based employee compensation - </w:t>
      </w:r>
      <w:r>
        <w:rPr>
          <w:rFonts w:ascii="Arial" w:cs="Arial" w:eastAsia="Arial" w:hAnsi="Arial"/>
          <w:sz w:val="18"/>
          <w:szCs w:val="18"/>
          <w:color w:val="auto"/>
        </w:rPr>
        <w:t>The measurement of share-based compensation expense on restricted share awards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awards is based on the market price at the grant date and the number of shares awarded. We used the Cox Ross Rubinstein binomial model to measure the fair value of stock options granted prior to December 31, 2016 and Black-Scholes options pricing model to measure the fair value of stock options granted on or after January 1, 2017. The stock-based compensation expense for each award is recognized ratably over the applicable service period or the period beginning at the start of the service period and ending when an employee becomes eligible for retirement, after taking into account estimated forfeitures,.</w:t>
      </w:r>
    </w:p>
    <w:p>
      <w:pPr>
        <w:spacing w:after="0" w:line="12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Ordinary shares held in employee benefit trust - </w:t>
      </w:r>
      <w:r>
        <w:rPr>
          <w:rFonts w:ascii="Arial" w:cs="Arial" w:eastAsia="Arial" w:hAnsi="Arial"/>
          <w:sz w:val="18"/>
          <w:szCs w:val="18"/>
          <w:color w:val="auto"/>
        </w:rPr>
        <w:t>Our ordinary shares are purchased by the plan administrator of the FMC Technologies, Inc.</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Savings and Investment Plan and placed in a trust that we own. Purchased shares are recorded at cost and classified as a reduction of stockholders’ equity on the consolidated balance sheets.</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Earnings per ordinary share (“EPS”) - </w:t>
      </w:r>
      <w:r>
        <w:rPr>
          <w:rFonts w:ascii="Arial" w:cs="Arial" w:eastAsia="Arial" w:hAnsi="Arial"/>
          <w:sz w:val="18"/>
          <w:szCs w:val="18"/>
          <w:color w:val="auto"/>
        </w:rPr>
        <w:t>Basic EPS is computed using the weighted-average number of ordinary shares outstanding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We use 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ordinary shares assumed to be converted as of the issuance date are included to compute diluted EPS under the if-converted method. Additionally, the net profit of the period is adjusted as if converted for the after-tax interest expense related to these dilutive shares.</w:t>
      </w:r>
    </w:p>
    <w:p>
      <w:pPr>
        <w:spacing w:after="0" w:line="13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Foreign currency - </w:t>
      </w:r>
      <w:r>
        <w:rPr>
          <w:rFonts w:ascii="Arial" w:cs="Arial" w:eastAsia="Arial" w:hAnsi="Arial"/>
          <w:sz w:val="18"/>
          <w:szCs w:val="18"/>
          <w:color w:val="auto"/>
        </w:rPr>
        <w:t>Financial statements of operations for which the U.S. dollar is not the functional currency, and which are located in non-highly 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highly inflationary economies are included in interest income or expense.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580" w:right="259" w:bottom="1440" w:gutter="0" w:footer="0" w:header="0"/>
        </w:sectPr>
      </w:pPr>
    </w:p>
    <w:bookmarkStart w:id="76" w:name="page77"/>
    <w:bookmarkEnd w:id="76"/>
    <w:p>
      <w:pPr>
        <w:ind w:right="20"/>
        <w:spacing w:after="0" w:line="252" w:lineRule="auto"/>
        <w:rPr>
          <w:sz w:val="20"/>
          <w:szCs w:val="20"/>
          <w:color w:val="auto"/>
        </w:rPr>
      </w:pPr>
      <w:r>
        <w:rPr>
          <w:rFonts w:ascii="Arial" w:cs="Arial" w:eastAsia="Arial" w:hAnsi="Arial"/>
          <w:sz w:val="18"/>
          <w:szCs w:val="18"/>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second half of 2018, Argentina’s three year cumulative inflation rate exceeded 100% based on published inflation data, and effective July 1, 2018, Argentina’s currency is considered highly inflationary. Our local operations in Argentina use U.S. dollars as the functional currency and both monetary and non-monetary assets and liabilities denominated in Argentina pesos were remeasured into U.S. dollars with gains and losses resulting from foreign currency transactions included in current results of operations. This event did not have a material impact on the Company’s condensed consolidated financial statements.</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Derivative instruments - </w:t>
      </w:r>
      <w:r>
        <w:rPr>
          <w:rFonts w:ascii="Arial" w:cs="Arial" w:eastAsia="Arial" w:hAnsi="Arial"/>
          <w:sz w:val="18"/>
          <w:szCs w:val="18"/>
          <w:color w:val="auto"/>
        </w:rPr>
        <w:t>Derivatives are recognized on the consolidated balance sheets at fair value, with classification as current or non-current 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4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merger of FMC Technologies and Technip</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each share of common stock of FMC Technologies (the “FMCTI Shares”), other than FMCTI Shares owned by FMC Technologies, TechnipFMC, Merger Sub or their wholly-owned subsidiaries, were exchanged for 1.0 ordinary share of TechnipFMC, subject to the terms of the definitive business combination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98" w:right="239" w:bottom="1440" w:gutter="0" w:footer="0" w:header="0"/>
        </w:sectPr>
      </w:pPr>
    </w:p>
    <w:bookmarkStart w:id="77" w:name="page78"/>
    <w:bookmarkEnd w:id="77"/>
    <w:p>
      <w:pPr>
        <w:ind w:right="900"/>
        <w:spacing w:after="0" w:line="262" w:lineRule="auto"/>
        <w:rPr>
          <w:sz w:val="20"/>
          <w:szCs w:val="20"/>
          <w:color w:val="auto"/>
        </w:rPr>
      </w:pPr>
      <w:r>
        <w:rPr>
          <w:rFonts w:ascii="Arial" w:cs="Arial" w:eastAsia="Arial" w:hAnsi="Arial"/>
          <w:sz w:val="18"/>
          <w:szCs w:val="18"/>
          <w:color w:val="auto"/>
        </w:rPr>
        <w:t>Under the acquisition method of accounting, Technip was identified as the accounting acquirer and acquired a 100% interest in FMC Technologies.</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merger of FMC Technologies and Technip (the “Merger”) has created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has brought about the ability of the combined company to (i) standardize its product and service offerings to customers, (ii) reduce costs to customers, and (iii) provide integrated product offerings to the oil and gas industry with the aim to innovate the markets in which the combined company operates.</w:t>
      </w:r>
    </w:p>
    <w:p>
      <w:pPr>
        <w:spacing w:after="0" w:line="1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incurred merger transaction and integration costs of $36.5 million, $101.8 million and $92.6 million during the years ended December 31, 2018, 2017 and 2016, respectively.</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Description of FMC Technologies as Accounting Acquiree - </w:t>
      </w:r>
      <w:r>
        <w:rPr>
          <w:rFonts w:ascii="Arial" w:cs="Arial" w:eastAsia="Arial" w:hAnsi="Arial"/>
          <w:sz w:val="18"/>
          <w:szCs w:val="18"/>
          <w:color w:val="auto"/>
        </w:rPr>
        <w:t>FMC Technologies is a global provider of technology solutions for the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Consideration Transferred - </w:t>
      </w:r>
      <w:r>
        <w:rPr>
          <w:rFonts w:ascii="Arial" w:cs="Arial" w:eastAsia="Arial" w:hAnsi="Arial"/>
          <w:sz w:val="18"/>
          <w:szCs w:val="18"/>
          <w:color w:val="auto"/>
        </w:rPr>
        <w:t>The acquisition-date fair value of the consideration transferred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10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FMC Technologies, Inc. shares subject to exchange as of January 16, 2017</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228.9</w:t>
            </w:r>
          </w:p>
        </w:tc>
      </w:tr>
      <w:tr>
        <w:trPr>
          <w:trHeight w:val="270"/>
        </w:trPr>
        <w:tc>
          <w:tcPr>
            <w:tcW w:w="10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FMC Technologies, Inc. exchange ratio </w:t>
            </w:r>
            <w:r>
              <w:rPr>
                <w:rFonts w:ascii="Arial" w:cs="Arial" w:eastAsia="Arial" w:hAnsi="Arial"/>
                <w:sz w:val="17"/>
                <w:szCs w:val="17"/>
                <w:color w:val="auto"/>
                <w:vertAlign w:val="superscript"/>
              </w:rPr>
              <w:t>(a)</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50"/>
        </w:trPr>
        <w:tc>
          <w:tcPr>
            <w:tcW w:w="10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of TechnipFMC issued</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r>
      <w:tr>
        <w:trPr>
          <w:trHeight w:val="270"/>
        </w:trPr>
        <w:tc>
          <w:tcPr>
            <w:tcW w:w="10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Value per share of Technip as of January 16, 2017 </w:t>
            </w:r>
            <w:r>
              <w:rPr>
                <w:rFonts w:ascii="Arial" w:cs="Arial" w:eastAsia="Arial" w:hAnsi="Arial"/>
                <w:sz w:val="17"/>
                <w:szCs w:val="17"/>
                <w:color w:val="auto"/>
                <w:vertAlign w:val="superscript"/>
              </w:rPr>
              <w:t>(b)</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w:t>
            </w:r>
          </w:p>
        </w:tc>
      </w:t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purchase consideration</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r>
        <w:trPr>
          <w:trHeight w:val="20"/>
        </w:trPr>
        <w:tc>
          <w:tcPr>
            <w:tcW w:w="10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7"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the calculation is deemed to reflect a share capital increase of the accounting acquirer, the FMC Technologies exchange ratio (1 share of TechnipFMC for 1 share of FMC Technologies as provided in the business combination agreement) is adjusted by dividing the FMC Technologies exchange ratio by the Technip exchange ratio (2 shares of TechnipFMC for 1 share of Technip as provided in the business combination agreement), i.e., 1 ⁄ 2 = 0.5 in order to reflect the number of shares of Technip that FMC Technologies stockholders would have received if Technip was to have issued its own shares.</w:t>
      </w:r>
    </w:p>
    <w:p>
      <w:pPr>
        <w:spacing w:after="0" w:line="147"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Closing price of Technip’s ordinary shares on Euronext Paris on January 16, 2017 in Euro converted at the Euro to U.S. dollar exchange rate of $1.0594 on January 16,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98" w:right="239" w:bottom="1440" w:gutter="0" w:footer="0" w:header="0"/>
        </w:sectPr>
      </w:pPr>
    </w:p>
    <w:bookmarkStart w:id="78" w:name="page79"/>
    <w:bookmarkEnd w:id="78"/>
    <w:p>
      <w:pPr>
        <w:ind w:right="460"/>
        <w:spacing w:after="0" w:line="282" w:lineRule="auto"/>
        <w:rPr>
          <w:sz w:val="20"/>
          <w:szCs w:val="20"/>
          <w:color w:val="auto"/>
        </w:rPr>
      </w:pPr>
      <w:r>
        <w:rPr>
          <w:rFonts w:ascii="Arial" w:cs="Arial" w:eastAsia="Arial" w:hAnsi="Arial"/>
          <w:sz w:val="18"/>
          <w:szCs w:val="18"/>
          <w:i w:val="1"/>
          <w:iCs w:val="1"/>
          <w:color w:val="auto"/>
        </w:rPr>
        <w:t xml:space="preserve">Assets Acquired and Liabilities Assumed - </w:t>
      </w:r>
      <w:r>
        <w:rPr>
          <w:rFonts w:ascii="Arial" w:cs="Arial" w:eastAsia="Arial" w:hAnsi="Arial"/>
          <w:sz w:val="18"/>
          <w:szCs w:val="18"/>
          <w:color w:val="auto"/>
        </w:rPr>
        <w:t>The following table summarizes the final allocation of the fair values of the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at the acquisition date: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940" w:type="dxa"/>
            <w:vAlign w:val="bottom"/>
          </w:tcPr>
          <w:p>
            <w:pPr>
              <w:ind w:left="280"/>
              <w:spacing w:after="0"/>
              <w:rPr>
                <w:sz w:val="20"/>
                <w:szCs w:val="20"/>
                <w:color w:val="auto"/>
              </w:rPr>
            </w:pPr>
            <w:r>
              <w:rPr>
                <w:rFonts w:ascii="Arial" w:cs="Arial" w:eastAsia="Arial" w:hAnsi="Arial"/>
                <w:sz w:val="14"/>
                <w:szCs w:val="14"/>
                <w:color w:val="auto"/>
              </w:rPr>
              <w:t>Cash</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1,479.2</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647.8</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Costs and estimated earnings in excess of billings on uncompleted contracts</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599.6</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764.8</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Income taxes receivable</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139.2</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282.2</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Property, plant and equipment</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1,293.3</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1,390.3</w:t>
            </w:r>
          </w:p>
        </w:tc>
      </w:tr>
      <w:tr>
        <w:trPr>
          <w:trHeight w:val="264"/>
        </w:trPr>
        <w:tc>
          <w:tcPr>
            <w:tcW w:w="9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assets</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w:t>
            </w: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identifiable assets acquired</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6,763.7</w:t>
            </w:r>
          </w:p>
        </w:tc>
      </w:tr>
      <w:tr>
        <w:trPr>
          <w:trHeight w:val="264"/>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Liabilities</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and current portion of long-term debt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319.5</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386.0</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Billings in excess of costs and estimated earnings on uncompleted contracts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454.0</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92.1</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524.3</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Long-term debt, less current portion</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1,444.2</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195.5</w:t>
            </w:r>
          </w:p>
        </w:tc>
      </w:tr>
      <w:tr>
        <w:trPr>
          <w:trHeight w:val="264"/>
        </w:trPr>
        <w:tc>
          <w:tcPr>
            <w:tcW w:w="99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219.4</w:t>
            </w:r>
          </w:p>
        </w:tc>
      </w:tr>
      <w:tr>
        <w:trPr>
          <w:trHeight w:val="276"/>
        </w:trPr>
        <w:tc>
          <w:tcPr>
            <w:tcW w:w="9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138.7</w:t>
            </w:r>
          </w:p>
        </w:tc>
      </w:tr>
      <w:tr>
        <w:trPr>
          <w:trHeight w:val="244"/>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liabilities assumed</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3,773.7</w:t>
            </w: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identifiable assets acquired</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2,990.0</w:t>
            </w:r>
          </w:p>
        </w:tc>
      </w:tr>
      <w:tr>
        <w:trPr>
          <w:trHeight w:val="264"/>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Goodwill</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43"/>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assets acquired</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Segment Allocation of Goodwill - </w:t>
      </w:r>
      <w:r>
        <w:rPr>
          <w:rFonts w:ascii="Arial" w:cs="Arial" w:eastAsia="Arial" w:hAnsi="Arial"/>
          <w:sz w:val="18"/>
          <w:szCs w:val="18"/>
          <w:color w:val="auto"/>
        </w:rPr>
        <w:t>The final allocation of goodwill to the reporting segments based on the final valuation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Allocated Goodwill</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2,527.7</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1,635.5</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1,017.5</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Acquired Identifiable Intangible Assets - </w:t>
      </w:r>
      <w:r>
        <w:rPr>
          <w:rFonts w:ascii="Arial" w:cs="Arial" w:eastAsia="Arial" w:hAnsi="Arial"/>
          <w:sz w:val="18"/>
          <w:szCs w:val="18"/>
          <w:color w:val="auto"/>
        </w:rPr>
        <w:t>The identifiable intangible assets acquired include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Useful Lives</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technology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Backlog</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175.0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Tradenames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635.0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Various</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identifiable intangible assets acquired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1,390.3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580" w:right="239" w:bottom="1440" w:gutter="0" w:footer="0" w:header="0"/>
          <w:type w:val="continuous"/>
        </w:sectPr>
      </w:pPr>
    </w:p>
    <w:bookmarkStart w:id="79" w:name="page80"/>
    <w:bookmarkEnd w:id="79"/>
    <w:p>
      <w:pPr>
        <w:jc w:val="both"/>
        <w:ind w:right="280"/>
        <w:spacing w:after="0" w:line="256" w:lineRule="auto"/>
        <w:rPr>
          <w:sz w:val="20"/>
          <w:szCs w:val="20"/>
          <w:color w:val="auto"/>
        </w:rPr>
      </w:pPr>
      <w:r>
        <w:rPr>
          <w:rFonts w:ascii="Arial" w:cs="Arial" w:eastAsia="Arial" w:hAnsi="Arial"/>
          <w:sz w:val="18"/>
          <w:szCs w:val="18"/>
          <w:color w:val="auto"/>
        </w:rPr>
        <w:t>FMC Technologies’ results of operations have been included in our financial statements for periods subsequent to the consummation of the Merger on January 16, 2017. FMC Technologies contributed revenues and a net loss of $3,441.1 million and $251.2 million, respectively, for the period from January 17, 2017 through December 31, 2017.</w:t>
      </w:r>
    </w:p>
    <w:p>
      <w:pPr>
        <w:spacing w:after="0" w:line="14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As part of the ongoing review of the purchase price allocation, a $19.7 million adjustment to our deferred tax liability balance was recorded during the first quarter of 2018 which increased Surface Technologies goodwill.</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Pro Forma Impact of the Merger (unaudited) - </w:t>
      </w:r>
      <w:r>
        <w:rPr>
          <w:rFonts w:ascii="Arial" w:cs="Arial" w:eastAsia="Arial" w:hAnsi="Arial"/>
          <w:sz w:val="18"/>
          <w:szCs w:val="18"/>
          <w:color w:val="auto"/>
        </w:rPr>
        <w:t>The following unaudited supplemental pro forma results present consolidated information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had been completed as of January 1, 2016.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2016, nor are they indicative of future results. For comparative purposes, the weighted average shares outstanding used for the diluted earnings per share calculation for the year ended December 31, 2017 was also used to calculate the diluted earnings per share for the year ended December 31, 2016.</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1140" w:type="dxa"/>
            <w:vAlign w:val="bottom"/>
            <w:tcBorders>
              <w:bottom w:val="single" w:sz="8" w:color="auto"/>
            </w:tcBorders>
          </w:tcPr>
          <w:p>
            <w:pPr>
              <w:spacing w:after="0"/>
              <w:rPr>
                <w:sz w:val="17"/>
                <w:szCs w:val="17"/>
                <w:color w:val="auto"/>
              </w:rPr>
            </w:pPr>
          </w:p>
        </w:tc>
      </w:tr>
      <w:tr>
        <w:trPr>
          <w:trHeight w:val="250"/>
        </w:trPr>
        <w:tc>
          <w:tcPr>
            <w:tcW w:w="8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5"/>
                <w:szCs w:val="15"/>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Pro Forma</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Pro Forma</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15,169.8</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13,727.9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attributable to TechnipFMC adjusted for dilutive effects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291.8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0.06</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February 2018, we signed an agreement with the Island Offshore Group to acquire a 51% stake in Island Offshore’s wholly-owned subsidiary, Island Offshore Subsea AS. Island Offshore Subsea AS provides RLWI project management and engineering services for plug and abandonment (“P&amp;A”), riserless coiled tubing, and well completion operations. In connection with the acquisition of the controlling interest, TechnipFMC and Island Offshore entered into a strategic cooperation agreement to deliver RLWI services on a worldwide basis, which also include TechnipFMC’s RLWI capabilities. Island Offshore Subsea AS has been rebranded to TIOS and is now the operating unit for TechnipFMC’s RLWI activities worldwide. The acquisition was completed on April 18, 2018 for total cash consideration of $ 42.4 million. As a result of the acquisition, we recorded redeemable financial liability equal to the fair value of a written put option. Finally, we preliminarily increased goodwill by $85.0 million.</w:t>
      </w:r>
    </w:p>
    <w:p>
      <w:pPr>
        <w:spacing w:after="0" w:line="15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On July 18, 2018, we entered into a share sale and purchase agreement with POC Holding Oy to sell 100% of the outstanding shares of Technip Offshore Finland Oy. The total gain before tax recognized in the third quarter of 2018 was $27.8 million.</w:t>
      </w:r>
    </w:p>
    <w:p>
      <w:pPr>
        <w:spacing w:after="0" w:line="14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Additional acquisitions, including purchased interests in equity method investments, during the year ended December 31, 2018 totaled $62.5 million in consideration paid.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U.S. GAAP</w:t>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 xml:space="preserve">Effective January 1, 2018, we adopted Accounting Standards Update (“ASU”) No. 2014-09, </w:t>
      </w:r>
      <w:r>
        <w:rPr>
          <w:rFonts w:ascii="Arial" w:cs="Arial" w:eastAsia="Arial" w:hAnsi="Arial"/>
          <w:sz w:val="18"/>
          <w:szCs w:val="18"/>
          <w:i w:val="1"/>
          <w:iCs w:val="1"/>
          <w:color w:val="auto"/>
        </w:rPr>
        <w:t>“Revenue from Contracts with Customers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606).” </w:t>
      </w:r>
      <w:r>
        <w:rPr>
          <w:rFonts w:ascii="Arial" w:cs="Arial" w:eastAsia="Arial" w:hAnsi="Arial"/>
          <w:sz w:val="18"/>
          <w:szCs w:val="18"/>
          <w:color w:val="auto"/>
        </w:rPr>
        <w:t>This update requires an entity to recognize revenue to depict the transfer of promised goods or services to customers in an amount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consideration to which the entity expects to be entitled in exchange for those goods or services. See Note 4 for more information.</w:t>
      </w:r>
    </w:p>
    <w:p>
      <w:pPr>
        <w:spacing w:after="0" w:line="12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 xml:space="preserve">In March 2016, the Financial Accounting Standards Board (“FASB”) issued ASU No. 2016-08, </w:t>
      </w:r>
      <w:r>
        <w:rPr>
          <w:rFonts w:ascii="Arial" w:cs="Arial" w:eastAsia="Arial" w:hAnsi="Arial"/>
          <w:sz w:val="18"/>
          <w:szCs w:val="18"/>
          <w:i w:val="1"/>
          <w:iCs w:val="1"/>
          <w:color w:val="auto"/>
        </w:rPr>
        <w:t>“Principal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Revenue Gross versus Net)”, </w:t>
      </w:r>
      <w:r>
        <w:rPr>
          <w:rFonts w:ascii="Arial" w:cs="Arial" w:eastAsia="Arial" w:hAnsi="Arial"/>
          <w:sz w:val="18"/>
          <w:szCs w:val="18"/>
          <w:color w:val="auto"/>
        </w:rPr>
        <w:t>which clarifies the implementation guidance on principal versus agent considerations. Entities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apply the amendments either retrospectively to each prior reporting period presented or retrospectively with the cumulative effect of initially applying the ASU recognized at the date of initial application. The adoption of this update did not have a material impact on our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98" w:right="239" w:bottom="1440" w:gutter="0" w:footer="0" w:header="0"/>
        </w:sectPr>
      </w:pPr>
    </w:p>
    <w:bookmarkStart w:id="80" w:name="page81"/>
    <w:bookmarkEnd w:id="80"/>
    <w:p>
      <w:pPr>
        <w:spacing w:after="0" w:line="252" w:lineRule="auto"/>
        <w:rPr>
          <w:sz w:val="20"/>
          <w:szCs w:val="20"/>
          <w:color w:val="auto"/>
        </w:rPr>
      </w:pPr>
      <w:r>
        <w:rPr>
          <w:rFonts w:ascii="Arial" w:cs="Arial" w:eastAsia="Arial" w:hAnsi="Arial"/>
          <w:sz w:val="18"/>
          <w:szCs w:val="18"/>
          <w:color w:val="auto"/>
        </w:rPr>
        <w:t xml:space="preserve">Effective January 1, 2018, we adopted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 eliminates the requirement to disclose significant assumptions and methods used to estimate the fair value of financial instruments measured at amortized cost. The updated guidance further requires the use of an exit price notion when measuring the fair value of financial instruments for disclosure purposes. All amendments are required to be adopted on a modified retrospective basis, with two exceptions. The amendments related to equity investments without readily determinable fair values and the requirement to use an exit price notion are required to be adopted prospectively. In February 2018, the FASB issued ASU No. 2018-03, </w:t>
      </w:r>
      <w:r>
        <w:rPr>
          <w:rFonts w:ascii="Arial" w:cs="Arial" w:eastAsia="Arial" w:hAnsi="Arial"/>
          <w:sz w:val="18"/>
          <w:szCs w:val="18"/>
          <w:i w:val="1"/>
          <w:iCs w:val="1"/>
          <w:color w:val="auto"/>
        </w:rPr>
        <w:t xml:space="preserve">“Technical Corrections and Improvements to Financial Instruments-Overall (Subtopic 825-10): Recognition and Measurement of Financial Assets and Financial Liabilities”. </w:t>
      </w:r>
      <w:r>
        <w:rPr>
          <w:rFonts w:ascii="Arial" w:cs="Arial" w:eastAsia="Arial" w:hAnsi="Arial"/>
          <w:sz w:val="18"/>
          <w:szCs w:val="18"/>
          <w:color w:val="auto"/>
        </w:rPr>
        <w:t>These amendments clarify the guidance in ASU No. 2016-01, on the following issues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Equity Securities without a Readily Determinable Fair Value-Discontinuation; Equity Securities without a Readily Determinable Fair Value - Adjustment; Forward Contracts and Purchase Options; Presentation Requirements for Certain Fair Value Option Liabilities; Fair Value Option Liabilities Denominated in a Foreign Currency; and Transition Guidance for Equity Securities without a Readily Determinable Fair Value. The amendments in this ASU are effective in conjunction with the adoption of ASU No. 2016-01. In March 2018, the FASB issued ASU No. 2018-04, </w:t>
      </w:r>
      <w:r>
        <w:rPr>
          <w:rFonts w:ascii="Arial" w:cs="Arial" w:eastAsia="Arial" w:hAnsi="Arial"/>
          <w:sz w:val="18"/>
          <w:szCs w:val="18"/>
          <w:i w:val="1"/>
          <w:iCs w:val="1"/>
          <w:color w:val="auto"/>
        </w:rPr>
        <w:t>“Investments-Debt Securities (Topic 320) and Regulated Operations (Topic 980):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117 and SEC Release No. 33-9273.” </w:t>
      </w:r>
      <w:r>
        <w:rPr>
          <w:rFonts w:ascii="Arial" w:cs="Arial" w:eastAsia="Arial" w:hAnsi="Arial"/>
          <w:sz w:val="18"/>
          <w:szCs w:val="18"/>
          <w:color w:val="auto"/>
        </w:rPr>
        <w:t>This ASU supersedes SEC paragraphs pursuant to the SEC Staff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Bulletin No. 117, which brings existing guidance into conformity with Topic 321, Investments-Equity Securities, and SEC Release No. 33-9273, which removed Regulation S-X Rule 3A-05, Special Requirements as to Public Utility Holding Companies. The adoption of these updates did not have a material impact on our consolidated financial statements.</w:t>
      </w:r>
    </w:p>
    <w:p>
      <w:pPr>
        <w:spacing w:after="0" w:line="13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Effective January 1, 2018, we adopted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 to the statement of cash flows. The amendments in this ASU are required to be adopted retrospectively. For issues that are impracticable to adopt retrospectively, the amendments may be adopted prospectively as of the earliest date practicable. The adoption of this update did not have a material impact on our consolidated financial statements.</w:t>
      </w:r>
    </w:p>
    <w:p>
      <w:pPr>
        <w:spacing w:after="0" w:line="13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xml:space="preserve">Effective January 1, 2018, we adopted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required to be adopted on a modified retrospective basis. The adoption of this update did not have a material impact on our consolidated financial statements.</w:t>
      </w:r>
    </w:p>
    <w:p>
      <w:pPr>
        <w:spacing w:after="0" w:line="12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Effective January 1, 2018, we adopted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required to be adopted prospectively. The adoption of this update did not have a material impact on our consolidated financial statements.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580" w:right="259" w:bottom="1440" w:gutter="0" w:footer="0" w:header="0"/>
        </w:sectPr>
      </w:pPr>
    </w:p>
    <w:bookmarkStart w:id="81" w:name="page82"/>
    <w:bookmarkEnd w:id="81"/>
    <w:p>
      <w:pPr>
        <w:ind w:right="20"/>
        <w:spacing w:after="0" w:line="253" w:lineRule="auto"/>
        <w:rPr>
          <w:sz w:val="20"/>
          <w:szCs w:val="20"/>
          <w:color w:val="auto"/>
        </w:rPr>
      </w:pPr>
      <w:r>
        <w:rPr>
          <w:rFonts w:ascii="Arial" w:cs="Arial" w:eastAsia="Arial" w:hAnsi="Arial"/>
          <w:sz w:val="18"/>
          <w:szCs w:val="18"/>
          <w:color w:val="auto"/>
        </w:rPr>
        <w:t xml:space="preserve">Effective January 1, 2018, we adopted ASU No. 2017-07,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This update requires employers to disaggregate the service cost component from the other components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cost and disclose the amount of 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The adoption of this update did not have a material impact on our consolidated financial statements.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Effective January 1, 2018, we adopted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This update provides clarity on when changes to the terms or conditions of a share-based payment award must be accounted for as modifications. The amendments in this ASU are effective for us January 1, 2018 and are required to be adopted prospectively. The adoption of this update did not have a material impact on our consolidated financial statements.</w:t>
      </w:r>
    </w:p>
    <w:p>
      <w:pPr>
        <w:spacing w:after="0" w:line="12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In March 2018, the FASB issued ASU No. 2018-05, </w:t>
      </w:r>
      <w:r>
        <w:rPr>
          <w:rFonts w:ascii="Arial" w:cs="Arial" w:eastAsia="Arial" w:hAnsi="Arial"/>
          <w:sz w:val="18"/>
          <w:szCs w:val="18"/>
          <w:i w:val="1"/>
          <w:iCs w:val="1"/>
          <w:color w:val="auto"/>
        </w:rPr>
        <w:t>“Income Taxes (Topic 740)-Amendments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118.” </w:t>
      </w:r>
      <w:r>
        <w:rPr>
          <w:rFonts w:ascii="Arial" w:cs="Arial" w:eastAsia="Arial" w:hAnsi="Arial"/>
          <w:sz w:val="18"/>
          <w:szCs w:val="18"/>
          <w:color w:val="auto"/>
        </w:rPr>
        <w:t>This ASU adds SEC paragraphs pursuant to the SEC Staff Accounting Bulletin No. 118, which expresses the</w:t>
      </w:r>
      <w:r>
        <w:rPr>
          <w:rFonts w:ascii="Arial" w:cs="Arial" w:eastAsia="Arial" w:hAnsi="Arial"/>
          <w:sz w:val="18"/>
          <w:szCs w:val="18"/>
          <w:i w:val="1"/>
          <w:iCs w:val="1"/>
          <w:color w:val="auto"/>
        </w:rPr>
        <w:t xml:space="preserve"> </w:t>
      </w:r>
      <w:r>
        <w:rPr>
          <w:rFonts w:ascii="Arial" w:cs="Arial" w:eastAsia="Arial" w:hAnsi="Arial"/>
          <w:sz w:val="18"/>
          <w:szCs w:val="18"/>
          <w:color w:val="auto"/>
        </w:rPr>
        <w:t>view of the staff regarding application of Topic 740, Income Taxes, in the reporting period that includes December 22, 2017 - the date on which the Tax Cuts and Jobs Act of 2017 (the “Tax Cuts and Jobs Act”) was signed into law. The amendments in this ASU are effective upon issuance. The adoption of this update did not have a material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U.S. GAAP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8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February 2016, the FASB issued ASU No. 2016-02, “Leases (Topic 842).” This update requires that a lessee recognize a liability to make lease payments and a right-of-use (“ROU”) asset representing its right to use the underlying asset for the lease term.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w:t>
      </w:r>
    </w:p>
    <w:p>
      <w:pPr>
        <w:spacing w:after="0" w:line="153"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In January 2018, the FASB issued ASU 2018-01, “Leases (Topic 842): Land Easement Practical Expedient for Transition to Topic 842.” The amendments in this update permit an entity to elect an optional transition practical expedient to not evaluate land easements that existed or expired before the entity’s adoption of Topic 842 and that were not previously accounted for as leases under Topic 840.</w:t>
      </w:r>
    </w:p>
    <w:p>
      <w:pPr>
        <w:spacing w:after="0" w:line="14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July 2018 and December 2018, the FASB issued ASU 2018-10, “Codification Improvements to Topic 842, Lease” and ASU 2018-20, “Narrow-scope Improvements for Lessors”, respectively. The amendments in these updates affect narrow aspects of the guidance issued in ASU 2016-02 and is intended to simplify adoption of the new standard. The amendments do not make substantive changes to the core provisions or principles of the new standard and will be considered during our implementation process.</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July 2018, the FASB also issued ASU 2018-11, “Leases (Topic 842): Targeted Improvements.” The amendments in this update provide entities with an optional transition method, which permits an entity to initially apply the new leases standard at the adoption date and recognize a cumulative-effect adjustment to the opening balance of retained earnings in the period of adoption. In addition, the amendments in this update also provide lessors with a practical expedient (provided certain conditions are met), by class of underlying asset, to not separate the non-lease component(s) from the associated lease component for purposes of income statement presentation. We plan to not elect this practical expedient for lessors and will account for lease and non-lease components within our lessor contracts separately. We plan to elect the practical expedient available for lessees to not separate lease and non-lease components for all asset classes other than vessels, which typically include significant non-lease components.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0" w:right="239" w:bottom="1440" w:gutter="0" w:footer="0" w:header="0"/>
        </w:sectPr>
      </w:pPr>
    </w:p>
    <w:bookmarkStart w:id="82" w:name="page83"/>
    <w:bookmarkEnd w:id="82"/>
    <w:p>
      <w:pPr>
        <w:ind w:right="100"/>
        <w:spacing w:after="0" w:line="252" w:lineRule="auto"/>
        <w:rPr>
          <w:sz w:val="20"/>
          <w:szCs w:val="20"/>
          <w:color w:val="auto"/>
        </w:rPr>
      </w:pPr>
      <w:r>
        <w:rPr>
          <w:rFonts w:ascii="Arial" w:cs="Arial" w:eastAsia="Arial" w:hAnsi="Arial"/>
          <w:sz w:val="18"/>
          <w:szCs w:val="18"/>
          <w:color w:val="auto"/>
        </w:rPr>
        <w:t>We will adopt Topic 842 on January 1, 2019, electing the optional transition method that allows for a cumulative-effect adjustment in the period of adoption and, as a result, we will not restate prior periods. We expect to elect certain practical expedients permitted under Topic 842, including the practical expedient for short-term leases in which a lessee is permitted to make an accounting policy election by class of underlying asset not to recognize lease assets and lease liabilities for leases with a term of 12 months or less. In addition, we expect to elect the package of practical expedients permitted under the transition guidance within Topic 842, which among other things, allows us to carry forward the historical lease classification.</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part of our assessment work-to-date, we have formed an implementation work team, conducted region-specific training for the relevant staff regarding the potential impacts of Topic 842 and are continuing our contract analysis and policy review. We have engaged external resources to assist us in our efforts of completing the analysis of potential changes to current accounting practices and are in the process of implementing a new lease accounting system in connection with the adoption of the updated guidance. We are also evaluating the impact of Topic 842 on our internal control over financial reporting and other changes in business practices and processes.</w:t>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adoption, we currently expect to recognize material operating liabilities with corresponding ROU assets of approximately the same amount, based on the present value of the lease payments not yet paid under current leasing standards for existing operating leases where we are a lessee.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not permitted. We are currently evaluating the impact of this ASU on our consolidated financial statements.</w:t>
      </w:r>
    </w:p>
    <w:p>
      <w:pPr>
        <w:spacing w:after="0" w:line="13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November 2018, the FASB also issued ASU No. 2018-19,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The update amends the transition requirements and scope of the credit losses standard issued in 2016. This update clarifies that receivables arising from operating leases are not within the scope of the credit losses standard, but rather, should be accounted for in accordance with the leases standard. The amendments in this ASU are effective for us on January 1, 2020 and are required to be adopted on a modified retrospective basis. Early adoption is not permitted. We are currently evaluating the impact of this ASU on our consolidated financial statements.</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amendments in this ASU are effective for us January 1, 2019. Early adoption is permitted. For cash flow and net investment hedges as of the adoption date, the guidance requires a modified retrospective approach. The amended presentation and disclosure guidance is required to be adopted prospectively. We are currently evaluating the impact of this ASU on our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598" w:right="259" w:bottom="1440" w:gutter="0" w:footer="0" w:header="0"/>
        </w:sectPr>
      </w:pPr>
    </w:p>
    <w:bookmarkStart w:id="83" w:name="page84"/>
    <w:bookmarkEnd w:id="83"/>
    <w:p>
      <w:pPr>
        <w:ind w:right="60"/>
        <w:spacing w:after="0" w:line="254"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Tax Effects from Accumulated Other Comprehensive Income (AOCI).” </w:t>
      </w:r>
      <w:r>
        <w:rPr>
          <w:rFonts w:ascii="Arial" w:cs="Arial" w:eastAsia="Arial" w:hAnsi="Arial"/>
          <w:sz w:val="18"/>
          <w:szCs w:val="18"/>
          <w:color w:val="auto"/>
        </w:rPr>
        <w:t>This update provides an option to reclassify stranded tax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AOCI to retained earnings in each period in which the effect of the change in the U.S. federal corporate tax rate in the Tax Cuts and Jobs Act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Income Statement-Reporting Comprehensive Income, and has items of other comprehensive income for which the related tax effects are presented in other comprehensive income as required by GAAP. The amendments in this ASU are effective for us January 1, 2019. The adoption of this update will not have a material effect on our consolidated financial statements.</w:t>
      </w:r>
    </w:p>
    <w:p>
      <w:pPr>
        <w:spacing w:after="0" w:line="1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 xml:space="preserve">“Compensation - Stock Compensation (Topic 718): Improvements to Nonemployee Share-Based Payment Accounting.” </w:t>
      </w:r>
      <w:r>
        <w:rPr>
          <w:rFonts w:ascii="Arial" w:cs="Arial" w:eastAsia="Arial" w:hAnsi="Arial"/>
          <w:sz w:val="17"/>
          <w:szCs w:val="17"/>
          <w:color w:val="auto"/>
        </w:rPr>
        <w:t>This update expands the scope of Topic 718 to include all share-based payment transactions for acquiring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from nonemployees. The amendments in this update specify that Topic 718 applies to all share-based payment transactions in which the grantor acquires goods and services to be used or consumed in its own operations by issuing share-based payment awards. The amendments in this update also clarify that Topic 718 does not apply to share-based payments used to effectively provide (1) financing to the issuer or (2) awards granted in conjunction with selling goods or services to customers as part of a contract accounted for under ASC Topic</w:t>
      </w:r>
    </w:p>
    <w:p>
      <w:pPr>
        <w:spacing w:after="0" w:line="5" w:lineRule="exact"/>
        <w:rPr>
          <w:sz w:val="20"/>
          <w:szCs w:val="20"/>
          <w:color w:val="auto"/>
        </w:rPr>
      </w:pPr>
    </w:p>
    <w:p>
      <w:pPr>
        <w:ind w:right="140" w:firstLine="8"/>
        <w:spacing w:after="0" w:line="262"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amendments in this update are effective for us on January 1, 2019, with early adoption permitted, but no earlier than our adoption of ASC Topic 606. We are currently evaluating the impact of this ASU on our consolidated financial statements.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update modifies the disclosure requirement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ASU are effective for us January 1, 2020. Early adoption is permitted. The amendments on changes in unrealized gains and losses, the range and weighted average of significant unobservable inputs used to develop Level 3 fair value measurements, and the narrative description of measurement uncertainty should be applied prospectively. All other amendments should be applied retrospectively. We are currently evaluating the impact of this ASU on our consolidated financial statements.</w:t>
      </w:r>
    </w:p>
    <w:p>
      <w:pPr>
        <w:spacing w:after="0" w:line="1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Early adoption is permitted. The amendments in this update is required to be adopted retrospectively. We are currently evaluating the impact of this ASU on our consolidated financial statements.</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(a consensus of the FASB Emerging Issues Task Force).” </w:t>
      </w:r>
      <w:r>
        <w:rPr>
          <w:rFonts w:ascii="Arial" w:cs="Arial" w:eastAsia="Arial" w:hAnsi="Arial"/>
          <w:sz w:val="18"/>
          <w:szCs w:val="18"/>
          <w:color w:val="auto"/>
        </w:rPr>
        <w:t>This update requires that the implementation costs incurred in a cloud computing arrangement that is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deferred if they would be capitalized based on the requirements for capitalizing implementation costs incurred to develop or obtain internal-use software. The amendments in this ASU are effective for us January 1, 2020. Early adoption is permitted. The amendments in this update is required to be adopted either retrospectively or prospectively. We are currently evaluating the impact of this ASU on our consolidated financial statements.</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Topic 606.” </w:t>
      </w:r>
      <w:r>
        <w:rPr>
          <w:rFonts w:ascii="Arial" w:cs="Arial" w:eastAsia="Arial" w:hAnsi="Arial"/>
          <w:sz w:val="18"/>
          <w:szCs w:val="18"/>
          <w:color w:val="auto"/>
        </w:rPr>
        <w:t>This update clarifies the interaction between the guidance for certain collaborative arrangements and the 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accounting and reporting standard. The amendments in this ASU are effective for us January 1, 2020. Early adoption is permitted. The amendments in this update is required to be adopted retrospectively to the date of initial application of Topic 606. An entity should recognize the cumulative effect of initially applying the amendments as an adjustment to the opening balance of retained earnings of the later of the earliest annual period presented and the annual period that includes the date of the entity’s initial application of Topic 606. We are currently evaluating the impact of this ASU on our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580"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4. REVENUE</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 On January 1, 2018, we adopted ASC Topic 606 of GAAP using the modified retrospective method applied to those contracts that were not completed as of January 1, 2018 resulting in a $91.5 million reduction to retained earnings. Results for reporting periods beginning after January 1, 2018 are presented under ASC Topic 606, while prior period amounts are not adjusted and continue to be reported in accordance with our historic accounting under Topic 605.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Revenue Recognition Criteria Explained</w:t>
      </w:r>
    </w:p>
    <w:p>
      <w:pPr>
        <w:spacing w:after="0" w:line="17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Allocation of transaction price to performance obligations - </w:t>
      </w:r>
      <w:r>
        <w:rPr>
          <w:rFonts w:ascii="Arial" w:cs="Arial" w:eastAsia="Arial" w:hAnsi="Arial"/>
          <w:sz w:val="18"/>
          <w:szCs w:val="18"/>
          <w:color w:val="auto"/>
        </w:rPr>
        <w:t>A contract’s transaction price is allocated to each distinct performance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revenue, when, or as, the performance obligation is satisfied. To determine the proper revenue recognition method, we evaluate whether two or more contracts should be combined and accounted for as one single contract and whether the combined or single contract should be accounted for as more than one performance obligation. This evaluation requires significant judgment; some of our contracts have a single performance obligation as the promise to transfer the individual goods or services is not separately identifiable from other promises in the contracts and, therefore, not distinct.</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Variable consideration - </w:t>
      </w:r>
      <w:r>
        <w:rPr>
          <w:rFonts w:ascii="Arial" w:cs="Arial" w:eastAsia="Arial" w:hAnsi="Arial"/>
          <w:sz w:val="18"/>
          <w:szCs w:val="18"/>
          <w:color w:val="auto"/>
        </w:rPr>
        <w:t>Due to the nature of the work required to be performed on many of our performance obligations, the estimation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and cost at completion is complex, subject to many variables and requires significant judgment. It is common for our long-term contracts to contain variable considerations that can either increase or decrease the transaction price. Variability in the transaction price arises primarily due to liquidated damages. The Company considers its experience with similar transactions and expectations regarding the contract in estimating the amount of variable consideration to which it will be entitled, and determining whether the estimated variable consideration should be constrained. We include estimated amounts in the transaction price to the extent it is probable that a significant reversal of cumulative revenue recognized will not occur when the uncertainty associated with the variable consideration is resolved. Our estimates of variable consideration are based largely on an assessment of our anticipated performance and all information (historical, current and forecasted) that is reasonably available to us.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Payment terms - </w:t>
      </w:r>
      <w:r>
        <w:rPr>
          <w:rFonts w:ascii="Arial" w:cs="Arial" w:eastAsia="Arial" w:hAnsi="Arial"/>
          <w:sz w:val="18"/>
          <w:szCs w:val="18"/>
          <w:color w:val="auto"/>
        </w:rPr>
        <w:t>Progress billings are generally issued upon completion of certain phases of the work as stipulated in the contract.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may either be fixed, lump-sum or driven by time and materials (e.g., daily or hourly rates, plus materials). Because typically the customer retains a small portion of the contract price until completion of the contract, our contracts generally result in revenue recognized in excess of billings which we present as contract assets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some contracts, we may be entitled to receive an advance payment. We recognize a liability for these advance payments in excess of revenue recognized and present it as contract liabilities on the balance sheet. The advance payment typically is not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2"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i w:val="1"/>
          <w:iCs w:val="1"/>
          <w:color w:val="auto"/>
        </w:rPr>
        <w:t xml:space="preserve">Warranty - </w:t>
      </w:r>
      <w:r>
        <w:rPr>
          <w:rFonts w:ascii="Arial" w:cs="Arial" w:eastAsia="Arial" w:hAnsi="Arial"/>
          <w:sz w:val="18"/>
          <w:szCs w:val="18"/>
          <w:color w:val="auto"/>
        </w:rPr>
        <w:t>Certain contracts include an assurance-type warranty clause, typically between 18 to 36 months, to guarantee that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agreed specifications. A service-type warranty may also be provided to the customer; in such a case, management allocates a portion of the transaction price to the warranty based on the estimated stand-alone selling price of the service-type warranty.</w:t>
      </w:r>
    </w:p>
    <w:p>
      <w:pPr>
        <w:spacing w:after="0" w:line="12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Revenue recognized over time - </w:t>
      </w:r>
      <w:r>
        <w:rPr>
          <w:rFonts w:ascii="Arial" w:cs="Arial" w:eastAsia="Arial" w:hAnsi="Arial"/>
          <w:sz w:val="18"/>
          <w:szCs w:val="18"/>
          <w:color w:val="auto"/>
        </w:rPr>
        <w:t>Our performance obligations are satisfied over time as work progresses or at a point in time.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transferred to customers over time accounted for approximately 82.4% of our revenue for the year ended December 31, 2018, respectively. Typically, revenue is recognized over time using an input measure (e.g., costs incurred to date relative to total estimated costs at completion) to measure progress.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576" w:right="259" w:bottom="1440" w:gutter="0" w:footer="0" w:header="0"/>
        </w:sectPr>
      </w:pPr>
    </w:p>
    <w:bookmarkStart w:id="85" w:name="page86"/>
    <w:bookmarkEnd w:id="85"/>
    <w:p>
      <w:pPr>
        <w:spacing w:after="0" w:line="255" w:lineRule="auto"/>
        <w:rPr>
          <w:sz w:val="20"/>
          <w:szCs w:val="20"/>
          <w:color w:val="auto"/>
        </w:rPr>
      </w:pPr>
      <w:r>
        <w:rPr>
          <w:rFonts w:ascii="Arial" w:cs="Arial" w:eastAsia="Arial" w:hAnsi="Arial"/>
          <w:sz w:val="18"/>
          <w:szCs w:val="18"/>
          <w:i w:val="1"/>
          <w:iCs w:val="1"/>
          <w:color w:val="auto"/>
        </w:rPr>
        <w:t xml:space="preserve">Cost-to-cost method - </w:t>
      </w:r>
      <w:r>
        <w:rPr>
          <w:rFonts w:ascii="Arial" w:cs="Arial" w:eastAsia="Arial" w:hAnsi="Arial"/>
          <w:sz w:val="18"/>
          <w:szCs w:val="18"/>
          <w:color w:val="auto"/>
        </w:rPr>
        <w:t>For our long-term contracts, because of control transferring over time, revenue is recognized based on the extent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towards completion of the performance obligation. Upon adoption of the new standard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Right to invoice practical expedient - </w:t>
      </w:r>
      <w:r>
        <w:rPr>
          <w:rFonts w:ascii="Arial" w:cs="Arial" w:eastAsia="Arial" w:hAnsi="Arial"/>
          <w:sz w:val="18"/>
          <w:szCs w:val="18"/>
          <w:color w:val="auto"/>
        </w:rPr>
        <w:t>The right-to-invoice practical expedient can be applied to a performance obligation satisfied over time if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a right to invoice the customer for an amount that corresponds directly with the value transferred to the customer for our performance completed to date. When this practical expedient is used, we do not estimate variable consideration at the inception of the contract to determine the transaction price or for disclosure purposes. We have contracts which have payment terms dictated by daily or hourly rates where some contracts may have mixed pricing terms which include a fixed fee portion. For contracts in which we charge the customer a fixed rate based on the time or materials spent during the project that correspond to the value transferred to the customer, we recognize revenue in the amount to which we have the right to invoice.</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Contract modifications - </w:t>
      </w:r>
      <w:r>
        <w:rPr>
          <w:rFonts w:ascii="Arial" w:cs="Arial" w:eastAsia="Arial" w:hAnsi="Arial"/>
          <w:sz w:val="18"/>
          <w:szCs w:val="18"/>
          <w:color w:val="auto"/>
        </w:rPr>
        <w:t>Contracts are often modified to account for changes in contract specifications and requirements. We consider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by Segment</w:t>
      </w:r>
    </w:p>
    <w:p>
      <w:pPr>
        <w:spacing w:after="0" w:line="19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is a description of principal activities separated by reportable segments from which the Company generates its revenue. See Note 5 for more detailed information about reportable segments.</w:t>
      </w:r>
    </w:p>
    <w:p>
      <w:pPr>
        <w:spacing w:after="0" w:line="1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Subsea</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Subsea segment manufactures and designs products and systems, performs engineering, procurement and project management and provides services used by oil and gas companies involved in offshore exploration and production of crude oil and natural gas. Systems and services may be sold separately or as combined integrated systems and services offered within one contract. Many of the systems and products the Company supplies for subsea applications are highly engineered to meet the unique demands of our customers’ field properties and are typically ordered one to two years prior to installation. We often receive advance payments and progress billings from our customers in order to fund initial development and working capital requirements.</w:t>
      </w:r>
    </w:p>
    <w:p>
      <w:pPr>
        <w:spacing w:after="0" w:line="15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Subsea engineering, procurement, construction and installation contracts, revenue is principally generated from long-term contracts with customers. We have determined these contracts generally have one performance obligation as the delivered product is highly customized to customer and field specifications. We generally recognize revenue over time for such contracts as the customized products do not have an alternative use for the Company and we have an enforceable right to payment plus a reasonable profit for performance completed to date.</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Subsea segment also performs an array of subsea services including (i) installation services, (ii) asset management services (iii) product optimization, (iv) inspection, maintenance and repair services, and (v) well access and intervention services, where revenue is generally earned through the execution of either installation-type or maintenance-type contracts. For either contract-type, management has determined that the performance of the service generally represents one single performance obligation. We have determined that revenue from these contracts is recognized over time as the customer simultaneously receives and consumes the benefit of the services.</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Onshore/Offshore</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Onshore/Offshore segment designs and builds onshore facilities related to the production, treatment, transformation and transportation of oil and gas; and designs, manufactures and installs fixed and floating platforms for the offshore production and processing of oil and gas reserves.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0" w:right="239" w:bottom="1440" w:gutter="0" w:footer="0" w:header="0"/>
        </w:sectPr>
      </w:pPr>
    </w:p>
    <w:bookmarkStart w:id="86" w:name="page87"/>
    <w:bookmarkEnd w:id="86"/>
    <w:p>
      <w:pPr>
        <w:ind w:right="60"/>
        <w:spacing w:after="0" w:line="254" w:lineRule="auto"/>
        <w:rPr>
          <w:sz w:val="20"/>
          <w:szCs w:val="20"/>
          <w:color w:val="auto"/>
        </w:rPr>
      </w:pPr>
      <w:r>
        <w:rPr>
          <w:rFonts w:ascii="Arial" w:cs="Arial" w:eastAsia="Arial" w:hAnsi="Arial"/>
          <w:sz w:val="18"/>
          <w:szCs w:val="18"/>
          <w:color w:val="auto"/>
        </w:rPr>
        <w:t>Our onshore business combines the design, engineering, procurement, construction and project management of the entire range of onshore facilities. Our onshore activity covers all types of onshore facilities related to the production, treatment and transportation of oil and gas, as well as transformation with petrochemicals such as ethylene, polymers and fertilizers. Some of the onshore activities include the development of onshore fields, refining, natural gas treatment and liquefaction, and design and construction of hydrogen and synthesis gas production units.</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Many of these contracts provide a combination of engineering, procurement, construction, project management and installation services, which may last several years. We have determined that contracts of this nature have generally one performance obligation. In these contracts, the final product is highly customized to the specifications of the field and the customer’s requirements. Therefore, the customer obtains control of the asset over time, and thus revenue is recognized over time.</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offshore business combines the design, engineering, procurement, construction and project management within the entire range of fixed and floating offshore oil and gas facilities, many of which were the first of their kind, including the development of floating liquefied natural gas (“FLNG”) facilities. Similar to onshore contracts, contracts grouped under this segment provide a combination of services, which may last several years.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that contracts of this nature have one performance obligation. In these contracts, the final product is highly customized to the specifications of the field and the customer’s requirements. We have determined that the customer obtains control of the asset over time, and thus revenue is recognized over time as the customized products do not have an alternative use for us and we have an enforceable right to payment plus reasonable profit for performance completed to date.</w:t>
      </w:r>
    </w:p>
    <w:p>
      <w:pPr>
        <w:spacing w:after="0" w:line="1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7"/>
          <w:szCs w:val="17"/>
          <w:b w:val="1"/>
          <w:bCs w:val="1"/>
          <w:i w:val="1"/>
          <w:iCs w:val="1"/>
          <w:color w:val="auto"/>
        </w:rPr>
        <w:t>Surface Technologies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Surface Technologies segment designs, manufactures and supplies technologically advanced wellhead systems and high pressure valves and pumps used in stimulation activities for oilfield service companies and provides installation, flowback and other services for exploration and production companies.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provide a full range of drilling, completion and production wellhead systems for both standard and custom-engineered applications. Under pressure control product contracts, we design and manufacture flowline products, under the Weco®/Chiksan® trademarks, articulating frac arm manifold trailers, well service pumps, compact valves and reciprocating pumps used in well completion and stimulation activities by major oilfield service companies. Performance obligations within these systems are satisfied either through delivery of a standardized product or equipment or the delivery of a customized product or equipment.</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contracts with a standardized product or equipment performance obligation, management has determined that because there is limited customization to products sold within such contracts and the asset delivered can be resold to another customer, revenue should be recognized as of a point in time, upon transfer of control to the customer and after the customer acceptance provisions have been met.</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contracts with a customized product or equipment performance obligation, the revenue is recognized over time, as the manufacturing of our product does not create an asset with an alternative use for us.</w:t>
      </w:r>
    </w:p>
    <w:p>
      <w:pPr>
        <w:spacing w:after="0" w:line="14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This segment also designs, manufactures and services measurement products globally. Contract-types include standard product or equipment and maintenance-type services where we have determined that each contract under this product line represents one performance obligation.</w:t>
      </w:r>
    </w:p>
    <w:p>
      <w:pPr>
        <w:spacing w:after="0" w:line="12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Revenue from standard measurement equipment contracts is recognized at a point in time, while maintenance-type contracts are typically priced at a daily or hourly rate. We have determined that revenue for these contracts is recognized over time because the customer simultaneously receives and consumes the benefit of the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disaggregates revenue by geographic location and contract types. The tables also include a reconciliation of the disaggregated revenue with the reportable segments.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98"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following tables present products and services revenue by geography for each reportable segment for the year ended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44"/>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5"/>
        </w:trPr>
        <w:tc>
          <w:tcPr>
            <w:tcW w:w="6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Onshore/</w:t>
            </w:r>
          </w:p>
        </w:tc>
        <w:tc>
          <w:tcPr>
            <w:tcW w:w="200" w:type="dxa"/>
            <w:vAlign w:val="bottom"/>
          </w:tcPr>
          <w:p>
            <w:pPr>
              <w:spacing w:after="0"/>
              <w:rPr>
                <w:sz w:val="15"/>
                <w:szCs w:val="15"/>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2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3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1,528.1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3,506.1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America</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1,721.5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365.1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865.5</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Africa</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758.1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57.9</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760.7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213.4</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4,721.8</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6,120.7</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1,487.7</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revenue by contract type for each reportable segment for the year ended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44"/>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5"/>
        </w:trPr>
        <w:tc>
          <w:tcPr>
            <w:tcW w:w="6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Onshore/</w:t>
            </w:r>
          </w:p>
        </w:tc>
        <w:tc>
          <w:tcPr>
            <w:tcW w:w="200" w:type="dxa"/>
            <w:vAlign w:val="bottom"/>
          </w:tcPr>
          <w:p>
            <w:pPr>
              <w:spacing w:after="0"/>
              <w:rPr>
                <w:sz w:val="15"/>
                <w:szCs w:val="15"/>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2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3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3,394.5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6,120.7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249.8</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Products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1,327.3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1,237.9</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3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4,721.8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6,120.7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1,487.7</w:t>
            </w: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Lease and other</w:t>
            </w:r>
            <w:r>
              <w:rPr>
                <w:rFonts w:ascii="Arial" w:cs="Arial" w:eastAsia="Arial" w:hAnsi="Arial"/>
                <w:sz w:val="17"/>
                <w:szCs w:val="17"/>
                <w:color w:val="auto"/>
                <w:vertAlign w:val="superscript"/>
              </w:rPr>
              <w:t>(a)</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104.5</w:t>
            </w: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4,840.0</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revenue not subject to ASC Topic 606.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30"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previously disclosed as costs and estimated earnings in excess of billings on uncompleted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unbilled amounts typically resulting from sales under long-term contracts when revenue is 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3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December 31, 2018 and December 31,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(4,085.1)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(770.9)</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(23.3)</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assets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(79.0)</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98" w:right="239" w:bottom="1440" w:gutter="0" w:footer="0" w:header="0"/>
        </w:sectPr>
      </w:pPr>
    </w:p>
    <w:bookmarkStart w:id="88" w:name="page89"/>
    <w:bookmarkEnd w:id="88"/>
    <w:p>
      <w:pPr>
        <w:ind w:right="120"/>
        <w:spacing w:after="0" w:line="278" w:lineRule="auto"/>
        <w:rPr>
          <w:sz w:val="20"/>
          <w:szCs w:val="20"/>
          <w:color w:val="auto"/>
        </w:rPr>
      </w:pPr>
      <w:r>
        <w:rPr>
          <w:rFonts w:ascii="Arial" w:cs="Arial" w:eastAsia="Arial" w:hAnsi="Arial"/>
          <w:sz w:val="17"/>
          <w:szCs w:val="17"/>
          <w:color w:val="auto"/>
        </w:rPr>
        <w:t xml:space="preserve">The majority of the change in net contract assets (liabilities) was due to the adoption of ASC Topic 606. The adoption resulted in a net reclassification from net contract assets (liabilities) to trade receivables. See </w:t>
      </w:r>
      <w:r>
        <w:rPr>
          <w:rFonts w:ascii="Arial" w:cs="Arial" w:eastAsia="Arial" w:hAnsi="Arial"/>
          <w:sz w:val="17"/>
          <w:szCs w:val="17"/>
          <w:i w:val="1"/>
          <w:iCs w:val="1"/>
          <w:color w:val="auto"/>
        </w:rPr>
        <w:t>‘Impact on Primary Financial Statements’</w:t>
      </w:r>
      <w:r>
        <w:rPr>
          <w:rFonts w:ascii="Arial" w:cs="Arial" w:eastAsia="Arial" w:hAnsi="Arial"/>
          <w:sz w:val="17"/>
          <w:szCs w:val="17"/>
          <w:color w:val="auto"/>
        </w:rPr>
        <w:t xml:space="preserve"> below. Certain amounts that were previously reported in contract assets and contract liabilities have been reclassified to trade receivables as of December 31, 2018.</w:t>
      </w:r>
    </w:p>
    <w:p>
      <w:pPr>
        <w:spacing w:after="0" w:line="131"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 remaining decrease not related to the adoption of ASC Topic 606 in our contract assets from December 31, 2017 to December 31, 2018 was primarily due to the timing of milestone payments, partially offset by an increase of $5.7 million in contract assets due to acquisitions.</w:t>
      </w:r>
    </w:p>
    <w:p>
      <w:pPr>
        <w:spacing w:after="0" w:line="12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remaining increase not related to the adoption of ASC Topic 606 in our contract liabilities was primarily due to cash received, excluding amounts recognized as revenue during the period.</w:t>
      </w:r>
    </w:p>
    <w:p>
      <w:pPr>
        <w:spacing w:after="0" w:line="142"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Revenue recognized for the year ended December 31, 2018 that were included in the contract liabilities balance at December 31, 2017 was $2,814.6 million.</w:t>
      </w:r>
    </w:p>
    <w:p>
      <w:pPr>
        <w:spacing w:after="0" w:line="14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net revenue recognized for the year ended December 31, 2018 from our performance obligations satisfied in previous periods has favorable impact of $21.8 million. This primarily relates to the changes in the estimate of the stage of completion that impacted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December 31, 2018, the aggregate amount of the transaction price allocated to order backlog was $14,560.0 million. The Company expects to recognize revenue on approximately 63.1% of the order backlog through 2019 and 36.9%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3,379.2</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1,382.1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1,238.3</w:t>
            </w: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5,335.1</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1,732.9</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1,022.5</w:t>
            </w: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469.9</w:t>
            </w:r>
          </w:p>
        </w:tc>
        <w:tc>
          <w:tcPr>
            <w:tcW w:w="3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9,184.2</w:t>
            </w:r>
          </w:p>
        </w:tc>
        <w:tc>
          <w:tcPr>
            <w:tcW w:w="60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3,115.0</w:t>
            </w:r>
          </w:p>
        </w:tc>
        <w:tc>
          <w:tcPr>
            <w:tcW w:w="100" w:type="dxa"/>
            <w:vAlign w:val="bottom"/>
          </w:tcPr>
          <w:p>
            <w:pPr>
              <w:spacing w:after="0"/>
              <w:rPr>
                <w:sz w:val="20"/>
                <w:szCs w:val="20"/>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2,260.8</w:t>
            </w:r>
          </w:p>
        </w:tc>
      </w:tr>
      <w:tr>
        <w:trPr>
          <w:trHeight w:val="20"/>
        </w:trPr>
        <w:tc>
          <w:tcPr>
            <w:tcW w:w="6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98"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Impact on Primary Financial Statements</w:t>
      </w:r>
    </w:p>
    <w:p>
      <w:pPr>
        <w:spacing w:after="0" w:line="193" w:lineRule="exact"/>
        <w:rPr>
          <w:sz w:val="20"/>
          <w:szCs w:val="20"/>
          <w:color w:val="auto"/>
        </w:rPr>
      </w:pPr>
    </w:p>
    <w:p>
      <w:pPr>
        <w:jc w:val="both"/>
        <w:ind w:right="440"/>
        <w:spacing w:after="0" w:line="278" w:lineRule="auto"/>
        <w:rPr>
          <w:sz w:val="20"/>
          <w:szCs w:val="20"/>
          <w:color w:val="auto"/>
        </w:rPr>
      </w:pPr>
      <w:r>
        <w:rPr>
          <w:rFonts w:ascii="Arial" w:cs="Arial" w:eastAsia="Arial" w:hAnsi="Arial"/>
          <w:sz w:val="17"/>
          <w:szCs w:val="17"/>
          <w:color w:val="auto"/>
        </w:rPr>
        <w:t>The impact to revenues for the year ended December 31, 2018 was an increase of $27.1 million, as a result of applying ASC Topic 606. A difference between revenue recognized under ASC Topic 606 as compared to ASC Topic 605 exists for certain contracts in which physical progress was used as the measure of progress for which the cost-to-cost method best depicts the transfer of control to the customer.</w:t>
      </w:r>
    </w:p>
    <w:p>
      <w:pPr>
        <w:spacing w:after="0" w:line="1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 difference exists in the presentation of trade receivables, contract assets and contract liabilities. Upon adoption of ASC Topic 606, we recognize trade receivables when we have the unconditional right to payment. Previously, we reported certain billed amounts on a net basis within contract assets and contract liabilities when the legal right of offset was present within the contract.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 ended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6"/>
        </w:trPr>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75"/>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Effect of ASC Topic</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b w:val="1"/>
                <w:bCs w:val="1"/>
                <w:color w:val="auto"/>
              </w:rPr>
              <w:t>Under ASC Topic</w:t>
            </w: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4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7"/>
                <w:szCs w:val="17"/>
                <w:color w:val="auto"/>
              </w:rPr>
            </w:pPr>
          </w:p>
        </w:tc>
        <w:tc>
          <w:tcPr>
            <w:tcW w:w="1260" w:type="dxa"/>
            <w:vAlign w:val="bottom"/>
          </w:tcPr>
          <w:p>
            <w:pPr>
              <w:jc w:val="center"/>
              <w:ind w:right="14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605</w:t>
            </w: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Revenue</w:t>
            </w:r>
          </w:p>
        </w:tc>
        <w:tc>
          <w:tcPr>
            <w:tcW w:w="2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9,765.0</w:t>
            </w:r>
          </w:p>
        </w:tc>
        <w:tc>
          <w:tcPr>
            <w:tcW w:w="12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9,733.0</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2,570.1</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Lease and other revenue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222.7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222.7</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12,552.9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12,525.8</w:t>
            </w:r>
          </w:p>
        </w:tc>
      </w:tr>
      <w:tr>
        <w:trPr>
          <w:trHeight w:val="2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Costs and expenses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7,895.1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7,877.4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2,240.4</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Cost of lease and other revenue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143.4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1,140.6</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189.2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17)</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1,831.2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Merger transaction and integration costs (Note 2)</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36.5</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13,470.5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13,458.7</w:t>
            </w:r>
          </w:p>
        </w:tc>
      </w:tr>
      <w:tr>
        <w:trPr>
          <w:trHeight w:val="2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from equity affiliates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106.3</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net interest expense and income taxes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interest expense</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(360.9)</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(1,511.4)</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 (Note 19)</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413.8</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43"/>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(1,936.0)</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7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Consolidated Balance Sheets as of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Effect of ASC Topic</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b w:val="1"/>
                <w:bCs w:val="1"/>
                <w:color w:val="auto"/>
              </w:rPr>
              <w:t>Under ASC Topic</w:t>
            </w: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par value data)</w:t>
            </w:r>
          </w:p>
        </w:tc>
        <w:tc>
          <w:tcPr>
            <w:tcW w:w="24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380" w:type="dxa"/>
            <w:vAlign w:val="bottom"/>
          </w:tcPr>
          <w:p>
            <w:pPr>
              <w:spacing w:after="0"/>
              <w:rPr>
                <w:sz w:val="17"/>
                <w:szCs w:val="17"/>
                <w:color w:val="auto"/>
              </w:rPr>
            </w:pPr>
          </w:p>
        </w:tc>
        <w:tc>
          <w:tcPr>
            <w:tcW w:w="1120" w:type="dxa"/>
            <w:vAlign w:val="bottom"/>
          </w:tcPr>
          <w:p>
            <w:pPr>
              <w:jc w:val="center"/>
              <w:ind w:right="28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605</w:t>
            </w: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5,540.0</w:t>
            </w:r>
          </w:p>
        </w:tc>
        <w:tc>
          <w:tcPr>
            <w:tcW w:w="12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5,540.0</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2,469.7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956.3</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Contract assets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1,295.0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1,745.2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 net (Note 7)</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1,267.6</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Derivative financial instruments (Note 21)</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95.7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95.7</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283.1</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Advances paid to suppliers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189.7</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 (Note 8)</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655.6</w:t>
            </w:r>
          </w:p>
        </w:tc>
      </w:tr>
      <w:tr>
        <w:trPr>
          <w:trHeight w:val="250"/>
        </w:trPr>
        <w:tc>
          <w:tcPr>
            <w:tcW w:w="674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11,781.2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(1,048.0)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10,733.2</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equity affiliates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386.5</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Property, plant and equipment, net of accumulated depreciation</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3,259.8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3,259.8</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7,607.6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7,607.6</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Intangible assets, net of accumulated amortization</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1,176.7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1,176.7</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232.2</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Derivative financial instruments (Note 21)</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314.0</w:t>
            </w:r>
          </w:p>
        </w:tc>
      </w:tr>
      <w:tr>
        <w:trPr>
          <w:trHeight w:val="27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24,784.5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(1,056.2)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23,728.3</w:t>
            </w:r>
          </w:p>
        </w:tc>
      </w:tr>
      <w:tr>
        <w:trPr>
          <w:trHeight w:val="264"/>
        </w:trPr>
        <w:tc>
          <w:tcPr>
            <w:tcW w:w="6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Liabilities and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 and current portion of long-term debt (Note 13)</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2,600.3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2,617.9</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4,085.1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2,969.0</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Accrued payroll</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394.7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394.7</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21)</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138.4</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84.1</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 (Note 8)</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1,766.6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1,727.6</w:t>
            </w:r>
          </w:p>
        </w:tc>
      </w:tr>
      <w:tr>
        <w:trPr>
          <w:trHeight w:val="250"/>
        </w:trPr>
        <w:tc>
          <w:tcPr>
            <w:tcW w:w="674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9,134.4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7,999.1</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less current portion (Note 13)</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4,124.3</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298.9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298.9</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21)</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211.3</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503.4</w:t>
            </w:r>
          </w:p>
        </w:tc>
      </w:tr>
      <w:tr>
        <w:trPr>
          <w:trHeight w:val="250"/>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14,315.1</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(1,133.2)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13,181.9</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contingent liabilities (Note 18)</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Mezzanine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Redeemable noncontrolling interest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Stockholders’ equity (Note 15)</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Ordinary shares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450.5</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Ordinary shares held in employee benefit trust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in excess of par value of ordinary shares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10,197.0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10,197.0</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1,114.2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1,191.3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(1,359.7)</w:t>
            </w:r>
          </w:p>
        </w:tc>
      </w:tr>
      <w:tr>
        <w:trPr>
          <w:trHeight w:val="250"/>
        </w:trPr>
        <w:tc>
          <w:tcPr>
            <w:tcW w:w="6740" w:type="dxa"/>
            <w:vAlign w:val="bottom"/>
          </w:tcPr>
          <w:p>
            <w:pPr>
              <w:ind w:left="280"/>
              <w:spacing w:after="0"/>
              <w:rPr>
                <w:sz w:val="20"/>
                <w:szCs w:val="20"/>
                <w:color w:val="auto"/>
              </w:rPr>
            </w:pPr>
            <w:r>
              <w:rPr>
                <w:rFonts w:ascii="Arial" w:cs="Arial" w:eastAsia="Arial" w:hAnsi="Arial"/>
                <w:sz w:val="14"/>
                <w:szCs w:val="14"/>
                <w:color w:val="auto"/>
              </w:rPr>
              <w:t>Total TechnipFMC plc stockholders’ equity</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10,399.6</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10,476.7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r>
      <w:tr>
        <w:trPr>
          <w:trHeight w:val="25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10,430.9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10,507.9</w:t>
            </w:r>
          </w:p>
        </w:tc>
      </w:tr>
      <w:tr>
        <w:trPr>
          <w:trHeight w:val="24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23,728.3</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111"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598" w:right="239" w:bottom="1111"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5. BUSINESS SEGMENTS</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Upon completion of the Merger,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153" w:lineRule="exact"/>
        <w:rPr>
          <w:sz w:val="20"/>
          <w:szCs w:val="20"/>
          <w:color w:val="auto"/>
        </w:rPr>
      </w:pPr>
    </w:p>
    <w:p>
      <w:pPr>
        <w:ind w:left="340" w:right="380" w:hanging="332"/>
        <w:spacing w:after="0" w:line="282"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manufactures and designs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240" w:hanging="332"/>
        <w:spacing w:after="0" w:line="282" w:lineRule="auto"/>
        <w:tabs>
          <w:tab w:leader="none" w:pos="3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designs and builds onshore facilities related to the production, treatment, transformation and transportation of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designs, manufactures and installs fixed and floating platforms for the production and processing of oil and gas reserves.</w:t>
      </w:r>
    </w:p>
    <w:p>
      <w:pPr>
        <w:spacing w:after="0" w:line="107" w:lineRule="exact"/>
        <w:rPr>
          <w:rFonts w:ascii="Arial" w:cs="Arial" w:eastAsia="Arial" w:hAnsi="Arial"/>
          <w:sz w:val="18"/>
          <w:szCs w:val="18"/>
          <w:i w:val="1"/>
          <w:iCs w:val="1"/>
          <w:color w:val="auto"/>
        </w:rPr>
      </w:pPr>
    </w:p>
    <w:p>
      <w:pPr>
        <w:ind w:left="340" w:right="180" w:hanging="332"/>
        <w:spacing w:after="0" w:line="266" w:lineRule="auto"/>
        <w:tabs>
          <w:tab w:leader="none" w:pos="3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designs and manufactures systems and provides services used by oil and gas companies involved in 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shallow water exploration and production of crude oil and natural gas; designs, manufactures and supplies technologically advanced high pressure valves and fittings for oilfield service companies; and also provides flowback and well testing services.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Refer to Note 9 for additional information. The following items have been excluded in computing segment operating profit: corporate staff expense, net interest income (expense) associated with corporate debt facilities, income taxes, and other revenue and other expense, net.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 and segment operating profit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Subsea</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4,840.0</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5,877.4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5,850.5</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6,120.7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3,349.1</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Surface Technologies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1,592.2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1,274.6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 and intercompany eliminations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12,552.9</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15,056.9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9,199.6</w:t>
            </w:r>
          </w:p>
        </w:tc>
      </w:tr>
      <w:tr>
        <w:trPr>
          <w:trHeight w:val="303"/>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Segment operating profit (loss)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(1,529.5)</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732.0</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824.0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34.1</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172.8</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segment operating profit (loss)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1,354.1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766.1</w:t>
            </w:r>
          </w:p>
        </w:tc>
      </w:tr>
      <w:tr>
        <w:trPr>
          <w:trHeight w:val="330"/>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Corporate items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Corporate expense </w:t>
            </w:r>
            <w:r>
              <w:rPr>
                <w:rFonts w:ascii="Arial" w:cs="Arial" w:eastAsia="Arial" w:hAnsi="Arial"/>
                <w:sz w:val="17"/>
                <w:szCs w:val="17"/>
                <w:color w:val="auto"/>
                <w:vertAlign w:val="superscript"/>
              </w:rPr>
              <w:t>(a)</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85.3</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(456.0)</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(955.4)</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Income (loss) before income taxes </w:t>
            </w:r>
            <w:r>
              <w:rPr>
                <w:rFonts w:ascii="Arial" w:cs="Arial" w:eastAsia="Arial" w:hAnsi="Arial"/>
                <w:sz w:val="17"/>
                <w:szCs w:val="17"/>
                <w:b w:val="1"/>
                <w:bCs w:val="1"/>
                <w:color w:val="auto"/>
                <w:vertAlign w:val="superscript"/>
              </w:rPr>
              <w:t>(b)</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(1,488.1)</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679.7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right="10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legal reserve, stock-based compensation expenses, other employee benefits, certain foreign exchange gains and losses, and merger-related transaction expenses.</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576" w:right="239"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i w:val="1"/>
          <w:iCs w:val="1"/>
          <w:color w:val="auto"/>
        </w:rPr>
        <w:t>Segment assets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8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assets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00" w:type="dxa"/>
            <w:vAlign w:val="bottom"/>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11,037.8</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12,944.4</w:t>
            </w:r>
          </w:p>
        </w:tc>
      </w:tr>
      <w:tr>
        <w:trPr>
          <w:trHeight w:val="2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Onshore/Offshore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4,355.2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4,604.8</w:t>
            </w:r>
          </w:p>
        </w:tc>
      </w:tr>
      <w:tr>
        <w:trPr>
          <w:trHeight w:val="264"/>
        </w:trPr>
        <w:tc>
          <w:tcPr>
            <w:tcW w:w="830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2,825.6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2,453.3</w:t>
            </w:r>
          </w:p>
        </w:tc>
      </w:tr>
      <w:tr>
        <w:trPr>
          <w:trHeight w:val="2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Intercompany eliminations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44"/>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Total segment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18,192.2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19,978.2</w:t>
            </w:r>
          </w:p>
        </w:tc>
      </w:tr>
      <w:tr>
        <w:trPr>
          <w:trHeight w:val="2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7"/>
                <w:szCs w:val="17"/>
                <w:color w:val="auto"/>
                <w:vertAlign w:val="superscript"/>
              </w:rPr>
              <w:t>(a)</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6,592.3</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8,285.5</w:t>
            </w:r>
          </w:p>
        </w:tc>
      </w:tr>
      <w:tr>
        <w:trPr>
          <w:trHeight w:val="237"/>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24,784.5</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28,263.7</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22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Corporate includes cash, LIFO adjustments, deferred income tax balances, legal provisions, property, plant and equipment not associated with a specific segment, pension assets and the fair value of derivative financial instruments.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Geographic segment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Geographic segment sales were identified based on the country where our products and services were delivered.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Russia</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2,773.3</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4,894.2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283.3</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1,006.9</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1,275.8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1,534.7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1,033.7</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Norway</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574.4</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Australia</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926.6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953.9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776.6</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Kingdom</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761.5</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Angola</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385.7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1,016.2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935.3</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 other countries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4,068.1</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4,309.7</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3,827.9</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12,552.9</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15,056.9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9,199.6</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Geographic segment long-lived assets represent property, plant and equipment, 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Long-lived assets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United Kingdom</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925.6</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1,190.1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Netherlands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360.5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574.2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Norway</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311.4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321.4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 other countries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746.6</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810.4</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long-lived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3,259.8</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3,871.5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 segment information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6"/>
          </w:tcPr>
          <w:p>
            <w:pPr>
              <w:jc w:val="center"/>
              <w:ind w:right="8"/>
              <w:spacing w:after="0"/>
              <w:rPr>
                <w:sz w:val="20"/>
                <w:szCs w:val="20"/>
                <w:color w:val="auto"/>
              </w:rPr>
            </w:pPr>
            <w:r>
              <w:rPr>
                <w:rFonts w:ascii="Arial" w:cs="Arial" w:eastAsia="Arial" w:hAnsi="Arial"/>
                <w:sz w:val="14"/>
                <w:szCs w:val="14"/>
                <w:b w:val="1"/>
                <w:bCs w:val="1"/>
                <w:color w:val="auto"/>
              </w:rPr>
              <w:t>Depreciation and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rPr>
              <w:t>Research and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6"/>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left="388"/>
              <w:spacing w:after="0"/>
              <w:rPr>
                <w:sz w:val="20"/>
                <w:szCs w:val="20"/>
                <w:color w:val="auto"/>
              </w:rPr>
            </w:pPr>
            <w:r>
              <w:rPr>
                <w:rFonts w:ascii="Arial" w:cs="Arial" w:eastAsia="Arial" w:hAnsi="Arial"/>
                <w:sz w:val="14"/>
                <w:szCs w:val="14"/>
                <w:b w:val="1"/>
                <w:bCs w:val="1"/>
                <w:color w:val="auto"/>
              </w:rPr>
              <w:t>Capital Expenditures</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rPr>
              <w:t>Development Expense</w:t>
            </w: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1"/>
                <w:szCs w:val="21"/>
                <w:color w:val="auto"/>
              </w:rPr>
            </w:pPr>
          </w:p>
        </w:tc>
        <w:tc>
          <w:tcPr>
            <w:tcW w:w="25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1"/>
                <w:szCs w:val="21"/>
                <w:color w:val="auto"/>
              </w:rPr>
            </w:pPr>
          </w:p>
        </w:tc>
        <w:tc>
          <w:tcPr>
            <w:tcW w:w="24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580"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During the years ended December 31, 2018, 2017 and 2016, revenue from JSC Yamal LNG exceeded 10% of our consolidated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revenue from Total exceeded 10% of our consolidated revenue.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TechnipFMC plc</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500" w:type="dxa"/>
            <w:vAlign w:val="bottom"/>
            <w:gridSpan w:val="4"/>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After-tax interest expense related to dilutive shares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TechnipFMC plc adjusted for dilutive effects</w:t>
            </w:r>
          </w:p>
        </w:tc>
        <w:tc>
          <w:tcPr>
            <w:tcW w:w="3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28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shares outstanding</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Dilutive effect of restricted stock units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stock options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Dilutive effect of performance shares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convertible bonds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shares and dilutive securities</w:t>
            </w: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458.0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468.3</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Basic earnings (loss) per share attributable to TechnipFMC plc</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(loss) per share attributable to TechnipFMC plc</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500" w:type="dxa"/>
            <w:vAlign w:val="bottom"/>
            <w:gridSpan w:val="4"/>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INVENTORIES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00" w:type="dxa"/>
            <w:vAlign w:val="bottom"/>
            <w:gridSpan w:val="4"/>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271.4</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146.4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738.4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Inventory, net</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All amounts in the table above are reported net of obsolescence reserves of $97.5 million and $70.8 million at December 31, 2018 and 2017, respectively.</w:t>
      </w:r>
    </w:p>
    <w:p>
      <w:pPr>
        <w:spacing w:after="0" w:line="14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Net inventories accounted for under the LIFO method totaled $387.2 million and $300.9 million at December 31, 2018 and 2017, respectively. The current replacement costs of LIFO inventories exceeded their recorded values by $7.9 million and $0.6 million at December 31, 2018 and 2017, respectively. There was no reduction to the base LIFO inventory in 2018.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98" w:right="239" w:bottom="1440" w:gutter="0" w:footer="0" w:header="0"/>
        </w:sectPr>
      </w:pPr>
    </w:p>
    <w:bookmarkStart w:id="94" w:name="page95"/>
    <w:bookmarkEnd w:id="94"/>
    <w:p>
      <w:pPr>
        <w:ind w:right="5460"/>
        <w:spacing w:after="0" w:line="475" w:lineRule="auto"/>
        <w:rPr>
          <w:sz w:val="20"/>
          <w:szCs w:val="20"/>
          <w:color w:val="auto"/>
        </w:rPr>
      </w:pPr>
      <w:r>
        <w:rPr>
          <w:rFonts w:ascii="Arial" w:cs="Arial" w:eastAsia="Arial" w:hAnsi="Arial"/>
          <w:sz w:val="18"/>
          <w:szCs w:val="18"/>
          <w:b w:val="1"/>
          <w:bCs w:val="1"/>
          <w:color w:val="auto"/>
        </w:rPr>
        <w:t xml:space="preserve">NOTE 8. OTHER CURRENT ASSETS &amp; OTHER CURRENT LIABILITIES </w:t>
      </w:r>
      <w:r>
        <w:rPr>
          <w:rFonts w:ascii="Arial" w:cs="Arial" w:eastAsia="Arial" w:hAnsi="Arial"/>
          <w:sz w:val="18"/>
          <w:szCs w:val="18"/>
          <w:color w:val="auto"/>
        </w:rPr>
        <w:t>Other current assets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Prepaid expenses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136.2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Sundry receivables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taxes receivables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Held-to-maturity investments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Asset held for sale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50.2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Available-for-sale securities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Other current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1,206.2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Legal provisions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Warranty accruals and project contingencies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418.2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616.3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 added tax and other taxes payable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Provisions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135.5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83.4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financial liability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Social security liability</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145.0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accrual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Liabilities held for sale</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accrued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347.0</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1,687.9</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METHOD INVESTMENTS</w:t>
      </w:r>
    </w:p>
    <w:p>
      <w:pPr>
        <w:spacing w:after="0" w:line="193"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equity method of accounting is used to account for investments in unconsolidated affiliates where we can have the ability to exert significant influence over the affiliates operating and financial policies.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certain construction joint ventures, we use the proportionate consolidation method, whereby our proportionate share of each entity’s assets, liabilities, revenues, and expenses are included in the appropriate classifications in the accompanying consolidated financial statements. None of our proportionate consolidation investments, individually or in the aggregate, are significant to our consolidated results for 2018, 2017, or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were as follows as of December 31, 2018 and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8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Carrying Value</w:t>
            </w:r>
          </w:p>
        </w:tc>
      </w:tr>
      <w:tr>
        <w:trPr>
          <w:trHeight w:val="196"/>
        </w:trPr>
        <w:tc>
          <w:tcPr>
            <w:tcW w:w="83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Percentage Owned</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Technip Odebrecht PLSV CV</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136.1</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Dofcon Brasil AS</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126.2</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Serimax Holdings SAS</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Magma Global Limited</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49.8</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6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w:t>
            </w:r>
          </w:p>
        </w:tc>
      </w:tr>
      <w:tr>
        <w:trPr>
          <w:trHeight w:val="237"/>
        </w:trPr>
        <w:tc>
          <w:tcPr>
            <w:tcW w:w="8320" w:type="dxa"/>
            <w:vAlign w:val="bottom"/>
          </w:tcPr>
          <w:p>
            <w:pPr>
              <w:ind w:left="40"/>
              <w:spacing w:after="0"/>
              <w:rPr>
                <w:sz w:val="20"/>
                <w:szCs w:val="20"/>
                <w:color w:val="auto"/>
              </w:rPr>
            </w:pPr>
            <w:r>
              <w:rPr>
                <w:rFonts w:ascii="Arial" w:cs="Arial" w:eastAsia="Arial" w:hAnsi="Arial"/>
                <w:sz w:val="14"/>
                <w:szCs w:val="14"/>
                <w:b w:val="1"/>
                <w:bCs w:val="1"/>
                <w:color w:val="auto"/>
              </w:rPr>
              <w:t>Investments in equity affiliates</w:t>
            </w:r>
          </w:p>
        </w:tc>
        <w:tc>
          <w:tcPr>
            <w:tcW w:w="16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394.5</w:t>
            </w:r>
          </w:p>
        </w:tc>
      </w:tr>
      <w:tr>
        <w:trPr>
          <w:trHeight w:val="20"/>
        </w:trPr>
        <w:tc>
          <w:tcPr>
            <w:tcW w:w="8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576" w:right="2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Percentage Owned</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Technip Odebrecht PLSV CV</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Dofcon Brasil AS</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Serimax Holdings SAS</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FSTP Brasil Ltda</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6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4"/>
                <w:szCs w:val="14"/>
                <w:b w:val="1"/>
                <w:bCs w:val="1"/>
                <w:color w:val="auto"/>
              </w:rPr>
              <w:t>Investments in equity affiliates</w:t>
            </w:r>
          </w:p>
        </w:tc>
        <w:tc>
          <w:tcPr>
            <w:tcW w:w="16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82.7</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from equity affiliates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40"/>
        <w:spacing w:after="0" w:line="242" w:lineRule="auto"/>
        <w:rPr>
          <w:sz w:val="20"/>
          <w:szCs w:val="20"/>
          <w:color w:val="auto"/>
        </w:rPr>
      </w:pPr>
      <w:r>
        <w:rPr>
          <w:rFonts w:ascii="Arial" w:cs="Arial" w:eastAsia="Arial" w:hAnsi="Arial"/>
          <w:sz w:val="18"/>
          <w:szCs w:val="18"/>
          <w:i w:val="1"/>
          <w:iCs w:val="1"/>
          <w:color w:val="auto"/>
        </w:rPr>
        <w:t>Summarized financial information</w:t>
      </w:r>
      <w:r>
        <w:rPr>
          <w:rFonts w:ascii="Arial" w:cs="Arial" w:eastAsia="Arial" w:hAnsi="Arial"/>
          <w:sz w:val="21"/>
          <w:szCs w:val="21"/>
          <w:i w:val="1"/>
          <w:iCs w:val="1"/>
          <w:color w:val="auto"/>
          <w:vertAlign w:val="superscript"/>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financial information for our equity method investments is presented below for 2016. Our</w:t>
      </w:r>
      <w:r>
        <w:rPr>
          <w:rFonts w:ascii="Arial" w:cs="Arial" w:eastAsia="Arial" w:hAnsi="Arial"/>
          <w:sz w:val="18"/>
          <w:szCs w:val="18"/>
          <w:i w:val="1"/>
          <w:iCs w:val="1"/>
          <w:color w:val="auto"/>
        </w:rPr>
        <w:t xml:space="preserve"> </w:t>
      </w:r>
      <w:r>
        <w:rPr>
          <w:rFonts w:ascii="Arial" w:cs="Arial" w:eastAsia="Arial" w:hAnsi="Arial"/>
          <w:sz w:val="18"/>
          <w:szCs w:val="18"/>
          <w:color w:val="auto"/>
        </w:rPr>
        <w:t>major equity method investments are as follows:</w:t>
      </w:r>
    </w:p>
    <w:p>
      <w:pPr>
        <w:spacing w:after="0" w:line="14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Technip Odebrecht PLSV CV (“Technip Odebrecht”) - </w:t>
      </w:r>
      <w:r>
        <w:rPr>
          <w:rFonts w:ascii="Arial" w:cs="Arial" w:eastAsia="Arial" w:hAnsi="Arial"/>
          <w:sz w:val="18"/>
          <w:szCs w:val="18"/>
          <w:color w:val="auto"/>
        </w:rPr>
        <w:t>is an affiliated company in the form of a joint venture between Technip SA and Ocyan SA.</w:t>
      </w:r>
      <w:r>
        <w:rPr>
          <w:rFonts w:ascii="Arial" w:cs="Arial" w:eastAsia="Arial" w:hAnsi="Arial"/>
          <w:sz w:val="18"/>
          <w:szCs w:val="18"/>
          <w:i w:val="1"/>
          <w:iCs w:val="1"/>
          <w:color w:val="auto"/>
        </w:rPr>
        <w:t xml:space="preserve"> </w:t>
      </w:r>
      <w:r>
        <w:rPr>
          <w:rFonts w:ascii="Arial" w:cs="Arial" w:eastAsia="Arial" w:hAnsi="Arial"/>
          <w:sz w:val="18"/>
          <w:szCs w:val="18"/>
          <w:color w:val="auto"/>
        </w:rPr>
        <w:t>Technip Odebrecht was formed in 2011 when awarded a contract to provide pipeline installation ships to state-controlled Petroleo Brasileiro SA (“Petrobras”) for their work in oil and gas fields offshore Brazil. We have accounted for our 50% investment using the equity method of accounting with results reported in our Subsea segment.</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Dofcon Brasil AS (“Dofcon”) - </w:t>
      </w:r>
      <w:r>
        <w:rPr>
          <w:rFonts w:ascii="Arial" w:cs="Arial" w:eastAsia="Arial" w:hAnsi="Arial"/>
          <w:sz w:val="18"/>
          <w:szCs w:val="18"/>
          <w:color w:val="auto"/>
        </w:rPr>
        <w:t>is an affiliated company in the form of a joint venture between Technip SA and DOF Subsea and was founded in</w:t>
      </w:r>
      <w:r>
        <w:rPr>
          <w:rFonts w:ascii="Arial" w:cs="Arial" w:eastAsia="Arial" w:hAnsi="Arial"/>
          <w:sz w:val="18"/>
          <w:szCs w:val="18"/>
          <w:i w:val="1"/>
          <w:iCs w:val="1"/>
          <w:color w:val="auto"/>
        </w:rPr>
        <w:t xml:space="preserve"> </w:t>
      </w:r>
      <w:r>
        <w:rPr>
          <w:rFonts w:ascii="Arial" w:cs="Arial" w:eastAsia="Arial" w:hAnsi="Arial"/>
          <w:sz w:val="18"/>
          <w:szCs w:val="18"/>
          <w:color w:val="auto"/>
        </w:rPr>
        <w:t>2006. Dofcon provides Pipe-Laying Support Vessels (PLSVs) for work in oil and gas fields offshore Brazil. Dofcon is considered a VIE because it does not have sufficient equity to finance its activities without additional subordinated financial support from other parties. We are not the primary beneficiary of the VIE. As such, we have accounted for our 50% investment using the equity method of accounting with results reported in our Subsea segment.</w:t>
      </w:r>
    </w:p>
    <w:p>
      <w:pPr>
        <w:spacing w:after="0" w:line="13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Serimax Holdings SAS (“Serimax”) - </w:t>
      </w:r>
      <w:r>
        <w:rPr>
          <w:rFonts w:ascii="Arial" w:cs="Arial" w:eastAsia="Arial" w:hAnsi="Arial"/>
          <w:sz w:val="18"/>
          <w:szCs w:val="18"/>
          <w:color w:val="auto"/>
        </w:rPr>
        <w:t>is an affiliated company in the form of a joint venture between Technip SA and Vallourec SA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founded in 2016. Serimax is headquartered in Paris, France and provides rigid pipes welding services for work in oil and gas fields around the world. We have accounted for our 20% investment using the equity method of accounting with results reported in our Subsea segment.</w:t>
      </w:r>
    </w:p>
    <w:p>
      <w:pPr>
        <w:spacing w:after="0" w:line="12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Magma Global Limited (“Magma Global”) - </w:t>
      </w:r>
      <w:r>
        <w:rPr>
          <w:rFonts w:ascii="Arial" w:cs="Arial" w:eastAsia="Arial" w:hAnsi="Arial"/>
          <w:sz w:val="18"/>
          <w:szCs w:val="18"/>
          <w:color w:val="auto"/>
        </w:rPr>
        <w:t>is an affiliated company in the form of a collaborative agreement signed in 2018 between Technip-Coflexip UK Holdings Limited and Magma Global to develop hybrid flexible pipe for use in offshore applications. As part of the collaboration, TechnipFMC holds a minority stake. We have accounted for our 25% investment using the equity method investment of accounting with results reported in our Subsea segment.</w:t>
      </w:r>
    </w:p>
    <w:p>
      <w:pPr>
        <w:spacing w:after="0" w:line="1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Yamgaz SNC (“Yamgaz”) - </w:t>
      </w:r>
      <w:r>
        <w:rPr>
          <w:rFonts w:ascii="Arial" w:cs="Arial" w:eastAsia="Arial" w:hAnsi="Arial"/>
          <w:sz w:val="18"/>
          <w:szCs w:val="18"/>
          <w:color w:val="auto"/>
        </w:rPr>
        <w:t>In 2015, Yamgaz was an affiliated company in the form of a joint venture between Technip, JGC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(“JGC”), and Chiyoda International Corporation (“Chiyoda”). Yamgaz was formed in 2013 when it was awarded a contract to carry out the engineering, procurement, supply, construction and commissioning of an integrated facility for natural gas liquefaction based on the resources of the South Tambey Gas Condensate field located on the Yamal Peninsula, Russia. In the fourth quarter of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our 50% investment using the equity method of accounting with results reported in our Onshore/Offshore segment. Subsequent to this transaction we recorded the results in our consolidated financial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0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table presents summarized financial information of the equity method investments: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7"/>
                <w:szCs w:val="17"/>
                <w:b w:val="1"/>
                <w:bCs w:val="1"/>
                <w:color w:val="auto"/>
                <w:vertAlign w:val="superscript"/>
              </w:rPr>
              <w:t>(a)</w:t>
            </w:r>
          </w:p>
        </w:tc>
      </w:tr>
      <w:tr>
        <w:trPr>
          <w:trHeight w:val="258"/>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6,782.9</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461.0</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w:t>
            </w:r>
          </w:p>
        </w:tc>
      </w:tr>
    </w:tbl>
    <w:p>
      <w:pPr>
        <w:spacing w:after="0" w:line="167" w:lineRule="exact"/>
        <w:rPr>
          <w:sz w:val="20"/>
          <w:szCs w:val="20"/>
          <w:color w:val="auto"/>
        </w:rPr>
      </w:pPr>
    </w:p>
    <w:p>
      <w:pPr>
        <w:ind w:left="340" w:right="40" w:hanging="332"/>
        <w:spacing w:after="0" w:line="25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discussed above, in the fourth quarter of 2016, we obtained the voting control interests of legal Onshore/Offshore entities that own and account for the design, engineering and construction of Yamal. As a result of the acquisition and consolidation, we recorded $3.5 billion in cash, $601.7 million in advances to suppliers, $71.1 million in intangibles, $3.8 billion in current liabilities, $191.2 million in noncurrent liabilities, and a $7.7 million gain.</w:t>
      </w:r>
    </w:p>
    <w:p>
      <w:pPr>
        <w:spacing w:after="0" w:line="145"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December 31, 2018 and 2017, our equity method investments were no longer significant individually or in the aggregate. As such, summarized financial information for 2018 and 2017 is not presented.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9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TP JGC Coral France SNC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Technip Odebrecht PLSV CV</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Anadarko Petroleum Company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trade receivables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TP JGC Coral France SNC and Technip Odebrecht PLSV CV are equity method affiliates. A member of our Board of Directors serves on the Board of Directors of Anadarko Petroleum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following related parties: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Dofcon Navegacao</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Chiyoda</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48.3</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JGC Corporation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69.5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IFP Energies nouvelles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Anadarko Petroleum Company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Magma Global Limited</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trade payables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121.8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Dofcon Navegacao and Magma Global Limited are equity affiliates. JGC Corporation and Chiyoda are joint venture partners on our Yamal project. A member of our Board of Directors is an executive officer of IFP Energies nouvelles.</w:t>
      </w:r>
    </w:p>
    <w:p>
      <w:pPr>
        <w:spacing w:after="0" w:line="14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Additionally, we have note receivable balance of $130.0 million and $140.9 million as of December 31, 2018 and 2017, respectively. The note receivables balance includes $119.9 million and $ 114.9 million with Dofcon Brasil AS at December 31, 2018 and 2017, respectively. Dofcon Brasil AS is a VIE and accounted for as an equity method affiliate. These are included in other noncurrent assets on our consolidated balance sheets.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98"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Revenue consisted of amount from following related parties: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Anadarko Petroleum Company</w:t>
            </w:r>
          </w:p>
        </w:tc>
        <w:tc>
          <w:tcPr>
            <w:tcW w:w="3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111.3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TP JGC Coral France SNC</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118.2</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Yamgaz</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196.7</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Expenses consisted of amount to following related parties: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Chiyoda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Heerema</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IFP Energy nouvelles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Creowave OY</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Arkema S.A.</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Magma Global Limited</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PROPERTY, PLANT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 and land improvements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Buildings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656.7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691.2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Vessels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1,893.3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2,246.0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Machinery and equipment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1,905.7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1,892.2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fixtures and furniture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Construction in process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179.0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136.7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397.7</w:t>
            </w:r>
          </w:p>
        </w:tc>
      </w:tr>
      <w:tr>
        <w:trPr>
          <w:trHeight w:val="250"/>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5,328.3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5,819.4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depreciation</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(2,068.5)</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(1,947.9)</w:t>
            </w:r>
          </w:p>
        </w:tc>
      </w:tr>
      <w:tr>
        <w:trPr>
          <w:trHeight w:val="237"/>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Property, plant and equipment, net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3,259.8</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3,871.5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Depreciation expense was $ 367.8 million, $370.2 million and $283.2 million in 2018, 2017 and 2016, respectively. The amount of interest cost capitalized was not material for the years presented.</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2018, we determined the carrying amount of certain of our vessels exceeded their fair value and recorded an impairment. Refer to Note 17 to these consolidated financial statements for additional information regarding this impairment.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98"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17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We record goodwill as the excess of the purchase price over the fair value of the net assets acquired in acquisitions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purchase method of accounting. We test goodwill for impairment annually, or more frequently if circumstances indicate possible impairment. We identify a potential impairment by comparing the fair value of the applicable reporting unit to its net book value, including goodwill. If the net book value exceeds the fair value of the reporting unit, we measure the impairment by comparing the carrying value of the reporting unit to its fair value.</w:t>
      </w:r>
    </w:p>
    <w:p>
      <w:pPr>
        <w:spacing w:after="0" w:line="148"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We test our goodwill for impairment by comparing the fair value of each of our reporting units to their net carrying value as of October 31 of each year. Our impairment analysis is quantitative; however, it includes subjective estimates based on assumptions regarding future growth rates, interest rates and operating expenses.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 based on internal forecasts of revenues and expenses over a specified period plus a terminal value (the income approach).</w:t>
      </w:r>
    </w:p>
    <w:p>
      <w:pPr>
        <w:spacing w:after="0" w:line="15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Under the market multiple approach, we determine the estimated fair value of each of our reporting units by applying transaction multiples to each reporting unit’s projected EBITDA and then averaging that estimate with similar historical calculations using either a one, two or three year average. Our reporting unit valuations were determined primarily by utilizing the income approach, with a lesser weighting attributed the market multiple approach.</w:t>
      </w:r>
    </w:p>
    <w:p>
      <w:pPr>
        <w:spacing w:after="0" w:line="1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excess of fair value over carrying amount for our Surface Technologies and Onshore/Offshore reporting units ranged from approximately 56% to in excess of 200% of the respective carrying amounts.</w:t>
      </w:r>
    </w:p>
    <w:p>
      <w:pPr>
        <w:spacing w:after="0" w:line="14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During the year ended December 31, 2018, we recorded $1,383.0 million of goodwill impairment charges in our Subsea reporting unit. Refer to Note 17 to these consolidated financial statements for additional disclosure related to impairment of goodwill during the year ended December 31, 2018.</w:t>
      </w:r>
    </w:p>
    <w:p>
      <w:pPr>
        <w:spacing w:after="0" w:line="14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presents the significant estimates used by management in determining the fair values of our reporting units at December 31,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216"/>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 of cash flows before terminal value</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Discount rates</w:t>
            </w:r>
          </w:p>
        </w:tc>
        <w:tc>
          <w:tcPr>
            <w:tcW w:w="1600" w:type="dxa"/>
            <w:vAlign w:val="bottom"/>
          </w:tcPr>
          <w:p>
            <w:pPr>
              <w:ind w:left="300"/>
              <w:spacing w:after="0"/>
              <w:rPr>
                <w:sz w:val="20"/>
                <w:szCs w:val="20"/>
                <w:color w:val="auto"/>
              </w:rPr>
            </w:pPr>
            <w:r>
              <w:rPr>
                <w:rFonts w:ascii="Arial" w:cs="Arial" w:eastAsia="Arial" w:hAnsi="Arial"/>
                <w:sz w:val="14"/>
                <w:szCs w:val="14"/>
                <w:color w:val="auto"/>
              </w:rPr>
              <w:t>12.0% to 13.0%</w:t>
            </w:r>
          </w:p>
        </w:tc>
      </w:tr>
      <w:tr>
        <w:trPr>
          <w:trHeight w:val="222"/>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EBITDA multiples</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7.0 - 8.5x</w:t>
            </w:r>
          </w:p>
        </w:tc>
      </w:tr>
    </w:tbl>
    <w:p>
      <w:pPr>
        <w:spacing w:after="0" w:line="16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recently acquired reporting units, a quantitative impairment test may indicate a fair value that is substantially similar to the reporting unit’s carrying amount. Such similarities in value are generally an indication that management’s estimates of future cash flows associated with the recently acquired reporting unit remain relatively consistent with the assumptions that were used to derive its initial fair value.</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discussed above, when evaluating the 2018 quantitative impairment test results, management considered many factors in determining whether an impairment of goodwill for any reporting unit was reasonably likely to occur in future periods, including future market conditions and the economic environment. Circumstances such as market declines, unfavorable economic conditions, loss of a major customer or other factors could increase the risk of impairment of goodwill for this reporting unit in future periods.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3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carrying amount of goodwill by reporting segment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Surface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Onshore/Offshore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Technologies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3,786.5</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Additions due to business combinations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Translation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3,718.3</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Additions due to business combinations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2,532.6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1,635.5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997.8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5,165.9</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Translation</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45.6</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5,470.4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997.8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8,929.8</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Additions due to business combinations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85.0</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(1,383.0)</w:t>
            </w: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Purchase accounting adjustments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19.7</w:t>
            </w: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Translation</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4,142.4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2,447.7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1,017.5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7,607.6</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The components of intangible assets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2017</w:t>
            </w:r>
          </w:p>
        </w:tc>
        <w:tc>
          <w:tcPr>
            <w:tcW w:w="1260" w:type="dxa"/>
            <w:vAlign w:val="bottom"/>
            <w:tcBorders>
              <w:bottom w:val="single" w:sz="8" w:color="auto"/>
            </w:tcBorders>
          </w:tcPr>
          <w:p>
            <w:pPr>
              <w:spacing w:after="0"/>
              <w:rPr>
                <w:sz w:val="22"/>
                <w:szCs w:val="22"/>
                <w:color w:val="auto"/>
              </w:rPr>
            </w:pPr>
          </w:p>
        </w:tc>
      </w:tr>
      <w:tr>
        <w:trPr>
          <w:trHeight w:val="175"/>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center"/>
              <w:ind w:right="228"/>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960" w:type="dxa"/>
            <w:vAlign w:val="bottom"/>
          </w:tcPr>
          <w:p>
            <w:pPr>
              <w:jc w:val="center"/>
              <w:ind w:right="248"/>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Amortization</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technology</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Backlog</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118.0</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Licenses, patents and trademarks</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194.8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157.7</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intangible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1,835.7</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Merger, we recorded identifiable intangible assets acquired. Refer to Note 2 to these consolidated financial statements for additional information regarding the Merger. All of our acquired identifiable intangible assets are subject to amortization and, where applicable, foreign currency translation adjustments.</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recorded $ 182.6 million, $244.5 million and $17.5 million in amortization expense related to intangible assets during the years ended December 31, 2018, 2017 and 2016, respectively. During the years 2019 through 2023, annual amortization expense is expected to be as follows: $126.4 million in 2019, $121.2 million in 2020, $116.5 million in 2021, $112.4 million in 2022, $107.5 million in 2023 and $592.7 million thereafter.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debt and current portion of long-term debt - </w:t>
      </w:r>
      <w:r>
        <w:rPr>
          <w:rFonts w:ascii="Arial" w:cs="Arial" w:eastAsia="Arial" w:hAnsi="Arial"/>
          <w:sz w:val="18"/>
          <w:szCs w:val="18"/>
          <w:color w:val="auto"/>
        </w:rPr>
        <w:t>Short-term debt and current portion of long-term debt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23.2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short-term debt and current portion of long-term debt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598"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 xml:space="preserve">Long-term debt - </w:t>
      </w:r>
      <w:r>
        <w:rPr>
          <w:rFonts w:ascii="Arial" w:cs="Arial" w:eastAsia="Arial" w:hAnsi="Arial"/>
          <w:sz w:val="18"/>
          <w:szCs w:val="18"/>
          <w:color w:val="auto"/>
        </w:rPr>
        <w:t>Long-term debt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Commercial paper </w:t>
            </w:r>
            <w:r>
              <w:rPr>
                <w:rFonts w:ascii="Arial" w:cs="Arial" w:eastAsia="Arial" w:hAnsi="Arial"/>
                <w:sz w:val="17"/>
                <w:szCs w:val="17"/>
                <w:color w:val="auto"/>
                <w:vertAlign w:val="superscript"/>
              </w:rPr>
              <w:t>(a)</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1,916.1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1,450.4</w:t>
            </w:r>
          </w:p>
        </w:tc>
      </w:tr>
      <w:tr>
        <w:trPr>
          <w:trHeight w:val="264"/>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502.4</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788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229.0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788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788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788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119.9</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7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28.2</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issuing fees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44"/>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debt</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4,191.7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3,855.0</w:t>
            </w:r>
          </w:p>
        </w:tc>
      </w:tr>
      <w:tr>
        <w:trPr>
          <w:trHeight w:val="27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4,124.3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3,777.9</w:t>
            </w: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hanging="332"/>
        <w:spacing w:after="0" w:line="25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At December 31, 2018 and 2017, committed credit available under our revolving credit facility provided the ability to refinance our commercial paper obligations on a long-term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debt as of December 31, 2018, are payable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4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248"/>
              <w:spacing w:after="0"/>
              <w:rPr>
                <w:sz w:val="20"/>
                <w:szCs w:val="20"/>
                <w:color w:val="auto"/>
              </w:rPr>
            </w:pPr>
            <w:r>
              <w:rPr>
                <w:rFonts w:ascii="Arial" w:cs="Arial" w:eastAsia="Arial" w:hAnsi="Arial"/>
                <w:sz w:val="14"/>
                <w:szCs w:val="14"/>
                <w:b w:val="1"/>
                <w:bCs w:val="1"/>
                <w:color w:val="auto"/>
              </w:rPr>
              <w:t>After 5</w:t>
            </w:r>
          </w:p>
        </w:tc>
      </w:tr>
      <w:tr>
        <w:trPr>
          <w:trHeight w:val="196"/>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307.2</w:t>
            </w:r>
          </w:p>
        </w:tc>
      </w:tr>
    </w:tbl>
    <w:p>
      <w:pPr>
        <w:spacing w:after="0" w:line="93" w:lineRule="exact"/>
        <w:rPr>
          <w:sz w:val="20"/>
          <w:szCs w:val="20"/>
          <w:color w:val="auto"/>
        </w:rPr>
      </w:pPr>
    </w:p>
    <w:p>
      <w:pPr>
        <w:ind w:right="120"/>
        <w:spacing w:after="0" w:line="305"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17, 2017, we acceded to a new $2.5 billion senior unsecured revolving credit facility agreement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between FMC Technologies, Inc., Technip Eurocash SNC (the “Borrowers”), and TechnipFMC plc (the “Additional Borrower”) with JPMorgan Chase Bank, National Association (“JPMorgan”), as agent and an arranger, SG Americas Securities LLC as an arranger, and the lenders party thereto.</w:t>
      </w:r>
    </w:p>
    <w:p>
      <w:pPr>
        <w:spacing w:after="0" w:line="2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On November 26, 2018, we entered into an extension which extends the expiration date to January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400" w:hanging="332"/>
        <w:spacing w:after="0" w:line="262"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ectPr>
          <w:pgSz w:w="11900" w:h="16838" w:orient="portrait"/>
          <w:cols w:equalWidth="0" w:num="1">
            <w:col w:w="11420"/>
          </w:cols>
          <w:pgMar w:left="240" w:top="688"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688" w:right="239" w:bottom="1440" w:gutter="0" w:footer="0" w:header="0"/>
          <w:type w:val="continuous"/>
        </w:sectPr>
      </w:pPr>
    </w:p>
    <w:bookmarkStart w:id="101" w:name="page102"/>
    <w:bookmarkEnd w:id="101"/>
    <w:p>
      <w:pPr>
        <w:ind w:right="20"/>
        <w:spacing w:after="0" w:line="254"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 requiring that our total capitalization ratio not exceed 60% at the end of any financial quarter. The facility agreement also contains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were in compliance with all restrictive covenants under our revolving credit facility.</w:t>
      </w:r>
    </w:p>
    <w:p>
      <w:pPr>
        <w:spacing w:after="0" w:line="157" w:lineRule="exact"/>
        <w:rPr>
          <w:sz w:val="20"/>
          <w:szCs w:val="20"/>
          <w:color w:val="auto"/>
        </w:rPr>
      </w:pPr>
    </w:p>
    <w:p>
      <w:pPr>
        <w:ind w:right="40"/>
        <w:spacing w:after="0" w:line="332" w:lineRule="auto"/>
        <w:rPr>
          <w:sz w:val="20"/>
          <w:szCs w:val="20"/>
          <w:color w:val="auto"/>
        </w:rPr>
      </w:pPr>
      <w:r>
        <w:rPr>
          <w:rFonts w:ascii="Arial" w:cs="Arial" w:eastAsia="Arial" w:hAnsi="Arial"/>
          <w:sz w:val="18"/>
          <w:szCs w:val="18"/>
          <w:i w:val="1"/>
          <w:iCs w:val="1"/>
          <w:color w:val="auto"/>
        </w:rPr>
        <w:t xml:space="preserve">Bilateral credit facilities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access to four bilateral credit facilities in the aggregate of €320.0 million. The bilateral credit facilities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8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credit facility of €60.0 million expiring in June 2019;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Each bilateral credit facility contains usual and customary covenants, representations and warranties and events of default for credit facilities of this type.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facility agreement. As we have both the ability and intent to refinance these obligations on a long-term basis, our commercial paper borrowings were classified as long-term in the consolidated balance sheets as of December 31, 2018 and December 31, 2017. Commercial paper borrowings are issued at market interest rates. As of December 31, 2018, our commercial paper borrowings had a weighted average interest rate of 3.07% on the U.S. dollar denominated borrowings and (0.24)% on the Euro denominated borrowings.</w:t>
      </w:r>
    </w:p>
    <w:p>
      <w:pPr>
        <w:spacing w:after="0" w:line="1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Synthetic bonds - </w:t>
      </w:r>
      <w:r>
        <w:rPr>
          <w:rFonts w:ascii="Arial" w:cs="Arial" w:eastAsia="Arial" w:hAnsi="Arial"/>
          <w:sz w:val="18"/>
          <w:szCs w:val="18"/>
          <w:color w:val="auto"/>
        </w:rPr>
        <w:t>On January 25, 2016, we issued €375.0 million principal amount of 0.875% convertible bonds with a maturity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25, 2021 and a redemption at par of the bonds which have not been converted. On March 3, 2016, we issued additional convertible bonds for a principal amount of €75.0 million issued on the same terms, fully fungible with and assimilated to the bonds issued on January 25, 2016. The issuance of these non-dilutive cash-settled convertible bonds (“Synthetic Bonds”), which are linked to our ordinary shares were backed simultaneously by the purchase of cash-settled equity call options in order to hedge our economic exposure to the potential exercise of the conversion rights embedded in the Synthetic Bonds. As the Synthetic Bonds will only be cash settled, they will not result in the issuance of new ordinary shares or the delivery of existing ordinary shares upon conversion. Interest on the Synthetic Bonds is payable semi-annually in arrears on January 25 and July 25 of each year, beginning July 26, 2016. Net proceeds from the Synthetic Bonds were used for general corporate purposes and to finance the purchase of the call options. The Synthetic Bonds are our unsecured obligations. The Synthetic Bonds will rank equally in right of payment with all of our existing and future unsubordinated debt.</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Synthetic Bonds issued on January 25, 2016 were issued at par. The Synthetic Bonds issued on March 3, 2016 were issued at a premium of 112.43802% resulting from an adjustment over the 3-day trading period following the issuance resulting in a share reference price of €48.8355.</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 40.0% conversion premium was applied to the share reference price of € 40.7940. The share reference price was computed using the average of the daily volume weighted average price of our ordinary shares on the Euronext Paris market over the 10 consecutive trading days from January 21 to February 3, 2016. The initial conversion price of the bonds was then fixed at €57.1116.</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Synthetic Bonds each have a nominal value of €100.0 thousand with a conversion ratio of 3,359.7183 and a conversion price of €29.7644. Any bondholder may, at its sole option, request the conversion in cash of all or part of the bonds it owns, beginning November 15, 2020 to the 38th business day before the maturity date.</w:t>
      </w:r>
    </w:p>
    <w:p>
      <w:pPr>
        <w:spacing w:after="0" w:line="134" w:lineRule="exact"/>
        <w:rPr>
          <w:sz w:val="20"/>
          <w:szCs w:val="20"/>
          <w:color w:val="auto"/>
        </w:rPr>
      </w:pPr>
    </w:p>
    <w:p>
      <w:pPr>
        <w:ind w:right="60"/>
        <w:spacing w:after="0" w:line="305"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28, 2017, we commenced offers to exchange any and all outstanding notes issued by FMC Technologies for up to</w:t>
      </w:r>
      <w:r>
        <w:rPr>
          <w:rFonts w:ascii="Arial" w:cs="Arial" w:eastAsia="Arial" w:hAnsi="Arial"/>
          <w:sz w:val="18"/>
          <w:szCs w:val="18"/>
          <w:i w:val="1"/>
          <w:iCs w:val="1"/>
          <w:color w:val="auto"/>
        </w:rPr>
        <w:t xml:space="preserve"> </w:t>
      </w:r>
      <w:r>
        <w:rPr>
          <w:rFonts w:ascii="Arial" w:cs="Arial" w:eastAsia="Arial" w:hAnsi="Arial"/>
          <w:sz w:val="18"/>
          <w:szCs w:val="18"/>
          <w:color w:val="auto"/>
        </w:rPr>
        <w:t>$800.0 million aggregate principal amount of new notes issued by TechnipFMC and cash. In conjunction with the offers to exchange, FMC Technologies solicited consents to adopt certain proposed amendments to each of the indentures governing the previously issued notes to eliminate certain covenants, restrictive provisions and events of defaults from such indentures.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598" w:right="259" w:bottom="1440" w:gutter="0" w:footer="0" w:header="0"/>
        </w:sectPr>
      </w:pPr>
    </w:p>
    <w:bookmarkStart w:id="102" w:name="page103"/>
    <w:bookmarkEnd w:id="102"/>
    <w:p>
      <w:pPr>
        <w:ind w:right="200"/>
        <w:spacing w:after="0" w:line="265" w:lineRule="auto"/>
        <w:rPr>
          <w:sz w:val="20"/>
          <w:szCs w:val="20"/>
          <w:color w:val="auto"/>
        </w:rPr>
      </w:pPr>
      <w:r>
        <w:rPr>
          <w:rFonts w:ascii="Arial" w:cs="Arial" w:eastAsia="Arial" w:hAnsi="Arial"/>
          <w:sz w:val="17"/>
          <w:szCs w:val="17"/>
          <w:color w:val="auto"/>
        </w:rPr>
        <w:t>On March 29, 2017, we settled the offers to exchange and consent solicitations (the “Exchange Offers”) for (i) any and all 2.00% senior notes due October 1, 2017 (the “2017 FMC Notes”) issued by FMC Technologies for up to an aggregate principal amount of $300.0 million of new</w:t>
      </w:r>
    </w:p>
    <w:p>
      <w:pPr>
        <w:ind w:right="280"/>
        <w:spacing w:after="0" w:line="265" w:lineRule="auto"/>
        <w:rPr>
          <w:sz w:val="20"/>
          <w:szCs w:val="20"/>
          <w:color w:val="auto"/>
        </w:rPr>
      </w:pPr>
      <w:r>
        <w:rPr>
          <w:rFonts w:ascii="Arial" w:cs="Arial" w:eastAsia="Arial" w:hAnsi="Arial"/>
          <w:sz w:val="17"/>
          <w:szCs w:val="17"/>
          <w:color w:val="auto"/>
        </w:rPr>
        <w:t>2.00% senior notes due October 1, 2017 (the “2017 Senior Notes’) issued by TechnipFMC and cash, and (ii) any and all 3.45% senior notes due October 1, 2022 (the “2022 FMC Notes”) issued by FMC Technologies for up to an aggregate principal amount of $500.0 million in new</w:t>
      </w:r>
    </w:p>
    <w:p>
      <w:pPr>
        <w:ind w:right="100"/>
        <w:spacing w:after="0" w:line="254" w:lineRule="auto"/>
        <w:rPr>
          <w:sz w:val="20"/>
          <w:szCs w:val="20"/>
          <w:color w:val="auto"/>
        </w:rPr>
      </w:pPr>
      <w:r>
        <w:rPr>
          <w:rFonts w:ascii="Arial" w:cs="Arial" w:eastAsia="Arial" w:hAnsi="Arial"/>
          <w:sz w:val="18"/>
          <w:szCs w:val="18"/>
          <w:color w:val="auto"/>
        </w:rPr>
        <w:t>3.45% senior notes due October 1, 2022 (the “2022 Senior Notes”) issued by TechnipFMC with registration rights and cash. Pursuant to the Exchange Offers, we issued approximately $215.4 million in aggregate principal amount of 2017 Senior Notes and $459.8 million in aggregate principal amount of 2022 Senior Notes (collectively the “Senior Notes”). Interest on the 2017 Senior Notes is payable on October 1, 2017. Interest on the 2022 Senior Notes is payable semi-annually in arrears on April 1 and October 1 of each year, beginning October 1, 2017.</w:t>
      </w: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April 3, 2018, we commenced offers to exchange up to $459.8 million in aggregate principal amount of new 3.45% Senior Notes due 2022, Series B, which have been registered under the U.S. Securities Act of 1933, as amended (the “Securities Act”), for any and all of our outstanding restricted 3.45% Senior Notes due 2022, Series A (the “Outstanding Notes”), which we previously issued in a private transaction that was not subject to the registration requirements of the Securities Act (the “Initial Offering”). We refer to the Exchange Notes and the Outstanding Notes collectively as the “Notes”.</w:t>
      </w:r>
    </w:p>
    <w:p>
      <w:pPr>
        <w:spacing w:after="0" w:line="152"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terms of the Senior 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maturity, all outstanding amounts under the 2017 Senior Notes were repaid.</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37"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i w:val="1"/>
          <w:iCs w:val="1"/>
          <w:color w:val="auto"/>
        </w:rPr>
        <w:t xml:space="preserve">Private Placement Notes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27, 2010, we completed the private placement of €200.0 million aggregate principal amount of 5.0% notes</w:t>
      </w:r>
      <w:r>
        <w:rPr>
          <w:rFonts w:ascii="Arial" w:cs="Arial" w:eastAsia="Arial" w:hAnsi="Arial"/>
          <w:sz w:val="18"/>
          <w:szCs w:val="18"/>
          <w:i w:val="1"/>
          <w:iCs w:val="1"/>
          <w:color w:val="auto"/>
        </w:rPr>
        <w:t xml:space="preserve"> </w:t>
      </w:r>
      <w:r>
        <w:rPr>
          <w:rFonts w:ascii="Arial" w:cs="Arial" w:eastAsia="Arial" w:hAnsi="Arial"/>
          <w:sz w:val="18"/>
          <w:szCs w:val="18"/>
          <w:color w:val="auto"/>
        </w:rPr>
        <w:t>due July 2020 (the “2020 Notes”). Interest on the 2020 Notes is payable annually in arrears on July 27 of each year, beginning July 27, 2011. Net proceeds of the 2020 Notes were used to partially finance the 2004-2011 bond issue, which was repaid at its maturity date on May 26, 2011. The 2020 Notes contain contains usual and customary covenants and events of default for notes of this type. In the event of a change of control resulting in a downgrade in the rating of the notes below BBB-, the 2020 Notes may be redeemed early by any bondholder, at its sole discretion. The 2020 Notes are our unsecured obligations. The 2020 Notes will rank equally in right of payment with all of our existing and future unsubordinated debt.</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June 2012, we completed the private placement of €325.0 million aggregate principal amount of notes. The notes were issued in three tranches with €150.0 million bearing interest at 3.40% and due June 2022 (the “Tranche A 2022 Notes”), €75.0 million bearing interest of 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 Net proceeds of the 2012 Private Placement Notes were used for general corporate purposes. The 2012 Private Placement Notes contain usual and customary covenants and events of default for notes of this type. In the event of a change of control resulting in a downgrade in the rating of the notes below BBB-, the 2012 Private Placement Notes may be redeemed early by any bondholder, at its sole discretion. The 2012 Private Placement Notes are our unsecured obligations. The 2012 Private Placement Notes will rank equally in right of payment with all of our existing and future unsubordinated debt.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598" w:right="259" w:bottom="1440" w:gutter="0" w:footer="0" w:header="0"/>
        </w:sectPr>
      </w:pPr>
    </w:p>
    <w:bookmarkStart w:id="103" w:name="page104"/>
    <w:bookmarkEnd w:id="103"/>
    <w:p>
      <w:pPr>
        <w:ind w:right="100"/>
        <w:spacing w:after="0" w:line="251" w:lineRule="auto"/>
        <w:rPr>
          <w:sz w:val="20"/>
          <w:szCs w:val="20"/>
          <w:color w:val="auto"/>
        </w:rPr>
      </w:pPr>
      <w:r>
        <w:rPr>
          <w:rFonts w:ascii="Arial" w:cs="Arial" w:eastAsia="Arial" w:hAnsi="Arial"/>
          <w:sz w:val="18"/>
          <w:szCs w:val="18"/>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 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 Net proceeds of the 2013 Private Placement Notes were used for general corporate purposes. The 2013 Private Placement Notes contain contains usual and customary covenants and events of default for notes of this type. In the event of a change of control resulting in a downgrade in the rating of the notes below BBB-, the 2013 Private Placement Notes may be redeemed early by any bondholder, at its sole discretion. The 2013 Private Placement Notes are our unsecured obligations. The 2013 Private Placement Notes will rank equally in right of payment with all of our existing and future unsubordinated debt.</w:t>
      </w:r>
    </w:p>
    <w:p>
      <w:pPr>
        <w:spacing w:after="0" w:line="139"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i w:val="1"/>
          <w:iCs w:val="1"/>
          <w:color w:val="auto"/>
        </w:rPr>
        <w:t xml:space="preserve">Term loan - </w:t>
      </w:r>
      <w:r>
        <w:rPr>
          <w:rFonts w:ascii="Arial" w:cs="Arial" w:eastAsia="Arial" w:hAnsi="Arial"/>
          <w:sz w:val="18"/>
          <w:szCs w:val="18"/>
          <w:color w:val="auto"/>
        </w:rPr>
        <w:t>In December 2016, we entered into a £ 160.0 million term loan agreement to finance the Deep Explorer, a diving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(“DSV”), maturing December 2028. Under the loan agreement, interest accrues at an annual rate of 2.813%. This loan agreement contains usual and customary covenants and events of default for loans of this type.</w:t>
      </w:r>
    </w:p>
    <w:p>
      <w:pPr>
        <w:spacing w:after="0" w:line="122"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i w:val="1"/>
          <w:iCs w:val="1"/>
          <w:color w:val="auto"/>
        </w:rPr>
        <w:t xml:space="preserve">Foreign committed credit - </w:t>
      </w:r>
      <w:r>
        <w:rPr>
          <w:rFonts w:ascii="Arial" w:cs="Arial" w:eastAsia="Arial" w:hAnsi="Arial"/>
          <w:sz w:val="18"/>
          <w:szCs w:val="18"/>
          <w:color w:val="auto"/>
        </w:rPr>
        <w:t>We have committed credit lines at many of our international subsidiaries for immaterial amounts. We utilize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asset financing and to provide a more efficient daily source of liquidity. The effective interest rates depend upon the local national market.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LIABILITIES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fourth quarter of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Since nearly all substantive processes to perform and execute the obligations of the underlying contract are conducted by TechnipFMC and the noncontrolling interest holders, we accounted for these entities as an acquisition upon our obtaining control and recognized a net gain of $7.7 million during 2016. As of December 31, 2016, total assets, liabilities and equity related to these entities were consolidated onto our balance sheet and our results of operations for the year ended December 31, 2018 and 2017 reflect the consolidated results of operations related to these entities. Refer to Note 9 for further information regarding the acquisition and consolidation of these entities.</w:t>
      </w:r>
    </w:p>
    <w:p>
      <w:pPr>
        <w:spacing w:after="0" w:line="13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 mandatorily redeemable financial liability of $312.0 million was recognized as of December 31, 2017 to account for the fair value of the non-controlling interests, for which $69.7 million was recorded as other current liabilities. During the year ended December 31, 2018 we revalued the liability to reflect current expectations about the obligation which resulted in the recognition of a loss of $322.3 million for the year ended December 31, 2018. Changes in the fair value of the financial liability are recorded as interest expense on the consolidated statements of income. Refer to Note 8 for further information regarding our other current liabilities. Refer to Note 22 for further information regarding the fair value measurement assumptions of the mandatorily redeemable financial liability and related changes in its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and paid during the year ended December 31, 2018 were $238.1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and paid during the year ended December 31, 2017 were $60.6 million.</w:t>
      </w:r>
    </w:p>
    <w:p>
      <w:pPr>
        <w:spacing w:after="0" w:line="17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Dividends declared and paid during the year ended December 31, 2016 based on the results of the year ended December 31, 2015 were €236.6 million. The dividends were paid in cash and shares in the amount of €100.8 million and €135.8 million, respectively.</w:t>
      </w:r>
    </w:p>
    <w:p>
      <w:pPr>
        <w:spacing w:after="0" w:line="142"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U.S. GAAP reported amount (e.g. retained earnings). The declaration and payment of dividends require the authorization of our Board of Directors, provided that such dividends on issued share capital</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598" w:right="259" w:bottom="1440" w:gutter="0" w:footer="0" w:header="0"/>
        </w:sectPr>
      </w:pPr>
    </w:p>
    <w:bookmarkStart w:id="104" w:name="page105"/>
    <w:bookmarkEnd w:id="104"/>
    <w:p>
      <w:pPr>
        <w:ind w:right="420"/>
        <w:spacing w:after="0" w:line="262" w:lineRule="auto"/>
        <w:rPr>
          <w:sz w:val="20"/>
          <w:szCs w:val="20"/>
          <w:color w:val="auto"/>
        </w:rPr>
      </w:pPr>
      <w:r>
        <w:rPr>
          <w:rFonts w:ascii="Arial" w:cs="Arial" w:eastAsia="Arial" w:hAnsi="Arial"/>
          <w:sz w:val="18"/>
          <w:szCs w:val="18"/>
          <w:color w:val="auto"/>
        </w:rPr>
        <w:t>may be paid only out of our “distributable reserves” on our statutory balance sheet. Therefore, we are not permitted to pay dividends out of share capital, which includes share premium.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years ended December 31, 2018, 2017 and 2016:</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Ordinary Shares</w:t>
            </w:r>
          </w:p>
        </w:tc>
        <w:tc>
          <w:tcPr>
            <w:tcW w:w="148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Held in</w:t>
            </w:r>
          </w:p>
        </w:tc>
        <w:tc>
          <w:tcPr>
            <w:tcW w:w="148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620" w:type="dxa"/>
            <w:vAlign w:val="bottom"/>
            <w:gridSpan w:val="2"/>
          </w:tcPr>
          <w:p>
            <w:pPr>
              <w:ind w:left="460"/>
              <w:spacing w:after="0"/>
              <w:rPr>
                <w:sz w:val="20"/>
                <w:szCs w:val="20"/>
                <w:color w:val="auto"/>
              </w:rPr>
            </w:pPr>
            <w:r>
              <w:rPr>
                <w:rFonts w:ascii="Arial" w:cs="Arial" w:eastAsia="Arial" w:hAnsi="Arial"/>
                <w:sz w:val="14"/>
                <w:szCs w:val="14"/>
                <w:b w:val="1"/>
                <w:bCs w:val="1"/>
                <w:color w:val="auto"/>
              </w:rPr>
              <w:t>Ordinary</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Employee</w:t>
            </w:r>
          </w:p>
        </w:tc>
        <w:tc>
          <w:tcPr>
            <w:tcW w:w="1480" w:type="dxa"/>
            <w:vAlign w:val="bottom"/>
          </w:tcPr>
          <w:p>
            <w:pPr>
              <w:spacing w:after="0"/>
              <w:rPr>
                <w:sz w:val="14"/>
                <w:szCs w:val="14"/>
                <w:color w:val="auto"/>
              </w:rPr>
            </w:pPr>
          </w:p>
        </w:tc>
      </w:tr>
      <w:tr>
        <w:trPr>
          <w:trHeight w:val="19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(Number of shares in millions)</w:t>
            </w: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 Issued</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Trust</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Treasury Stock</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Stock awards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purchases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Dividend payment in shares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acquired pursuant to liquidity contract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Shares sold pursuant to liquidity contract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Cancellation of treasury shares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4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December 31, 2016</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capital increases due to the merger of FMC Technologies and Technip</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347.4</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Stock awards</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cancellation due to the merger of FMC Technologies and Technip</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Treasury stock purchases</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cancellation</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stock purchased for employee benefit trust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465.1</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capital increase as per merger</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 awards</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Treasury stock purchases</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14.8</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cancellation</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stock purchased for employee benefit trust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5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plan administrator of the Non-Qualified Plan purchases shares of our ordinary shares on the open market. Such shares are placed in a trust owned by a subsidiary.</w:t>
      </w:r>
    </w:p>
    <w:p>
      <w:pPr>
        <w:spacing w:after="0" w:line="14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April 2017, the Board of Directors authorized the repurchase of $500.0 million in ordinary shares under our share repurchase program. We implemented our share repurchase plan in September 2017. The Board of Directors authorized an extension of this program, adding $300.0 million in December 2018 for a total of $800.0 million in ordinary shares. We repurchased 14.8 million of ordinary shares for a total consideration of $442.6 million during the year ended December 31, 2018, under our authorized share repurchase program. The $500.0 million part of the program was completed on December 20, 2018. We intend to cancel repurchased shares and not hold them in treasury. Canceled treasury shares are accounted for using the constructive retirement method.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598"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 xml:space="preserve">Accumulated other comprehensive income (loss) - </w:t>
      </w:r>
      <w:r>
        <w:rPr>
          <w:rFonts w:ascii="Arial" w:cs="Arial" w:eastAsia="Arial" w:hAnsi="Arial"/>
          <w:sz w:val="18"/>
          <w:szCs w:val="18"/>
          <w:color w:val="auto"/>
        </w:rPr>
        <w:t>Accumulated other comprehensive income (loss) consisted of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Defined Pension</w:t>
            </w:r>
          </w:p>
        </w:tc>
        <w:tc>
          <w:tcPr>
            <w:tcW w:w="18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1"/>
                <w:szCs w:val="11"/>
                <w:color w:val="auto"/>
              </w:rPr>
            </w:pPr>
          </w:p>
        </w:tc>
        <w:tc>
          <w:tcPr>
            <w:tcW w:w="14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and Other</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Loss attributable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Post-Retirement</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r>
      <w:tr>
        <w:trPr>
          <w:trHeight w:val="178"/>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(927.1)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(127.1)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(1,101.6)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156"/>
        </w:trPr>
        <w:tc>
          <w:tcPr>
            <w:tcW w:w="4000" w:type="dxa"/>
            <w:vAlign w:val="bottom"/>
          </w:tcPr>
          <w:p>
            <w:pPr>
              <w:ind w:left="180"/>
              <w:spacing w:after="0"/>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0"/>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(87.5)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53.7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0.4</w:t>
            </w:r>
          </w:p>
        </w:tc>
      </w:tr>
      <w:tr>
        <w:trPr>
          <w:trHeight w:val="164"/>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adjustment for net (gains) losses included in net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2"/>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net of tax</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(87.5)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154.9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30.5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97.9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0.4</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2017</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(1,014.6)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(1,003.7)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r>
      <w:tr>
        <w:trPr>
          <w:trHeight w:val="136"/>
        </w:trPr>
        <w:tc>
          <w:tcPr>
            <w:tcW w:w="4000" w:type="dxa"/>
            <w:vAlign w:val="bottom"/>
          </w:tcPr>
          <w:p>
            <w:pPr>
              <w:ind w:left="180"/>
              <w:spacing w:after="0" w:line="136" w:lineRule="exact"/>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60"/>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(178.7)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(58.7)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17"/>
              <w:spacing w:after="0"/>
              <w:rPr>
                <w:sz w:val="20"/>
                <w:szCs w:val="20"/>
                <w:color w:val="auto"/>
              </w:rPr>
            </w:pPr>
            <w:r>
              <w:rPr>
                <w:rFonts w:ascii="Arial" w:cs="Arial" w:eastAsia="Arial" w:hAnsi="Arial"/>
                <w:sz w:val="13"/>
                <w:szCs w:val="13"/>
                <w:color w:val="auto"/>
              </w:rPr>
              <w:t>(311.9)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64"/>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adjustment for net (gains) losses included in net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2"/>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net of tax</w:t>
            </w: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(75.5)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(356.0)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r>
      <w:tr>
        <w:trPr>
          <w:trHeight w:val="242"/>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Reclassifications out of accumulated other comprehensive income (loss) - </w:t>
      </w:r>
      <w:r>
        <w:rPr>
          <w:rFonts w:ascii="Arial" w:cs="Arial" w:eastAsia="Arial" w:hAnsi="Arial"/>
          <w:sz w:val="18"/>
          <w:szCs w:val="18"/>
          <w:color w:val="auto"/>
        </w:rPr>
        <w:t>Reclassifications out of accumulated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consisted of the following: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175"/>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96"/>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175"/>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Details about Accumulated Other Comprehensive</w:t>
            </w:r>
          </w:p>
        </w:tc>
        <w:tc>
          <w:tcPr>
            <w:tcW w:w="140" w:type="dxa"/>
            <w:vAlign w:val="bottom"/>
          </w:tcPr>
          <w:p>
            <w:pPr>
              <w:spacing w:after="0"/>
              <w:rPr>
                <w:sz w:val="15"/>
                <w:szCs w:val="15"/>
                <w:color w:val="auto"/>
              </w:rPr>
            </w:pPr>
          </w:p>
        </w:tc>
        <w:tc>
          <w:tcPr>
            <w:tcW w:w="3860" w:type="dxa"/>
            <w:vAlign w:val="bottom"/>
            <w:gridSpan w:val="7"/>
          </w:tcPr>
          <w:p>
            <w:pPr>
              <w:jc w:val="center"/>
              <w:ind w:right="28"/>
              <w:spacing w:after="0"/>
              <w:rPr>
                <w:sz w:val="20"/>
                <w:szCs w:val="20"/>
                <w:color w:val="auto"/>
              </w:rPr>
            </w:pPr>
            <w:r>
              <w:rPr>
                <w:rFonts w:ascii="Arial" w:cs="Arial" w:eastAsia="Arial" w:hAnsi="Arial"/>
                <w:sz w:val="14"/>
                <w:szCs w:val="14"/>
                <w:b w:val="1"/>
                <w:bCs w:val="1"/>
                <w:color w:val="auto"/>
              </w:rPr>
              <w:t>Amount Reclassified out of Accumulated Other</w:t>
            </w:r>
          </w:p>
        </w:tc>
        <w:tc>
          <w:tcPr>
            <w:tcW w:w="120" w:type="dxa"/>
            <w:vAlign w:val="bottom"/>
          </w:tcPr>
          <w:p>
            <w:pPr>
              <w:spacing w:after="0"/>
              <w:rPr>
                <w:sz w:val="15"/>
                <w:szCs w:val="15"/>
                <w:color w:val="auto"/>
              </w:rPr>
            </w:pPr>
          </w:p>
        </w:tc>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Affected Line Item in the Consolidated Statement of</w:t>
            </w:r>
          </w:p>
        </w:tc>
      </w:tr>
      <w:tr>
        <w:trPr>
          <w:trHeight w:val="19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Loss Components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w:t>
            </w: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Gains on foreign currency translation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r>
      <w:tr>
        <w:trPr>
          <w:trHeight w:val="284"/>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Gains (losses) on hedging instruments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40" w:type="dxa"/>
            <w:vAlign w:val="bottom"/>
            <w:shd w:val="clear" w:color="auto" w:fill="CCEEFF"/>
          </w:tcPr>
          <w:p>
            <w:pPr>
              <w:spacing w:after="0"/>
              <w:rPr>
                <w:sz w:val="23"/>
                <w:szCs w:val="23"/>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76"/>
        </w:trPr>
        <w:tc>
          <w:tcPr>
            <w:tcW w:w="3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sales</w:t>
            </w:r>
          </w:p>
        </w:tc>
      </w:tr>
      <w:tr>
        <w:trPr>
          <w:trHeight w:val="264"/>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r>
      <w:tr>
        <w:trPr>
          <w:trHeight w:val="270"/>
        </w:trPr>
        <w:tc>
          <w:tcPr>
            <w:tcW w:w="36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r>
      <w:tr>
        <w:trPr>
          <w:trHeight w:val="250"/>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(165.7)</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r>
      <w:tr>
        <w:trPr>
          <w:trHeight w:val="270"/>
        </w:trPr>
        <w:tc>
          <w:tcPr>
            <w:tcW w:w="36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taxes</w:t>
            </w:r>
          </w:p>
        </w:tc>
      </w:tr>
      <w:tr>
        <w:trPr>
          <w:trHeight w:val="283"/>
        </w:trPr>
        <w:tc>
          <w:tcPr>
            <w:tcW w:w="36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Net income</w:t>
            </w:r>
          </w:p>
        </w:tc>
      </w:tr>
      <w:tr>
        <w:trPr>
          <w:trHeight w:val="305"/>
        </w:trPr>
        <w:tc>
          <w:tcPr>
            <w:tcW w:w="36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40" w:type="dxa"/>
            <w:vAlign w:val="bottom"/>
            <w:tcBorders>
              <w:top w:val="single" w:sz="8" w:color="CCEEFF"/>
            </w:tcBorders>
            <w:shd w:val="clear" w:color="auto" w:fill="CCEEFF"/>
          </w:tcPr>
          <w:p>
            <w:pPr>
              <w:spacing w:after="0"/>
              <w:rPr>
                <w:sz w:val="24"/>
                <w:szCs w:val="24"/>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40" w:type="dxa"/>
            <w:vAlign w:val="bottom"/>
          </w:tcPr>
          <w:p>
            <w:pPr>
              <w:spacing w:after="0"/>
              <w:rPr>
                <w:sz w:val="22"/>
                <w:szCs w:val="22"/>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Settlements and curtailments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Amortization of actuarial gain (loss)</w:t>
            </w:r>
          </w:p>
        </w:tc>
        <w:tc>
          <w:tcPr>
            <w:tcW w:w="1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(a)</w:t>
            </w:r>
          </w:p>
        </w:tc>
      </w:tr>
      <w:tr>
        <w:trPr>
          <w:trHeight w:val="270"/>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prior service credit (cost)</w:t>
            </w: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r>
      <w:tr>
        <w:trPr>
          <w:trHeight w:val="250"/>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r>
      <w:tr>
        <w:trPr>
          <w:trHeight w:val="270"/>
        </w:trPr>
        <w:tc>
          <w:tcPr>
            <w:tcW w:w="36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taxes</w:t>
            </w:r>
          </w:p>
        </w:tc>
      </w:tr>
      <w:tr>
        <w:trPr>
          <w:trHeight w:val="243"/>
        </w:trPr>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Net income</w:t>
            </w:r>
          </w:p>
        </w:tc>
      </w:tr>
      <w:tr>
        <w:trPr>
          <w:trHeight w:val="20"/>
        </w:trPr>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 (see Note 20 for additional details).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Incentive compensation and award plan - </w:t>
      </w:r>
      <w:r>
        <w:rPr>
          <w:rFonts w:ascii="Arial" w:cs="Arial" w:eastAsia="Arial" w:hAnsi="Arial"/>
          <w:sz w:val="18"/>
          <w:szCs w:val="18"/>
          <w:color w:val="auto"/>
        </w:rPr>
        <w:t>On January 11, 2017, we adopted the TechnipFMC plc Incentive Award Plan (the “Plan”).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share options, share appreciation rights, performance share units, restricted share units, restricted shares or other awards authorized under the Plan. All awards are subject to the Plan’s provisions, including all share-based grants previously issued by FMC Technologies and Technip prior to consummation of the Merger. Under the Plan, 24.1 million ordinary shares were authorized for awards. At December 31, 2018, 18.2 million ordinary shares were available for future grant.</w:t>
      </w:r>
    </w:p>
    <w:p>
      <w:pPr>
        <w:spacing w:after="0" w:line="14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exercise price for options is determined by the Committee but cannot be less than the fair market value of our ordinary shares at the grant date. Restricted share and performance share unit grants generally vest after three years of service.</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Plan, our Board of Directors has the authority to grant non-employee directors share options, restricted shares, restricted share units and performance shares. Unless otherwise determined by our Board of Directors, awards to non-employee directors generally vest one year from the date of grant. Restricted share units are settled when a director ceases services to the Board of Directors. At December 31, 2018, outstanding awards to active and retired non-employee directors included 119.4 thousand share units.</w:t>
      </w:r>
    </w:p>
    <w:p>
      <w:pPr>
        <w:spacing w:after="0" w:line="15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measurement of share-based compensation expense on restricted share awards is based on the market price and fair value at the grant date and the number of shares awarded. The fair value of performance shares is estimated using a combination of the closing stock price on the grant date and the Monte Carlo simulation model. We used the Cox Ross Rubinstein binomial model to measure the fair value of stock options granted prior to December 31, 2016 and Black-Scholes options pricing model to measure the fair value of stock options granted on or after January 1, 2017.</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share-based compensation expense for each award is recognized ratably over the applicable service period or the period beginning at the start of the service period and ending when an employee becomes eligible for retirement (currently age 62 under the plan), after taking into account estimated forfeitures.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recognize compensation expense and the corresponding tax benefits for awards under the Plan. The compensation expense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is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Share-based compensation expense </w:t>
            </w:r>
            <w:r>
              <w:rPr>
                <w:rFonts w:ascii="Arial" w:cs="Arial" w:eastAsia="Arial" w:hAnsi="Arial"/>
                <w:sz w:val="17"/>
                <w:szCs w:val="17"/>
                <w:color w:val="auto"/>
                <w:vertAlign w:val="superscript"/>
              </w:rPr>
              <w:t>(1)</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Income tax benefits related to share-based compensation expense</w:t>
            </w:r>
          </w:p>
        </w:tc>
        <w:tc>
          <w:tcPr>
            <w:tcW w:w="102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13.2</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w:t>
            </w:r>
          </w:p>
        </w:tc>
      </w:tr>
    </w:tbl>
    <w:p>
      <w:pPr>
        <w:spacing w:after="0" w:line="137"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Expense recognized for the year ended 2016 relates to Technip’s historical incentive and compensation award plan.</w:t>
      </w:r>
    </w:p>
    <w:p>
      <w:pPr>
        <w:spacing w:after="0" w:line="17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December 31, 2018, the portion of share-based compensation expense related to outstanding awards to be recognized in future periods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2018</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not yet recognized (in millions)</w:t>
            </w: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r>
      <w:tr>
        <w:trPr>
          <w:trHeight w:val="204"/>
        </w:trPr>
        <w:tc>
          <w:tcPr>
            <w:tcW w:w="9940" w:type="dxa"/>
            <w:vAlign w:val="bottom"/>
          </w:tcPr>
          <w:p>
            <w:pPr>
              <w:ind w:left="40"/>
              <w:spacing w:after="0"/>
              <w:rPr>
                <w:sz w:val="20"/>
                <w:szCs w:val="20"/>
                <w:color w:val="auto"/>
              </w:rPr>
            </w:pPr>
            <w:r>
              <w:rPr>
                <w:rFonts w:ascii="Arial" w:cs="Arial" w:eastAsia="Arial" w:hAnsi="Arial"/>
                <w:sz w:val="14"/>
                <w:szCs w:val="14"/>
                <w:color w:val="auto"/>
              </w:rPr>
              <w:t>Weighted-average recognition period (in years)</w:t>
            </w:r>
          </w:p>
        </w:tc>
        <w:tc>
          <w:tcPr>
            <w:tcW w:w="6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76"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color w:val="auto"/>
        </w:rPr>
        <w:t>Restricted Share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began issuing restricted share units 2017. A summary of the nonvested restricted share units activity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88"/>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(Shares in thousands)</w:t>
            </w:r>
          </w:p>
        </w:tc>
        <w:tc>
          <w:tcPr>
            <w:tcW w:w="1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Nonvested at December 31, 2017</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1,722.3</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28.53</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1,516.0</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31.57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(165.4)</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28.94</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Cancelled/forfeited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(95.5)</w:t>
            </w:r>
          </w:p>
        </w:tc>
        <w:tc>
          <w:tcPr>
            <w:tcW w:w="34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27.85</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Nonvested at December 31, 2018</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2,977.4</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30.10</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total grant date fair value of restricted stock units vested during years ended December 31, 2018 and 2017 was $4.8 million and nil,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Board of Directors has granted certain employees, senior executives and Directors or Officers restricted share units that vest subject to achieving satisfactory performances. For performance shares issued prior to December 31, 2016, performance is based on results in terms of health/safety/environment, operating income from recurring activities, and treasury generated from operating activities and total shareholder return (“TSR”). For performance share units issued on or after January 1, 2017, performance is based on results of return on invested capital and TSR.</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performance share units which vest based on TSR, the fair value of performance shares is estimated using a combination of the closing stock price on the grant date and the Monte Carlo simulation model. The weighted-average fair value and the assumptions used to measure the fair value of performance share units subject to performance-adjusted vesting conditions in the Monte Carlo simulation model were as follows:</w:t>
      </w:r>
    </w:p>
    <w:p>
      <w:pPr>
        <w:spacing w:after="0" w:line="354"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26035</wp:posOffset>
            </wp:positionV>
            <wp:extent cx="30187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256"/>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Weighted-average fair value </w:t>
            </w:r>
            <w:r>
              <w:rPr>
                <w:rFonts w:ascii="Arial" w:cs="Arial" w:eastAsia="Arial" w:hAnsi="Arial"/>
                <w:sz w:val="17"/>
                <w:szCs w:val="17"/>
                <w:color w:val="auto"/>
                <w:vertAlign w:val="superscript"/>
              </w:rPr>
              <w:t>(a)</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w:t>
            </w:r>
          </w:p>
        </w:tc>
      </w:tr>
      <w:tr>
        <w:trPr>
          <w:trHeight w:val="270"/>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7"/>
                <w:szCs w:val="17"/>
                <w:color w:val="auto"/>
                <w:vertAlign w:val="superscript"/>
              </w:rPr>
              <w:t>(b)</w:t>
            </w:r>
          </w:p>
        </w:tc>
        <w:tc>
          <w:tcPr>
            <w:tcW w:w="560" w:type="dxa"/>
            <w:vAlign w:val="bottom"/>
          </w:tcPr>
          <w:p>
            <w:pPr>
              <w:jc w:val="right"/>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34.87%</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31.30%</w:t>
            </w:r>
          </w:p>
        </w:tc>
      </w:tr>
      <w:tr>
        <w:trPr>
          <w:trHeight w:val="270"/>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7"/>
                <w:szCs w:val="17"/>
                <w:color w:val="auto"/>
                <w:vertAlign w:val="superscript"/>
              </w:rPr>
              <w:t>(c)</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r>
      <w:tr>
        <w:trPr>
          <w:trHeight w:val="310"/>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 xml:space="preserve">Expected performance period in years </w:t>
            </w:r>
            <w:r>
              <w:rPr>
                <w:rFonts w:ascii="Arial" w:cs="Arial" w:eastAsia="Arial" w:hAnsi="Arial"/>
                <w:sz w:val="17"/>
                <w:szCs w:val="17"/>
                <w:color w:val="auto"/>
                <w:vertAlign w:val="superscript"/>
              </w:rPr>
              <w:t>(d)</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2.8</w:t>
            </w:r>
          </w:p>
        </w:tc>
      </w:tr>
    </w:tbl>
    <w:p>
      <w:pPr>
        <w:spacing w:after="0" w:line="127"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weighted-average fair value was based on performance share units granted during the period.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Expected volatility is based on normalized historical volatility of our shares over a preceding period commensurate with the expected term of the option.</w:t>
      </w:r>
    </w:p>
    <w:p>
      <w:pPr>
        <w:spacing w:after="0" w:line="163" w:lineRule="exact"/>
        <w:rPr>
          <w:rFonts w:ascii="Arial" w:cs="Arial" w:eastAsia="Arial" w:hAnsi="Arial"/>
          <w:sz w:val="14"/>
          <w:szCs w:val="14"/>
          <w:color w:val="auto"/>
        </w:rPr>
      </w:pPr>
    </w:p>
    <w:p>
      <w:pPr>
        <w:ind w:right="380" w:firstLine="8"/>
        <w:spacing w:after="0" w:line="258" w:lineRule="auto"/>
        <w:tabs>
          <w:tab w:leader="none" w:pos="208" w:val="left"/>
        </w:tabs>
        <w:numPr>
          <w:ilvl w:val="0"/>
          <w:numId w:val="44"/>
        </w:numPr>
        <w:rPr>
          <w:rFonts w:ascii="Arial" w:cs="Arial" w:eastAsia="Arial" w:hAnsi="Arial"/>
          <w:sz w:val="14"/>
          <w:szCs w:val="14"/>
          <w:color w:val="auto"/>
        </w:rPr>
      </w:pPr>
      <w:r>
        <w:rPr>
          <w:rFonts w:ascii="Arial" w:cs="Arial" w:eastAsia="Arial" w:hAnsi="Arial"/>
          <w:sz w:val="14"/>
          <w:szCs w:val="14"/>
          <w:color w:val="auto"/>
        </w:rPr>
        <w:t>From 2017, the risk-free rate for the expected term of the option is based on the U.S. Treasury yield curve in effect at the time of grant. Prior to 2017, the risk free rate was based on the bond yields from the European Central Bank.</w:t>
      </w:r>
    </w:p>
    <w:p>
      <w:pPr>
        <w:spacing w:after="0" w:line="140" w:lineRule="exact"/>
        <w:rPr>
          <w:rFonts w:ascii="Arial" w:cs="Arial" w:eastAsia="Arial" w:hAnsi="Arial"/>
          <w:sz w:val="14"/>
          <w:szCs w:val="14"/>
          <w:color w:val="auto"/>
        </w:rPr>
      </w:pPr>
    </w:p>
    <w:p>
      <w:pPr>
        <w:ind w:right="160" w:firstLine="8"/>
        <w:spacing w:after="0" w:line="250" w:lineRule="auto"/>
        <w:tabs>
          <w:tab w:leader="none" w:pos="2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awards subject to service-based vesting, due to the lack of historical exercise and post-vesting termination patterns of the post-Merger employee base, the expected term was estimated using a simplified method for all awards granted in 2018 and 2017 and the expected term was estimated using historical exercise and post-vesting termination patterns for all awards granted in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performance share unit activity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208"/>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Nonvested at December 31, 2017</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2,748.8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623.0</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36.06</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(203.6)</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Cancelled/forfeited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(124.4)</w:t>
            </w:r>
          </w:p>
        </w:tc>
        <w:tc>
          <w:tcPr>
            <w:tcW w:w="34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28.45</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Nonvested at December 31, 2018</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3,043.8</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27.02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80" w:right="239" w:bottom="1440" w:gutter="0" w:footer="0" w:header="0"/>
        </w:sectPr>
      </w:pPr>
    </w:p>
    <w:bookmarkStart w:id="108" w:name="page109"/>
    <w:bookmarkEnd w:id="108"/>
    <w:p>
      <w:pPr>
        <w:ind w:right="980"/>
        <w:spacing w:after="0" w:line="262" w:lineRule="auto"/>
        <w:rPr>
          <w:sz w:val="20"/>
          <w:szCs w:val="20"/>
          <w:color w:val="auto"/>
        </w:rPr>
      </w:pPr>
      <w:r>
        <w:rPr>
          <w:rFonts w:ascii="Arial" w:cs="Arial" w:eastAsia="Arial" w:hAnsi="Arial"/>
          <w:sz w:val="18"/>
          <w:szCs w:val="18"/>
          <w:color w:val="auto"/>
        </w:rPr>
        <w:t>The total grant date fair value of performance share units vested during years ended December 31, 2018, 2017 and 2016 was $7.0 million, $33.3 million and $7.5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 Awards</w:t>
      </w:r>
    </w:p>
    <w:p>
      <w:pPr>
        <w:spacing w:after="0" w:line="189"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The fair value of each option award is estimated as of the date of grant using the Black-Scholes options pricing model or the Cox Ross Rubinstein binomial model.</w:t>
      </w:r>
    </w:p>
    <w:p>
      <w:pPr>
        <w:spacing w:after="0" w:line="14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Share options awarded prior to 2017 were granted subject to performance criteria based upon certain targets, such as TSR, return on capital employed, and operating income from recurring activities. Subsequent share options granted are time based awards vesting over a three 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and the assumptions used to measure fair value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56"/>
        </w:trPr>
        <w:tc>
          <w:tcPr>
            <w:tcW w:w="6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Weighted-average fair value </w:t>
            </w:r>
            <w:r>
              <w:rPr>
                <w:rFonts w:ascii="Arial" w:cs="Arial" w:eastAsia="Arial" w:hAnsi="Arial"/>
                <w:sz w:val="17"/>
                <w:szCs w:val="17"/>
                <w:color w:val="auto"/>
                <w:vertAlign w:val="superscript"/>
              </w:rPr>
              <w:t>(a)</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9.07</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w:t>
            </w:r>
          </w:p>
        </w:tc>
      </w:tr>
      <w:tr>
        <w:trPr>
          <w:trHeight w:val="270"/>
        </w:trPr>
        <w:tc>
          <w:tcPr>
            <w:tcW w:w="6660" w:type="dxa"/>
            <w:vAlign w:val="bottom"/>
          </w:tcPr>
          <w:p>
            <w:pPr>
              <w:ind w:left="40"/>
              <w:spacing w:after="0"/>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7"/>
                <w:szCs w:val="17"/>
                <w:color w:val="auto"/>
                <w:vertAlign w:val="superscript"/>
              </w:rPr>
              <w:t>(b)</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70"/>
        </w:trPr>
        <w:tc>
          <w:tcPr>
            <w:tcW w:w="6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7"/>
                <w:szCs w:val="17"/>
                <w:color w:val="auto"/>
                <w:vertAlign w:val="superscript"/>
              </w:rPr>
              <w:t>(c)</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6660" w:type="dxa"/>
            <w:vAlign w:val="bottom"/>
          </w:tcPr>
          <w:p>
            <w:pPr>
              <w:ind w:left="40"/>
              <w:spacing w:after="0"/>
              <w:rPr>
                <w:sz w:val="20"/>
                <w:szCs w:val="20"/>
                <w:color w:val="auto"/>
              </w:rPr>
            </w:pPr>
            <w:r>
              <w:rPr>
                <w:rFonts w:ascii="Arial" w:cs="Arial" w:eastAsia="Arial" w:hAnsi="Arial"/>
                <w:sz w:val="14"/>
                <w:szCs w:val="14"/>
                <w:color w:val="auto"/>
              </w:rPr>
              <w:t xml:space="preserve">Expected dividend yield </w:t>
            </w:r>
            <w:r>
              <w:rPr>
                <w:rFonts w:ascii="Arial" w:cs="Arial" w:eastAsia="Arial" w:hAnsi="Arial"/>
                <w:sz w:val="17"/>
                <w:szCs w:val="17"/>
                <w:color w:val="auto"/>
                <w:vertAlign w:val="superscript"/>
              </w:rPr>
              <w:t>(d)</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2.0%-4.5%</w:t>
            </w:r>
          </w:p>
        </w:tc>
      </w:tr>
      <w:tr>
        <w:trPr>
          <w:trHeight w:val="270"/>
        </w:trPr>
        <w:tc>
          <w:tcPr>
            <w:tcW w:w="6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Expected term in years </w:t>
            </w:r>
            <w:r>
              <w:rPr>
                <w:rFonts w:ascii="Arial" w:cs="Arial" w:eastAsia="Arial" w:hAnsi="Arial"/>
                <w:sz w:val="17"/>
                <w:szCs w:val="17"/>
                <w:color w:val="auto"/>
                <w:vertAlign w:val="superscript"/>
              </w:rPr>
              <w:t>(e)</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w:t>
            </w:r>
          </w:p>
        </w:tc>
      </w:tr>
    </w:tbl>
    <w:p>
      <w:pPr>
        <w:spacing w:after="0" w:line="16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weighted-average fair value was based on stock options granted during the period.</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Expected volatility is based on normalized historical volatility of our shares over a preceding period commensurate with the expected term of the option.</w:t>
      </w:r>
    </w:p>
    <w:p>
      <w:pPr>
        <w:spacing w:after="0" w:line="163" w:lineRule="exact"/>
        <w:rPr>
          <w:rFonts w:ascii="Arial" w:cs="Arial" w:eastAsia="Arial" w:hAnsi="Arial"/>
          <w:sz w:val="14"/>
          <w:szCs w:val="14"/>
          <w:color w:val="auto"/>
        </w:rPr>
      </w:pPr>
    </w:p>
    <w:p>
      <w:pPr>
        <w:ind w:left="660" w:right="240" w:hanging="652"/>
        <w:spacing w:after="0" w:line="258" w:lineRule="auto"/>
        <w:tabs>
          <w:tab w:leader="none" w:pos="336" w:val="left"/>
        </w:tabs>
        <w:numPr>
          <w:ilvl w:val="0"/>
          <w:numId w:val="45"/>
        </w:numPr>
        <w:rPr>
          <w:rFonts w:ascii="Arial" w:cs="Arial" w:eastAsia="Arial" w:hAnsi="Arial"/>
          <w:sz w:val="14"/>
          <w:szCs w:val="14"/>
          <w:color w:val="auto"/>
        </w:rPr>
      </w:pPr>
      <w:r>
        <w:rPr>
          <w:rFonts w:ascii="Arial" w:cs="Arial" w:eastAsia="Arial" w:hAnsi="Arial"/>
          <w:sz w:val="14"/>
          <w:szCs w:val="14"/>
          <w:color w:val="auto"/>
        </w:rPr>
        <w:t>From 2017, the risk-free rate for the expected term of the option is based on the U.S. Treasury yield curve in effect at the time of grant. Prior to 2017, the risk free rate was based on the bond yields from the European Central Bank.</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Share options awarded prior to 2017 were valued using an expected dividend yield of between 2.0% and 4.5% while those awarded in 2017 and 2018 used 2.0%.</w:t>
      </w:r>
    </w:p>
    <w:p>
      <w:pPr>
        <w:spacing w:after="0" w:line="163" w:lineRule="exact"/>
        <w:rPr>
          <w:rFonts w:ascii="Arial" w:cs="Arial" w:eastAsia="Arial" w:hAnsi="Arial"/>
          <w:sz w:val="14"/>
          <w:szCs w:val="14"/>
          <w:color w:val="auto"/>
        </w:rPr>
      </w:pPr>
    </w:p>
    <w:p>
      <w:pPr>
        <w:ind w:left="660" w:right="20" w:hanging="652"/>
        <w:spacing w:after="0" w:line="250" w:lineRule="auto"/>
        <w:tabs>
          <w:tab w:leader="none" w:pos="336"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awards subject to service-based vesting, due to the lack of historical exercise and post-vesting termination patterns of the post-Merger employee base, the expected term was estimated using a simplified method for all awards granted in 2018 and 2017 and the expected term was estimated using historical exercise and post-vesting termination patterns for all awards granted in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option transactions during years ended December 31, 2018, 2017 and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remaining life</w:t>
            </w:r>
          </w:p>
        </w:tc>
      </w:tr>
      <w:tr>
        <w:trPr>
          <w:trHeight w:val="196"/>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6"/>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2015</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61.88</w:t>
            </w:r>
          </w:p>
        </w:tc>
        <w:tc>
          <w:tcPr>
            <w:tcW w:w="158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3.5</w:t>
            </w:r>
          </w:p>
        </w:tc>
      </w:tr>
      <w:tr>
        <w:trPr>
          <w:trHeight w:val="264"/>
        </w:trPr>
        <w:tc>
          <w:tcPr>
            <w:tcW w:w="40" w:type="dxa"/>
            <w:vAlign w:val="bottom"/>
          </w:tcPr>
          <w:p>
            <w:pPr>
              <w:spacing w:after="0"/>
              <w:rPr>
                <w:sz w:val="22"/>
                <w:szCs w:val="22"/>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595.1</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48.33</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Exercised</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57.22</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Cancelled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52.43</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56"/>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61.72</w:t>
            </w:r>
          </w:p>
        </w:tc>
        <w:tc>
          <w:tcPr>
            <w:tcW w:w="158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5.0</w:t>
            </w:r>
          </w:p>
        </w:tc>
      </w:tr>
      <w:tr>
        <w:trPr>
          <w:trHeight w:val="270"/>
        </w:trPr>
        <w:tc>
          <w:tcPr>
            <w:tcW w:w="40" w:type="dxa"/>
            <w:vAlign w:val="bottom"/>
          </w:tcPr>
          <w:p>
            <w:pPr>
              <w:spacing w:after="0"/>
              <w:rPr>
                <w:sz w:val="23"/>
                <w:szCs w:val="23"/>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 xml:space="preserve">Adjustment due to FMC Technologies transaction </w:t>
            </w:r>
            <w:r>
              <w:rPr>
                <w:rFonts w:ascii="Arial" w:cs="Arial" w:eastAsia="Arial" w:hAnsi="Arial"/>
                <w:sz w:val="17"/>
                <w:szCs w:val="17"/>
                <w:color w:val="auto"/>
                <w:vertAlign w:val="superscript"/>
              </w:rPr>
              <w:t>(a)</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2,188.8</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Cancelled</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(292.2)</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4"/>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4,883.8</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36.35</w:t>
            </w:r>
          </w:p>
        </w:tc>
        <w:tc>
          <w:tcPr>
            <w:tcW w:w="1580" w:type="dxa"/>
            <w:vAlign w:val="bottom"/>
            <w:gridSpan w:val="2"/>
          </w:tcPr>
          <w:p>
            <w:pPr>
              <w:jc w:val="center"/>
              <w:ind w:left="68"/>
              <w:spacing w:after="0"/>
              <w:rPr>
                <w:sz w:val="20"/>
                <w:szCs w:val="20"/>
                <w:color w:val="auto"/>
              </w:rPr>
            </w:pPr>
            <w:r>
              <w:rPr>
                <w:rFonts w:ascii="Arial" w:cs="Arial" w:eastAsia="Arial" w:hAnsi="Arial"/>
                <w:sz w:val="14"/>
                <w:szCs w:val="14"/>
                <w:color w:val="auto"/>
              </w:rPr>
              <w:t>4.6</w:t>
            </w: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6700" w:type="dxa"/>
            <w:vAlign w:val="bottom"/>
            <w:gridSpan w:val="2"/>
          </w:tcPr>
          <w:p>
            <w:pPr>
              <w:ind w:left="240"/>
              <w:spacing w:after="0"/>
              <w:rPr>
                <w:sz w:val="20"/>
                <w:szCs w:val="20"/>
                <w:color w:val="auto"/>
              </w:rPr>
            </w:pPr>
            <w:r>
              <w:rPr>
                <w:rFonts w:ascii="Arial" w:cs="Arial" w:eastAsia="Arial" w:hAnsi="Arial"/>
                <w:sz w:val="14"/>
                <w:szCs w:val="14"/>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Cancelled</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(827.6)</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77"/>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4,658.4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33.68</w:t>
            </w:r>
          </w:p>
        </w:tc>
        <w:tc>
          <w:tcPr>
            <w:tcW w:w="1580" w:type="dxa"/>
            <w:vAlign w:val="bottom"/>
            <w:tcBorders>
              <w:bottom w:val="single" w:sz="8" w:color="CCEEFF"/>
            </w:tcBorders>
            <w:gridSpan w:val="2"/>
          </w:tcPr>
          <w:p>
            <w:pPr>
              <w:jc w:val="center"/>
              <w:ind w:left="68"/>
              <w:spacing w:after="0"/>
              <w:rPr>
                <w:sz w:val="20"/>
                <w:szCs w:val="20"/>
                <w:color w:val="auto"/>
              </w:rPr>
            </w:pPr>
            <w:r>
              <w:rPr>
                <w:rFonts w:ascii="Arial" w:cs="Arial" w:eastAsia="Arial" w:hAnsi="Arial"/>
                <w:sz w:val="14"/>
                <w:szCs w:val="14"/>
                <w:color w:val="auto"/>
              </w:rPr>
              <w:t>4.8</w:t>
            </w: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Exercisable at December 31, 2018</w:t>
            </w:r>
          </w:p>
        </w:tc>
        <w:tc>
          <w:tcPr>
            <w:tcW w:w="4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1,114.9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52.37</w:t>
            </w:r>
          </w:p>
        </w:tc>
        <w:tc>
          <w:tcPr>
            <w:tcW w:w="1580" w:type="dxa"/>
            <w:vAlign w:val="bottom"/>
            <w:tcBorders>
              <w:bottom w:val="single" w:sz="8" w:color="CCEEFF"/>
            </w:tcBorders>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1.3</w:t>
            </w: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620" w:hanging="332"/>
        <w:spacing w:after="0" w:line="258"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Weighted-Average Grant Date Fair Value for the increase in shares due to the merger remains at $0.00 in order to recalculate the new weighted average for the December 31, 2016 nonvested shares (see Note 2).</w:t>
      </w:r>
    </w:p>
    <w:p>
      <w:pPr>
        <w:sectPr>
          <w:pgSz w:w="11900" w:h="16838" w:orient="portrait"/>
          <w:cols w:equalWidth="0" w:num="1">
            <w:col w:w="11400"/>
          </w:cols>
          <w:pgMar w:left="240" w:top="598" w:right="25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598" w:right="25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t>The aggregate intrinsic value of stock options outstanding and stock options exercisable as of December 31, 2018 was nil and nil, respectively.</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received from the option exercises was nil, nil and €1.5 million during years ended December 31, 2018, 2017 and 2016, respectively. The total intrinsic value of options exercised during the years ended December 31, 2018, 2017 and 2016 was nil, nil and nil, respectively. To exercise stock options, an employee may choose (1) to pay, either directly or by way of the group savings plan, the stock option strike price to obtain shares, or (2) to sell the shares immediately after having exercised the stock option (in this case, the employee does not pay the strike price but instead receives the intrinsic value of the stock options in cash).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ranges of outstanding and exercisable options at December 31,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Options Exercisable</w:t>
            </w:r>
          </w:p>
        </w:tc>
      </w:tr>
      <w:tr>
        <w:trPr>
          <w:trHeight w:val="175"/>
        </w:trPr>
        <w:tc>
          <w:tcPr>
            <w:tcW w:w="1960" w:type="dxa"/>
            <w:vAlign w:val="bottom"/>
          </w:tcPr>
          <w:p>
            <w:pPr>
              <w:spacing w:after="0"/>
              <w:rPr>
                <w:sz w:val="15"/>
                <w:szCs w:val="15"/>
                <w:color w:val="auto"/>
              </w:rPr>
            </w:pPr>
          </w:p>
        </w:tc>
        <w:tc>
          <w:tcPr>
            <w:tcW w:w="1720" w:type="dxa"/>
            <w:vAlign w:val="bottom"/>
          </w:tcPr>
          <w:p>
            <w:pPr>
              <w:jc w:val="right"/>
              <w:ind w:right="148"/>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5"/>
                <w:szCs w:val="15"/>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 remaining</w:t>
            </w:r>
          </w:p>
        </w:tc>
        <w:tc>
          <w:tcPr>
            <w:tcW w:w="180" w:type="dxa"/>
            <w:vAlign w:val="bottom"/>
          </w:tcPr>
          <w:p>
            <w:pPr>
              <w:spacing w:after="0"/>
              <w:rPr>
                <w:sz w:val="15"/>
                <w:szCs w:val="15"/>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tcPr>
          <w:p>
            <w:pPr>
              <w:jc w:val="right"/>
              <w:ind w:right="148"/>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 Range</w:t>
            </w:r>
          </w:p>
        </w:tc>
        <w:tc>
          <w:tcPr>
            <w:tcW w:w="1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exercise price</w:t>
            </w:r>
          </w:p>
        </w:tc>
      </w:tr>
      <w:tr>
        <w:trPr>
          <w:trHeight w:val="256"/>
        </w:trPr>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$24.00-$33.00</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3,543.5</w:t>
            </w:r>
          </w:p>
        </w:tc>
        <w:tc>
          <w:tcPr>
            <w:tcW w:w="230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960" w:type="dxa"/>
            <w:vAlign w:val="bottom"/>
          </w:tcPr>
          <w:p>
            <w:pPr>
              <w:jc w:val="center"/>
              <w:spacing w:after="0"/>
              <w:rPr>
                <w:sz w:val="20"/>
                <w:szCs w:val="20"/>
                <w:color w:val="auto"/>
              </w:rPr>
            </w:pPr>
            <w:r>
              <w:rPr>
                <w:rFonts w:ascii="Arial" w:cs="Arial" w:eastAsia="Arial" w:hAnsi="Arial"/>
                <w:sz w:val="14"/>
                <w:szCs w:val="14"/>
                <w:color w:val="auto"/>
              </w:rPr>
              <w:t>$45.00-$51.00</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570.0</w:t>
            </w:r>
          </w:p>
        </w:tc>
        <w:tc>
          <w:tcPr>
            <w:tcW w:w="2300" w:type="dxa"/>
            <w:vAlign w:val="bottom"/>
            <w:gridSpan w:val="2"/>
          </w:tcPr>
          <w:p>
            <w:pPr>
              <w:jc w:val="center"/>
              <w:ind w:lef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48.12</w:t>
            </w:r>
          </w:p>
        </w:tc>
        <w:tc>
          <w:tcPr>
            <w:tcW w:w="10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570.0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48.12</w:t>
            </w:r>
          </w:p>
        </w:tc>
      </w:tr>
      <w:tr>
        <w:trPr>
          <w:trHeight w:val="276"/>
        </w:trPr>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$55.00-$57.00</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544.9</w:t>
            </w:r>
          </w:p>
        </w:tc>
        <w:tc>
          <w:tcPr>
            <w:tcW w:w="230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56.82</w:t>
            </w:r>
          </w:p>
        </w:tc>
        <w:tc>
          <w:tcPr>
            <w:tcW w:w="100" w:type="dxa"/>
            <w:vAlign w:val="bottom"/>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56.82</w:t>
            </w:r>
          </w:p>
        </w:tc>
      </w:tr>
      <w:tr>
        <w:trPr>
          <w:trHeight w:val="237"/>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4,658.4</w:t>
            </w:r>
          </w:p>
        </w:tc>
        <w:tc>
          <w:tcPr>
            <w:tcW w:w="2300" w:type="dxa"/>
            <w:vAlign w:val="bottom"/>
            <w:gridSpan w:val="2"/>
          </w:tcPr>
          <w:p>
            <w:pPr>
              <w:jc w:val="center"/>
              <w:ind w:left="6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33.67</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1,114.9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52.37</w:t>
            </w:r>
          </w:p>
        </w:tc>
      </w:tr>
      <w:tr>
        <w:trPr>
          <w:trHeight w:val="20"/>
        </w:trPr>
        <w:tc>
          <w:tcPr>
            <w:tcW w:w="19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IMPAIRMENT, RESTRUCTURING AND OTHER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expense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Impairment expense</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Subsea</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1,784.2</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23.0</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Onshore/Offshore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Surface Technologies</w:t>
            </w:r>
          </w:p>
        </w:tc>
        <w:tc>
          <w:tcPr>
            <w:tcW w:w="3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and other</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4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impairment expense</w:t>
            </w:r>
          </w:p>
        </w:tc>
        <w:tc>
          <w:tcPr>
            <w:tcW w:w="36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1,792.6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38.2</w:t>
            </w:r>
          </w:p>
        </w:tc>
      </w:tr>
      <w:tr>
        <w:trPr>
          <w:trHeight w:val="290"/>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Restructuring and other expense</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Subsea</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Onshore/Offshore</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214.4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Surface Technologies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Corporate and other</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restructuring and other expense</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38.6</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157.2</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304.8</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 impairment, restructuring and other expense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1,831.2</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343.0</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Asset impairments - </w:t>
      </w:r>
      <w:r>
        <w:rPr>
          <w:rFonts w:ascii="Arial" w:cs="Arial" w:eastAsia="Arial" w:hAnsi="Arial"/>
          <w:sz w:val="18"/>
          <w:szCs w:val="18"/>
          <w:color w:val="auto"/>
        </w:rPr>
        <w:t>We conduct impairment tests on long-lived assets whenever events or changes in circumstances indicate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may not be 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 Refer to Note 22 to these consolidated financial statements for a discussion of the method used to determine the fair value of these assets.</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prolonged downturn in the energy market and its corresponding impact on our business outlook led us to conclude the carrying amount of certain of our assets in our Subsea segment exceeded their fair value. During the year ended December 31, 2018, we recorded $1,784.2 million of impairment charges in our Subsea segment. These charges included impairment of goodwill and vessels of $1,383.0 million and $372.9 million, respectively.</w:t>
      </w:r>
    </w:p>
    <w:p>
      <w:pPr>
        <w:spacing w:after="0" w:line="150"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During the year ended December 31, 2017, our impairment expense was primarily related to leasehold improvements, decommissioning vacant buildings and other long-lived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our impairment expense was primarily associated with the restructuring plan discussed 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98" w:right="239" w:bottom="1440" w:gutter="0" w:footer="0" w:header="0"/>
        </w:sectPr>
      </w:pPr>
    </w:p>
    <w:bookmarkStart w:id="110" w:name="page111"/>
    <w:bookmarkEnd w:id="110"/>
    <w:p>
      <w:pPr>
        <w:ind w:right="80"/>
        <w:spacing w:after="0" w:line="282" w:lineRule="auto"/>
        <w:rPr>
          <w:sz w:val="20"/>
          <w:szCs w:val="20"/>
          <w:color w:val="auto"/>
        </w:rPr>
      </w:pPr>
      <w:r>
        <w:rPr>
          <w:rFonts w:ascii="Arial" w:cs="Arial" w:eastAsia="Arial" w:hAnsi="Arial"/>
          <w:sz w:val="18"/>
          <w:szCs w:val="18"/>
          <w:i w:val="1"/>
          <w:iCs w:val="1"/>
          <w:color w:val="auto"/>
        </w:rPr>
        <w:t xml:space="preserve">Restructuring and other </w:t>
      </w:r>
      <w:r>
        <w:rPr>
          <w:rFonts w:ascii="Arial" w:cs="Arial" w:eastAsia="Arial" w:hAnsi="Arial"/>
          <w:sz w:val="18"/>
          <w:szCs w:val="18"/>
          <w:color w:val="auto"/>
        </w:rPr>
        <w:t>- During 2018 and 2017 we initiated further cost cutting measures that have resulted in restructuring expense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termination of lease contracts.</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year ended December 31, 2016, as part of our restructuring plan, we divested and deconsolidated our wholly owned subsidiaries Technip Germany Holding GmBH and Technip Germany GmBH.</w:t>
      </w:r>
    </w:p>
    <w:p>
      <w:pPr>
        <w:spacing w:after="0" w:line="14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July 2015, as a result of the decline in crude oil prices and its effect on the demand for products and services in the oilfield services industry worldwide, we initiated a company-wide reduction in workforce and facility consolidation (the “July 2015 Plan”) intended to reduce costs and better align our workforce with current and anticipated activity levels, which resulted in the continued recognition of severance costs relating to termination benefits and other restructuring charges. The initial plan included a workforce reduction of approximately 6,000 employees.</w:t>
      </w:r>
    </w:p>
    <w:p>
      <w:pPr>
        <w:spacing w:after="0" w:line="1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significant part of the restructuring plan was focused on the Onshore/Offshore segment. In this segment, we reduced our presence in North America, Latin America, Asia and Europe. In the Subsea segment, we reduced our presence in the North Sea.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CONTINGENT LIABILITIES</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Commitments associated with leases - </w:t>
      </w:r>
      <w:r>
        <w:rPr>
          <w:rFonts w:ascii="Arial" w:cs="Arial" w:eastAsia="Arial" w:hAnsi="Arial"/>
          <w:sz w:val="18"/>
          <w:szCs w:val="18"/>
          <w:color w:val="auto"/>
        </w:rPr>
        <w:t>We lease office space, manufacturing facilities and various types of manufacturing and data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Leases of real estate generally provide for payment of property taxes, insurance and repairs by us. Substantially all of our leases are classified as operating leases. Rent expense under operating leases amounted to $365.1 million, $369.2 million and $313.5 million in 2018, 2017 and 2016, respectively.</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March 2014, we entered into construction and operating lease agreements to finance the construction of manufacturing and office facilities located in Houston, TX. In January 2016, construction of the facilities was completed and the operating lease commenced. Upon expiration of the operating lease in September 2021, we have the option to renew the lease, purchase the facilities or re-market the facilities on behalf of the lessor, including certain guarantees of residual value under the re-marketing option.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noncancellable operating leases were: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2020</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286.1</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192.3</w:t>
            </w:r>
          </w:p>
        </w:tc>
      </w:tr>
      <w:tr>
        <w:trPr>
          <w:trHeight w:val="210"/>
        </w:trPr>
        <w:tc>
          <w:tcPr>
            <w:tcW w:w="9940" w:type="dxa"/>
            <w:vAlign w:val="bottom"/>
          </w:tcPr>
          <w:p>
            <w:pPr>
              <w:ind w:left="40"/>
              <w:spacing w:after="0"/>
              <w:rPr>
                <w:sz w:val="20"/>
                <w:szCs w:val="20"/>
                <w:color w:val="auto"/>
              </w:rPr>
            </w:pPr>
            <w:r>
              <w:rPr>
                <w:rFonts w:ascii="Arial" w:cs="Arial" w:eastAsia="Arial" w:hAnsi="Arial"/>
                <w:sz w:val="14"/>
                <w:szCs w:val="14"/>
                <w:color w:val="auto"/>
              </w:rPr>
              <w:t>2022</w:t>
            </w: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123.8</w:t>
            </w:r>
          </w:p>
        </w:tc>
      </w:tr>
      <w:tr>
        <w:trPr>
          <w:trHeight w:val="222"/>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485.6</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1,519.7</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income from sub-leases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minimum operating lease payments</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1,494.1</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2018</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7"/>
                <w:szCs w:val="17"/>
                <w:color w:val="auto"/>
                <w:vertAlign w:val="superscript"/>
              </w:rPr>
              <w:t>(a)</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750.4</w:t>
            </w:r>
          </w:p>
        </w:tc>
      </w:tr>
      <w:tr>
        <w:trPr>
          <w:trHeight w:val="21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7"/>
                <w:szCs w:val="17"/>
                <w:color w:val="auto"/>
                <w:vertAlign w:val="superscript"/>
              </w:rPr>
              <w:t>(b)</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4,047.6</w:t>
            </w:r>
          </w:p>
        </w:tc>
      </w:tr>
      <w:tr>
        <w:trPr>
          <w:trHeight w:val="21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4,798.0</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80" w:right="239" w:bottom="1440" w:gutter="0" w:footer="0" w:header="0"/>
        </w:sectPr>
      </w:pPr>
    </w:p>
    <w:bookmarkStart w:id="111" w:name="page112"/>
    <w:bookmarkEnd w:id="111"/>
    <w:p>
      <w:pPr>
        <w:ind w:left="340" w:right="60" w:hanging="332"/>
        <w:spacing w:after="0" w:line="25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40" w:lineRule="exact"/>
        <w:rPr>
          <w:rFonts w:ascii="Arial" w:cs="Arial" w:eastAsia="Arial" w:hAnsi="Arial"/>
          <w:sz w:val="14"/>
          <w:szCs w:val="14"/>
          <w:color w:val="auto"/>
        </w:rPr>
      </w:pPr>
    </w:p>
    <w:p>
      <w:pPr>
        <w:ind w:left="340" w:right="60" w:hanging="332"/>
        <w:spacing w:after="0" w:line="25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 related, such as failure to ship a product or provide a service.</w:t>
      </w:r>
    </w:p>
    <w:p>
      <w:pPr>
        <w:spacing w:after="0" w:line="13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12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legal matters - </w:t>
      </w:r>
      <w:r>
        <w:rPr>
          <w:rFonts w:ascii="Arial" w:cs="Arial" w:eastAsia="Arial" w:hAnsi="Arial"/>
          <w:sz w:val="18"/>
          <w:szCs w:val="18"/>
          <w:color w:val="auto"/>
        </w:rPr>
        <w:t>We are involved in various pending or potential legal actions or disputes in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We have contacted the Brazilian authorities (Federal Prosecution Service (MPF), the Comptroller General of Brazil (CGU) and the Attorney General of Brazil (AGU)) and are cooperating with their investigation concerning the projects in Brazil and have also contacted French authorities (the Parquet National Financier (PNF)) and are cooperating with their investigation about these existing matters.</w:t>
      </w:r>
    </w:p>
    <w:p>
      <w:pPr>
        <w:spacing w:after="0" w:line="15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have been informed that these authorities in Brazil, the U.S. and France have been coordinating their investigations, which could result in a global resolution. These matters have progressed to a point where a probable estimate of the aggregate settlement amount with all authorities is $280.0 million for which we have taken a provision in the fourth quarter and year ended December 31, 2018.</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matters involve negotiations with law enforcement authorities in three separate jurisdictions, and there is no certainty that a global settlement will be reached or that the settlement will not exceed current accruals. These authorities have a broad range of civil and criminal sanctions under anticorruption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deferred prosecution agreements, guilty pleas and other sanctions, including the requirement that the relevant corporation retain a monitor to oversee its compliance with anticorruption laws. Any of these remedial measures, if applicable to us, as well as potential customer reaction to such remedial measures, could have a material adverse impact on our business, results of operations and financial condition.</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Contingent liabilities associated with liquidated damages - </w:t>
      </w:r>
      <w:r>
        <w:rPr>
          <w:rFonts w:ascii="Arial" w:cs="Arial" w:eastAsia="Arial" w:hAnsi="Arial"/>
          <w:sz w:val="18"/>
          <w:szCs w:val="18"/>
          <w:color w:val="auto"/>
        </w:rPr>
        <w:t>Some of our contracts contain provisions that require us to pay liquidated damages if</w:t>
      </w:r>
      <w:r>
        <w:rPr>
          <w:rFonts w:ascii="Arial" w:cs="Arial" w:eastAsia="Arial" w:hAnsi="Arial"/>
          <w:sz w:val="18"/>
          <w:szCs w:val="18"/>
          <w:i w:val="1"/>
          <w:iCs w:val="1"/>
          <w:color w:val="auto"/>
        </w:rPr>
        <w:t xml:space="preserve"> </w:t>
      </w:r>
      <w:r>
        <w:rPr>
          <w:rFonts w:ascii="Arial" w:cs="Arial" w:eastAsia="Arial" w:hAnsi="Arial"/>
          <w:sz w:val="18"/>
          <w:szCs w:val="18"/>
          <w:color w:val="auto"/>
        </w:rPr>
        <w:t>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December 31, 2018 and 2017, and that the ultimate resolution of such matters will not materially affect our consolidated financial position, results of operations, or cash flows.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603"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19.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Components of income (loss) before income taxes - </w:t>
      </w:r>
      <w:r>
        <w:rPr>
          <w:rFonts w:ascii="Arial" w:cs="Arial" w:eastAsia="Arial" w:hAnsi="Arial"/>
          <w:sz w:val="18"/>
          <w:szCs w:val="18"/>
          <w:color w:val="auto"/>
        </w:rPr>
        <w:t>U.S. and outside U.S. components of income (loss) before income taxes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Outside United States</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397.1</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(1,488.1)</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679.7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for income tax - </w:t>
      </w:r>
      <w:r>
        <w:rPr>
          <w:rFonts w:ascii="Arial" w:cs="Arial" w:eastAsia="Arial" w:hAnsi="Arial"/>
          <w:sz w:val="18"/>
          <w:szCs w:val="18"/>
          <w:color w:val="auto"/>
        </w:rPr>
        <w:t>The provision for income taxes consisted of:</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Current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52.1</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54.1</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Outside United States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373.7</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298.3</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current</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373.9</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Deferred</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Outside United States</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deferred</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Provision for income taxes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576"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i w:val="1"/>
          <w:iCs w:val="1"/>
          <w:color w:val="auto"/>
        </w:rPr>
        <w:t xml:space="preserve">Deferred tax assets and liabilities - </w:t>
      </w:r>
      <w:r>
        <w:rPr>
          <w:rFonts w:ascii="Arial" w:cs="Arial" w:eastAsia="Arial" w:hAnsi="Arial"/>
          <w:sz w:val="18"/>
          <w:szCs w:val="18"/>
          <w:color w:val="auto"/>
        </w:rPr>
        <w:t>Significant components of deferred tax assets and liabilities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Deferred tax assets attributable to</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128.0</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Loss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Non-deductible interest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tax credit carryforwards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Net operating loss carryforwards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382.8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390.7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Research and development credit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Provisions for pensions and other long-term employee benefits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86.4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Contingencies related to contracts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Other contingencies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Fair value losses/gains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Margin recognition on construction contracts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1,003.8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942.3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Valuation allowance</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(683.4)</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(430.0)</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Deferred tax assets, net of valuation allowance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512.3</w:t>
            </w:r>
          </w:p>
        </w:tc>
      </w:tr>
      <w:tr>
        <w:trPr>
          <w:trHeight w:val="283"/>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Deferred tax liabilities attributable to</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Revenue in excess of billings on contracts accounted for under the percentage of completion method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U.S. tax on foreign subsidiaries’ undistributed earnings not indefinitely reinvested</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Property, plant and equipment, intangibles and other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278.6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403.3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Margin recognition on construction contracts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297.2</w:t>
            </w:r>
          </w:p>
        </w:tc>
        <w:tc>
          <w:tcPr>
            <w:tcW w:w="1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477.3</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deferred tax assets/(liabilities)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At December 31, 2018 and 2017, the carrying amount of net deferred tax assets and the related valuation allowance included the impact of foreign currency translation adjustments.</w:t>
      </w:r>
    </w:p>
    <w:p>
      <w:pPr>
        <w:spacing w:after="0" w:line="1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Non-deductible interest. </w:t>
      </w:r>
      <w:r>
        <w:rPr>
          <w:rFonts w:ascii="Arial" w:cs="Arial" w:eastAsia="Arial" w:hAnsi="Arial"/>
          <w:sz w:val="18"/>
          <w:szCs w:val="18"/>
          <w:color w:val="auto"/>
        </w:rPr>
        <w:t>At December 31, 2018, deferred tax assets include tax benefits related to certain intercompany interest costs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currently deductible, but which may be deductible in future periods. If not utilized, these costs will become permanently non-deductible beginning in 2025. Management believes that it is more likely than not that we will not be able to deduct these costs before expiration of the carry forward period; therefore, we have established a valuation allowance against the related deferred tax assets.</w:t>
      </w:r>
    </w:p>
    <w:p>
      <w:pPr>
        <w:spacing w:after="0" w:line="12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Foreign tax credit carryforwards. </w:t>
      </w:r>
      <w:r>
        <w:rPr>
          <w:rFonts w:ascii="Arial" w:cs="Arial" w:eastAsia="Arial" w:hAnsi="Arial"/>
          <w:sz w:val="18"/>
          <w:szCs w:val="18"/>
          <w:color w:val="auto"/>
        </w:rPr>
        <w:t>At December 31, 2018, deferred tax assets included U.S. foreign tax credit carryforwards of $105.9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if not utilized, will begin to expire in 2023. Realization of these deferred tax assets is dependent on the generation of sufficient U.S. taxable income prior to the above date. Based on long -term forecasts of operating results, management believes that it is more likely than not that our U.S. earnings over the forecast period will not result in sufficient U.S. taxable income to fully realize these deferred tax assets; therefore, we have established a valuation allowance against the related deferred tax assets. In its analysis, management has considered the effect of deemed dividends and other expected adjustments to U.S. earnings that are required in determining U.S. taxable income. Non-U.S. earnings subject to U.S. tax, including deemed dividends for U.S. tax purposes, were $307.6 million in 2018, $1.3 billion in 2017 and nil in 2016.</w:t>
      </w:r>
    </w:p>
    <w:p>
      <w:pPr>
        <w:spacing w:after="0" w:line="1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Net operating loss carryforwards. </w:t>
      </w:r>
      <w:r>
        <w:rPr>
          <w:rFonts w:ascii="Arial" w:cs="Arial" w:eastAsia="Arial" w:hAnsi="Arial"/>
          <w:sz w:val="18"/>
          <w:szCs w:val="18"/>
          <w:color w:val="auto"/>
        </w:rPr>
        <w:t>As of December 31, 2018, deferred tax assets included tax benefits related to net operating loss</w:t>
      </w:r>
      <w:r>
        <w:rPr>
          <w:rFonts w:ascii="Arial" w:cs="Arial" w:eastAsia="Arial" w:hAnsi="Arial"/>
          <w:sz w:val="18"/>
          <w:szCs w:val="18"/>
          <w:i w:val="1"/>
          <w:iCs w:val="1"/>
          <w:color w:val="auto"/>
        </w:rPr>
        <w:t xml:space="preserve"> </w:t>
      </w:r>
      <w:r>
        <w:rPr>
          <w:rFonts w:ascii="Arial" w:cs="Arial" w:eastAsia="Arial" w:hAnsi="Arial"/>
          <w:sz w:val="18"/>
          <w:szCs w:val="18"/>
          <w:color w:val="auto"/>
        </w:rPr>
        <w:t>carryforwards. If not utilized, these net operating loss carryforwards will begin to expire in 2019. Management believes it is more likely than not that we will not be able to utilize certain of these operating loss carryforwards before expiration; therefore, we have established a valuation allowance against the related deferred tax assets.</w:t>
      </w:r>
    </w:p>
    <w:p>
      <w:pPr>
        <w:sectPr>
          <w:pgSz w:w="11900" w:h="16838" w:orient="portrait"/>
          <w:cols w:equalWidth="0" w:num="1">
            <w:col w:w="11420"/>
          </w:cols>
          <w:pgMar w:left="240" w:top="58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580" w:right="239" w:bottom="1440" w:gutter="0" w:footer="0" w:header="0"/>
          <w:type w:val="continuous"/>
        </w:sectPr>
      </w:pPr>
    </w:p>
    <w:bookmarkStart w:id="114" w:name="page115"/>
    <w:bookmarkEnd w:id="114"/>
    <w:p>
      <w:pPr>
        <w:ind w:right="260"/>
        <w:spacing w:after="0" w:line="256" w:lineRule="auto"/>
        <w:rPr>
          <w:sz w:val="20"/>
          <w:szCs w:val="20"/>
          <w:color w:val="auto"/>
        </w:rPr>
      </w:pPr>
      <w:r>
        <w:rPr>
          <w:rFonts w:ascii="Arial" w:cs="Arial" w:eastAsia="Arial" w:hAnsi="Arial"/>
          <w:sz w:val="18"/>
          <w:szCs w:val="18"/>
          <w:color w:val="auto"/>
        </w:rPr>
        <w:t>The majority of the net operating loss carryforwards are in Brazil ($ 275.0 million), Saudi Arabia ($271.0 million), Mexico ($ 185.5 million), Norway ($128.8 million), U.K. ($186.5 million), and Canada ($78.5 million). Except in Canada and Mexico, all of these tax loss carryforwards extend indefinitely.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Unrecognized tax benefits - </w:t>
      </w:r>
      <w:r>
        <w:rPr>
          <w:rFonts w:ascii="Arial" w:cs="Arial" w:eastAsia="Arial" w:hAnsi="Arial"/>
          <w:sz w:val="18"/>
          <w:szCs w:val="18"/>
          <w:color w:val="auto"/>
        </w:rPr>
        <w:t>The following table presents a summary of changes in our unrecognized tax benefits:</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2016</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Reductions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Additions for tax positions related to current year</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Reductions for tax positions due to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Additions for tax positions related to purchase accounting</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Reductions for tax positions related to prior years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Additions for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Reductions for tax positions due to settlements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35"/>
        <w:spacing w:after="0"/>
        <w:rPr>
          <w:sz w:val="20"/>
          <w:szCs w:val="20"/>
          <w:color w:val="auto"/>
        </w:rPr>
      </w:pPr>
      <w:r>
        <w:rPr>
          <w:rFonts w:ascii="Arial" w:cs="Arial" w:eastAsia="Arial" w:hAnsi="Arial"/>
          <w:sz w:val="14"/>
          <w:szCs w:val="14"/>
          <w:b w:val="1"/>
          <w:bCs w:val="1"/>
          <w:color w:val="auto"/>
        </w:rPr>
        <w:t>Federal,</w:t>
      </w:r>
    </w:p>
    <w:p>
      <w:pPr>
        <w:spacing w:after="0" w:line="19" w:lineRule="exact"/>
        <w:rPr>
          <w:sz w:val="20"/>
          <w:szCs w:val="20"/>
          <w:color w:val="auto"/>
        </w:rPr>
      </w:pPr>
    </w:p>
    <w:p>
      <w:pPr>
        <w:jc w:val="center"/>
        <w:ind w:right="35"/>
        <w:spacing w:after="0"/>
        <w:rPr>
          <w:sz w:val="20"/>
          <w:szCs w:val="20"/>
          <w:color w:val="auto"/>
        </w:rPr>
      </w:pPr>
      <w:r>
        <w:rPr>
          <w:rFonts w:ascii="Arial" w:cs="Arial" w:eastAsia="Arial" w:hAnsi="Arial"/>
          <w:sz w:val="14"/>
          <w:szCs w:val="14"/>
          <w:b w:val="1"/>
          <w:bCs w:val="1"/>
          <w:color w:val="auto"/>
        </w:rPr>
        <w:t>State and</w:t>
      </w:r>
    </w:p>
    <w:p>
      <w:pPr>
        <w:spacing w:after="0" w:line="1" w:lineRule="exact"/>
        <w:rPr>
          <w:sz w:val="20"/>
          <w:szCs w:val="20"/>
          <w:color w:val="auto"/>
        </w:rPr>
      </w:pPr>
    </w:p>
    <w:p>
      <w:pPr>
        <w:jc w:val="center"/>
        <w:ind w:right="35"/>
        <w:spacing w:after="0"/>
        <w:rPr>
          <w:sz w:val="20"/>
          <w:szCs w:val="20"/>
          <w:color w:val="auto"/>
        </w:rPr>
      </w:pPr>
      <w:r>
        <w:rPr>
          <w:rFonts w:ascii="Arial" w:cs="Arial" w:eastAsia="Arial" w:hAnsi="Arial"/>
          <w:sz w:val="14"/>
          <w:szCs w:val="14"/>
          <w:b w:val="1"/>
          <w:bCs w:val="1"/>
          <w:color w:val="auto"/>
        </w:rPr>
        <w:t>Foreign</w:t>
      </w:r>
    </w:p>
    <w:p>
      <w:pPr>
        <w:spacing w:after="0" w:line="1" w:lineRule="exact"/>
        <w:rPr>
          <w:sz w:val="20"/>
          <w:szCs w:val="20"/>
          <w:color w:val="auto"/>
        </w:rPr>
      </w:pPr>
    </w:p>
    <w:p>
      <w:pPr>
        <w:jc w:val="center"/>
        <w:ind w:right="35"/>
        <w:spacing w:after="0"/>
        <w:rPr>
          <w:sz w:val="20"/>
          <w:szCs w:val="20"/>
          <w:color w:val="auto"/>
        </w:rPr>
      </w:pPr>
      <w:r>
        <w:rPr>
          <w:rFonts w:ascii="Arial" w:cs="Arial" w:eastAsia="Arial" w:hAnsi="Arial"/>
          <w:sz w:val="14"/>
          <w:szCs w:val="14"/>
          <w:b w:val="1"/>
          <w:bCs w:val="1"/>
          <w:color w:val="auto"/>
        </w:rPr>
        <w:t>Tax</w:t>
      </w:r>
    </w:p>
    <w:p>
      <w:pPr>
        <w:spacing w:after="0" w:line="69" w:lineRule="exact"/>
        <w:rPr>
          <w:sz w:val="20"/>
          <w:szCs w:val="20"/>
          <w:color w:val="auto"/>
        </w:rPr>
      </w:pPr>
    </w:p>
    <w:p>
      <w:pPr>
        <w:ind w:left="1065" w:hanging="1065"/>
        <w:spacing w:after="0"/>
        <w:tabs>
          <w:tab w:leader="none" w:pos="1065" w:val="left"/>
        </w:tabs>
        <w:numPr>
          <w:ilvl w:val="0"/>
          <w:numId w:val="48"/>
        </w:numPr>
        <w:rPr>
          <w:rFonts w:ascii="Arial" w:cs="Arial" w:eastAsia="Arial" w:hAnsi="Arial"/>
          <w:sz w:val="14"/>
          <w:szCs w:val="14"/>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(13.6)</w:t>
      </w:r>
    </w:p>
    <w:p>
      <w:pPr>
        <w:spacing w:after="0" w:line="55" w:lineRule="exact"/>
        <w:rPr>
          <w:sz w:val="20"/>
          <w:szCs w:val="20"/>
          <w:color w:val="auto"/>
        </w:rPr>
      </w:pPr>
    </w:p>
    <w:p>
      <w:pPr>
        <w:ind w:left="1065"/>
        <w:spacing w:after="0"/>
        <w:rPr>
          <w:sz w:val="20"/>
          <w:szCs w:val="20"/>
          <w:color w:val="auto"/>
        </w:rPr>
      </w:pPr>
      <w:r>
        <w:rPr>
          <w:rFonts w:ascii="Arial" w:cs="Arial" w:eastAsia="Arial" w:hAnsi="Arial"/>
          <w:sz w:val="14"/>
          <w:szCs w:val="14"/>
          <w:color w:val="auto"/>
        </w:rPr>
        <w:t>39.5</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(0.2)</w:t>
      </w:r>
    </w:p>
    <w:p>
      <w:pPr>
        <w:spacing w:after="0" w:line="55" w:lineRule="exact"/>
        <w:rPr>
          <w:sz w:val="20"/>
          <w:szCs w:val="20"/>
          <w:color w:val="auto"/>
        </w:rPr>
      </w:pPr>
    </w:p>
    <w:p>
      <w:pPr>
        <w:ind w:left="1065"/>
        <w:spacing w:after="0"/>
        <w:rPr>
          <w:sz w:val="20"/>
          <w:szCs w:val="20"/>
          <w:color w:val="auto"/>
        </w:rPr>
      </w:pPr>
      <w:r>
        <w:rPr>
          <w:rFonts w:ascii="Arial" w:cs="Arial" w:eastAsia="Arial" w:hAnsi="Arial"/>
          <w:sz w:val="14"/>
          <w:szCs w:val="14"/>
          <w:color w:val="auto"/>
        </w:rPr>
        <w:t>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347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9" w:lineRule="exact"/>
        <w:rPr>
          <w:sz w:val="20"/>
          <w:szCs w:val="20"/>
          <w:color w:val="auto"/>
        </w:rPr>
      </w:pPr>
    </w:p>
    <w:p>
      <w:pPr>
        <w:ind w:left="1065" w:hanging="1065"/>
        <w:spacing w:after="0"/>
        <w:tabs>
          <w:tab w:leader="none" w:pos="10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347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(11.5)</w:t>
      </w:r>
    </w:p>
    <w:p>
      <w:pPr>
        <w:spacing w:after="0" w:line="55" w:lineRule="exact"/>
        <w:rPr>
          <w:sz w:val="20"/>
          <w:szCs w:val="20"/>
          <w:color w:val="auto"/>
        </w:rPr>
      </w:pPr>
    </w:p>
    <w:p>
      <w:pPr>
        <w:ind w:left="1065"/>
        <w:spacing w:after="0"/>
        <w:rPr>
          <w:sz w:val="20"/>
          <w:szCs w:val="20"/>
          <w:color w:val="auto"/>
        </w:rPr>
      </w:pPr>
      <w:r>
        <w:rPr>
          <w:rFonts w:ascii="Arial" w:cs="Arial" w:eastAsia="Arial" w:hAnsi="Arial"/>
          <w:sz w:val="14"/>
          <w:szCs w:val="14"/>
          <w:color w:val="auto"/>
        </w:rPr>
        <w:t>21.1</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347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9" w:lineRule="exact"/>
        <w:rPr>
          <w:sz w:val="20"/>
          <w:szCs w:val="20"/>
          <w:color w:val="auto"/>
        </w:rPr>
      </w:pPr>
    </w:p>
    <w:p>
      <w:pPr>
        <w:ind w:left="1065" w:hanging="1065"/>
        <w:spacing w:after="0"/>
        <w:tabs>
          <w:tab w:leader="none" w:pos="1065" w:val="left"/>
        </w:tabs>
        <w:numPr>
          <w:ilvl w:val="0"/>
          <w:numId w:val="50"/>
        </w:numPr>
        <w:rPr>
          <w:rFonts w:ascii="Arial" w:cs="Arial" w:eastAsia="Arial" w:hAnsi="Arial"/>
          <w:sz w:val="14"/>
          <w:szCs w:val="14"/>
          <w:color w:val="auto"/>
        </w:rPr>
      </w:pPr>
      <w:r>
        <w:rPr>
          <w:rFonts w:ascii="Arial" w:cs="Arial" w:eastAsia="Arial" w:hAnsi="Arial"/>
          <w:sz w:val="14"/>
          <w:szCs w:val="14"/>
          <w:color w:val="auto"/>
        </w:rPr>
        <w:t>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347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55" w:space="720"/>
            <w:col w:w="1445"/>
          </w:cols>
          <w:pgMar w:left="240" w:top="598" w:right="239" w:bottom="1440" w:gutter="0" w:footer="0" w:header="0"/>
          <w:type w:val="continuous"/>
        </w:sectPr>
      </w:pP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amounts reported above for uncertain tax positions excludes interest and penalties of $2.8 million, $5.9 million, and nil at December 31, 2018, 2017, and 2016, respectively. Interest and penalties relating to these uncertain tax positions are included in tax expense in our Consolidated Financial Statements. It is reasonably possible that within twelve months, $1.3 million of liabilities for unrecognized tax benefits will be settled. This amount is reflected in income taxes payable, the remaining balance of the unrecognized tax benefits are recorded in other long term liabilities.</w:t>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operate in numerous jurisdictions around the world and could be subject to multiple tax audits at any given time. Most notably, the following tax years and thereafter remain subject to examination: 2008 for Norway, 2016 for Nigeria, 2013 for Brazil, 2017 for France, and 2015 for the United States.</w:t>
      </w:r>
    </w:p>
    <w:p>
      <w:pPr>
        <w:spacing w:after="0" w:line="14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As a result of the Merger, TechnipFMC plc is a public limited company incorporated under the laws of England and Wales. Therefore, our earnings are subject to the United Kingdom statutory rate of 19.0% beginning on the effective date of the Merger. Previously these earnings were subject to the French statutory rate of 34.4%. Our consolidated effective income tax rate information has been presented accordingly.</w:t>
      </w:r>
    </w:p>
    <w:p>
      <w:pPr>
        <w:spacing w:after="0" w:line="130"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 xml:space="preserve">Effective income tax rate reconciliation - </w:t>
      </w:r>
      <w:r>
        <w:rPr>
          <w:rFonts w:ascii="Arial" w:cs="Arial" w:eastAsia="Arial" w:hAnsi="Arial"/>
          <w:sz w:val="18"/>
          <w:szCs w:val="18"/>
          <w:color w:val="auto"/>
        </w:rPr>
        <w:t>The effective income tax rate was different from the statutory federal income tax rate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276"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26035</wp:posOffset>
            </wp:positionV>
            <wp:extent cx="30956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r>
      <w:tr>
        <w:trPr>
          <w:trHeight w:val="25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Statutory income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34.4 %</w:t>
            </w:r>
          </w:p>
        </w:tc>
      </w:tr>
      <w:tr>
        <w:trPr>
          <w:trHeight w:val="264"/>
        </w:trPr>
        <w:tc>
          <w:tcPr>
            <w:tcW w:w="7520" w:type="dxa"/>
            <w:vAlign w:val="bottom"/>
            <w:gridSpan w:val="2"/>
          </w:tcPr>
          <w:p>
            <w:pPr>
              <w:ind w:left="40"/>
              <w:spacing w:after="0"/>
              <w:rPr>
                <w:sz w:val="20"/>
                <w:szCs w:val="20"/>
                <w:color w:val="auto"/>
              </w:rPr>
            </w:pPr>
            <w:r>
              <w:rPr>
                <w:rFonts w:ascii="Arial" w:cs="Arial" w:eastAsia="Arial" w:hAnsi="Arial"/>
                <w:sz w:val="14"/>
                <w:szCs w:val="14"/>
                <w:i w:val="1"/>
                <w:iCs w:val="1"/>
                <w:color w:val="auto"/>
              </w:rPr>
              <w:t>Net difference resulting from</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Foreign earnings subject to different tax rates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18.2 %</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264"/>
        </w:trPr>
        <w:tc>
          <w:tcPr>
            <w:tcW w:w="7520" w:type="dxa"/>
            <w:vAlign w:val="bottom"/>
            <w:gridSpan w:val="2"/>
          </w:tcPr>
          <w:p>
            <w:pPr>
              <w:ind w:left="280"/>
              <w:spacing w:after="0"/>
              <w:rPr>
                <w:sz w:val="20"/>
                <w:szCs w:val="20"/>
                <w:color w:val="auto"/>
              </w:rPr>
            </w:pPr>
            <w:r>
              <w:rPr>
                <w:rFonts w:ascii="Arial" w:cs="Arial" w:eastAsia="Arial" w:hAnsi="Arial"/>
                <w:sz w:val="14"/>
                <w:szCs w:val="14"/>
                <w:color w:val="auto"/>
              </w:rPr>
              <w:t>Net change in unrecognized tax benefits</w:t>
            </w:r>
          </w:p>
        </w:tc>
        <w:tc>
          <w:tcPr>
            <w:tcW w:w="58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7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Adjustments on prior year taxes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r>
      <w:tr>
        <w:trPr>
          <w:trHeight w:val="264"/>
        </w:trPr>
        <w:tc>
          <w:tcPr>
            <w:tcW w:w="7520" w:type="dxa"/>
            <w:vAlign w:val="bottom"/>
            <w:gridSpan w:val="2"/>
          </w:tcPr>
          <w:p>
            <w:pPr>
              <w:ind w:left="280"/>
              <w:spacing w:after="0"/>
              <w:rPr>
                <w:sz w:val="20"/>
                <w:szCs w:val="20"/>
                <w:color w:val="auto"/>
              </w:rPr>
            </w:pPr>
            <w:r>
              <w:rPr>
                <w:rFonts w:ascii="Arial" w:cs="Arial" w:eastAsia="Arial" w:hAnsi="Arial"/>
                <w:sz w:val="14"/>
                <w:szCs w:val="14"/>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19.3 %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13.1 %</w:t>
            </w:r>
          </w:p>
        </w:tc>
      </w:tr>
      <w:tr>
        <w:trPr>
          <w:trHeight w:val="27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tax asset/liability revaluation for tax rate change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64"/>
        </w:trPr>
        <w:tc>
          <w:tcPr>
            <w:tcW w:w="7520" w:type="dxa"/>
            <w:vAlign w:val="bottom"/>
            <w:gridSpan w:val="2"/>
          </w:tcPr>
          <w:p>
            <w:pPr>
              <w:ind w:left="280"/>
              <w:spacing w:after="0"/>
              <w:rPr>
                <w:sz w:val="20"/>
                <w:szCs w:val="20"/>
                <w:color w:val="auto"/>
              </w:rPr>
            </w:pPr>
            <w:r>
              <w:rPr>
                <w:rFonts w:ascii="Arial" w:cs="Arial" w:eastAsia="Arial" w:hAnsi="Arial"/>
                <w:sz w:val="14"/>
                <w:szCs w:val="14"/>
                <w:color w:val="auto"/>
              </w:rPr>
              <w:t>U.S. transition tax</w:t>
            </w:r>
          </w:p>
        </w:tc>
        <w:tc>
          <w:tcPr>
            <w:tcW w:w="5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7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Impairments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64"/>
        </w:trPr>
        <w:tc>
          <w:tcPr>
            <w:tcW w:w="7520" w:type="dxa"/>
            <w:vAlign w:val="bottom"/>
            <w:gridSpan w:val="2"/>
          </w:tcPr>
          <w:p>
            <w:pPr>
              <w:ind w:left="280"/>
              <w:spacing w:after="0"/>
              <w:rPr>
                <w:sz w:val="20"/>
                <w:szCs w:val="20"/>
                <w:color w:val="auto"/>
              </w:rPr>
            </w:pPr>
            <w:r>
              <w:rPr>
                <w:rFonts w:ascii="Arial" w:cs="Arial" w:eastAsia="Arial" w:hAnsi="Arial"/>
                <w:sz w:val="14"/>
                <w:szCs w:val="14"/>
                <w:color w:val="auto"/>
              </w:rPr>
              <w:t>Non-deductible legal provision</w:t>
            </w:r>
          </w:p>
        </w:tc>
        <w:tc>
          <w:tcPr>
            <w:tcW w:w="5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5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0"/>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income tax rate</w:t>
            </w:r>
          </w:p>
        </w:tc>
        <w:tc>
          <w:tcPr>
            <w:tcW w:w="58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80.3 %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32.7 %</w:t>
            </w:r>
          </w:p>
        </w:tc>
      </w:tr>
      <w:tr>
        <w:trPr>
          <w:trHeight w:val="20"/>
        </w:trPr>
        <w:tc>
          <w:tcPr>
            <w:tcW w:w="6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98" w:right="239" w:bottom="1440" w:gutter="0" w:footer="0" w:header="0"/>
          <w:type w:val="continuous"/>
        </w:sectPr>
      </w:pPr>
    </w:p>
    <w:bookmarkStart w:id="115" w:name="page116"/>
    <w:bookmarkEnd w:id="115"/>
    <w:p>
      <w:pPr>
        <w:ind w:right="140"/>
        <w:spacing w:after="0" w:line="261" w:lineRule="auto"/>
        <w:rPr>
          <w:sz w:val="20"/>
          <w:szCs w:val="20"/>
          <w:color w:val="auto"/>
        </w:rPr>
      </w:pPr>
      <w:r>
        <w:rPr>
          <w:rFonts w:ascii="Arial" w:cs="Arial" w:eastAsia="Arial" w:hAnsi="Arial"/>
          <w:sz w:val="18"/>
          <w:szCs w:val="18"/>
          <w:i w:val="1"/>
          <w:iCs w:val="1"/>
          <w:color w:val="auto"/>
        </w:rPr>
        <w:t>U.S. Tax Cuts and Jobs Act (TCJA</w:t>
      </w:r>
      <w:r>
        <w:rPr>
          <w:rFonts w:ascii="Arial" w:cs="Arial" w:eastAsia="Arial" w:hAnsi="Arial"/>
          <w:sz w:val="18"/>
          <w:szCs w:val="18"/>
          <w:color w:val="auto"/>
        </w:rPr>
        <w:t>)</w:t>
      </w:r>
      <w:r>
        <w:rPr>
          <w:rFonts w:ascii="Arial" w:cs="Arial" w:eastAsia="Arial" w:hAnsi="Arial"/>
          <w:sz w:val="18"/>
          <w:szCs w:val="18"/>
          <w:i w:val="1"/>
          <w:iCs w:val="1"/>
          <w:color w:val="auto"/>
        </w:rPr>
        <w:t xml:space="preserve"> and Other Jurisdictional Tax Reform. </w:t>
      </w:r>
      <w:r>
        <w:rPr>
          <w:rFonts w:ascii="Arial" w:cs="Arial" w:eastAsia="Arial" w:hAnsi="Arial"/>
          <w:sz w:val="18"/>
          <w:szCs w:val="18"/>
          <w:color w:val="auto"/>
        </w:rPr>
        <w:t>Included in the 2017 provision for income taxes are taxes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deemed repatriation to the United States of foreign earnings. The Tax Cuts and Jobs Act (TCJA), signed into U.S. law on December 22, 2017, made significant changes to the U.S. federal income taxation of non-U.S. corporate subsidiaries that are controlled by one or more U.S. shareholders. As part of these changes, the TCJA required a onetime deemed repatriation of all accumulated non-U.S. earnings.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TCJA generally requires that, for the last taxable year of a non-U.S. corporation beginning before January 1, 2018, all U.S. shareholders of such a corporation that is at least 10-percent U.S.-owned must include in income their pro rata share of the corporation’s accumulated post-1986 deferred foreign income that was not previously subject to U.S. tax. Accordingly, the Company recorded income tax expense of approximately $148.7 million in 2017 associated with the deemed repatriation of approximately $2.6 billion of non-U.S. earnings that were not previously subject to U.S. tax. The company recorded additional income tax expense of $11.8 million in 2018 associated with the deemed repatriation of approximately $307 million of non-U.S. earnings that were not previously subject to U.S. tax. The company has recorded no current tax payable associated with the deemed repatriation.</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Also included in the 2017 provision for income taxes is the result of the revaluation of deferred tax attributes as a result of changes in corporate tax rates as part of jurisdictional tax reform. The tax expense from the revaluation of U.S. deferred tax attributes is $18.9 million. The tax benefit from the revaluation of deferred tax attributes in other foreign jurisdictions is $9.7 million. For 2018, the tax expense from jurisdictional corporate tax rate reform is $25.6 million.</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 result of the deemed repatriation, U.S. income tax has been provided on all undistributed earnings of non-U.S. subsidiaries of the Company’s U.S. affiliates as of December 31, 2017. The cumulative balance of these undistributed earnings was approximately $2.9 billion as of December 31, 2017.</w:t>
      </w:r>
    </w:p>
    <w:p>
      <w:pPr>
        <w:spacing w:after="0" w:line="148"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As of December 31, 2018, we have completed our analysis of the financial statement impact of TCJA and have recorded all amounts associated with our 2017 final and 2018 anticipated compliance filings.</w:t>
      </w:r>
    </w:p>
    <w:p>
      <w:pPr>
        <w:spacing w:after="0" w:line="14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of the date of the Merger, the cumulative balance of legacy FMC Technologies foreign earnings with respect to which no provision for U.S. income taxes has been recorded was $2.3 billion. Although the parent company of TechnipFMC has since changed jurisdictions, the undistributed foreign earnings previously reported were still liable for U.S. income taxes. In light of 2017’s tax reform, the entirety of the previously untaxed foreign earnings have been taxed via the deemed repatriation accounted for and included in the transition tax which eliminates the company’s liability on such earnings.</w:t>
      </w:r>
    </w:p>
    <w:p>
      <w:pPr>
        <w:spacing w:after="0" w:line="134"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Income tax holidays. </w:t>
      </w:r>
      <w:r>
        <w:rPr>
          <w:rFonts w:ascii="Arial" w:cs="Arial" w:eastAsia="Arial" w:hAnsi="Arial"/>
          <w:sz w:val="18"/>
          <w:szCs w:val="18"/>
          <w:color w:val="auto"/>
        </w:rPr>
        <w:t>We benefit from income tax holidays in Singapore and Malaysia which will expire after 2018 for Singapore and 2020 for</w:t>
      </w:r>
      <w:r>
        <w:rPr>
          <w:rFonts w:ascii="Arial" w:cs="Arial" w:eastAsia="Arial" w:hAnsi="Arial"/>
          <w:sz w:val="18"/>
          <w:szCs w:val="18"/>
          <w:i w:val="1"/>
          <w:iCs w:val="1"/>
          <w:color w:val="auto"/>
        </w:rPr>
        <w:t xml:space="preserve"> </w:t>
      </w:r>
      <w:r>
        <w:rPr>
          <w:rFonts w:ascii="Arial" w:cs="Arial" w:eastAsia="Arial" w:hAnsi="Arial"/>
          <w:sz w:val="18"/>
          <w:szCs w:val="18"/>
          <w:color w:val="auto"/>
        </w:rPr>
        <w:t>Malaysia. For the year ended December 31, 2018, these tax holidays reduced our provision for income taxes by $0.1 million, or $0.00 per share on a diluted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PENSION AND OTHER POST-RETIREMENT BENEFIT PLANS</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We have funded and unfunded defined benefit pension plans which provide defined benefits based on years of service and final average salary.</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31, 2017, we amended the retirement plans (the “Plans”) to freeze benefit accruals for all participants of the Plans as of December 31, 2017. After that date, participants in the Plans will no longer accrue any further benefits and participants’ benefits under the Plans will be determined based on credited service and eligible earnings as of December 31, 2017.</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Foreign-based employees are eligible to participate in TechnipFMC-sponsored or government-sponsored benefit plans to which we contribute. Several of the foreign defined benefit pension plans sponsored by us provide for employee contributions; the remaining plans are noncontributory. The most significant of these plans are in the Netherlands, France, Norway and the United Kingdom.</w:t>
      </w:r>
    </w:p>
    <w:p>
      <w:pPr>
        <w:spacing w:after="0" w:line="14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We have other post-retirement benefit plans covering substantially all of our U.S. employees who were hired prior to January 1, 2003. The post-retirement health care plans are contributory; the post-retirement life insurance plans are noncontributory.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80" w:right="239" w:bottom="1440" w:gutter="0" w:footer="0" w:header="0"/>
        </w:sectPr>
      </w:pPr>
    </w:p>
    <w:bookmarkStart w:id="116" w:name="page117"/>
    <w:bookmarkEnd w:id="116"/>
    <w:p>
      <w:pPr>
        <w:spacing w:after="0" w:line="252" w:lineRule="auto"/>
        <w:rPr>
          <w:sz w:val="20"/>
          <w:szCs w:val="20"/>
          <w:color w:val="auto"/>
        </w:rPr>
      </w:pPr>
      <w:r>
        <w:rPr>
          <w:rFonts w:ascii="Arial" w:cs="Arial" w:eastAsia="Arial" w:hAnsi="Arial"/>
          <w:sz w:val="18"/>
          <w:szCs w:val="18"/>
          <w:color w:val="auto"/>
        </w:rPr>
        <w:t>We are required to recognize the funded status of defined benefit post-retirement plans as an asset or liability in the consolidated balance sheet and recognize changes in that funded status in comprehensive income in the year in which the changes occur. Further, we are required to measure the plan’s assets and its obligations that determine its funded status as of the date of the consolidated balance sheet. We have applied this guidance to our domestic pension and other post-retirement benefit plans as well as for many of our non-U.S. plans, including those in the United Kingdom, Norway, Germany, France and Canada. Pension expense measured in compliance with GAAP for the other non-U.S. pension plans is not materially different from the locally reported pension expense.</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20"/>
          </w:cols>
          <w:pgMar w:left="240" w:top="598" w:right="339" w:bottom="1440" w:gutter="0" w:footer="0" w:header="0"/>
        </w:sectPr>
      </w:pPr>
    </w:p>
    <w:bookmarkStart w:id="117" w:name="page118"/>
    <w:bookmarkEnd w:id="117"/>
    <w:p>
      <w:pPr>
        <w:jc w:val="both"/>
        <w:ind w:right="440"/>
        <w:spacing w:after="0" w:line="256" w:lineRule="auto"/>
        <w:rPr>
          <w:sz w:val="20"/>
          <w:szCs w:val="20"/>
          <w:color w:val="auto"/>
        </w:rPr>
      </w:pPr>
      <w:r>
        <w:rPr>
          <w:rFonts w:ascii="Arial" w:cs="Arial" w:eastAsia="Arial" w:hAnsi="Arial"/>
          <w:sz w:val="18"/>
          <w:szCs w:val="18"/>
          <w:color w:val="auto"/>
        </w:rPr>
        <w:t>The funded status of our U.S. Pension Plans, certain foreign pension plans and U.S. post-retirement health care and life insurance benefit plans, together with the associated balances recognized in our consolidated balance sheets as of December 31, 2018 and 2017,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Accumulated benefit obligation</w:t>
            </w: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Projected benefit obligation at January 1</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vMerge w:val="continue"/>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659.8</w:t>
            </w:r>
          </w:p>
        </w:tc>
        <w:tc>
          <w:tcPr>
            <w:tcW w:w="120" w:type="dxa"/>
            <w:vAlign w:val="bottom"/>
          </w:tcPr>
          <w:p>
            <w:pPr>
              <w:spacing w:after="0"/>
              <w:rPr>
                <w:sz w:val="18"/>
                <w:szCs w:val="18"/>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898.1</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399.6</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 cost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Interest cost</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 loss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Amendments</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Curtailments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Settlements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exchange rate changes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Acquisition/Business Combination/Divestiture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Projected benefit obligation at December 31</w:t>
            </w:r>
          </w:p>
        </w:tc>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598.1</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753.4</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659.8</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898.1</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plan assets at January 1</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Actual return on plan assets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Company contributions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Foreign currency exchange rate changes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Acquisition/Business Combination/Divestiture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Fair value of plan assets at December 31</w:t>
            </w:r>
          </w:p>
        </w:tc>
        <w:tc>
          <w:tcPr>
            <w:tcW w:w="2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570.6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Funded status of the plans (liability) at December 31</w:t>
            </w: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Current portion of accrued pension and other post-retirement</w:t>
            </w: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benefits</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4"/>
        </w:trPr>
        <w:tc>
          <w:tcPr>
            <w:tcW w:w="4000" w:type="dxa"/>
            <w:vAlign w:val="bottom"/>
          </w:tcPr>
          <w:p>
            <w:pPr>
              <w:ind w:left="40"/>
              <w:spacing w:after="0"/>
              <w:rPr>
                <w:sz w:val="20"/>
                <w:szCs w:val="20"/>
                <w:color w:val="auto"/>
              </w:rPr>
            </w:pPr>
            <w:r>
              <w:rPr>
                <w:rFonts w:ascii="Arial" w:cs="Arial" w:eastAsia="Arial" w:hAnsi="Arial"/>
                <w:sz w:val="14"/>
                <w:szCs w:val="14"/>
                <w:color w:val="auto"/>
              </w:rPr>
              <w:t>Accrued pension and other post-retirement benefits, net of</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current portion</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Funded status recognized in the consolidated balance</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sheets at December 31</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598" w:right="259" w:bottom="1440" w:gutter="0" w:footer="0" w:header="0"/>
        </w:sectPr>
      </w:pPr>
    </w:p>
    <w:bookmarkStart w:id="118" w:name="page119"/>
    <w:bookmarkEnd w:id="118"/>
    <w:p>
      <w:pPr>
        <w:ind w:right="120"/>
        <w:spacing w:after="0" w:line="262" w:lineRule="auto"/>
        <w:rPr>
          <w:sz w:val="20"/>
          <w:szCs w:val="20"/>
          <w:color w:val="auto"/>
        </w:rPr>
      </w:pPr>
      <w:r>
        <w:rPr>
          <w:rFonts w:ascii="Arial" w:cs="Arial" w:eastAsia="Arial" w:hAnsi="Arial"/>
          <w:sz w:val="18"/>
          <w:szCs w:val="18"/>
          <w:color w:val="auto"/>
        </w:rPr>
        <w:t>The following table summarizes the pre-tax amounts in accumulated other comprehensive (income) loss at December 31, 2018 and 2017 that have not been recognized as components of net periodic benefit cost: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Pre-tax amounts recognized in accumulated other</w:t>
            </w: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r>
      <w:tr>
        <w:trPr>
          <w:trHeight w:val="198"/>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comprehensive (income) loss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Unrecognized actuarial (gain) loss</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73.2</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Unrecognized prior service (credit) cost</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Accumulated other comprehensive (income) loss at</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9"/>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73.2</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20"/>
        </w:trPr>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following tables summarize the projected and accumulated benefit obligations and fair values of plan assets where the projected or accumulated benefit obligation exceeds the fair value of plan assets at December 31, 2018 and 2017:</w:t>
      </w:r>
    </w:p>
    <w:p>
      <w:pPr>
        <w:sectPr>
          <w:pgSz w:w="11900" w:h="16838" w:orient="portrait"/>
          <w:cols w:equalWidth="0" w:num="1">
            <w:col w:w="11400"/>
          </w:cols>
          <w:pgMar w:left="240" w:top="59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59" w:lineRule="exact"/>
        <w:rPr>
          <w:sz w:val="20"/>
          <w:szCs w:val="20"/>
          <w:color w:val="auto"/>
        </w:rPr>
      </w:pPr>
    </w:p>
    <w:p>
      <w:pPr>
        <w:ind w:left="40"/>
        <w:spacing w:after="0" w:line="279" w:lineRule="auto"/>
        <w:rPr>
          <w:sz w:val="20"/>
          <w:szCs w:val="20"/>
          <w:color w:val="auto"/>
        </w:rPr>
      </w:pPr>
      <w:r>
        <w:rPr>
          <w:rFonts w:ascii="Arial" w:cs="Arial" w:eastAsia="Arial" w:hAnsi="Arial"/>
          <w:sz w:val="14"/>
          <w:szCs w:val="14"/>
          <w:i w:val="1"/>
          <w:iCs w:val="1"/>
          <w:color w:val="auto"/>
        </w:rPr>
        <w:t>Plans with underfunded or non-funded projected benefit obligation</w:t>
      </w:r>
    </w:p>
    <w:p>
      <w:pPr>
        <w:spacing w:after="0" w:line="18" w:lineRule="exact"/>
        <w:rPr>
          <w:sz w:val="20"/>
          <w:szCs w:val="20"/>
          <w:color w:val="auto"/>
        </w:rPr>
      </w:pPr>
    </w:p>
    <w:p>
      <w:pPr>
        <w:ind w:left="280" w:right="880"/>
        <w:spacing w:after="0" w:line="419" w:lineRule="auto"/>
        <w:rPr>
          <w:sz w:val="20"/>
          <w:szCs w:val="20"/>
          <w:color w:val="auto"/>
        </w:rPr>
      </w:pPr>
      <w:r>
        <w:rPr>
          <w:rFonts w:ascii="Arial" w:cs="Arial" w:eastAsia="Arial" w:hAnsi="Arial"/>
          <w:sz w:val="14"/>
          <w:szCs w:val="14"/>
          <w:color w:val="auto"/>
        </w:rPr>
        <w:t>Aggregate projected benefit obligation Aggregate fair value of plan assets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64"/>
        </w:trPr>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622"/>
        </w:trPr>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598.1</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621.1</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659.8</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744.3</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0"/>
        </w:trPr>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477.4</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439.8</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576.4</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558.0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-574675</wp:posOffset>
            </wp:positionV>
            <wp:extent cx="723773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37730" cy="24003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-163195</wp:posOffset>
            </wp:positionV>
            <wp:extent cx="723773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3580" w:space="420"/>
            <w:col w:w="7400"/>
          </w:cols>
          <w:pgMar w:left="240" w:top="598" w:right="25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4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Plans with underfunded or non-funded accumulated benefit</w:t>
            </w: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r>
      <w:tr>
        <w:trPr>
          <w:trHeight w:val="198"/>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obligation</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Aggregate accumulated benefit obligation</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598.1</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269.2</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659.8</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212.5</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Aggregate fair value of plan assets</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598" w:right="25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color w:val="auto"/>
        </w:rPr>
        <w:t>The following table summarizes the components of net periodic benefit cost (income) for the years ended December 31, 2018, 2017 and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6"/>
          </w:tcPr>
          <w:p>
            <w:pPr>
              <w:jc w:val="center"/>
              <w:ind w:left="408"/>
              <w:spacing w:after="0"/>
              <w:rPr>
                <w:sz w:val="20"/>
                <w:szCs w:val="20"/>
                <w:color w:val="auto"/>
              </w:rPr>
            </w:pPr>
            <w:r>
              <w:rPr>
                <w:rFonts w:ascii="Arial" w:cs="Arial" w:eastAsia="Arial" w:hAnsi="Arial"/>
                <w:sz w:val="14"/>
                <w:szCs w:val="14"/>
                <w:b w:val="1"/>
                <w:bCs w:val="1"/>
                <w:color w:val="auto"/>
              </w:rPr>
              <w:t>Other Post-retirement</w:t>
            </w:r>
          </w:p>
        </w:tc>
        <w:tc>
          <w:tcPr>
            <w:tcW w:w="64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Pensions</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22"/>
                <w:szCs w:val="22"/>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6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Components of net periodic</w:t>
            </w: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benefit cost (income)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64"/>
        </w:trPr>
        <w:tc>
          <w:tcPr>
            <w:tcW w:w="2300" w:type="dxa"/>
            <w:vAlign w:val="bottom"/>
          </w:tcPr>
          <w:p>
            <w:pPr>
              <w:ind w:left="280"/>
              <w:spacing w:after="0"/>
              <w:rPr>
                <w:sz w:val="20"/>
                <w:szCs w:val="20"/>
                <w:color w:val="auto"/>
              </w:rPr>
            </w:pPr>
            <w:r>
              <w:rPr>
                <w:rFonts w:ascii="Arial" w:cs="Arial" w:eastAsia="Arial" w:hAnsi="Arial"/>
                <w:sz w:val="14"/>
                <w:szCs w:val="14"/>
                <w:color w:val="auto"/>
              </w:rPr>
              <w:t>Service cost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264"/>
        </w:trPr>
        <w:tc>
          <w:tcPr>
            <w:tcW w:w="2300" w:type="dxa"/>
            <w:vAlign w:val="bottom"/>
          </w:tcPr>
          <w:p>
            <w:pPr>
              <w:ind w:left="280"/>
              <w:spacing w:after="0"/>
              <w:rPr>
                <w:sz w:val="20"/>
                <w:szCs w:val="20"/>
                <w:color w:val="auto"/>
              </w:rPr>
            </w:pPr>
            <w:r>
              <w:rPr>
                <w:rFonts w:ascii="Arial" w:cs="Arial" w:eastAsia="Arial" w:hAnsi="Arial"/>
                <w:sz w:val="14"/>
                <w:szCs w:val="14"/>
                <w:color w:val="auto"/>
              </w:rPr>
              <w:t>Expected return on plan assets</w:t>
            </w:r>
          </w:p>
        </w:tc>
        <w:tc>
          <w:tcPr>
            <w:tcW w:w="20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(45.5)</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 cost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264"/>
        </w:trPr>
        <w:tc>
          <w:tcPr>
            <w:tcW w:w="2300" w:type="dxa"/>
            <w:vAlign w:val="bottom"/>
          </w:tcPr>
          <w:p>
            <w:pPr>
              <w:ind w:left="280"/>
              <w:spacing w:after="0"/>
              <w:rPr>
                <w:sz w:val="20"/>
                <w:szCs w:val="20"/>
                <w:color w:val="auto"/>
              </w:rPr>
            </w:pPr>
            <w:r>
              <w:rPr>
                <w:rFonts w:ascii="Arial" w:cs="Arial" w:eastAsia="Arial" w:hAnsi="Arial"/>
                <w:sz w:val="14"/>
                <w:szCs w:val="14"/>
                <w:color w:val="auto"/>
              </w:rPr>
              <w:t>Curtailment benefit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00"/>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net actuarial</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194"/>
        </w:trPr>
        <w:tc>
          <w:tcPr>
            <w:tcW w:w="2300" w:type="dxa"/>
            <w:vAlign w:val="bottom"/>
          </w:tcPr>
          <w:p>
            <w:pPr>
              <w:ind w:left="280"/>
              <w:spacing w:after="0"/>
              <w:rPr>
                <w:sz w:val="20"/>
                <w:szCs w:val="20"/>
                <w:color w:val="auto"/>
              </w:rPr>
            </w:pPr>
            <w:r>
              <w:rPr>
                <w:rFonts w:ascii="Arial" w:cs="Arial" w:eastAsia="Arial" w:hAnsi="Arial"/>
                <w:sz w:val="14"/>
                <w:szCs w:val="14"/>
                <w:color w:val="auto"/>
              </w:rPr>
              <w:t>Amortization of prior service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300" w:type="dxa"/>
            <w:vAlign w:val="bottom"/>
          </w:tcPr>
          <w:p>
            <w:pPr>
              <w:ind w:left="280"/>
              <w:spacing w:after="0"/>
              <w:rPr>
                <w:sz w:val="20"/>
                <w:szCs w:val="20"/>
                <w:color w:val="auto"/>
              </w:rPr>
            </w:pPr>
            <w:r>
              <w:rPr>
                <w:rFonts w:ascii="Arial" w:cs="Arial" w:eastAsia="Arial" w:hAnsi="Arial"/>
                <w:sz w:val="14"/>
                <w:szCs w:val="14"/>
                <w:color w:val="auto"/>
              </w:rPr>
              <w:t>cost (credit)</w:t>
            </w:r>
          </w:p>
        </w:tc>
        <w:tc>
          <w:tcPr>
            <w:tcW w:w="20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162"/>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periodic benefit cost</w:t>
            </w: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189"/>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The following table summarizes changes in plan assets and benefit obligations recognized in other comprehensive income (loss) for the years ended December 31, 2018,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6"/>
          </w:tcPr>
          <w:p>
            <w:pPr>
              <w:jc w:val="center"/>
              <w:ind w:left="408"/>
              <w:spacing w:after="0"/>
              <w:rPr>
                <w:sz w:val="20"/>
                <w:szCs w:val="20"/>
                <w:color w:val="auto"/>
              </w:rPr>
            </w:pPr>
            <w:r>
              <w:rPr>
                <w:rFonts w:ascii="Arial" w:cs="Arial" w:eastAsia="Arial" w:hAnsi="Arial"/>
                <w:sz w:val="14"/>
                <w:szCs w:val="14"/>
                <w:b w:val="1"/>
                <w:bCs w:val="1"/>
                <w:color w:val="auto"/>
              </w:rPr>
              <w:t>Other Post-retirement</w:t>
            </w:r>
          </w:p>
        </w:tc>
        <w:tc>
          <w:tcPr>
            <w:tcW w:w="64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Pensions</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22"/>
                <w:szCs w:val="22"/>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6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Changes in plan assets and</w:t>
            </w: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benefit obligations recognized in</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other comprehensive income</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(loss)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4"/>
        </w:trPr>
        <w:tc>
          <w:tcPr>
            <w:tcW w:w="2300" w:type="dxa"/>
            <w:vAlign w:val="bottom"/>
          </w:tcPr>
          <w:p>
            <w:pPr>
              <w:ind w:left="280"/>
              <w:spacing w:after="0"/>
              <w:rPr>
                <w:sz w:val="20"/>
                <w:szCs w:val="20"/>
                <w:color w:val="auto"/>
              </w:rPr>
            </w:pPr>
            <w:r>
              <w:rPr>
                <w:rFonts w:ascii="Arial" w:cs="Arial" w:eastAsia="Arial" w:hAnsi="Arial"/>
                <w:sz w:val="14"/>
                <w:szCs w:val="14"/>
                <w:color w:val="auto"/>
              </w:rPr>
              <w:t>Net actuarial gain (loss) arising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300" w:type="dxa"/>
            <w:vAlign w:val="bottom"/>
          </w:tcPr>
          <w:p>
            <w:pPr>
              <w:ind w:left="280"/>
              <w:spacing w:after="0"/>
              <w:rPr>
                <w:sz w:val="20"/>
                <w:szCs w:val="20"/>
                <w:color w:val="auto"/>
              </w:rPr>
            </w:pPr>
            <w:r>
              <w:rPr>
                <w:rFonts w:ascii="Arial" w:cs="Arial" w:eastAsia="Arial" w:hAnsi="Arial"/>
                <w:sz w:val="14"/>
                <w:szCs w:val="14"/>
                <w:color w:val="auto"/>
              </w:rPr>
              <w:t>during period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5"/>
                <w:szCs w:val="15"/>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4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5"/>
                <w:szCs w:val="15"/>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00"/>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service (cost) credit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arising during period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264"/>
        </w:trPr>
        <w:tc>
          <w:tcPr>
            <w:tcW w:w="2300" w:type="dxa"/>
            <w:vAlign w:val="bottom"/>
          </w:tcPr>
          <w:p>
            <w:pPr>
              <w:ind w:left="280"/>
              <w:spacing w:after="0"/>
              <w:rPr>
                <w:sz w:val="20"/>
                <w:szCs w:val="20"/>
                <w:color w:val="auto"/>
              </w:rPr>
            </w:pPr>
            <w:r>
              <w:rPr>
                <w:rFonts w:ascii="Arial" w:cs="Arial" w:eastAsia="Arial" w:hAnsi="Arial"/>
                <w:sz w:val="14"/>
                <w:szCs w:val="14"/>
                <w:color w:val="auto"/>
              </w:rPr>
              <w:t>Settlements and curtailments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00"/>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net actuarial</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194"/>
        </w:trPr>
        <w:tc>
          <w:tcPr>
            <w:tcW w:w="2300" w:type="dxa"/>
            <w:vAlign w:val="bottom"/>
          </w:tcPr>
          <w:p>
            <w:pPr>
              <w:ind w:left="280"/>
              <w:spacing w:after="0"/>
              <w:rPr>
                <w:sz w:val="20"/>
                <w:szCs w:val="20"/>
                <w:color w:val="auto"/>
              </w:rPr>
            </w:pPr>
            <w:r>
              <w:rPr>
                <w:rFonts w:ascii="Arial" w:cs="Arial" w:eastAsia="Arial" w:hAnsi="Arial"/>
                <w:sz w:val="14"/>
                <w:szCs w:val="14"/>
                <w:color w:val="auto"/>
              </w:rPr>
              <w:t>Amortization of prior service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300" w:type="dxa"/>
            <w:vAlign w:val="bottom"/>
          </w:tcPr>
          <w:p>
            <w:pPr>
              <w:ind w:left="280"/>
              <w:spacing w:after="0"/>
              <w:rPr>
                <w:sz w:val="20"/>
                <w:szCs w:val="20"/>
                <w:color w:val="auto"/>
              </w:rPr>
            </w:pPr>
            <w:r>
              <w:rPr>
                <w:rFonts w:ascii="Arial" w:cs="Arial" w:eastAsia="Arial" w:hAnsi="Arial"/>
                <w:sz w:val="14"/>
                <w:szCs w:val="14"/>
                <w:color w:val="auto"/>
              </w:rPr>
              <w:t>cost (credit)</w:t>
            </w:r>
          </w:p>
        </w:tc>
        <w:tc>
          <w:tcPr>
            <w:tcW w:w="20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r>
      <w:tr>
        <w:trPr>
          <w:trHeight w:val="156"/>
        </w:trPr>
        <w:tc>
          <w:tcPr>
            <w:tcW w:w="23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Total recognized in other</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r>
        <w:trPr>
          <w:trHeight w:val="189"/>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0"/>
        </w:trPr>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Included in accumulated other comprehensive income (loss) at December 31, 2018, are noncash, pre-tax charges which have not yet been recognized in net periodic benefit cost (income). The estimated amounts expected to be amortized from the portion of each component of accumulated other comprehensive income (loss) as a component of net period benefit cost (income), during the next fiscal year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Pensions</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Benefits</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22"/>
                <w:szCs w:val="22"/>
                <w:color w:val="auto"/>
              </w:rPr>
            </w:pPr>
          </w:p>
        </w:tc>
        <w:tc>
          <w:tcPr>
            <w:tcW w:w="1040" w:type="dxa"/>
            <w:vAlign w:val="bottom"/>
          </w:tcPr>
          <w:p>
            <w:pPr>
              <w:jc w:val="right"/>
              <w:ind w:right="548"/>
              <w:spacing w:after="0"/>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actuarial losses (gains)</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2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Prior service cost (credit)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ind w:left="10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598"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i w:val="1"/>
          <w:iCs w:val="1"/>
          <w:color w:val="auto"/>
        </w:rPr>
        <w:t xml:space="preserve">Key assumptions - </w:t>
      </w:r>
      <w:r>
        <w:rPr>
          <w:rFonts w:ascii="Arial" w:cs="Arial" w:eastAsia="Arial" w:hAnsi="Arial"/>
          <w:sz w:val="18"/>
          <w:szCs w:val="18"/>
          <w:color w:val="auto"/>
        </w:rPr>
        <w:t>The following weighted-average assumptions were used to determine the benefit obligations: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left="788"/>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ind w:left="700"/>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39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Pensions</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rPr>
              <w:t>Benefits</w:t>
            </w:r>
          </w:p>
        </w:tc>
        <w:tc>
          <w:tcPr>
            <w:tcW w:w="820" w:type="dxa"/>
            <w:vAlign w:val="bottom"/>
            <w:tcBorders>
              <w:bottom w:val="single" w:sz="8" w:color="auto"/>
            </w:tcBorders>
          </w:tcPr>
          <w:p>
            <w:pPr>
              <w:spacing w:after="0"/>
              <w:rPr>
                <w:sz w:val="17"/>
                <w:szCs w:val="17"/>
                <w:color w:val="auto"/>
              </w:rPr>
            </w:pPr>
          </w:p>
        </w:tc>
      </w:tr>
      <w:tr>
        <w:trPr>
          <w:trHeight w:val="264"/>
        </w:trPr>
        <w:tc>
          <w:tcPr>
            <w:tcW w:w="39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64"/>
        </w:trPr>
        <w:tc>
          <w:tcPr>
            <w:tcW w:w="39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5"/>
              </w:rPr>
              <w:t>U.S.</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r>
      <w:tr>
        <w:trPr>
          <w:trHeight w:val="256"/>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Discount rate</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r>
      <w:tr>
        <w:trPr>
          <w:trHeight w:val="258"/>
        </w:trPr>
        <w:tc>
          <w:tcPr>
            <w:tcW w:w="4620" w:type="dxa"/>
            <w:vAlign w:val="bottom"/>
            <w:gridSpan w:val="2"/>
          </w:tcPr>
          <w:p>
            <w:pPr>
              <w:ind w:left="40"/>
              <w:spacing w:after="0"/>
              <w:rPr>
                <w:sz w:val="20"/>
                <w:szCs w:val="20"/>
                <w:color w:val="auto"/>
              </w:rPr>
            </w:pPr>
            <w:r>
              <w:rPr>
                <w:rFonts w:ascii="Arial" w:cs="Arial" w:eastAsia="Arial" w:hAnsi="Arial"/>
                <w:sz w:val="14"/>
                <w:szCs w:val="14"/>
                <w:color w:val="auto"/>
              </w:rPr>
              <w:t>Rate of compensation increase</w:t>
            </w:r>
          </w:p>
        </w:tc>
        <w:tc>
          <w:tcPr>
            <w:tcW w:w="840" w:type="dxa"/>
            <w:vAlign w:val="bottom"/>
            <w:gridSpan w:val="3"/>
          </w:tcPr>
          <w:p>
            <w:pPr>
              <w:jc w:val="right"/>
              <w:ind w:right="560"/>
              <w:spacing w:after="0"/>
              <w:rPr>
                <w:sz w:val="20"/>
                <w:szCs w:val="20"/>
                <w:color w:val="auto"/>
              </w:rPr>
            </w:pPr>
            <w:r>
              <w:rPr>
                <w:rFonts w:ascii="Arial" w:cs="Arial" w:eastAsia="Arial" w:hAnsi="Arial"/>
                <w:sz w:val="14"/>
                <w:szCs w:val="14"/>
                <w:color w:val="auto"/>
              </w:rPr>
              <w:t>N/A</w:t>
            </w:r>
          </w:p>
        </w:tc>
        <w:tc>
          <w:tcPr>
            <w:tcW w:w="86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color w:val="auto"/>
              </w:rPr>
              <w:t>N/A</w:t>
            </w:r>
          </w:p>
        </w:tc>
        <w:tc>
          <w:tcPr>
            <w:tcW w:w="860" w:type="dxa"/>
            <w:vAlign w:val="bottom"/>
          </w:tcPr>
          <w:p>
            <w:pPr>
              <w:jc w:val="right"/>
              <w:spacing w:after="0"/>
              <w:rPr>
                <w:sz w:val="20"/>
                <w:szCs w:val="20"/>
                <w:color w:val="auto"/>
              </w:rPr>
            </w:pPr>
            <w:r>
              <w:rPr>
                <w:rFonts w:ascii="Arial" w:cs="Arial" w:eastAsia="Arial" w:hAnsi="Arial"/>
                <w:sz w:val="14"/>
                <w:szCs w:val="14"/>
                <w:color w:val="auto"/>
              </w:rPr>
              <w:t>2.37%</w:t>
            </w:r>
          </w:p>
        </w:tc>
        <w:tc>
          <w:tcPr>
            <w:tcW w:w="1280" w:type="dxa"/>
            <w:vAlign w:val="bottom"/>
            <w:gridSpan w:val="2"/>
          </w:tcPr>
          <w:p>
            <w:pPr>
              <w:ind w:left="840"/>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determine net periodic benefit cost: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9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Post-retirement</w:t>
            </w:r>
          </w:p>
        </w:tc>
        <w:tc>
          <w:tcPr>
            <w:tcW w:w="940" w:type="dxa"/>
            <w:vAlign w:val="bottom"/>
          </w:tcPr>
          <w:p>
            <w:pPr>
              <w:spacing w:after="0"/>
              <w:rPr>
                <w:sz w:val="14"/>
                <w:szCs w:val="14"/>
                <w:color w:val="auto"/>
              </w:rPr>
            </w:pPr>
          </w:p>
        </w:tc>
      </w:tr>
      <w:tr>
        <w:trPr>
          <w:trHeight w:val="196"/>
        </w:trPr>
        <w:tc>
          <w:tcPr>
            <w:tcW w:w="2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Pensions</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Benefits</w:t>
            </w:r>
          </w:p>
        </w:tc>
        <w:tc>
          <w:tcPr>
            <w:tcW w:w="940" w:type="dxa"/>
            <w:vAlign w:val="bottom"/>
            <w:tcBorders>
              <w:bottom w:val="single" w:sz="8" w:color="auto"/>
            </w:tcBorders>
          </w:tcPr>
          <w:p>
            <w:pPr>
              <w:spacing w:after="0"/>
              <w:rPr>
                <w:sz w:val="17"/>
                <w:szCs w:val="17"/>
                <w:color w:val="auto"/>
              </w:rPr>
            </w:pPr>
          </w:p>
        </w:tc>
      </w:tr>
      <w:tr>
        <w:trPr>
          <w:trHeight w:val="264"/>
        </w:trPr>
        <w:tc>
          <w:tcPr>
            <w:tcW w:w="220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r>
      <w:tr>
        <w:trPr>
          <w:trHeight w:val="264"/>
        </w:trPr>
        <w:tc>
          <w:tcPr>
            <w:tcW w:w="22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r>
      <w:tr>
        <w:trPr>
          <w:trHeight w:val="256"/>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Discount rate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64"/>
        </w:trPr>
        <w:tc>
          <w:tcPr>
            <w:tcW w:w="2200" w:type="dxa"/>
            <w:vAlign w:val="bottom"/>
          </w:tcPr>
          <w:p>
            <w:pPr>
              <w:ind w:left="40"/>
              <w:spacing w:after="0"/>
              <w:rPr>
                <w:sz w:val="20"/>
                <w:szCs w:val="20"/>
                <w:color w:val="auto"/>
              </w:rPr>
            </w:pPr>
            <w:r>
              <w:rPr>
                <w:rFonts w:ascii="Arial" w:cs="Arial" w:eastAsia="Arial" w:hAnsi="Arial"/>
                <w:sz w:val="14"/>
                <w:szCs w:val="14"/>
                <w:color w:val="auto"/>
              </w:rPr>
              <w:t>Rate of compensation increase</w:t>
            </w:r>
          </w:p>
        </w:tc>
        <w:tc>
          <w:tcPr>
            <w:tcW w:w="1260" w:type="dxa"/>
            <w:vAlign w:val="bottom"/>
            <w:gridSpan w:val="3"/>
          </w:tcPr>
          <w:p>
            <w:pPr>
              <w:jc w:val="right"/>
              <w:ind w:right="500"/>
              <w:spacing w:after="0"/>
              <w:rPr>
                <w:sz w:val="20"/>
                <w:szCs w:val="20"/>
                <w:color w:val="auto"/>
              </w:rPr>
            </w:pPr>
            <w:r>
              <w:rPr>
                <w:rFonts w:ascii="Arial" w:cs="Arial" w:eastAsia="Arial" w:hAnsi="Arial"/>
                <w:sz w:val="14"/>
                <w:szCs w:val="14"/>
                <w:color w:val="auto"/>
              </w:rPr>
              <w:t>N/A</w:t>
            </w: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1220" w:type="dxa"/>
            <w:vAlign w:val="bottom"/>
            <w:gridSpan w:val="3"/>
          </w:tcPr>
          <w:p>
            <w:pPr>
              <w:ind w:left="600"/>
              <w:spacing w:after="0"/>
              <w:rPr>
                <w:sz w:val="20"/>
                <w:szCs w:val="20"/>
                <w:color w:val="auto"/>
              </w:rPr>
            </w:pPr>
            <w:r>
              <w:rPr>
                <w:rFonts w:ascii="Arial" w:cs="Arial" w:eastAsia="Arial" w:hAnsi="Arial"/>
                <w:sz w:val="14"/>
                <w:szCs w:val="14"/>
                <w:color w:val="auto"/>
              </w:rPr>
              <w:t>N/A</w:t>
            </w:r>
          </w:p>
        </w:tc>
        <w:tc>
          <w:tcPr>
            <w:tcW w:w="700" w:type="dxa"/>
            <w:vAlign w:val="bottom"/>
          </w:tcPr>
          <w:p>
            <w:pPr>
              <w:jc w:val="right"/>
              <w:spacing w:after="0"/>
              <w:rPr>
                <w:sz w:val="20"/>
                <w:szCs w:val="20"/>
                <w:color w:val="auto"/>
              </w:rPr>
            </w:pPr>
            <w:r>
              <w:rPr>
                <w:rFonts w:ascii="Arial" w:cs="Arial" w:eastAsia="Arial" w:hAnsi="Arial"/>
                <w:sz w:val="14"/>
                <w:szCs w:val="14"/>
                <w:color w:val="auto"/>
              </w:rPr>
              <w:t>2.30%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00"/>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rate of return on plan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4"/>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r>
    </w:tbl>
    <w:p>
      <w:pPr>
        <w:spacing w:after="0" w:line="161"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Our estimate of expected rate of return on plan assets is primarily based on the historical performance of plan assets, current market conditions, our asset allocation and long-term growth expectations.</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Plan assets - </w:t>
      </w:r>
      <w:r>
        <w:rPr>
          <w:rFonts w:ascii="Arial" w:cs="Arial" w:eastAsia="Arial" w:hAnsi="Arial"/>
          <w:sz w:val="18"/>
          <w:szCs w:val="18"/>
          <w:color w:val="auto"/>
        </w:rPr>
        <w:t>Our pension investment strategy emphasizes maximizing returns consistent with balancing risk. Excluding our international plans</w:t>
      </w:r>
      <w:r>
        <w:rPr>
          <w:rFonts w:ascii="Arial" w:cs="Arial" w:eastAsia="Arial" w:hAnsi="Arial"/>
          <w:sz w:val="18"/>
          <w:szCs w:val="18"/>
          <w:i w:val="1"/>
          <w:iCs w:val="1"/>
          <w:color w:val="auto"/>
        </w:rPr>
        <w:t xml:space="preserve"> </w:t>
      </w:r>
      <w:r>
        <w:rPr>
          <w:rFonts w:ascii="Arial" w:cs="Arial" w:eastAsia="Arial" w:hAnsi="Arial"/>
          <w:sz w:val="18"/>
          <w:szCs w:val="18"/>
          <w:color w:val="auto"/>
        </w:rPr>
        <w:t>with insurance-based investments, 99% of our total pension plan assets represent the U.S. qualified plan, the U.K. plan and the Netherlands plan. These plans are primarily invested in equity securities to maximize the long-term returns of the plans. The investment managers of these assets, including the hedge funds and limited partnerships, use Graham and Dodd fundamental investment analysis to select securities that have a margin of safety between the price of the security and the estimated value of the security. This value-oriented approach tends to mitigate the risk of a large equity allocation.</w:t>
      </w:r>
    </w:p>
    <w:p>
      <w:pPr>
        <w:spacing w:after="0" w:line="147"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color w:val="auto"/>
        </w:rPr>
        <w:t>The following is a description of the valuation methodologies used for the pension plan assets. There have been no changes in the methodologies used at December 31, 2018 and 2017.</w:t>
      </w:r>
    </w:p>
    <w:p>
      <w:pPr>
        <w:spacing w:after="0" w:line="14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is valued at cost, which approximates fair value.</w:t>
      </w:r>
    </w:p>
    <w:p>
      <w:pPr>
        <w:spacing w:after="0" w:line="171"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Equity securities are comprised of common stock and preferred stock. The fair values of equity securities are valued at the closing price reported on the active market on which the securities are traded.</w:t>
      </w:r>
    </w:p>
    <w:p>
      <w:pPr>
        <w:spacing w:after="0" w:line="142" w:lineRule="exact"/>
        <w:rPr>
          <w:rFonts w:ascii="Arial" w:cs="Arial" w:eastAsia="Arial" w:hAnsi="Arial"/>
          <w:sz w:val="18"/>
          <w:szCs w:val="18"/>
          <w:color w:val="auto"/>
        </w:rPr>
      </w:pPr>
    </w:p>
    <w:p>
      <w:pPr>
        <w:ind w:left="660" w:right="440" w:hanging="328"/>
        <w:spacing w:after="0" w:line="25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Fair values of registered investment companies and common/collective trusts are valued based on quoted market prices, which represent the net asset value (“NAV”) of shares held. Registered investment companies primarily include investments in emerging market bonds. Common/collective trusts primarily includes money market instruments with short maturities.</w:t>
      </w:r>
    </w:p>
    <w:p>
      <w:pPr>
        <w:spacing w:after="0" w:line="147"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Insurance contracts are valued at book value, which approximates fair value, and is calculated using the prior-year balance plus or minus investment returns and changes in cash flows.</w:t>
      </w:r>
    </w:p>
    <w:p>
      <w:pPr>
        <w:spacing w:after="0" w:line="142"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fair values of hedge funds are valued using the NAV as determined by the administrator or custodian of the fund. The funds primarily invest in U.S. and international equities, debt securities and other hedge funds.</w:t>
      </w:r>
    </w:p>
    <w:p>
      <w:pPr>
        <w:spacing w:after="0" w:line="142"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fair values of limited partnerships are valued using the NAV as determined by the administrator or custodian of the fund. The partnerships primarily invest in U.S. and international equities and debt securities.</w:t>
      </w:r>
    </w:p>
    <w:p>
      <w:pPr>
        <w:spacing w:after="0" w:line="142"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Real estate and other investments primarily consists of real estate investment trusts and other investments. These investments are measured at quoted market prices, which represent the NAV of the securities held in such funds at year end.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580" w:right="259" w:bottom="1440" w:gutter="0" w:footer="0" w:header="0"/>
        </w:sectPr>
      </w:pPr>
    </w:p>
    <w:bookmarkStart w:id="121" w:name="page122"/>
    <w:bookmarkEnd w:id="121"/>
    <w:p>
      <w:pPr>
        <w:ind w:right="560"/>
        <w:spacing w:after="0" w:line="262" w:lineRule="auto"/>
        <w:rPr>
          <w:sz w:val="20"/>
          <w:szCs w:val="20"/>
          <w:color w:val="auto"/>
        </w:rPr>
      </w:pPr>
      <w:r>
        <w:rPr>
          <w:rFonts w:ascii="Arial" w:cs="Arial" w:eastAsia="Arial" w:hAnsi="Arial"/>
          <w:sz w:val="18"/>
          <w:szCs w:val="18"/>
          <w:color w:val="auto"/>
        </w:rPr>
        <w:t>Our pension plan assets measured at fair value on a recurring basis are as follows at December 31, 2018 and 2017. Refer to “Fair value measurements” in Note 1 to these consolidated financial statements for a description of the levels.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U.S.</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International</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6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i w:val="1"/>
                <w:iCs w:val="1"/>
                <w:color w:val="auto"/>
              </w:rPr>
              <w:t>Equity securities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3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U.S. companies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64"/>
        </w:trPr>
        <w:tc>
          <w:tcPr>
            <w:tcW w:w="3320" w:type="dxa"/>
            <w:vAlign w:val="bottom"/>
          </w:tcPr>
          <w:p>
            <w:pPr>
              <w:ind w:left="280"/>
              <w:spacing w:after="0"/>
              <w:rPr>
                <w:sz w:val="20"/>
                <w:szCs w:val="20"/>
                <w:color w:val="auto"/>
              </w:rPr>
            </w:pPr>
            <w:r>
              <w:rPr>
                <w:rFonts w:ascii="Arial" w:cs="Arial" w:eastAsia="Arial" w:hAnsi="Arial"/>
                <w:sz w:val="14"/>
                <w:szCs w:val="14"/>
                <w:color w:val="auto"/>
              </w:rPr>
              <w:t>International companies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Registered investment companies </w:t>
            </w:r>
            <w:r>
              <w:rPr>
                <w:rFonts w:ascii="Arial" w:cs="Arial" w:eastAsia="Arial" w:hAnsi="Arial"/>
                <w:sz w:val="17"/>
                <w:szCs w:val="17"/>
                <w:color w:val="auto"/>
                <w:vertAlign w:val="superscript"/>
              </w:rPr>
              <w:t>(a)</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tcPr>
          <w:p>
            <w:pPr>
              <w:ind w:left="40"/>
              <w:spacing w:after="0"/>
              <w:rPr>
                <w:sz w:val="20"/>
                <w:szCs w:val="20"/>
                <w:color w:val="auto"/>
              </w:rPr>
            </w:pPr>
            <w:r>
              <w:rPr>
                <w:rFonts w:ascii="Arial" w:cs="Arial" w:eastAsia="Arial" w:hAnsi="Arial"/>
                <w:sz w:val="14"/>
                <w:szCs w:val="14"/>
                <w:color w:val="auto"/>
              </w:rPr>
              <w:t xml:space="preserve">Common/collective trusts </w:t>
            </w:r>
            <w:r>
              <w:rPr>
                <w:rFonts w:ascii="Arial" w:cs="Arial" w:eastAsia="Arial" w:hAnsi="Arial"/>
                <w:sz w:val="17"/>
                <w:szCs w:val="17"/>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Insurance contracts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tcPr>
          <w:p>
            <w:pPr>
              <w:ind w:left="40"/>
              <w:spacing w:after="0"/>
              <w:rPr>
                <w:sz w:val="20"/>
                <w:szCs w:val="20"/>
                <w:color w:val="auto"/>
              </w:rPr>
            </w:pPr>
            <w:r>
              <w:rPr>
                <w:rFonts w:ascii="Arial" w:cs="Arial" w:eastAsia="Arial" w:hAnsi="Arial"/>
                <w:sz w:val="14"/>
                <w:szCs w:val="14"/>
                <w:color w:val="auto"/>
              </w:rPr>
              <w:t xml:space="preserve">Hedge funds </w:t>
            </w:r>
            <w:r>
              <w:rPr>
                <w:rFonts w:ascii="Arial" w:cs="Arial" w:eastAsia="Arial" w:hAnsi="Arial"/>
                <w:sz w:val="17"/>
                <w:szCs w:val="17"/>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176.5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Limited partnerships </w:t>
            </w:r>
            <w:r>
              <w:rPr>
                <w:rFonts w:ascii="Arial" w:cs="Arial" w:eastAsia="Arial" w:hAnsi="Arial"/>
                <w:sz w:val="17"/>
                <w:szCs w:val="17"/>
                <w:color w:val="auto"/>
                <w:vertAlign w:val="superscript"/>
              </w:rPr>
              <w:t>(a)</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6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Real estate and other investments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41.2</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41.2</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Equity securities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3320" w:type="dxa"/>
            <w:vAlign w:val="bottom"/>
          </w:tcPr>
          <w:p>
            <w:pPr>
              <w:ind w:left="280"/>
              <w:spacing w:after="0"/>
              <w:rPr>
                <w:sz w:val="20"/>
                <w:szCs w:val="20"/>
                <w:color w:val="auto"/>
              </w:rPr>
            </w:pPr>
            <w:r>
              <w:rPr>
                <w:rFonts w:ascii="Arial" w:cs="Arial" w:eastAsia="Arial" w:hAnsi="Arial"/>
                <w:sz w:val="14"/>
                <w:szCs w:val="14"/>
                <w:color w:val="auto"/>
              </w:rPr>
              <w:t>U.S. companies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131.7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3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International companies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tcPr>
          <w:p>
            <w:pPr>
              <w:ind w:left="40"/>
              <w:spacing w:after="0"/>
              <w:rPr>
                <w:sz w:val="20"/>
                <w:szCs w:val="20"/>
                <w:color w:val="auto"/>
              </w:rPr>
            </w:pPr>
            <w:r>
              <w:rPr>
                <w:rFonts w:ascii="Arial" w:cs="Arial" w:eastAsia="Arial" w:hAnsi="Arial"/>
                <w:sz w:val="14"/>
                <w:szCs w:val="14"/>
                <w:color w:val="auto"/>
              </w:rPr>
              <w:t xml:space="preserve">Registered investment companies </w:t>
            </w:r>
            <w:r>
              <w:rPr>
                <w:rFonts w:ascii="Arial" w:cs="Arial" w:eastAsia="Arial" w:hAnsi="Arial"/>
                <w:sz w:val="17"/>
                <w:szCs w:val="17"/>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Common/collective trusts </w:t>
            </w:r>
            <w:r>
              <w:rPr>
                <w:rFonts w:ascii="Arial" w:cs="Arial" w:eastAsia="Arial" w:hAnsi="Arial"/>
                <w:sz w:val="17"/>
                <w:szCs w:val="17"/>
                <w:color w:val="auto"/>
                <w:vertAlign w:val="superscript"/>
              </w:rPr>
              <w:t>(a)</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Insurance contracts</w:t>
            </w:r>
          </w:p>
        </w:tc>
        <w:tc>
          <w:tcPr>
            <w:tcW w:w="20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Hedge funds </w:t>
            </w:r>
            <w:r>
              <w:rPr>
                <w:rFonts w:ascii="Arial" w:cs="Arial" w:eastAsia="Arial" w:hAnsi="Arial"/>
                <w:sz w:val="17"/>
                <w:szCs w:val="17"/>
                <w:color w:val="auto"/>
                <w:vertAlign w:val="superscript"/>
              </w:rPr>
              <w:t>(a)</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tcPr>
          <w:p>
            <w:pPr>
              <w:ind w:left="280"/>
              <w:spacing w:after="0"/>
              <w:rPr>
                <w:sz w:val="20"/>
                <w:szCs w:val="20"/>
                <w:color w:val="auto"/>
              </w:rPr>
            </w:pPr>
            <w:r>
              <w:rPr>
                <w:rFonts w:ascii="Arial" w:cs="Arial" w:eastAsia="Arial" w:hAnsi="Arial"/>
                <w:sz w:val="14"/>
                <w:szCs w:val="14"/>
                <w:color w:val="auto"/>
              </w:rPr>
              <w:t xml:space="preserve">Limited partnerships </w:t>
            </w:r>
            <w:r>
              <w:rPr>
                <w:rFonts w:ascii="Arial" w:cs="Arial" w:eastAsia="Arial" w:hAnsi="Arial"/>
                <w:sz w:val="17"/>
                <w:szCs w:val="17"/>
                <w:color w:val="auto"/>
                <w:vertAlign w:val="superscript"/>
              </w:rPr>
              <w:t>(a)</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3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 estate and other investments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237"/>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576.2</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207.4</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698.4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0"/>
        </w:trPr>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4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Contributions - </w:t>
      </w:r>
      <w:r>
        <w:rPr>
          <w:rFonts w:ascii="Arial" w:cs="Arial" w:eastAsia="Arial" w:hAnsi="Arial"/>
          <w:sz w:val="18"/>
          <w:szCs w:val="18"/>
          <w:color w:val="auto"/>
        </w:rPr>
        <w:t>We expect to contribute approximately $2.7 million to our international pension plans, representing primarily the Netherlands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pension plans and U.K. qualified pension plans. We do not expect to make any contributions to our U.S. Qualified Pension Plan and our U.S. Non-Qualified Defined Benefit Pension Plan in 2019. All of the contributions are expected to be in the form of cash. In 2018 and 2017, we contributed $18.5 million and $19.1 million to all pension plans,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598" w:right="259" w:bottom="1440" w:gutter="0" w:footer="0" w:header="0"/>
        </w:sectPr>
      </w:pPr>
    </w:p>
    <w:bookmarkStart w:id="122" w:name="page123"/>
    <w:bookmarkEnd w:id="122"/>
    <w:p>
      <w:pPr>
        <w:ind w:right="140"/>
        <w:spacing w:after="0" w:line="282" w:lineRule="auto"/>
        <w:rPr>
          <w:sz w:val="20"/>
          <w:szCs w:val="20"/>
          <w:color w:val="auto"/>
        </w:rPr>
      </w:pPr>
      <w:r>
        <w:rPr>
          <w:rFonts w:ascii="Arial" w:cs="Arial" w:eastAsia="Arial" w:hAnsi="Arial"/>
          <w:sz w:val="18"/>
          <w:szCs w:val="18"/>
          <w:i w:val="1"/>
          <w:iCs w:val="1"/>
          <w:color w:val="auto"/>
        </w:rPr>
        <w:t xml:space="preserve">Estimated future benefit payments - </w:t>
      </w:r>
      <w:r>
        <w:rPr>
          <w:rFonts w:ascii="Arial" w:cs="Arial" w:eastAsia="Arial" w:hAnsi="Arial"/>
          <w:sz w:val="18"/>
          <w:szCs w:val="18"/>
          <w:color w:val="auto"/>
        </w:rPr>
        <w:t>The following table summarizes expected benefit payments from our various pension and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 through 2028. Actual benefit payments may differ from expected benefit payments.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Pensions</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Benefits</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2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2020</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30.4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2022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2024-2028</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189.3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2.7</w:t>
            </w:r>
          </w:p>
        </w:tc>
      </w:tr>
    </w:tbl>
    <w:p>
      <w:pPr>
        <w:spacing w:after="0" w:line="15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Savings plans - </w:t>
      </w:r>
      <w:r>
        <w:rPr>
          <w:rFonts w:ascii="Arial" w:cs="Arial" w:eastAsia="Arial" w:hAnsi="Arial"/>
          <w:sz w:val="18"/>
          <w:szCs w:val="18"/>
          <w:color w:val="auto"/>
        </w:rPr>
        <w:t>The TechnipFMC Retirement Savings Plan (“Qualified Plan”), a qualified salary reduction plan under Section 401(k)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Code, is a defined contribution plan. Additionally, we have a non-qualified deferred compensation plan, the Non-Qualified Plan, which allows certain highly compensated employees the option to defer the receipt of a portion of their salary. We match a portion of the participants’ deferrals to both plans. Both plans relate to FMC Technologies, Inc.</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Participants in the Non-Qualified Plan earn a return based on hypothetical investments in the same options as our 401(k) plan, including TehnipFMC plc stock. Changes in the market value of these participant investments are reflected as an adjustment to the deferred compensation liability with an offset to other income (expense), net. As of December 31, 2018 and 2017, our liability for the Non-Qualified Plan was $22.8 million and $29.4 million, respectively, and was recorded in other non-current liabilities. We hedge the financial impact of changes in the participants’ hypothetical investments by purchasing the investments that the participants have chosen. With the exception of TechnipFMC plc stock, which is maintained at its cost basis, changes in the fair value of these investments are recognized as an offset to other income (expense), net. As of December 31, 2018 and 2017, we had investments for the Non-Qualified Plan totaling $21.4 million and $25.1 million at fair market value, respectively. As of December 31, 2018 and 2017, TechnipFMC stock held in trust of $ 2.4 million and $4.8 million at its cost basis, respectively. Refer to Note 22 to these consolidated financial statements for fair value disclosure of the Non-Qualified Plan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recognized expense of $31.8 million and $20.3 million for matching contributions to these plans in 2018 and 2017,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recognized expense of $14.3 million and $12.5 million for non-elective contributions in 2018 and 2017,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DERIVATIVE FINANCIAL INSTRUMENTS</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580"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 sale commitments denominated in foreign currencies and recorded assets and liabilities in our consolidated balance sheets. At December 31, 2018, we held the following material net positions: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36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rPr>
              <w:t>Net Notional Amount</w:t>
            </w:r>
          </w:p>
        </w:tc>
        <w:tc>
          <w:tcPr>
            <w:tcW w:w="72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2360" w:type="dxa"/>
            <w:vAlign w:val="bottom"/>
            <w:tcBorders>
              <w:bottom w:val="single" w:sz="8" w:color="auto"/>
            </w:tcBorders>
            <w:gridSpan w:val="2"/>
          </w:tcPr>
          <w:p>
            <w:pPr>
              <w:jc w:val="center"/>
              <w:ind w:left="668"/>
              <w:spacing w:after="0"/>
              <w:rPr>
                <w:sz w:val="20"/>
                <w:szCs w:val="20"/>
                <w:color w:val="auto"/>
              </w:rPr>
            </w:pPr>
            <w:r>
              <w:rPr>
                <w:rFonts w:ascii="Arial" w:cs="Arial" w:eastAsia="Arial" w:hAnsi="Arial"/>
                <w:sz w:val="14"/>
                <w:szCs w:val="14"/>
                <w:b w:val="1"/>
                <w:bCs w:val="1"/>
                <w:color w:val="auto"/>
              </w:rPr>
              <w:t>Bought (Sold)</w:t>
            </w:r>
          </w:p>
        </w:tc>
        <w:tc>
          <w:tcPr>
            <w:tcW w:w="72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725.9</w:t>
            </w:r>
          </w:p>
        </w:tc>
        <w:tc>
          <w:tcPr>
            <w:tcW w:w="7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Norwegian krone</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2,264.7</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260.6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752.3</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Australian dollar</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183.2</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129.3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Malaysian ringgit</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397.0</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Singapore dollar</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108.2</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79.4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Japanese yen</w:t>
            </w:r>
          </w:p>
        </w:tc>
        <w:tc>
          <w:tcPr>
            <w:tcW w:w="1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8,118.0</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British pound</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52.4</w:t>
            </w:r>
          </w:p>
        </w:tc>
        <w:tc>
          <w:tcPr>
            <w:tcW w:w="7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67.0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Canadian dollar</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(247.0)</w:t>
            </w: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(1,051.8)</w:t>
            </w:r>
          </w:p>
        </w:tc>
        <w:tc>
          <w:tcPr>
            <w:tcW w:w="7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(1,051.8)</w:t>
            </w:r>
          </w:p>
        </w:tc>
      </w:tr>
    </w:tbl>
    <w:p>
      <w:pPr>
        <w:spacing w:after="0" w:line="155"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December 31, 2018, our portfolio of these instruments included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46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Net Notional Amount</w:t>
            </w:r>
          </w:p>
        </w:tc>
        <w:tc>
          <w:tcPr>
            <w:tcW w:w="62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2460" w:type="dxa"/>
            <w:vAlign w:val="bottom"/>
            <w:tcBorders>
              <w:bottom w:val="single" w:sz="8" w:color="auto"/>
            </w:tcBorders>
            <w:gridSpan w:val="2"/>
          </w:tcPr>
          <w:p>
            <w:pPr>
              <w:jc w:val="center"/>
              <w:ind w:left="568"/>
              <w:spacing w:after="0"/>
              <w:rPr>
                <w:sz w:val="20"/>
                <w:szCs w:val="20"/>
                <w:color w:val="auto"/>
              </w:rPr>
            </w:pPr>
            <w:r>
              <w:rPr>
                <w:rFonts w:ascii="Arial" w:cs="Arial" w:eastAsia="Arial" w:hAnsi="Arial"/>
                <w:sz w:val="14"/>
                <w:szCs w:val="14"/>
                <w:b w:val="1"/>
                <w:bCs w:val="1"/>
                <w:color w:val="auto"/>
              </w:rPr>
              <w:t>Bought (Sold)</w:t>
            </w:r>
          </w:p>
        </w:tc>
        <w:tc>
          <w:tcPr>
            <w:tcW w:w="62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(104.3)</w:t>
            </w:r>
          </w:p>
        </w:tc>
        <w:tc>
          <w:tcPr>
            <w:tcW w:w="8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13.1</w:t>
            </w:r>
          </w:p>
        </w:tc>
        <w:tc>
          <w:tcPr>
            <w:tcW w:w="8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13.1</w:t>
            </w:r>
          </w:p>
        </w:tc>
      </w:tr>
    </w:tbl>
    <w:p>
      <w:pPr>
        <w:spacing w:after="0" w:line="17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22 to these consolidated financial statements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598"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270"/>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r>
      <w:tr>
        <w:trPr>
          <w:trHeight w:val="26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22.2</w:t>
            </w:r>
          </w:p>
        </w:tc>
      </w:tr>
      <w:tr>
        <w:trPr>
          <w:trHeight w:val="20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Premium</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562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8"/>
        </w:trPr>
        <w:tc>
          <w:tcPr>
            <w:tcW w:w="5620" w:type="dxa"/>
            <w:vAlign w:val="bottom"/>
          </w:tcPr>
          <w:p>
            <w:pPr>
              <w:ind w:left="500"/>
              <w:spacing w:after="0"/>
              <w:rPr>
                <w:sz w:val="20"/>
                <w:szCs w:val="20"/>
                <w:color w:val="auto"/>
              </w:rPr>
            </w:pPr>
            <w:r>
              <w:rPr>
                <w:rFonts w:ascii="Arial" w:cs="Arial" w:eastAsia="Arial" w:hAnsi="Arial"/>
                <w:sz w:val="14"/>
                <w:szCs w:val="14"/>
                <w:color w:val="auto"/>
              </w:rPr>
              <w:t>Derivatives</w:t>
            </w: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62.2</w:t>
            </w:r>
          </w:p>
        </w:tc>
      </w:tr>
      <w:tr>
        <w:trPr>
          <w:trHeight w:val="24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loss of $2.5 million, a gain of $25.3 million and a loss of $10.3 million on cash flow hedges 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2017 and 2016, respectively, due to hedge ineffectiveness as it was probable that the original forecasted transaction would not occur.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hedges of forecasted transactions, net of tax, resulted in accumulated other comprehensive income (loss) of $(33.0)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$28.5 million at December 31, 2018 and 2017, respectively. We expect to transfer an approximately $11.7 million loss from accumulated OCI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 during the next 12 months when the anticipated transactions actually occur. All anticipated transactions currently being hedged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to occur by the second half of 2023.</w:t>
      </w:r>
    </w:p>
    <w:p>
      <w:pPr>
        <w:spacing w:after="0" w:line="171"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designated as fair value hedges.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ind w:left="40"/>
              <w:spacing w:after="0"/>
              <w:rPr>
                <w:sz w:val="20"/>
                <w:szCs w:val="20"/>
                <w:color w:val="auto"/>
              </w:rPr>
            </w:pPr>
            <w:r>
              <w:rPr>
                <w:rFonts w:ascii="Arial" w:cs="Arial" w:eastAsia="Arial" w:hAnsi="Arial"/>
                <w:sz w:val="14"/>
                <w:szCs w:val="14"/>
                <w:b w:val="1"/>
                <w:bCs w:val="1"/>
                <w:color w:val="auto"/>
              </w:rPr>
              <w:t>Location of Fair Value Hedge Gain (Loss) Recognized in Income</w:t>
            </w:r>
          </w:p>
        </w:tc>
        <w:tc>
          <w:tcPr>
            <w:tcW w:w="10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Gain (Loss) Recognized in Income</w:t>
            </w:r>
          </w:p>
        </w:tc>
        <w:tc>
          <w:tcPr>
            <w:tcW w:w="960" w:type="dxa"/>
            <w:vAlign w:val="bottom"/>
            <w:tcBorders>
              <w:bottom w:val="single" w:sz="8" w:color="auto"/>
            </w:tcBorders>
          </w:tcPr>
          <w:p>
            <w:pPr>
              <w:spacing w:after="0"/>
              <w:rPr>
                <w:sz w:val="17"/>
                <w:szCs w:val="17"/>
                <w:color w:val="auto"/>
              </w:rPr>
            </w:pPr>
          </w:p>
        </w:tc>
      </w:tr>
      <w:tr>
        <w:trPr>
          <w:trHeight w:val="210"/>
        </w:trPr>
        <w:tc>
          <w:tcPr>
            <w:tcW w:w="68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center"/>
              <w:ind w:left="288"/>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64"/>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r>
      <w:tr>
        <w:trPr>
          <w:trHeight w:val="256"/>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r>
    </w:tbl>
    <w:p>
      <w:pPr>
        <w:spacing w:after="0" w:line="161"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The following tables present the location of gains (losses) on the consolidated statements of income related to derivative instruments designated as cash flow hedges.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9"/>
          </w:tcPr>
          <w:p>
            <w:pPr>
              <w:jc w:val="center"/>
              <w:ind w:right="268"/>
              <w:spacing w:after="0"/>
              <w:rPr>
                <w:sz w:val="20"/>
                <w:szCs w:val="20"/>
                <w:color w:val="auto"/>
              </w:rPr>
            </w:pPr>
            <w:r>
              <w:rPr>
                <w:rFonts w:ascii="Arial" w:cs="Arial" w:eastAsia="Arial" w:hAnsi="Arial"/>
                <w:sz w:val="14"/>
                <w:szCs w:val="14"/>
                <w:b w:val="1"/>
                <w:bCs w:val="1"/>
                <w:color w:val="auto"/>
              </w:rPr>
              <w:t>Gain (Loss) Recognized in OCI (Effective Portion)</w:t>
            </w:r>
          </w:p>
        </w:tc>
      </w:tr>
      <w:tr>
        <w:trPr>
          <w:trHeight w:val="210"/>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r>
      <w:tr>
        <w:trPr>
          <w:trHeight w:val="473"/>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gridSpan w:val="9"/>
          </w:tcPr>
          <w:p>
            <w:pPr>
              <w:jc w:val="center"/>
              <w:ind w:right="248"/>
              <w:spacing w:after="0"/>
              <w:rPr>
                <w:sz w:val="20"/>
                <w:szCs w:val="20"/>
                <w:color w:val="auto"/>
              </w:rPr>
            </w:pPr>
            <w:r>
              <w:rPr>
                <w:rFonts w:ascii="Arial" w:cs="Arial" w:eastAsia="Arial" w:hAnsi="Arial"/>
                <w:sz w:val="14"/>
                <w:szCs w:val="14"/>
                <w:b w:val="1"/>
                <w:bCs w:val="1"/>
                <w:color w:val="auto"/>
              </w:rPr>
              <w:t>Gain (Loss) Reclassified From Accumulated</w:t>
            </w: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Location of Cash Flow Hedge Gain (Loss) Reclassified from Accumulated OCI into Income</w:t>
            </w: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8"/>
          </w:tcPr>
          <w:p>
            <w:pPr>
              <w:jc w:val="center"/>
              <w:ind w:left="608"/>
              <w:spacing w:after="0"/>
              <w:rPr>
                <w:sz w:val="20"/>
                <w:szCs w:val="20"/>
                <w:color w:val="auto"/>
              </w:rPr>
            </w:pPr>
            <w:r>
              <w:rPr>
                <w:rFonts w:ascii="Arial" w:cs="Arial" w:eastAsia="Arial" w:hAnsi="Arial"/>
                <w:sz w:val="14"/>
                <w:szCs w:val="14"/>
                <w:b w:val="1"/>
                <w:bCs w:val="1"/>
                <w:color w:val="auto"/>
              </w:rPr>
              <w:t>OCI into Income (Effective Portion)</w:t>
            </w:r>
          </w:p>
        </w:tc>
        <w:tc>
          <w:tcPr>
            <w:tcW w:w="1020" w:type="dxa"/>
            <w:vAlign w:val="bottom"/>
            <w:tcBorders>
              <w:bottom w:val="single" w:sz="8" w:color="auto"/>
            </w:tcBorders>
          </w:tcPr>
          <w:p>
            <w:pPr>
              <w:spacing w:after="0"/>
              <w:rPr>
                <w:sz w:val="17"/>
                <w:szCs w:val="17"/>
                <w:color w:val="auto"/>
              </w:rPr>
            </w:pPr>
          </w:p>
        </w:tc>
      </w:tr>
      <w:tr>
        <w:trPr>
          <w:trHeight w:val="210"/>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net</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w:t>
            </w:r>
          </w:p>
        </w:tc>
      </w:tr>
      <w:tr>
        <w:trPr>
          <w:trHeight w:val="243"/>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1.9</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(165.7)</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20"/>
          </w:cols>
          <w:pgMar w:left="240" w:top="598" w:right="23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60" w:type="dxa"/>
            <w:vAlign w:val="bottom"/>
            <w:gridSpan w:val="9"/>
          </w:tcPr>
          <w:p>
            <w:pPr>
              <w:jc w:val="center"/>
              <w:ind w:right="208"/>
              <w:spacing w:after="0"/>
              <w:rPr>
                <w:sz w:val="20"/>
                <w:szCs w:val="20"/>
                <w:color w:val="auto"/>
              </w:rPr>
            </w:pPr>
            <w:r>
              <w:rPr>
                <w:rFonts w:ascii="Arial" w:cs="Arial" w:eastAsia="Arial" w:hAnsi="Arial"/>
                <w:sz w:val="14"/>
                <w:szCs w:val="14"/>
                <w:b w:val="1"/>
                <w:bCs w:val="1"/>
                <w:color w:val="auto"/>
              </w:rPr>
              <w:t>Gain (Loss) Recognized in Income (Ineffective Portion</w:t>
            </w: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Location of Cash Flow Hedge Gain (Loss) Recognized in Income</w:t>
            </w:r>
          </w:p>
        </w:tc>
        <w:tc>
          <w:tcPr>
            <w:tcW w:w="32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9"/>
          </w:tcPr>
          <w:p>
            <w:pPr>
              <w:jc w:val="center"/>
              <w:ind w:right="208"/>
              <w:spacing w:after="0"/>
              <w:rPr>
                <w:sz w:val="20"/>
                <w:szCs w:val="20"/>
                <w:color w:val="auto"/>
              </w:rPr>
            </w:pPr>
            <w:r>
              <w:rPr>
                <w:rFonts w:ascii="Arial" w:cs="Arial" w:eastAsia="Arial" w:hAnsi="Arial"/>
                <w:sz w:val="14"/>
                <w:szCs w:val="14"/>
                <w:b w:val="1"/>
                <w:bCs w:val="1"/>
                <w:color w:val="auto"/>
              </w:rPr>
              <w:t>and Amount Excluded from Effectiveness Testing)</w:t>
            </w:r>
          </w:p>
        </w:tc>
      </w:tr>
      <w:tr>
        <w:trPr>
          <w:trHeight w:val="210"/>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(19.3)</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0"/>
        </w:trPr>
        <w:tc>
          <w:tcPr>
            <w:tcW w:w="6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gridSpan w:val="8"/>
          </w:tcPr>
          <w:p>
            <w:pPr>
              <w:jc w:val="center"/>
              <w:ind w:left="528"/>
              <w:spacing w:after="0"/>
              <w:rPr>
                <w:sz w:val="20"/>
                <w:szCs w:val="20"/>
                <w:color w:val="auto"/>
              </w:rPr>
            </w:pPr>
            <w:r>
              <w:rPr>
                <w:rFonts w:ascii="Arial" w:cs="Arial" w:eastAsia="Arial" w:hAnsi="Arial"/>
                <w:sz w:val="14"/>
                <w:szCs w:val="14"/>
                <w:b w:val="1"/>
                <w:bCs w:val="1"/>
                <w:color w:val="auto"/>
              </w:rPr>
              <w:t>Gain (Loss) Recognized in Income on</w:t>
            </w:r>
          </w:p>
        </w:tc>
        <w:tc>
          <w:tcPr>
            <w:tcW w:w="92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gridSpan w:val="8"/>
          </w:tcPr>
          <w:p>
            <w:pPr>
              <w:jc w:val="center"/>
              <w:ind w:left="508"/>
              <w:spacing w:after="0"/>
              <w:rPr>
                <w:sz w:val="20"/>
                <w:szCs w:val="20"/>
                <w:color w:val="auto"/>
              </w:rPr>
            </w:pPr>
            <w:r>
              <w:rPr>
                <w:rFonts w:ascii="Arial" w:cs="Arial" w:eastAsia="Arial" w:hAnsi="Arial"/>
                <w:sz w:val="14"/>
                <w:szCs w:val="14"/>
                <w:b w:val="1"/>
                <w:bCs w:val="1"/>
                <w:color w:val="auto"/>
              </w:rPr>
              <w:t>Derivatives (Instruments Not Designated</w:t>
            </w:r>
          </w:p>
        </w:tc>
        <w:tc>
          <w:tcPr>
            <w:tcW w:w="920" w:type="dxa"/>
            <w:vAlign w:val="bottom"/>
          </w:tcPr>
          <w:p>
            <w:pPr>
              <w:spacing w:after="0"/>
              <w:rPr>
                <w:sz w:val="14"/>
                <w:szCs w:val="14"/>
                <w:color w:val="auto"/>
              </w:rPr>
            </w:pPr>
          </w:p>
        </w:tc>
      </w:tr>
      <w:tr>
        <w:trPr>
          <w:trHeight w:val="19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as Hedging Instruments)</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10"/>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net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 net</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the gross derivative assets against gross derivative liabilities. Each instrument is accounted for individually and assets and liabilities are not offset. As of December 31, 2018 and 2017, we had no collateralized derivative contracts. The following tables present both gross information and net information of recognized derivative instruments: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Offset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 Amount</w:t>
            </w: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22.7</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747"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NOTE 22.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Nonqualified Plan: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8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7"/>
                <w:szCs w:val="17"/>
                <w:color w:val="auto"/>
                <w:vertAlign w:val="superscript"/>
              </w:rPr>
              <w:t>(a)</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Money market fund</w:t>
            </w: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40"/>
              <w:spacing w:after="0"/>
              <w:rPr>
                <w:sz w:val="20"/>
                <w:szCs w:val="20"/>
                <w:color w:val="auto"/>
              </w:rPr>
            </w:pPr>
            <w:r>
              <w:rPr>
                <w:rFonts w:ascii="Arial" w:cs="Arial" w:eastAsia="Arial" w:hAnsi="Arial"/>
                <w:sz w:val="14"/>
                <w:szCs w:val="14"/>
                <w:color w:val="auto"/>
              </w:rPr>
              <w:t>Asset held for sale</w:t>
            </w: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financial liability</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312.0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312.0</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174.1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174.1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183.3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424.7</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325.7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4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 xml:space="preserve">Equity securities - </w:t>
      </w:r>
      <w:r>
        <w:rPr>
          <w:rFonts w:ascii="Arial" w:cs="Arial" w:eastAsia="Arial" w:hAnsi="Arial"/>
          <w:sz w:val="18"/>
          <w:szCs w:val="18"/>
          <w:color w:val="auto"/>
        </w:rPr>
        <w:t>The fair value measurement of our equity securities is based on quoted prices that we have the ability to access in public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w:t>
      </w:r>
    </w:p>
    <w:p>
      <w:pPr>
        <w:spacing w:after="0" w:line="10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Onshore/Offshore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the selected discount rate and the overall timing of completion of the project.</w:t>
      </w:r>
    </w:p>
    <w:p>
      <w:pPr>
        <w:spacing w:after="0" w:line="1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mandatorily redeemable financial liability of $312.0 million was recognized as of December 31, 2017 to account for the fair value of the non-controlling interests. During the twelve months ended December 31, 2018 and 2017, we revalued the liability to reflect current expectations about the obligation, which resulted in the recognition of a loss of $322.3 million and $293.7 million, respectively.</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$5.4 million as of December 31, 2018. The fair value measurement is based upon significant unobservable inputs not observable in the market and is consequently classified as a Level 3 fair value measurement.</w:t>
      </w:r>
    </w:p>
    <w:p>
      <w:pPr>
        <w:sectPr>
          <w:pgSz w:w="11900" w:h="16838" w:orient="portrait"/>
          <w:cols w:equalWidth="0" w:num="1">
            <w:col w:w="11420"/>
          </w:cols>
          <w:pgMar w:left="240" w:top="576"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20"/>
          </w:cols>
          <w:pgMar w:left="240" w:top="576" w:right="239" w:bottom="1440" w:gutter="0" w:footer="0" w:header="0"/>
          <w:type w:val="continuous"/>
        </w:sectPr>
      </w:pPr>
    </w:p>
    <w:bookmarkStart w:id="127" w:name="page128"/>
    <w:bookmarkEnd w:id="127"/>
    <w:p>
      <w:pPr>
        <w:ind w:right="920"/>
        <w:spacing w:after="0" w:line="26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Year Ended December 31,</w:t>
            </w:r>
          </w:p>
        </w:tc>
      </w:tr>
      <w:tr>
        <w:trPr>
          <w:trHeight w:val="276"/>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174.8</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Less: Gains (losses) recognized in net interest expense</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(322.3)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(293.7)</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Settlements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156.5</w:t>
            </w:r>
          </w:p>
        </w:tc>
      </w:tr>
      <w:tr>
        <w:trPr>
          <w:trHeight w:val="237"/>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312.0</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The noncontrolling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mezzanine equity at fair value. The fair value measurement is based upon significant unobservable inputs not observable in the market and is consequently classified as a Level 3 fair value measurement. As of December 31, 2018, the fair value of our redeemable noncontrolling interest was $38.5 million. Refer to Note 2 to these consolidated financial statements for additional disclosure related to the acquisition.</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42" w:lineRule="exact"/>
        <w:rPr>
          <w:sz w:val="20"/>
          <w:szCs w:val="20"/>
          <w:color w:val="auto"/>
        </w:rPr>
      </w:pPr>
    </w:p>
    <w:p>
      <w:pPr>
        <w:ind w:right="1400"/>
        <w:spacing w:after="0" w:line="428" w:lineRule="auto"/>
        <w:rPr>
          <w:sz w:val="20"/>
          <w:szCs w:val="20"/>
          <w:color w:val="auto"/>
        </w:rPr>
      </w:pPr>
      <w:r>
        <w:rPr>
          <w:rFonts w:ascii="Arial" w:cs="Arial" w:eastAsia="Arial" w:hAnsi="Arial"/>
          <w:sz w:val="18"/>
          <w:szCs w:val="18"/>
          <w:color w:val="auto"/>
        </w:rPr>
        <w:t xml:space="preserve">Refer to Note 21 to these consolidated financial statements for additional disclosure related to derivative financial instruments. </w:t>
      </w:r>
      <w:r>
        <w:rPr>
          <w:rFonts w:ascii="Arial" w:cs="Arial" w:eastAsia="Arial" w:hAnsi="Arial"/>
          <w:sz w:val="18"/>
          <w:szCs w:val="18"/>
          <w:b w:val="1"/>
          <w:bCs w:val="1"/>
          <w:i w:val="1"/>
          <w:iCs w:val="1"/>
          <w:color w:val="auto"/>
        </w:rPr>
        <w:t>Nonrecurring Fair Value Measurements</w:t>
      </w:r>
    </w:p>
    <w:p>
      <w:pPr>
        <w:ind w:right="40"/>
        <w:spacing w:after="0" w:line="257" w:lineRule="auto"/>
        <w:rPr>
          <w:sz w:val="20"/>
          <w:szCs w:val="20"/>
          <w:color w:val="auto"/>
        </w:rPr>
      </w:pPr>
      <w:r>
        <w:rPr>
          <w:rFonts w:ascii="Arial" w:cs="Arial" w:eastAsia="Arial" w:hAnsi="Arial"/>
          <w:sz w:val="18"/>
          <w:szCs w:val="18"/>
          <w:i w:val="1"/>
          <w:iCs w:val="1"/>
          <w:color w:val="auto"/>
        </w:rPr>
        <w:t xml:space="preserve">Fair value of long-lived, non-financial assets - </w:t>
      </w:r>
      <w:r>
        <w:rPr>
          <w:rFonts w:ascii="Arial" w:cs="Arial" w:eastAsia="Arial" w:hAnsi="Arial"/>
          <w:sz w:val="18"/>
          <w:szCs w:val="18"/>
          <w:color w:val="auto"/>
        </w:rPr>
        <w:t>Long-lived, non-financial assets are measured at fair value on a non-recurring basis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calculating impairment, when the recoverable amount of the assets has been determined to be less than the book value of the assets. The fair value measurements of our long-lived, non-financial assets measured by estimating the amount and timing of net future cash flows, which are Level 3 unobservable inputs, and discounting them using a risk-adjusted rate of interest. Significant changes in actual or estimated cash flows may result in changes to the fair value of long-lived non-financial assets. Refer to Note 17 for additional disclosure related to these asset impairments.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598"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fair value of our Synthetic Bonds, Senior Notes and private placement notes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December 31, 2017</w:t>
            </w:r>
          </w:p>
        </w:tc>
      </w:tr>
      <w:tr>
        <w:trPr>
          <w:trHeight w:val="324"/>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7"/>
                <w:szCs w:val="17"/>
                <w:b w:val="1"/>
                <w:bCs w:val="1"/>
                <w:color w:val="auto"/>
                <w:vertAlign w:val="superscript"/>
              </w:rPr>
              <w:t>(a)</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7"/>
                <w:szCs w:val="17"/>
                <w:b w:val="1"/>
                <w:bCs w:val="1"/>
                <w:color w:val="auto"/>
                <w:vertAlign w:val="superscript"/>
              </w:rPr>
              <w:t>(b)</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7"/>
                <w:szCs w:val="17"/>
                <w:b w:val="1"/>
                <w:bCs w:val="1"/>
                <w:color w:val="auto"/>
                <w:vertAlign w:val="superscript"/>
              </w:rPr>
              <w:t>(a)</w:t>
            </w:r>
          </w:p>
        </w:tc>
        <w:tc>
          <w:tcPr>
            <w:tcW w:w="280" w:type="dxa"/>
            <w:vAlign w:val="bottom"/>
          </w:tcPr>
          <w:p>
            <w:pPr>
              <w:spacing w:after="0"/>
              <w:rPr>
                <w:sz w:val="24"/>
                <w:szCs w:val="24"/>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7"/>
                <w:szCs w:val="17"/>
                <w:b w:val="1"/>
                <w:bCs w:val="1"/>
                <w:color w:val="auto"/>
                <w:vertAlign w:val="superscript"/>
              </w:rPr>
              <w:t>(b)</w:t>
            </w:r>
          </w:p>
        </w:tc>
      </w:tr>
      <w:tr>
        <w:trPr>
          <w:trHeight w:val="250"/>
        </w:trPr>
        <w:tc>
          <w:tcPr>
            <w:tcW w:w="37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Synthetic bonds due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490.9</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502.4</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647.4</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3.45%</w:t>
            </w:r>
          </w:p>
        </w:tc>
        <w:tc>
          <w:tcPr>
            <w:tcW w:w="332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489.7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497.7</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5.00%</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2020</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3.40%</w:t>
            </w:r>
          </w:p>
        </w:tc>
        <w:tc>
          <w:tcPr>
            <w:tcW w:w="3320" w:type="dxa"/>
            <w:vAlign w:val="bottom"/>
          </w:tcPr>
          <w:p>
            <w:pPr>
              <w:ind w:left="20"/>
              <w:spacing w:after="0"/>
              <w:rPr>
                <w:sz w:val="20"/>
                <w:szCs w:val="20"/>
                <w:color w:val="auto"/>
              </w:rPr>
            </w:pPr>
            <w:r>
              <w:rPr>
                <w:rFonts w:ascii="Arial" w:cs="Arial" w:eastAsia="Arial" w:hAnsi="Arial"/>
                <w:sz w:val="14"/>
                <w:szCs w:val="14"/>
                <w:color w:val="auto"/>
              </w:rPr>
              <w:t>Notes due 2022</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171.8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186.9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179.9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199.4</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167.6</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332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149.9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161.4</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2027</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3320" w:type="dxa"/>
            <w:vAlign w:val="bottom"/>
          </w:tcPr>
          <w:p>
            <w:pPr>
              <w:ind w:left="20"/>
              <w:spacing w:after="0"/>
              <w:rPr>
                <w:sz w:val="20"/>
                <w:szCs w:val="20"/>
                <w:color w:val="auto"/>
              </w:rPr>
            </w:pPr>
            <w:r>
              <w:rPr>
                <w:rFonts w:ascii="Arial" w:cs="Arial" w:eastAsia="Arial" w:hAnsi="Arial"/>
                <w:sz w:val="14"/>
                <w:szCs w:val="14"/>
                <w:color w:val="auto"/>
              </w:rPr>
              <w:t>Notes due 2032</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119.9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142.9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3.75%</w:t>
            </w:r>
          </w:p>
        </w:tc>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2033</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w:t>
            </w:r>
          </w:p>
        </w:tc>
      </w:tr>
    </w:tbl>
    <w:p>
      <w:pPr>
        <w:spacing w:after="0" w:line="167" w:lineRule="exact"/>
        <w:rPr>
          <w:sz w:val="20"/>
          <w:szCs w:val="20"/>
          <w:color w:val="auto"/>
        </w:rPr>
      </w:pPr>
    </w:p>
    <w:p>
      <w:pPr>
        <w:ind w:left="340" w:right="760" w:hanging="332"/>
        <w:spacing w:after="0" w:line="258"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Carrying amounts include unamortized debt discounts and premiums and unamortized debt issuance costs of $11.4 million and $13.8 million as of 2018 and 2017, respectively.</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Fair values are based on Level 2 quoted market rates.</w:t>
      </w:r>
    </w:p>
    <w:p>
      <w:pPr>
        <w:spacing w:after="0" w:line="14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convertible bonds, as well as amounts included in other current assets and other current liabilities that meet the definition of financial instruments, approximate fair value.</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collectibility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76"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NOTE 23. QUARTERLY INFORMATION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2018</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6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6"/>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data)</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4th Qtr.</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3rd Qtr.</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2nd Qtr.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1st Qtr.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4th Qtr.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3rd Qtr.</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2nd Qtr.</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1st Qtr.</w:t>
            </w: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3,143.8</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3,388.0</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2,767.7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2,422.2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2,524.6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3,468.2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3,162.0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2,980.3</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94"/>
        </w:trPr>
        <w:tc>
          <w:tcPr>
            <w:tcW w:w="2420" w:type="dxa"/>
            <w:vAlign w:val="bottom"/>
          </w:tcPr>
          <w:p>
            <w:pPr>
              <w:ind w:left="40"/>
              <w:spacing w:after="0"/>
              <w:rPr>
                <w:sz w:val="20"/>
                <w:szCs w:val="20"/>
                <w:color w:val="auto"/>
              </w:rPr>
            </w:pPr>
            <w:r>
              <w:rPr>
                <w:rFonts w:ascii="Arial" w:cs="Arial" w:eastAsia="Arial" w:hAnsi="Arial"/>
                <w:sz w:val="14"/>
                <w:szCs w:val="14"/>
                <w:color w:val="auto"/>
              </w:rPr>
              <w:t>Net income (loss) attributable to</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2420" w:type="dxa"/>
            <w:vAlign w:val="bottom"/>
          </w:tcPr>
          <w:p>
            <w:pPr>
              <w:ind w:left="40"/>
              <w:spacing w:after="0"/>
              <w:rPr>
                <w:sz w:val="20"/>
                <w:szCs w:val="20"/>
                <w:color w:val="auto"/>
              </w:rPr>
            </w:pPr>
            <w:r>
              <w:rPr>
                <w:rFonts w:ascii="Arial" w:cs="Arial" w:eastAsia="Arial" w:hAnsi="Arial"/>
                <w:sz w:val="14"/>
                <w:szCs w:val="14"/>
                <w:color w:val="auto"/>
              </w:rPr>
              <w:t>TechnipFMC plc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(2,259.3)</w:t>
            </w:r>
          </w:p>
        </w:tc>
        <w:tc>
          <w:tcPr>
            <w:tcW w:w="12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136.9</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95.1</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121.0</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Basic earnings (loss) per share </w:t>
            </w:r>
            <w:r>
              <w:rPr>
                <w:rFonts w:ascii="Arial" w:cs="Arial" w:eastAsia="Arial" w:hAnsi="Arial"/>
                <w:sz w:val="17"/>
                <w:szCs w:val="17"/>
                <w:color w:val="auto"/>
                <w:vertAlign w:val="superscript"/>
              </w:rPr>
              <w:t>(1)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310"/>
        </w:trPr>
        <w:tc>
          <w:tcPr>
            <w:tcW w:w="2420" w:type="dxa"/>
            <w:vAlign w:val="bottom"/>
          </w:tcPr>
          <w:p>
            <w:pPr>
              <w:ind w:left="40"/>
              <w:spacing w:after="0"/>
              <w:rPr>
                <w:sz w:val="20"/>
                <w:szCs w:val="20"/>
                <w:color w:val="auto"/>
              </w:rPr>
            </w:pPr>
            <w:r>
              <w:rPr>
                <w:rFonts w:ascii="Arial" w:cs="Arial" w:eastAsia="Arial" w:hAnsi="Arial"/>
                <w:sz w:val="14"/>
                <w:szCs w:val="14"/>
                <w:color w:val="auto"/>
              </w:rPr>
              <w:t xml:space="preserve">Diluted earnings (loss) per share </w:t>
            </w:r>
            <w:r>
              <w:rPr>
                <w:rFonts w:ascii="Arial" w:cs="Arial" w:eastAsia="Arial" w:hAnsi="Arial"/>
                <w:sz w:val="17"/>
                <w:szCs w:val="17"/>
                <w:color w:val="auto"/>
                <w:vertAlign w:val="superscript"/>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0.30</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0.26</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(0.04)</w:t>
            </w:r>
          </w:p>
        </w:tc>
      </w:tr>
    </w:tbl>
    <w:p>
      <w:pPr>
        <w:spacing w:after="0" w:line="127" w:lineRule="exact"/>
        <w:rPr>
          <w:sz w:val="20"/>
          <w:szCs w:val="20"/>
          <w:color w:val="auto"/>
        </w:rPr>
      </w:pPr>
    </w:p>
    <w:p>
      <w:pPr>
        <w:ind w:left="340" w:right="480" w:hanging="332"/>
        <w:spacing w:after="0" w:line="218"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(loss) per share are computed independently for each of the quarters presented. Therefore, the sum of quarterly basic and diluted per share information may not equal annual basic and diluted earnings (loss)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December 31, 2018, and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as of December 31, 2018, that our disclosure controls and procedures were not effective because of the material weaknesses in our internal control over financial reporting described below.</w:t>
      </w:r>
    </w:p>
    <w:p>
      <w:pPr>
        <w:spacing w:after="0" w:line="20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response to the identification of the material weaknesses described below, the Company performed additional analysis and other post-closing procedures. Based upon the work performed, management believes that the Company’s consolidated financial statements for the periods covered by and included in this Annual Report on Form 10-K fairly present in all material respects the Company’s financial position, results of operations, and cash flows, in conformity with U.S. generally accepted accounting principles.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 of Previously Disclosed Material Weaknesses</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As of December 31, 2017, our management concluded that we had not maintained effective internal control over financial reporting in the following areas:</w:t>
      </w:r>
    </w:p>
    <w:p>
      <w:pPr>
        <w:spacing w:after="0" w:line="196" w:lineRule="exact"/>
        <w:rPr>
          <w:sz w:val="20"/>
          <w:szCs w:val="20"/>
          <w:color w:val="auto"/>
        </w:rPr>
      </w:pPr>
    </w:p>
    <w:p>
      <w:pPr>
        <w:ind w:left="860" w:hanging="20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foreign exchange adjustments;</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technology general controls; and</w:t>
      </w:r>
    </w:p>
    <w:p>
      <w:pPr>
        <w:spacing w:after="0" w:line="171" w:lineRule="exact"/>
        <w:rPr>
          <w:rFonts w:ascii="Arial" w:cs="Arial" w:eastAsia="Arial" w:hAnsi="Arial"/>
          <w:sz w:val="18"/>
          <w:szCs w:val="18"/>
          <w:color w:val="auto"/>
        </w:rPr>
      </w:pPr>
    </w:p>
    <w:p>
      <w:pPr>
        <w:ind w:left="940" w:hanging="284"/>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period-end financial reporting.</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material weaknesses related to foreign exchange adjustments and information technology general controls were remediated as of December 31, 2018, as noted below. In addition, we implemented remediation activities in 2018 related to the period-end financial reporting material weakness as described below, but our management has concluded that this material weakness is not yet remediated as of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Adjustments - Remediated as of December 31, 2018</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previously reported that we did not maintain effective controls related to the calculation of temporary gains and losses from natural hedges on certain of our projects and related foreign exchange adjustments, and this control deficiency resulted in the restatement of our interim condensed consolidated financial statements as of, and for, the three-month period ended March 31, 2017. Accordingly, our management determined that this control deficiency constituted a material weakness.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576"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Management took the following corrective actions to address this material weakness:</w:t>
      </w:r>
    </w:p>
    <w:p>
      <w:pPr>
        <w:spacing w:after="0" w:line="225" w:lineRule="exact"/>
        <w:rPr>
          <w:sz w:val="20"/>
          <w:szCs w:val="20"/>
          <w:color w:val="auto"/>
        </w:rPr>
      </w:pPr>
    </w:p>
    <w:p>
      <w:pPr>
        <w:ind w:left="660" w:right="46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Implemented controls designed to ensure the accurate remeasurement of gains and losses due to foreign currency impact for the purpose of external reporting; and</w:t>
      </w:r>
    </w:p>
    <w:p>
      <w:pPr>
        <w:spacing w:after="0" w:line="88"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Revised the internal system for recording and tracking foreign currency gains and losses and for recording asset/liability project positions to ensure that proper remeasurement procedures are performed.</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these remediation activities and based on testing of the new and modified controls for operating effectiveness, our management concluded that we remediated the material weakness related to foreign exchange adjustments as of December 31, 2018 and believes the Company’s consolidated financial statements for the periods covered by and included in this Annual Report on Form 10-K fairly present in all material respects the Company’s financial position, results of operations, and cash flows, in conformity with U.S. generally accepted accounting principles.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Technology General Controls - Remediated as of December 31, 2018</w:t>
      </w:r>
    </w:p>
    <w:p>
      <w:pPr>
        <w:spacing w:after="0" w:line="22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previously reported that we did not design and maintain effective controls over certain information technology (IT) general controls for information systems that are relevant to the preparation of our consolidated financial statements. Specifically, we did not design and maintain:</w:t>
      </w:r>
    </w:p>
    <w:p>
      <w:pPr>
        <w:spacing w:after="0" w:line="1" w:lineRule="exact"/>
        <w:rPr>
          <w:sz w:val="20"/>
          <w:szCs w:val="20"/>
          <w:color w:val="auto"/>
        </w:rPr>
      </w:pPr>
    </w:p>
    <w:p>
      <w:pPr>
        <w:ind w:right="340" w:firstLine="8"/>
        <w:spacing w:after="0" w:line="256" w:lineRule="auto"/>
        <w:tabs>
          <w:tab w:leader="none" w:pos="2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user access controls to ensure appropriate segregation of duties that adequately restrict user and privileged access to certain financial applications, programs, and data to appropriate Company personnel, including direct access to data, and (ii) program change management controls due to privileged access.</w:t>
      </w:r>
    </w:p>
    <w:p>
      <w:pPr>
        <w:spacing w:after="0" w:line="20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These IT deficiencies did not result in a material misstatement of the financial statements; however, the deficiencies, when aggregated, could have impacted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have resulted in misstatements potentially impacting financial statement accounts and disclosures that would not be prevented or detected. Accordingly, our management determined that these deficiencies, in the aggregate, constituted a material weakness.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Management took the following corrective actions to address this material weakness:</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Improved the control activities and procedures associated with user and privilege access to certain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Improved the control activities related to proper segregation of duties related to the affected IT systems;</w:t>
      </w:r>
    </w:p>
    <w:p>
      <w:pPr>
        <w:spacing w:after="0" w:line="117"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Implemented additional business process controls or improving existing business process controls, as needed, to address the risks related to the financial reports and data generated from the affected IT systems; and</w:t>
      </w:r>
    </w:p>
    <w:p>
      <w:pPr>
        <w:spacing w:after="0" w:line="88"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Implemented policies, procedures, and training for control owners regarding internal control processes to mitigate identified risks and maintaining adequate documentation to evidence effective design and operation of such processes.</w:t>
      </w:r>
    </w:p>
    <w:p>
      <w:pPr>
        <w:spacing w:after="0" w:line="19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a result of these remediation activities and based on testing of the new and modified controls for operating effectiveness, our management concluded that we remediated the material weakness related to information technology general controls as of December 31,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Period-End Financial Reporting - Unremediated as of December 31, 2018</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previously reported that in certain regions and locations, we did not design and maintain effective controls over the period-end financial reporting process. We had ineffective controls over the documentation, authorization, and review of journal entries and account reconciliations in certain regions and locations.</w:t>
      </w:r>
    </w:p>
    <w:p>
      <w:pPr>
        <w:spacing w:after="0" w:line="14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These deficiencies did not result in a material misstatement of the financial statements; however, the deficiencies, when aggregated, could have resulted in material misstatements of the consolidated financial statements and disclosures that would not be prevented or detected. Accordingly, our management determined that these deficiencies, in the aggregate, constituted a material weakness.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598"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Management took the following corrective actions to address this material weakness:</w:t>
      </w:r>
    </w:p>
    <w:p>
      <w:pPr>
        <w:spacing w:after="0" w:line="225" w:lineRule="exact"/>
        <w:rPr>
          <w:sz w:val="20"/>
          <w:szCs w:val="20"/>
          <w:color w:val="auto"/>
        </w:rPr>
      </w:pPr>
    </w:p>
    <w:p>
      <w:pPr>
        <w:ind w:left="660" w:right="16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Implemented specific policies and procedures with detailed instructions in order to adequately communicate the requirements around processes and controls;</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Implemented controls over manual journal entries and account reconciliations, including improving the timeliness and effectiveness of our review and approval procedures;</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Communicated the requirements of journal entry and account reconciliation controls to the global accounting and finance organization as part of our global accounting and finance organization training and communication;</w:t>
      </w:r>
    </w:p>
    <w:p>
      <w:pPr>
        <w:spacing w:after="0" w:line="88"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Expanded our corporate finance leadership team by adding individuals with the commensurate knowledge, experience, and training to properly support our financial reporting and accounting functions; and</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Improved the control activities related to account reconciliation and journal entry processes by issuing guidance regarding adequate retention of evidence of control activities.</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implemented the above-described remediation activities in 2018. Based on testing of the new and modified controls in 2018 for operating effectiveness, our management determined that additional remediation activities, as described below, and further testing of new and modified controls were needed for 2019. Our management concluded that we have not yet remediated the material weakness related to period-end financial reporting as of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4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w:t>
      </w:r>
    </w:p>
    <w:p>
      <w:pPr>
        <w:spacing w:after="0" w:line="19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 xml:space="preserve">Management evaluated the effectiveness of our internal control over financial reporting as of December 31, 2018 based on the framework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(2013) issued by the Committee of Sponsoring Organizations of the Treadway Commission (COSO).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this evaluation, management identified material weaknesses in our internal control, as further described below. As a result of these material weaknesses, management has concluded that our internal control over financial reporting was not effective as of December 31, 2018.</w:t>
      </w:r>
    </w:p>
    <w:p>
      <w:pPr>
        <w:spacing w:after="0" w:line="1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concluded that we had not maintained effective internal control over financial reporting in the following areas that are discussed more fully below: (i) period-end financial reporting and (ii) accounting for income taxes. These deficiencies did not result in a material misstatement of the financial statements for the year ended December 31, 2018.</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PricewaterhouseCoopers LLP, an independent registered public accounting firm, as stated in their report included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Material Weaknesses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Period-End Financial Reporting</w:t>
      </w:r>
    </w:p>
    <w:p>
      <w:pPr>
        <w:spacing w:after="0" w:line="22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In certain locations, we did not design and maintain effective controls over the period-end financial reporting process. We have ineffective controls over the documentation, authorization, and review of adjustments to and reconciliations of financial information.</w:t>
      </w:r>
    </w:p>
    <w:p>
      <w:pPr>
        <w:spacing w:after="0" w:line="19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These deficiencies did not result in a material misstatement of the financial statements; however, the deficiencies, when aggregated, could result in a material misstatement of the consolidated financial statements and disclosures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598" w:right="259" w:bottom="1440" w:gutter="0" w:footer="0" w:header="0"/>
        </w:sectPr>
      </w:pPr>
    </w:p>
    <w:bookmarkStart w:id="132" w:name="page133"/>
    <w:bookmarkEnd w:id="132"/>
    <w:p>
      <w:pPr>
        <w:ind w:right="560"/>
        <w:spacing w:after="0" w:line="262" w:lineRule="auto"/>
        <w:rPr>
          <w:sz w:val="20"/>
          <w:szCs w:val="20"/>
          <w:color w:val="auto"/>
        </w:rPr>
      </w:pPr>
      <w:r>
        <w:rPr>
          <w:rFonts w:ascii="Arial" w:cs="Arial" w:eastAsia="Arial" w:hAnsi="Arial"/>
          <w:sz w:val="18"/>
          <w:szCs w:val="18"/>
          <w:color w:val="auto"/>
        </w:rPr>
        <w:t>that would not be prevented or detected. Accordingly, our management has determined these deficiencies, in the aggregate, constitute a material weakness.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Income Taxes</w:t>
      </w:r>
    </w:p>
    <w:p>
      <w:pPr>
        <w:spacing w:after="0" w:line="22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did not design and maintain effective controls over the completeness, accuracy, and presentation of our accounting for income taxes, including the income tax provision and related income tax assets and liabilities.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These deficiencies did not result in a material misstatement of the financial statements; however, the deficiencies, when aggregated, could result in a material misstatement of the consolidated financial statements and disclosures that would not be prevented or detected. Accordingly, our management has determined these deficiencies, in the aggregate, constitute a material weakness.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3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has implemented, and continues to design and implement, certain remediation measures to address the above-described material weaknesses and enhance our system of internal control over financial reporting. Management will not make a final determination that we have completed our remediation of these material weaknesses until we have completed designing and testing of our newly implemented internal controls. Management believes the remediation measures described below will remediate the identified deficiencies and strengthen our internal control over financial reporting. As management continues to evaluate and work to enhance our internal control over financial reporting, it may be determined that additional measures must be taken to address deficiencies or it may be determined that we need to modify or otherwise adjust the remediation measures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Period-End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take corrective actions in 2019 to remediate this material weakness, including:</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Providing additional training and continuous guidance to finance team members on the requirements around control processes;</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Continuously improving the timeliness and effectiveness of our review and approval procedures; and</w:t>
      </w:r>
    </w:p>
    <w:p>
      <w:pPr>
        <w:spacing w:after="0" w:line="238"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Further improving the control activities related to the review of adjustments to and reconciliations of financial information by issuing guidance regarding documentation and adequate retention of evidence of control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is taking corrective actions to address this material weakness by:</w:t>
      </w:r>
    </w:p>
    <w:p>
      <w:pPr>
        <w:spacing w:after="0" w:line="225" w:lineRule="exact"/>
        <w:rPr>
          <w:sz w:val="20"/>
          <w:szCs w:val="20"/>
          <w:color w:val="auto"/>
        </w:rPr>
      </w:pPr>
    </w:p>
    <w:p>
      <w:pPr>
        <w:ind w:left="660" w:right="400" w:hanging="328"/>
        <w:spacing w:after="0" w:line="26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Reinforcing the proper application of the Company’s global taxation tool, implemented in 2018, by issuing detailed instructions and application descriptions;</w:t>
      </w:r>
    </w:p>
    <w:p>
      <w:pPr>
        <w:spacing w:after="0" w:line="115" w:lineRule="exact"/>
        <w:rPr>
          <w:rFonts w:ascii="Arial" w:cs="Arial" w:eastAsia="Arial" w:hAnsi="Arial"/>
          <w:sz w:val="18"/>
          <w:szCs w:val="18"/>
          <w:color w:val="auto"/>
        </w:rPr>
      </w:pPr>
    </w:p>
    <w:p>
      <w:pPr>
        <w:ind w:left="720" w:hanging="388"/>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Providing additional training to finance team members on the adequate use of the global taxation tool;</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the timeliness and effectiveness of our review and approval procedures; and</w:t>
      </w:r>
    </w:p>
    <w:p>
      <w:pPr>
        <w:spacing w:after="0" w:line="130"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the control activities related to our accounting for income taxes by issuing guidance regarding adequate documentation and retention of evidence of control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there were no changes in our internal control over financial reporting during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2018 that have materially affected, or are reasonably likely to materially affect, our internal control over financial reporting.</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598" w:right="2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Within the second quarter 2018, management decided to wind down all business in Iran, with the exception of seeking to collect outstanding receivables for work previously completed in Iran. Since the second quarter 2018, the Company has not and will not accept any new work in Iran.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section 13(r) of the Exchange Act, two of our non-U.S. subsidiaries had contracts with entities in Iran. Pursuant to these contracts, which were terminated in the first and second quarter 2018, we prepared a feasibility study related to improvements to an olefins plant in Iran and also provided engineering and design services for the construction of an ethylene plant in Iran. We have not received any revenue under either of these contracts for the fiscal year ended December 31, 2018. The expected revenue related to services performed prior to contract termination for the olefins plant and the ethylene plant is 260,000 Euros and 4,000,000 Euros, respectively, which is less than 0.1% of our revenues for the fiscal year ended December 31, 2018. We also had a non-binding arrangement with an engineering, procurement, and construction company in Iran for the purpose of jointly bidding and negotiating for work on two projects in Iran, which we terminated in third quarter 2018. No projects were pursued under the non-binding agreement and no revenue was generated.</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had submitted bids to or had discussions with companies in Iran, including some that may be owned or controlled by the Government of Iran, regarding potential future projects in Iran. In third quarter 2018, we withdrew all pending bids in Iran and will not accept a contract award related to such a project.</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00"/>
          </w:cols>
          <w:pgMar w:left="240" w:top="576"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information required by this item regarding our directors and corporate governance is incorporated by reference to the section of TechnipFMC’s definitive Proxy Statement for its 2019 Annual General Meeting of Shareholders entitled “Corporate Governance and Board of Directors.” See Part I, Item 1 “Executive Officers of the Registrant” of this Annual Report on Form 10-K for information regarding our executive officers. The information required by this item regarding compliance by our directors and executive officers with Section 16(a) of the Securities and Exchange Act of 1934, as amended, is incorporated by reference to the section of TechnipFMC’s definitive Proxy Statement for its 2019 Annual General Meeting of Shareholders entitled “Section 16(a) Beneficial Ownership Reporting Compliance.”</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adopted a Code of Business Conduct, which is applicable to our principal executive officer and other senior financial officers, including our principal financial officer, principal accounting officer or controller, and persons performing similar functions. The Code of Business Conduct may be found on our website at www.technipfmc.com under “About us—Governance” and is available in print to shareholders without charge by submitting a request to 11740 Katy Freeway, Energy Tower 3, Houston, Texas 77079, Attention: Corporate Secretary. We intend to satisfy the disclosure requirements under the Securities and Exchange Act of 1934, as amended, regarding an amendment to or waiver from a provision of our Code of Business Conduct by posting such information on our website.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7300" w:type="dxa"/>
            <w:vAlign w:val="bottom"/>
          </w:tcPr>
          <w:p>
            <w:pPr>
              <w:ind w:left="40"/>
              <w:spacing w:after="0"/>
              <w:rPr>
                <w:sz w:val="20"/>
                <w:szCs w:val="20"/>
                <w:color w:val="auto"/>
              </w:rPr>
            </w:pPr>
            <w:r>
              <w:rPr>
                <w:rFonts w:ascii="Arial" w:cs="Arial" w:eastAsia="Arial" w:hAnsi="Arial"/>
                <w:sz w:val="14"/>
                <w:szCs w:val="14"/>
                <w:b w:val="1"/>
                <w:bCs w:val="1"/>
                <w:color w:val="auto"/>
              </w:rPr>
              <w:t>Principal Occupation</w:t>
            </w:r>
          </w:p>
        </w:tc>
      </w:tr>
      <w:tr>
        <w:trPr>
          <w:trHeight w:val="66"/>
        </w:trPr>
        <w:tc>
          <w:tcPr>
            <w:tcW w:w="3900" w:type="dxa"/>
            <w:vAlign w:val="bottom"/>
            <w:tcBorders>
              <w:bottom w:val="single" w:sz="8" w:color="auto"/>
            </w:tcBorders>
          </w:tcPr>
          <w:p>
            <w:pPr>
              <w:spacing w:after="0"/>
              <w:rPr>
                <w:sz w:val="5"/>
                <w:szCs w:val="5"/>
                <w:color w:val="auto"/>
              </w:rPr>
            </w:pPr>
          </w:p>
        </w:tc>
        <w:tc>
          <w:tcPr>
            <w:tcW w:w="220" w:type="dxa"/>
            <w:vAlign w:val="bottom"/>
            <w:tcBorders>
              <w:bottom w:val="single" w:sz="8" w:color="CCECFF"/>
            </w:tcBorders>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r>
      <w:tr>
        <w:trPr>
          <w:trHeight w:val="230"/>
        </w:trPr>
        <w:tc>
          <w:tcPr>
            <w:tcW w:w="4120" w:type="dxa"/>
            <w:vAlign w:val="bottom"/>
            <w:tcBorders>
              <w:bottom w:val="single" w:sz="8" w:color="CCECFF"/>
            </w:tcBorders>
            <w:gridSpan w:val="2"/>
            <w:shd w:val="clear" w:color="auto" w:fill="CCECFF"/>
          </w:tcPr>
          <w:p>
            <w:pPr>
              <w:ind w:left="40"/>
              <w:spacing w:after="0"/>
              <w:rPr>
                <w:sz w:val="20"/>
                <w:szCs w:val="20"/>
                <w:color w:val="auto"/>
              </w:rPr>
            </w:pPr>
            <w:r>
              <w:rPr>
                <w:rFonts w:ascii="Arial" w:cs="Arial" w:eastAsia="Arial" w:hAnsi="Arial"/>
                <w:sz w:val="14"/>
                <w:szCs w:val="14"/>
                <w:color w:val="auto"/>
              </w:rPr>
              <w:t>Thierry Pilenko*</w:t>
            </w:r>
          </w:p>
        </w:tc>
        <w:tc>
          <w:tcPr>
            <w:tcW w:w="73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4"/>
                <w:szCs w:val="14"/>
                <w:color w:val="auto"/>
              </w:rPr>
              <w:t>Executive Chairman of TechnipFMC</w:t>
            </w:r>
          </w:p>
        </w:tc>
      </w:tr>
      <w:tr>
        <w:trPr>
          <w:trHeight w:val="20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Douglas J. Pferdehirt*</w:t>
            </w:r>
          </w:p>
        </w:tc>
        <w:tc>
          <w:tcPr>
            <w:tcW w:w="7300" w:type="dxa"/>
            <w:vAlign w:val="bottom"/>
          </w:tcPr>
          <w:p>
            <w:pPr>
              <w:ind w:left="40"/>
              <w:spacing w:after="0"/>
              <w:rPr>
                <w:sz w:val="20"/>
                <w:szCs w:val="20"/>
                <w:color w:val="auto"/>
              </w:rPr>
            </w:pPr>
            <w:r>
              <w:rPr>
                <w:rFonts w:ascii="Arial" w:cs="Arial" w:eastAsia="Arial" w:hAnsi="Arial"/>
                <w:sz w:val="14"/>
                <w:szCs w:val="14"/>
                <w:color w:val="auto"/>
              </w:rPr>
              <w:t>Chief Executive Officer of TechnipFMC</w:t>
            </w:r>
          </w:p>
        </w:tc>
      </w:tr>
      <w:tr>
        <w:trPr>
          <w:trHeight w:val="66"/>
        </w:trPr>
        <w:tc>
          <w:tcPr>
            <w:tcW w:w="3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300" w:type="dxa"/>
            <w:vAlign w:val="bottom"/>
          </w:tcPr>
          <w:p>
            <w:pPr>
              <w:spacing w:after="0"/>
              <w:rPr>
                <w:sz w:val="5"/>
                <w:szCs w:val="5"/>
                <w:color w:val="auto"/>
              </w:rPr>
            </w:pPr>
          </w:p>
        </w:tc>
      </w:tr>
      <w:tr>
        <w:trPr>
          <w:trHeight w:val="204"/>
        </w:trPr>
        <w:tc>
          <w:tcPr>
            <w:tcW w:w="4120" w:type="dxa"/>
            <w:vAlign w:val="bottom"/>
            <w:gridSpan w:val="2"/>
            <w:shd w:val="clear" w:color="auto" w:fill="CCECFF"/>
          </w:tcPr>
          <w:p>
            <w:pPr>
              <w:ind w:left="40"/>
              <w:spacing w:after="0"/>
              <w:rPr>
                <w:sz w:val="20"/>
                <w:szCs w:val="20"/>
                <w:color w:val="auto"/>
              </w:rPr>
            </w:pPr>
            <w:r>
              <w:rPr>
                <w:rFonts w:ascii="Arial" w:cs="Arial" w:eastAsia="Arial" w:hAnsi="Arial"/>
                <w:sz w:val="14"/>
                <w:szCs w:val="14"/>
                <w:color w:val="auto"/>
              </w:rPr>
              <w:t>Arnaud Caudoux</w:t>
            </w:r>
          </w:p>
        </w:tc>
        <w:tc>
          <w:tcPr>
            <w:tcW w:w="7300" w:type="dxa"/>
            <w:vAlign w:val="bottom"/>
            <w:shd w:val="clear" w:color="auto" w:fill="CCECFF"/>
          </w:tcPr>
          <w:p>
            <w:pPr>
              <w:ind w:left="40"/>
              <w:spacing w:after="0"/>
              <w:rPr>
                <w:sz w:val="20"/>
                <w:szCs w:val="20"/>
                <w:color w:val="auto"/>
              </w:rPr>
            </w:pPr>
            <w:r>
              <w:rPr>
                <w:rFonts w:ascii="Arial" w:cs="Arial" w:eastAsia="Arial" w:hAnsi="Arial"/>
                <w:sz w:val="14"/>
                <w:szCs w:val="14"/>
                <w:color w:val="auto"/>
              </w:rPr>
              <w:t>Deputy Chief Executive Officer of Banque publique d'investissement, a French state-owned investment bank</w:t>
            </w:r>
          </w:p>
        </w:tc>
      </w:tr>
      <w:tr>
        <w:trPr>
          <w:trHeight w:val="66"/>
        </w:trPr>
        <w:tc>
          <w:tcPr>
            <w:tcW w:w="390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7300" w:type="dxa"/>
            <w:vAlign w:val="bottom"/>
            <w:shd w:val="clear" w:color="auto" w:fill="CCECFF"/>
          </w:tcPr>
          <w:p>
            <w:pPr>
              <w:spacing w:after="0"/>
              <w:rPr>
                <w:sz w:val="5"/>
                <w:szCs w:val="5"/>
                <w:color w:val="auto"/>
              </w:rPr>
            </w:pPr>
          </w:p>
        </w:tc>
      </w:tr>
      <w:tr>
        <w:trPr>
          <w:trHeight w:val="20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Pascal Colombani</w:t>
            </w:r>
          </w:p>
        </w:tc>
        <w:tc>
          <w:tcPr>
            <w:tcW w:w="7300" w:type="dxa"/>
            <w:vAlign w:val="bottom"/>
          </w:tcPr>
          <w:p>
            <w:pPr>
              <w:ind w:left="40"/>
              <w:spacing w:after="0"/>
              <w:rPr>
                <w:sz w:val="20"/>
                <w:szCs w:val="20"/>
                <w:color w:val="auto"/>
              </w:rPr>
            </w:pPr>
            <w:r>
              <w:rPr>
                <w:rFonts w:ascii="Arial" w:cs="Arial" w:eastAsia="Arial" w:hAnsi="Arial"/>
                <w:sz w:val="14"/>
                <w:szCs w:val="14"/>
                <w:color w:val="auto"/>
              </w:rPr>
              <w:t>President of TII Strategies SASU, a consulting and investment company</w:t>
            </w:r>
          </w:p>
        </w:tc>
      </w:tr>
      <w:tr>
        <w:trPr>
          <w:trHeight w:val="66"/>
        </w:trPr>
        <w:tc>
          <w:tcPr>
            <w:tcW w:w="3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300" w:type="dxa"/>
            <w:vAlign w:val="bottom"/>
          </w:tcPr>
          <w:p>
            <w:pPr>
              <w:spacing w:after="0"/>
              <w:rPr>
                <w:sz w:val="5"/>
                <w:szCs w:val="5"/>
                <w:color w:val="auto"/>
              </w:rPr>
            </w:pPr>
          </w:p>
        </w:tc>
      </w:tr>
      <w:tr>
        <w:trPr>
          <w:trHeight w:val="194"/>
        </w:trPr>
        <w:tc>
          <w:tcPr>
            <w:tcW w:w="4120" w:type="dxa"/>
            <w:vAlign w:val="bottom"/>
            <w:gridSpan w:val="2"/>
            <w:shd w:val="clear" w:color="auto" w:fill="CCECFF"/>
          </w:tcPr>
          <w:p>
            <w:pPr>
              <w:ind w:left="40"/>
              <w:spacing w:after="0"/>
              <w:rPr>
                <w:sz w:val="20"/>
                <w:szCs w:val="20"/>
                <w:color w:val="auto"/>
              </w:rPr>
            </w:pPr>
            <w:r>
              <w:rPr>
                <w:rFonts w:ascii="Arial" w:cs="Arial" w:eastAsia="Arial" w:hAnsi="Arial"/>
                <w:sz w:val="14"/>
                <w:szCs w:val="14"/>
                <w:color w:val="auto"/>
              </w:rPr>
              <w:t>Marie-Ange Debon</w:t>
            </w:r>
          </w:p>
        </w:tc>
        <w:tc>
          <w:tcPr>
            <w:tcW w:w="7300" w:type="dxa"/>
            <w:vAlign w:val="bottom"/>
            <w:shd w:val="clear" w:color="auto" w:fill="CCECFF"/>
          </w:tcPr>
          <w:p>
            <w:pPr>
              <w:ind w:left="40"/>
              <w:spacing w:after="0"/>
              <w:rPr>
                <w:sz w:val="20"/>
                <w:szCs w:val="20"/>
                <w:color w:val="auto"/>
              </w:rPr>
            </w:pPr>
            <w:r>
              <w:rPr>
                <w:rFonts w:ascii="Arial" w:cs="Arial" w:eastAsia="Arial" w:hAnsi="Arial"/>
                <w:sz w:val="14"/>
                <w:szCs w:val="14"/>
                <w:color w:val="auto"/>
              </w:rPr>
              <w:t>Senior Executive Vice President of the Suez Group, a global water and waste company, managing France, Italy,</w:t>
            </w:r>
          </w:p>
        </w:tc>
      </w:tr>
      <w:tr>
        <w:trPr>
          <w:trHeight w:val="184"/>
        </w:trPr>
        <w:tc>
          <w:tcPr>
            <w:tcW w:w="39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300" w:type="dxa"/>
            <w:vAlign w:val="bottom"/>
            <w:shd w:val="clear" w:color="auto" w:fill="CCECFF"/>
          </w:tcPr>
          <w:p>
            <w:pPr>
              <w:ind w:left="40"/>
              <w:spacing w:after="0"/>
              <w:rPr>
                <w:sz w:val="20"/>
                <w:szCs w:val="20"/>
                <w:color w:val="auto"/>
              </w:rPr>
            </w:pPr>
            <w:r>
              <w:rPr>
                <w:rFonts w:ascii="Arial" w:cs="Arial" w:eastAsia="Arial" w:hAnsi="Arial"/>
                <w:sz w:val="14"/>
                <w:szCs w:val="14"/>
                <w:color w:val="auto"/>
              </w:rPr>
              <w:t>and Central and Eastern Europe operations of the Suez Group</w:t>
            </w:r>
          </w:p>
        </w:tc>
      </w:tr>
      <w:tr>
        <w:trPr>
          <w:trHeight w:val="19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Eleazar de Carvalho Filho</w:t>
            </w:r>
          </w:p>
        </w:tc>
        <w:tc>
          <w:tcPr>
            <w:tcW w:w="7300" w:type="dxa"/>
            <w:vAlign w:val="bottom"/>
          </w:tcPr>
          <w:p>
            <w:pPr>
              <w:ind w:left="40"/>
              <w:spacing w:after="0"/>
              <w:rPr>
                <w:sz w:val="20"/>
                <w:szCs w:val="20"/>
                <w:color w:val="auto"/>
              </w:rPr>
            </w:pPr>
            <w:r>
              <w:rPr>
                <w:rFonts w:ascii="Arial" w:cs="Arial" w:eastAsia="Arial" w:hAnsi="Arial"/>
                <w:sz w:val="14"/>
                <w:szCs w:val="14"/>
                <w:color w:val="auto"/>
              </w:rPr>
              <w:t>Founding Partner of Virtus BR Partners Assessoria Corporativa Ltda. and Founding Partner of Sinfonia</w:t>
            </w:r>
          </w:p>
        </w:tc>
      </w:tr>
      <w:tr>
        <w:trPr>
          <w:trHeight w:val="178"/>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00" w:type="dxa"/>
            <w:vAlign w:val="bottom"/>
          </w:tcPr>
          <w:p>
            <w:pPr>
              <w:ind w:left="40"/>
              <w:spacing w:after="0"/>
              <w:rPr>
                <w:sz w:val="20"/>
                <w:szCs w:val="20"/>
                <w:color w:val="auto"/>
              </w:rPr>
            </w:pPr>
            <w:r>
              <w:rPr>
                <w:rFonts w:ascii="Arial" w:cs="Arial" w:eastAsia="Arial" w:hAnsi="Arial"/>
                <w:sz w:val="14"/>
                <w:szCs w:val="14"/>
                <w:color w:val="auto"/>
              </w:rPr>
              <w:t>Consultoria Financeira e Participações Ltda., financial advisory and consulting firms</w:t>
            </w:r>
          </w:p>
        </w:tc>
      </w:tr>
      <w:tr>
        <w:trPr>
          <w:trHeight w:val="210"/>
        </w:trPr>
        <w:tc>
          <w:tcPr>
            <w:tcW w:w="4120" w:type="dxa"/>
            <w:vAlign w:val="bottom"/>
            <w:gridSpan w:val="2"/>
            <w:shd w:val="clear" w:color="auto" w:fill="CCECFF"/>
          </w:tcPr>
          <w:p>
            <w:pPr>
              <w:ind w:left="40"/>
              <w:spacing w:after="0"/>
              <w:rPr>
                <w:sz w:val="20"/>
                <w:szCs w:val="20"/>
                <w:color w:val="auto"/>
              </w:rPr>
            </w:pPr>
            <w:r>
              <w:rPr>
                <w:rFonts w:ascii="Arial" w:cs="Arial" w:eastAsia="Arial" w:hAnsi="Arial"/>
                <w:sz w:val="14"/>
                <w:szCs w:val="14"/>
                <w:color w:val="auto"/>
              </w:rPr>
              <w:t>Claire S. Farley</w:t>
            </w:r>
          </w:p>
        </w:tc>
        <w:tc>
          <w:tcPr>
            <w:tcW w:w="7300" w:type="dxa"/>
            <w:vAlign w:val="bottom"/>
            <w:shd w:val="clear" w:color="auto" w:fill="CCECFF"/>
          </w:tcPr>
          <w:p>
            <w:pPr>
              <w:ind w:left="40"/>
              <w:spacing w:after="0"/>
              <w:rPr>
                <w:sz w:val="20"/>
                <w:szCs w:val="20"/>
                <w:color w:val="auto"/>
              </w:rPr>
            </w:pPr>
            <w:r>
              <w:rPr>
                <w:rFonts w:ascii="Arial" w:cs="Arial" w:eastAsia="Arial" w:hAnsi="Arial"/>
                <w:sz w:val="14"/>
                <w:szCs w:val="14"/>
                <w:color w:val="auto"/>
              </w:rPr>
              <w:t>Vice Chairman in the Energy &amp; Infrastructure business of KKR &amp; Co. L.P., a global investment firm</w:t>
            </w:r>
          </w:p>
        </w:tc>
      </w:tr>
      <w:tr>
        <w:trPr>
          <w:trHeight w:val="66"/>
        </w:trPr>
        <w:tc>
          <w:tcPr>
            <w:tcW w:w="390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7300" w:type="dxa"/>
            <w:vAlign w:val="bottom"/>
            <w:shd w:val="clear" w:color="auto" w:fill="CCECFF"/>
          </w:tcPr>
          <w:p>
            <w:pPr>
              <w:spacing w:after="0"/>
              <w:rPr>
                <w:sz w:val="5"/>
                <w:szCs w:val="5"/>
                <w:color w:val="auto"/>
              </w:rPr>
            </w:pPr>
          </w:p>
        </w:tc>
      </w:tr>
      <w:tr>
        <w:trPr>
          <w:trHeight w:val="19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Didier Houssin</w:t>
            </w:r>
          </w:p>
        </w:tc>
        <w:tc>
          <w:tcPr>
            <w:tcW w:w="7300" w:type="dxa"/>
            <w:vAlign w:val="bottom"/>
          </w:tcPr>
          <w:p>
            <w:pPr>
              <w:ind w:left="40"/>
              <w:spacing w:after="0"/>
              <w:rPr>
                <w:sz w:val="20"/>
                <w:szCs w:val="20"/>
                <w:color w:val="auto"/>
              </w:rPr>
            </w:pPr>
            <w:r>
              <w:rPr>
                <w:rFonts w:ascii="Arial" w:cs="Arial" w:eastAsia="Arial" w:hAnsi="Arial"/>
                <w:sz w:val="14"/>
                <w:szCs w:val="14"/>
                <w:color w:val="auto"/>
              </w:rPr>
              <w:t>Chairman and Chief Executive Officer of IFP Énergies nouvelles, a research and training company in the fields of</w:t>
            </w:r>
          </w:p>
        </w:tc>
      </w:tr>
      <w:tr>
        <w:trPr>
          <w:trHeight w:val="178"/>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00" w:type="dxa"/>
            <w:vAlign w:val="bottom"/>
          </w:tcPr>
          <w:p>
            <w:pPr>
              <w:ind w:left="40"/>
              <w:spacing w:after="0"/>
              <w:rPr>
                <w:sz w:val="20"/>
                <w:szCs w:val="20"/>
                <w:color w:val="auto"/>
              </w:rPr>
            </w:pPr>
            <w:r>
              <w:rPr>
                <w:rFonts w:ascii="Arial" w:cs="Arial" w:eastAsia="Arial" w:hAnsi="Arial"/>
                <w:sz w:val="14"/>
                <w:szCs w:val="14"/>
                <w:color w:val="auto"/>
              </w:rPr>
              <w:t>energy, transport, and the environment</w:t>
            </w:r>
          </w:p>
        </w:tc>
      </w:tr>
      <w:tr>
        <w:trPr>
          <w:trHeight w:val="200"/>
        </w:trPr>
        <w:tc>
          <w:tcPr>
            <w:tcW w:w="4120" w:type="dxa"/>
            <w:vAlign w:val="bottom"/>
            <w:gridSpan w:val="2"/>
            <w:shd w:val="clear" w:color="auto" w:fill="CCECFF"/>
          </w:tcPr>
          <w:p>
            <w:pPr>
              <w:ind w:left="40"/>
              <w:spacing w:after="0"/>
              <w:rPr>
                <w:sz w:val="20"/>
                <w:szCs w:val="20"/>
                <w:color w:val="auto"/>
              </w:rPr>
            </w:pPr>
            <w:r>
              <w:rPr>
                <w:rFonts w:ascii="Arial" w:cs="Arial" w:eastAsia="Arial" w:hAnsi="Arial"/>
                <w:sz w:val="14"/>
                <w:szCs w:val="14"/>
                <w:color w:val="auto"/>
              </w:rPr>
              <w:t>Peter Mellbye</w:t>
            </w:r>
          </w:p>
        </w:tc>
        <w:tc>
          <w:tcPr>
            <w:tcW w:w="7300" w:type="dxa"/>
            <w:vAlign w:val="bottom"/>
            <w:shd w:val="clear" w:color="auto" w:fill="CCECFF"/>
          </w:tcPr>
          <w:p>
            <w:pPr>
              <w:ind w:left="40"/>
              <w:spacing w:after="0"/>
              <w:rPr>
                <w:sz w:val="20"/>
                <w:szCs w:val="20"/>
                <w:color w:val="auto"/>
              </w:rPr>
            </w:pPr>
            <w:r>
              <w:rPr>
                <w:rFonts w:ascii="Arial" w:cs="Arial" w:eastAsia="Arial" w:hAnsi="Arial"/>
                <w:sz w:val="14"/>
                <w:szCs w:val="14"/>
                <w:color w:val="auto"/>
              </w:rPr>
              <w:t>Former Executive Vice President, Development &amp; Production, International, of Statoil ASA, an international oil</w:t>
            </w:r>
          </w:p>
        </w:tc>
      </w:tr>
      <w:tr>
        <w:trPr>
          <w:trHeight w:val="184"/>
        </w:trPr>
        <w:tc>
          <w:tcPr>
            <w:tcW w:w="39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300" w:type="dxa"/>
            <w:vAlign w:val="bottom"/>
            <w:shd w:val="clear" w:color="auto" w:fill="CCECFF"/>
          </w:tcPr>
          <w:p>
            <w:pPr>
              <w:ind w:left="40"/>
              <w:spacing w:after="0"/>
              <w:rPr>
                <w:sz w:val="20"/>
                <w:szCs w:val="20"/>
                <w:color w:val="auto"/>
              </w:rPr>
            </w:pPr>
            <w:r>
              <w:rPr>
                <w:rFonts w:ascii="Arial" w:cs="Arial" w:eastAsia="Arial" w:hAnsi="Arial"/>
                <w:sz w:val="14"/>
                <w:szCs w:val="14"/>
                <w:color w:val="auto"/>
              </w:rPr>
              <w:t>and gas company</w:t>
            </w:r>
          </w:p>
        </w:tc>
      </w:tr>
      <w:tr>
        <w:trPr>
          <w:trHeight w:val="19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John O’Leary</w:t>
            </w:r>
          </w:p>
        </w:tc>
        <w:tc>
          <w:tcPr>
            <w:tcW w:w="7300" w:type="dxa"/>
            <w:vAlign w:val="bottom"/>
          </w:tcPr>
          <w:p>
            <w:pPr>
              <w:ind w:left="40"/>
              <w:spacing w:after="0"/>
              <w:rPr>
                <w:sz w:val="20"/>
                <w:szCs w:val="20"/>
                <w:color w:val="auto"/>
              </w:rPr>
            </w:pPr>
            <w:r>
              <w:rPr>
                <w:rFonts w:ascii="Arial" w:cs="Arial" w:eastAsia="Arial" w:hAnsi="Arial"/>
                <w:sz w:val="14"/>
                <w:szCs w:val="14"/>
                <w:color w:val="auto"/>
              </w:rPr>
              <w:t>Chief Executive Officer of Strand Energy, a Dubai-based company specializing in business development in the oil</w:t>
            </w:r>
          </w:p>
        </w:tc>
      </w:tr>
      <w:tr>
        <w:trPr>
          <w:trHeight w:val="178"/>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00" w:type="dxa"/>
            <w:vAlign w:val="bottom"/>
          </w:tcPr>
          <w:p>
            <w:pPr>
              <w:ind w:left="40"/>
              <w:spacing w:after="0"/>
              <w:rPr>
                <w:sz w:val="20"/>
                <w:szCs w:val="20"/>
                <w:color w:val="auto"/>
              </w:rPr>
            </w:pPr>
            <w:r>
              <w:rPr>
                <w:rFonts w:ascii="Arial" w:cs="Arial" w:eastAsia="Arial" w:hAnsi="Arial"/>
                <w:sz w:val="14"/>
                <w:szCs w:val="14"/>
                <w:color w:val="auto"/>
              </w:rPr>
              <w:t>and gas industry</w:t>
            </w:r>
          </w:p>
        </w:tc>
      </w:tr>
      <w:tr>
        <w:trPr>
          <w:trHeight w:val="210"/>
        </w:trPr>
        <w:tc>
          <w:tcPr>
            <w:tcW w:w="4120" w:type="dxa"/>
            <w:vAlign w:val="bottom"/>
            <w:gridSpan w:val="2"/>
            <w:shd w:val="clear" w:color="auto" w:fill="CCECFF"/>
          </w:tcPr>
          <w:p>
            <w:pPr>
              <w:ind w:left="40"/>
              <w:spacing w:after="0"/>
              <w:rPr>
                <w:sz w:val="20"/>
                <w:szCs w:val="20"/>
                <w:color w:val="auto"/>
              </w:rPr>
            </w:pPr>
            <w:r>
              <w:rPr>
                <w:rFonts w:ascii="Arial" w:cs="Arial" w:eastAsia="Arial" w:hAnsi="Arial"/>
                <w:sz w:val="14"/>
                <w:szCs w:val="14"/>
                <w:color w:val="auto"/>
              </w:rPr>
              <w:t>Richard A. Pattarozzi</w:t>
            </w:r>
          </w:p>
        </w:tc>
        <w:tc>
          <w:tcPr>
            <w:tcW w:w="7300" w:type="dxa"/>
            <w:vAlign w:val="bottom"/>
            <w:shd w:val="clear" w:color="auto" w:fill="CCECFF"/>
          </w:tcPr>
          <w:p>
            <w:pPr>
              <w:ind w:left="40"/>
              <w:spacing w:after="0"/>
              <w:rPr>
                <w:sz w:val="20"/>
                <w:szCs w:val="20"/>
                <w:color w:val="auto"/>
              </w:rPr>
            </w:pPr>
            <w:r>
              <w:rPr>
                <w:rFonts w:ascii="Arial" w:cs="Arial" w:eastAsia="Arial" w:hAnsi="Arial"/>
                <w:sz w:val="14"/>
                <w:szCs w:val="14"/>
                <w:color w:val="auto"/>
              </w:rPr>
              <w:t>Former Vice President of Shell Oil Company, a producer of oil, gas, and petrochemicals</w:t>
            </w:r>
          </w:p>
        </w:tc>
      </w:tr>
      <w:tr>
        <w:trPr>
          <w:trHeight w:val="66"/>
        </w:trPr>
        <w:tc>
          <w:tcPr>
            <w:tcW w:w="390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7300" w:type="dxa"/>
            <w:vAlign w:val="bottom"/>
            <w:shd w:val="clear" w:color="auto" w:fill="CCECFF"/>
          </w:tcPr>
          <w:p>
            <w:pPr>
              <w:spacing w:after="0"/>
              <w:rPr>
                <w:sz w:val="5"/>
                <w:szCs w:val="5"/>
                <w:color w:val="auto"/>
              </w:rPr>
            </w:pPr>
          </w:p>
        </w:tc>
      </w:tr>
      <w:tr>
        <w:trPr>
          <w:trHeight w:val="20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Kay G. Priestly</w:t>
            </w:r>
          </w:p>
        </w:tc>
        <w:tc>
          <w:tcPr>
            <w:tcW w:w="7300" w:type="dxa"/>
            <w:vAlign w:val="bottom"/>
          </w:tcPr>
          <w:p>
            <w:pPr>
              <w:ind w:left="40"/>
              <w:spacing w:after="0"/>
              <w:rPr>
                <w:sz w:val="20"/>
                <w:szCs w:val="20"/>
                <w:color w:val="auto"/>
              </w:rPr>
            </w:pPr>
            <w:r>
              <w:rPr>
                <w:rFonts w:ascii="Arial" w:cs="Arial" w:eastAsia="Arial" w:hAnsi="Arial"/>
                <w:sz w:val="14"/>
                <w:szCs w:val="14"/>
                <w:color w:val="auto"/>
              </w:rPr>
              <w:t>Former Chief Executive Officer of Turquoise Hill Resources Ltd., an international mining company</w:t>
            </w:r>
          </w:p>
        </w:tc>
      </w:tr>
      <w:tr>
        <w:trPr>
          <w:trHeight w:val="66"/>
        </w:trPr>
        <w:tc>
          <w:tcPr>
            <w:tcW w:w="3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300" w:type="dxa"/>
            <w:vAlign w:val="bottom"/>
          </w:tcPr>
          <w:p>
            <w:pPr>
              <w:spacing w:after="0"/>
              <w:rPr>
                <w:sz w:val="5"/>
                <w:szCs w:val="5"/>
                <w:color w:val="auto"/>
              </w:rPr>
            </w:pPr>
          </w:p>
        </w:tc>
      </w:tr>
      <w:tr>
        <w:trPr>
          <w:trHeight w:val="204"/>
        </w:trPr>
        <w:tc>
          <w:tcPr>
            <w:tcW w:w="4120" w:type="dxa"/>
            <w:vAlign w:val="bottom"/>
            <w:gridSpan w:val="2"/>
            <w:shd w:val="clear" w:color="auto" w:fill="CCECFF"/>
          </w:tcPr>
          <w:p>
            <w:pPr>
              <w:ind w:left="40"/>
              <w:spacing w:after="0"/>
              <w:rPr>
                <w:sz w:val="20"/>
                <w:szCs w:val="20"/>
                <w:color w:val="auto"/>
              </w:rPr>
            </w:pPr>
            <w:r>
              <w:rPr>
                <w:rFonts w:ascii="Arial" w:cs="Arial" w:eastAsia="Arial" w:hAnsi="Arial"/>
                <w:sz w:val="14"/>
                <w:szCs w:val="14"/>
                <w:color w:val="auto"/>
              </w:rPr>
              <w:t>Joseph Rinaldi</w:t>
            </w:r>
          </w:p>
        </w:tc>
        <w:tc>
          <w:tcPr>
            <w:tcW w:w="7300" w:type="dxa"/>
            <w:vAlign w:val="bottom"/>
            <w:shd w:val="clear" w:color="auto" w:fill="CCECFF"/>
          </w:tcPr>
          <w:p>
            <w:pPr>
              <w:ind w:left="40"/>
              <w:spacing w:after="0"/>
              <w:rPr>
                <w:sz w:val="20"/>
                <w:szCs w:val="20"/>
                <w:color w:val="auto"/>
              </w:rPr>
            </w:pPr>
            <w:r>
              <w:rPr>
                <w:rFonts w:ascii="Arial" w:cs="Arial" w:eastAsia="Arial" w:hAnsi="Arial"/>
                <w:sz w:val="14"/>
                <w:szCs w:val="14"/>
                <w:color w:val="auto"/>
              </w:rPr>
              <w:t>Managing Partner of Fennecourt Partners, LLC, an investment management and consulting firm</w:t>
            </w:r>
          </w:p>
        </w:tc>
      </w:tr>
      <w:tr>
        <w:trPr>
          <w:trHeight w:val="66"/>
        </w:trPr>
        <w:tc>
          <w:tcPr>
            <w:tcW w:w="390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7300" w:type="dxa"/>
            <w:vAlign w:val="bottom"/>
            <w:shd w:val="clear" w:color="auto" w:fill="CCECFF"/>
          </w:tcPr>
          <w:p>
            <w:pPr>
              <w:spacing w:after="0"/>
              <w:rPr>
                <w:sz w:val="5"/>
                <w:szCs w:val="5"/>
                <w:color w:val="auto"/>
              </w:rPr>
            </w:pPr>
          </w:p>
        </w:tc>
      </w:tr>
      <w:tr>
        <w:trPr>
          <w:trHeight w:val="19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James M. Ringler</w:t>
            </w:r>
          </w:p>
        </w:tc>
        <w:tc>
          <w:tcPr>
            <w:tcW w:w="7300" w:type="dxa"/>
            <w:vAlign w:val="bottom"/>
          </w:tcPr>
          <w:p>
            <w:pPr>
              <w:ind w:left="40"/>
              <w:spacing w:after="0"/>
              <w:rPr>
                <w:sz w:val="20"/>
                <w:szCs w:val="20"/>
                <w:color w:val="auto"/>
              </w:rPr>
            </w:pPr>
            <w:r>
              <w:rPr>
                <w:rFonts w:ascii="Arial" w:cs="Arial" w:eastAsia="Arial" w:hAnsi="Arial"/>
                <w:sz w:val="14"/>
                <w:szCs w:val="14"/>
                <w:color w:val="auto"/>
              </w:rPr>
              <w:t>Non-executive Chairman of the Board of Teradata Corporation, a provider of database software, data</w:t>
            </w:r>
          </w:p>
        </w:tc>
      </w:tr>
      <w:tr>
        <w:trPr>
          <w:trHeight w:val="172"/>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300" w:type="dxa"/>
            <w:vAlign w:val="bottom"/>
          </w:tcPr>
          <w:p>
            <w:pPr>
              <w:ind w:left="40"/>
              <w:spacing w:after="0"/>
              <w:rPr>
                <w:sz w:val="20"/>
                <w:szCs w:val="20"/>
                <w:color w:val="auto"/>
              </w:rPr>
            </w:pPr>
            <w:r>
              <w:rPr>
                <w:rFonts w:ascii="Arial" w:cs="Arial" w:eastAsia="Arial" w:hAnsi="Arial"/>
                <w:sz w:val="14"/>
                <w:szCs w:val="14"/>
                <w:color w:val="auto"/>
              </w:rPr>
              <w:t>warehousing and analytics</w:t>
            </w:r>
          </w:p>
        </w:tc>
      </w:tr>
    </w:tbl>
    <w:p>
      <w:pPr>
        <w:spacing w:after="0" w:line="179" w:lineRule="exact"/>
        <w:rPr>
          <w:sz w:val="20"/>
          <w:szCs w:val="20"/>
          <w:color w:val="auto"/>
        </w:rPr>
      </w:pPr>
    </w:p>
    <w:p>
      <w:pPr>
        <w:ind w:firstLine="8"/>
        <w:spacing w:after="0" w:line="258" w:lineRule="auto"/>
        <w:tabs>
          <w:tab w:leader="none" w:pos="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previously disclosed, Mr. Pilenko is retiring from the Board of Directors effective May 1, 2019, and Mr. Pferdehirt will assume the role of Chairman of the Board of Directors and serve as Chairman and Chief Executive Officer of TechnipFMC effective May 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3"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 xml:space="preserve">Information required by this item is incorporated herein by reference from the sections entitled “Director Compensation,” “Corporate Governance </w:t>
      </w:r>
      <w:r>
        <w:rPr>
          <w:rFonts w:ascii="Arial" w:cs="Arial" w:eastAsia="Arial" w:hAnsi="Arial"/>
          <w:sz w:val="18"/>
          <w:szCs w:val="18"/>
          <w:i w:val="1"/>
          <w:iCs w:val="1"/>
          <w:color w:val="auto"/>
        </w:rPr>
        <w:t>-</w:t>
      </w:r>
      <w:r>
        <w:rPr>
          <w:rFonts w:ascii="Arial" w:cs="Arial" w:eastAsia="Arial" w:hAnsi="Arial"/>
          <w:sz w:val="18"/>
          <w:szCs w:val="18"/>
          <w:color w:val="auto"/>
        </w:rPr>
        <w:t xml:space="preserve"> Compensation Committee Interlocks and Insider Participation in Compensation Decisions” and “Executive Compensation Discussion and Analysis” of our Proxy Statement for the 2019 Annual General Meeting of Shareholders.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576" w:right="239" w:bottom="1440" w:gutter="0" w:footer="0" w:header="0"/>
        </w:sectPr>
      </w:pPr>
    </w:p>
    <w:bookmarkStart w:id="135" w:name="page136"/>
    <w:bookmarkEnd w:id="135"/>
    <w:p>
      <w:pPr>
        <w:ind w:right="86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2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Information required by this item is incorporated herein by reference from the section entitled “Security Ownership of Our Management and Holders of More Than 5% of our Outstanding Ordinary Shares” of our Proxy Statement for the 2019 Annual General Meeting of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securities authorized for issuance under equity compensation plans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50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 Average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50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Upon Exercise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 Price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50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 Options,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96"/>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 Plans</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 approved by security holders</w:t>
            </w:r>
          </w:p>
        </w:tc>
        <w:tc>
          <w:tcPr>
            <w:tcW w:w="2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4,658.4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33.68</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26,304.6</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2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9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4,658.4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26,304.6</w:t>
            </w:r>
          </w:p>
        </w:tc>
      </w:tr>
      <w:tr>
        <w:trPr>
          <w:trHeight w:val="20"/>
        </w:trPr>
        <w:tc>
          <w:tcPr>
            <w:tcW w:w="50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3"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Information required by this item is incorporated herein by reference from the sections entitled “Transactions with Related Persons” and “Corporate Governance - Director Independence” of our Proxy Statement for the 2019 Annual General Meeting of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Information required by this item is incorporated herein by reference from the sections entitled “Proposal 6 — Ratification of U.S. Auditor” of our Proxy Statement for the 2019 Annual General Meeting of Shareholders.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576"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3"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71" w:lineRule="exact"/>
        <w:rPr>
          <w:rFonts w:ascii="Arial" w:cs="Arial" w:eastAsia="Arial" w:hAnsi="Arial"/>
          <w:sz w:val="18"/>
          <w:szCs w:val="18"/>
          <w:color w:val="auto"/>
        </w:rPr>
      </w:pPr>
    </w:p>
    <w:p>
      <w:pPr>
        <w:ind w:left="1300" w:right="140" w:hanging="644"/>
        <w:spacing w:after="0" w:line="262"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TechnipFMC plc and subsidiaries are filed as part of this Annual Report on Form 10-K under Part II, Item 8:</w:t>
      </w:r>
    </w:p>
    <w:p>
      <w:pPr>
        <w:spacing w:after="0" w:line="142" w:lineRule="exact"/>
        <w:rPr>
          <w:rFonts w:ascii="Arial" w:cs="Arial" w:eastAsia="Arial" w:hAnsi="Arial"/>
          <w:sz w:val="18"/>
          <w:szCs w:val="18"/>
          <w:color w:val="auto"/>
        </w:rPr>
      </w:pPr>
    </w:p>
    <w:p>
      <w:pPr>
        <w:ind w:left="1300" w:right="1300"/>
        <w:spacing w:after="0" w:line="438" w:lineRule="auto"/>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on Consolidated Financial Statements Consolidated Statements of Income for the Years Ended December 31, 2018, 2017 and 2016 Consolidated Statements of Comprehensive Income for the Years Ended December 31, 2018, 2017, and 2016 Consolidated Balance Sheets as of December 31, 2018 and 2017</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2018, 2017 and 2016</w:t>
      </w:r>
    </w:p>
    <w:p>
      <w:pPr>
        <w:spacing w:after="0" w:line="171" w:lineRule="exact"/>
        <w:rPr>
          <w:rFonts w:ascii="Arial" w:cs="Arial" w:eastAsia="Arial" w:hAnsi="Arial"/>
          <w:sz w:val="18"/>
          <w:szCs w:val="18"/>
          <w:color w:val="auto"/>
        </w:rPr>
      </w:pPr>
    </w:p>
    <w:p>
      <w:pPr>
        <w:ind w:left="1300" w:right="660"/>
        <w:spacing w:after="0" w:line="438" w:lineRule="auto"/>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Years Ended December 31, 2018, 2017 and 2016 Notes to Consolidated Financial Statements</w:t>
      </w:r>
    </w:p>
    <w:p>
      <w:pPr>
        <w:ind w:left="1300" w:hanging="644"/>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71" w:lineRule="exact"/>
        <w:rPr>
          <w:rFonts w:ascii="Arial" w:cs="Arial" w:eastAsia="Arial" w:hAnsi="Arial"/>
          <w:sz w:val="18"/>
          <w:szCs w:val="18"/>
          <w:color w:val="auto"/>
        </w:rPr>
      </w:pPr>
    </w:p>
    <w:p>
      <w:pPr>
        <w:jc w:val="both"/>
        <w:ind w:left="1300"/>
        <w:spacing w:after="0" w:line="256" w:lineRule="auto"/>
        <w:rPr>
          <w:rFonts w:ascii="Arial" w:cs="Arial" w:eastAsia="Arial" w:hAnsi="Arial"/>
          <w:sz w:val="18"/>
          <w:szCs w:val="18"/>
          <w:color w:val="auto"/>
        </w:rPr>
      </w:pPr>
      <w:r>
        <w:rPr>
          <w:rFonts w:ascii="Arial" w:cs="Arial" w:eastAsia="Arial" w:hAnsi="Arial"/>
          <w:sz w:val="18"/>
          <w:szCs w:val="18"/>
          <w:color w:val="auto"/>
        </w:rPr>
        <w:t>See “Schedule II - Valuation and Qualifying Accounts” included herein. All other schedules are omitted because of the absence of conditions under which they are required or because information called for is shown in the consolidated financial statements and notes thereto in Part II, Item 8 of this Annual Report on Form 10-K.</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“Index of Exhibits” filed as part of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576" w:right="2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u w:val="single" w:color="auto"/>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Beginning of</w:t>
            </w: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 Expenses</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line="162" w:lineRule="exact"/>
              <w:rPr>
                <w:sz w:val="20"/>
                <w:szCs w:val="20"/>
                <w:color w:val="auto"/>
              </w:rPr>
            </w:pPr>
            <w:r>
              <w:rPr>
                <w:rFonts w:ascii="Arial" w:cs="Arial" w:eastAsia="Arial" w:hAnsi="Arial"/>
                <w:sz w:val="14"/>
                <w:szCs w:val="14"/>
                <w:b w:val="1"/>
                <w:bCs w:val="1"/>
                <w:color w:val="auto"/>
                <w:w w:val="98"/>
              </w:rPr>
              <w:t xml:space="preserve">Accounts </w:t>
            </w:r>
            <w:r>
              <w:rPr>
                <w:rFonts w:ascii="Arial" w:cs="Arial" w:eastAsia="Arial" w:hAnsi="Arial"/>
                <w:sz w:val="17"/>
                <w:szCs w:val="17"/>
                <w:b w:val="1"/>
                <w:bCs w:val="1"/>
                <w:color w:val="auto"/>
                <w:w w:val="98"/>
                <w:vertAlign w:val="superscript"/>
              </w:rPr>
              <w:t>(a)</w:t>
            </w:r>
          </w:p>
        </w:tc>
        <w:tc>
          <w:tcPr>
            <w:tcW w:w="160" w:type="dxa"/>
            <w:vAlign w:val="bottom"/>
          </w:tcPr>
          <w:p>
            <w:pPr>
              <w:spacing w:after="0"/>
              <w:rPr>
                <w:sz w:val="14"/>
                <w:szCs w:val="14"/>
                <w:color w:val="auto"/>
              </w:rPr>
            </w:pPr>
          </w:p>
        </w:tc>
        <w:tc>
          <w:tcPr>
            <w:tcW w:w="1740" w:type="dxa"/>
            <w:vAlign w:val="bottom"/>
            <w:gridSpan w:val="2"/>
          </w:tcPr>
          <w:p>
            <w:pPr>
              <w:jc w:val="center"/>
              <w:ind w:right="260"/>
              <w:spacing w:after="0" w:line="162" w:lineRule="exact"/>
              <w:rPr>
                <w:sz w:val="20"/>
                <w:szCs w:val="20"/>
                <w:color w:val="auto"/>
              </w:rPr>
            </w:pPr>
            <w:r>
              <w:rPr>
                <w:rFonts w:ascii="Arial" w:cs="Arial" w:eastAsia="Arial" w:hAnsi="Arial"/>
                <w:sz w:val="14"/>
                <w:szCs w:val="14"/>
                <w:b w:val="1"/>
                <w:bCs w:val="1"/>
                <w:color w:val="auto"/>
              </w:rPr>
              <w:t xml:space="preserve">and Adjustments </w:t>
            </w:r>
            <w:r>
              <w:rPr>
                <w:rFonts w:ascii="Arial" w:cs="Arial" w:eastAsia="Arial" w:hAnsi="Arial"/>
                <w:sz w:val="17"/>
                <w:szCs w:val="17"/>
                <w:b w:val="1"/>
                <w:bCs w:val="1"/>
                <w:color w:val="auto"/>
                <w:vertAlign w:val="superscript"/>
              </w:rPr>
              <w:t>(b)</w:t>
            </w:r>
          </w:p>
        </w:tc>
        <w:tc>
          <w:tcPr>
            <w:tcW w:w="16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60" w:type="dxa"/>
            <w:vAlign w:val="bottom"/>
            <w:gridSpan w:val="2"/>
          </w:tcPr>
          <w:p>
            <w:pPr>
              <w:ind w:left="24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172.7</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30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60" w:type="dxa"/>
            <w:vAlign w:val="bottom"/>
            <w:gridSpan w:val="2"/>
          </w:tcPr>
          <w:p>
            <w:pPr>
              <w:ind w:left="240"/>
              <w:spacing w:after="0"/>
              <w:rPr>
                <w:sz w:val="20"/>
                <w:szCs w:val="20"/>
                <w:color w:val="auto"/>
              </w:rPr>
            </w:pPr>
            <w:r>
              <w:rPr>
                <w:rFonts w:ascii="Arial" w:cs="Arial" w:eastAsia="Arial" w:hAnsi="Arial"/>
                <w:sz w:val="14"/>
                <w:szCs w:val="14"/>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204"/>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860" w:type="dxa"/>
            <w:vAlign w:val="bottom"/>
            <w:gridSpan w:val="2"/>
          </w:tcPr>
          <w:p>
            <w:pPr>
              <w:ind w:left="24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213.8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683.4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“Additions charged to other accounts” includes translation adjustments.</w:t>
      </w:r>
    </w:p>
    <w:p>
      <w:pPr>
        <w:spacing w:after="0" w:line="163" w:lineRule="exact"/>
        <w:rPr>
          <w:rFonts w:ascii="Arial" w:cs="Arial" w:eastAsia="Arial" w:hAnsi="Arial"/>
          <w:sz w:val="14"/>
          <w:szCs w:val="14"/>
          <w:color w:val="auto"/>
        </w:rPr>
      </w:pPr>
    </w:p>
    <w:p>
      <w:pPr>
        <w:ind w:left="340" w:right="420" w:hanging="332"/>
        <w:spacing w:after="0" w:line="258"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“Deductions and adjustments” includes write-offs, net of recoveries, increases in allowances offset by increases to deferred tax assets, and reductions in the allowances credited to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576"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16.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219"/>
          </w:cols>
          <w:pgMar w:left="240" w:top="576" w:right="1440" w:bottom="1440" w:gutter="0" w:footer="0" w:header="0"/>
        </w:sectPr>
      </w:pPr>
    </w:p>
    <w:bookmarkStart w:id="139" w:name="page140"/>
    <w:bookmarkEnd w:id="139"/>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OF EXHIBITS</w:t>
      </w:r>
    </w:p>
    <w:p>
      <w:pPr>
        <w:sectPr>
          <w:pgSz w:w="11900" w:h="16900" w:orient="portrait"/>
          <w:cols w:equalWidth="0" w:num="1">
            <w:col w:w="11260"/>
          </w:cols>
          <w:pgMar w:left="240" w:top="1332" w:right="399" w:bottom="0" w:gutter="0" w:footer="0" w:header="0"/>
        </w:sect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26035</wp:posOffset>
            </wp:positionV>
            <wp:extent cx="7143750" cy="3517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750" cy="351790"/>
                    </a:xfrm>
                    <a:prstGeom prst="rect">
                      <a:avLst/>
                    </a:prstGeom>
                    <a:noFill/>
                  </pic:spPr>
                </pic:pic>
              </a:graphicData>
            </a:graphic>
          </wp:anchor>
        </w:drawing>
      </w:r>
    </w:p>
    <w:p>
      <w:pPr>
        <w:spacing w:after="0" w:line="67" w:lineRule="exact"/>
        <w:rPr>
          <w:sz w:val="20"/>
          <w:szCs w:val="20"/>
          <w:color w:val="auto"/>
        </w:rPr>
      </w:pPr>
    </w:p>
    <w:p>
      <w:pPr>
        <w:ind w:right="100"/>
        <w:spacing w:after="0" w:line="250" w:lineRule="auto"/>
        <w:rPr>
          <w:rFonts w:ascii="Arial" w:cs="Arial" w:eastAsia="Arial" w:hAnsi="Arial"/>
          <w:sz w:val="14"/>
          <w:szCs w:val="14"/>
          <w:u w:val="single" w:color="auto"/>
          <w:color w:val="0000FF"/>
        </w:rPr>
      </w:pPr>
      <w:hyperlink r:id="rId88">
        <w:r>
          <w:rPr>
            <w:rFonts w:ascii="Arial" w:cs="Arial" w:eastAsia="Arial" w:hAnsi="Arial"/>
            <w:sz w:val="14"/>
            <w:szCs w:val="14"/>
            <w:u w:val="single" w:color="auto"/>
            <w:color w:val="0000FF"/>
          </w:rPr>
          <w:t>Business Combination Agreement, dated as of June 14, 2016, by and among FMC Technologies, Inc., TechnipFMC plc (f/k/a FMC Technologies SIS</w:t>
        </w:r>
      </w:hyperlink>
      <w:r>
        <w:rPr>
          <w:rFonts w:ascii="Arial" w:cs="Arial" w:eastAsia="Arial" w:hAnsi="Arial"/>
          <w:sz w:val="14"/>
          <w:szCs w:val="14"/>
          <w:u w:val="single" w:color="auto"/>
          <w:color w:val="0000FF"/>
        </w:rPr>
        <w:t xml:space="preserve"> </w:t>
      </w:r>
      <w:hyperlink r:id="rId88">
        <w:r>
          <w:rPr>
            <w:rFonts w:ascii="Arial" w:cs="Arial" w:eastAsia="Arial" w:hAnsi="Arial"/>
            <w:sz w:val="14"/>
            <w:szCs w:val="14"/>
            <w:u w:val="single" w:color="auto"/>
            <w:color w:val="0000FF"/>
          </w:rPr>
          <w:t>Limited) and Technip S.A. (incorporated by reference from Annex A-1 to the Registration Statement on Form S-4, as amended, filed on October 21, 2016)</w:t>
        </w:r>
      </w:hyperlink>
      <w:r>
        <w:rPr>
          <w:rFonts w:ascii="Arial" w:cs="Arial" w:eastAsia="Arial" w:hAnsi="Arial"/>
          <w:sz w:val="14"/>
          <w:szCs w:val="14"/>
          <w:u w:val="single" w:color="auto"/>
          <w:color w:val="0000FF"/>
        </w:rPr>
        <w:t xml:space="preserve"> </w:t>
      </w:r>
      <w:hyperlink r:id="rId88">
        <w:r>
          <w:rPr>
            <w:rFonts w:ascii="Arial" w:cs="Arial" w:eastAsia="Arial" w:hAnsi="Arial"/>
            <w:sz w:val="14"/>
            <w:szCs w:val="14"/>
            <w:u w:val="single" w:color="auto"/>
            <w:color w:val="0000FF"/>
          </w:rPr>
          <w:t>(File No. 333-213067)</w:t>
        </w:r>
      </w:hyperlink>
    </w:p>
    <w:p>
      <w:pPr>
        <w:spacing w:after="0" w:line="20" w:lineRule="exact"/>
        <w:rPr>
          <w:rFonts w:ascii="Arial" w:cs="Arial" w:eastAsia="Arial" w:hAnsi="Arial"/>
          <w:sz w:val="14"/>
          <w:szCs w:val="14"/>
          <w:u w:val="single" w:color="auto"/>
          <w:color w:val="0000FF"/>
        </w:rPr>
      </w:pPr>
    </w:p>
    <w:p>
      <w:pPr>
        <w:sectPr>
          <w:pgSz w:w="11900" w:h="16900" w:orient="portrait"/>
          <w:cols w:equalWidth="0" w:num="2">
            <w:col w:w="660" w:space="720"/>
            <w:col w:w="9880"/>
          </w:cols>
          <w:pgMar w:left="240" w:top="1332" w:right="39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80" w:type="dxa"/>
            <w:vAlign w:val="bottom"/>
          </w:tcPr>
          <w:p>
            <w:pPr>
              <w:ind w:left="40"/>
              <w:spacing w:after="0"/>
              <w:rPr>
                <w:sz w:val="20"/>
                <w:szCs w:val="20"/>
                <w:color w:val="auto"/>
              </w:rPr>
            </w:pPr>
            <w:r>
              <w:rPr>
                <w:rFonts w:ascii="Arial" w:cs="Arial" w:eastAsia="Arial" w:hAnsi="Arial"/>
                <w:sz w:val="14"/>
                <w:szCs w:val="14"/>
                <w:color w:val="auto"/>
              </w:rPr>
              <w:t>2.1.a</w:t>
            </w:r>
          </w:p>
        </w:tc>
        <w:tc>
          <w:tcPr>
            <w:tcW w:w="9660" w:type="dxa"/>
            <w:vAlign w:val="bottom"/>
            <w:tcBorders>
              <w:bottom w:val="single" w:sz="8" w:color="0000FF"/>
            </w:tcBorders>
            <w:gridSpan w:val="38"/>
          </w:tcPr>
          <w:p>
            <w:pPr>
              <w:spacing w:after="0"/>
              <w:rPr>
                <w:rFonts w:ascii="Arial" w:cs="Arial" w:eastAsia="Arial" w:hAnsi="Arial"/>
                <w:sz w:val="14"/>
                <w:szCs w:val="14"/>
                <w:color w:val="0000FF"/>
              </w:rPr>
            </w:pPr>
            <w:hyperlink r:id="rId89">
              <w:r>
                <w:rPr>
                  <w:rFonts w:ascii="Arial" w:cs="Arial" w:eastAsia="Arial" w:hAnsi="Arial"/>
                  <w:sz w:val="14"/>
                  <w:szCs w:val="14"/>
                  <w:color w:val="0000FF"/>
                </w:rPr>
                <w:t>Amendment No. 1 to Business Combination Agreement, dated as of December 14, 2016, by and among FMC Technologies, Inc., TechnipFMC plc (f/k/a</w:t>
              </w:r>
            </w:hyperlink>
          </w:p>
        </w:tc>
        <w:tc>
          <w:tcPr>
            <w:tcW w:w="220" w:type="dxa"/>
            <w:vAlign w:val="bottom"/>
            <w:gridSpan w:val="7"/>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89">
              <w:r>
                <w:rPr>
                  <w:rFonts w:ascii="Arial" w:cs="Arial" w:eastAsia="Arial" w:hAnsi="Arial"/>
                  <w:sz w:val="14"/>
                  <w:szCs w:val="14"/>
                  <w:color w:val="0000FF"/>
                </w:rPr>
                <w:t>TechnipFMC Limited) and Technip S.A. (incorporated by reference from Exhibit 2.1 to the Current Report on Form 8-K filed on December 14, 2016) (File</w:t>
              </w:r>
            </w:hyperlink>
          </w:p>
        </w:tc>
      </w:tr>
      <w:tr>
        <w:trPr>
          <w:trHeight w:val="142"/>
        </w:trPr>
        <w:tc>
          <w:tcPr>
            <w:tcW w:w="1380" w:type="dxa"/>
            <w:vAlign w:val="bottom"/>
          </w:tcPr>
          <w:p>
            <w:pPr>
              <w:spacing w:after="0"/>
              <w:rPr>
                <w:sz w:val="12"/>
                <w:szCs w:val="12"/>
                <w:color w:val="auto"/>
              </w:rPr>
            </w:pPr>
          </w:p>
        </w:tc>
        <w:tc>
          <w:tcPr>
            <w:tcW w:w="9660" w:type="dxa"/>
            <w:vAlign w:val="bottom"/>
            <w:tcBorders>
              <w:top w:val="single" w:sz="8" w:color="0000FF"/>
            </w:tcBorders>
            <w:gridSpan w:val="38"/>
          </w:tcPr>
          <w:p>
            <w:pPr>
              <w:spacing w:after="0" w:line="142" w:lineRule="exact"/>
              <w:rPr>
                <w:rFonts w:ascii="Arial" w:cs="Arial" w:eastAsia="Arial" w:hAnsi="Arial"/>
                <w:sz w:val="14"/>
                <w:szCs w:val="14"/>
                <w:color w:val="0000FF"/>
              </w:rPr>
            </w:pPr>
            <w:hyperlink r:id="rId89">
              <w:r>
                <w:rPr>
                  <w:rFonts w:ascii="Arial" w:cs="Arial" w:eastAsia="Arial" w:hAnsi="Arial"/>
                  <w:sz w:val="14"/>
                  <w:szCs w:val="14"/>
                  <w:color w:val="0000FF"/>
                </w:rPr>
                <w:t>No. 333-213067)</w:t>
              </w:r>
            </w:hyperlink>
          </w:p>
        </w:tc>
        <w:tc>
          <w:tcPr>
            <w:tcW w:w="220" w:type="dxa"/>
            <w:vAlign w:val="bottom"/>
            <w:gridSpan w:val="7"/>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2.3</w:t>
            </w:r>
          </w:p>
        </w:tc>
        <w:tc>
          <w:tcPr>
            <w:tcW w:w="9660" w:type="dxa"/>
            <w:vAlign w:val="bottom"/>
            <w:tcBorders>
              <w:bottom w:val="single" w:sz="8" w:color="0000FF"/>
            </w:tcBorders>
            <w:gridSpan w:val="38"/>
            <w:shd w:val="clear" w:color="auto" w:fill="CCEEFF"/>
          </w:tcPr>
          <w:p>
            <w:pPr>
              <w:spacing w:after="0"/>
              <w:rPr>
                <w:rFonts w:ascii="Arial" w:cs="Arial" w:eastAsia="Arial" w:hAnsi="Arial"/>
                <w:sz w:val="14"/>
                <w:szCs w:val="14"/>
                <w:color w:val="0000FF"/>
              </w:rPr>
            </w:pPr>
            <w:hyperlink r:id="rId90">
              <w:r>
                <w:rPr>
                  <w:rFonts w:ascii="Arial" w:cs="Arial" w:eastAsia="Arial" w:hAnsi="Arial"/>
                  <w:sz w:val="14"/>
                  <w:szCs w:val="14"/>
                  <w:color w:val="0000FF"/>
                </w:rPr>
                <w:t>Joinder Agreement, dated as of December 14, 2016, by and among FMC Technologies, Inc., TechnipFMC plc (f/k/a TechnipFMC Limited), Technip S.A.,</w:t>
              </w:r>
            </w:hyperlink>
          </w:p>
        </w:tc>
        <w:tc>
          <w:tcPr>
            <w:tcW w:w="220" w:type="dxa"/>
            <w:vAlign w:val="bottom"/>
            <w:tcBorders>
              <w:bottom w:val="single" w:sz="8" w:color="CCEEFF"/>
            </w:tcBorders>
            <w:gridSpan w:val="7"/>
            <w:shd w:val="clear" w:color="auto" w:fill="CCEEFF"/>
          </w:tcPr>
          <w:p>
            <w:pPr>
              <w:spacing w:after="0"/>
              <w:rPr>
                <w:sz w:val="15"/>
                <w:szCs w:val="15"/>
                <w:color w:val="auto"/>
              </w:rPr>
            </w:pPr>
          </w:p>
        </w:tc>
      </w:tr>
      <w:tr>
        <w:trPr>
          <w:trHeight w:val="142"/>
        </w:trPr>
        <w:tc>
          <w:tcPr>
            <w:tcW w:w="1380" w:type="dxa"/>
            <w:vAlign w:val="bottom"/>
            <w:tcBorders>
              <w:bottom w:val="single" w:sz="8" w:color="CCEEFF"/>
            </w:tcBorders>
            <w:shd w:val="clear" w:color="auto" w:fill="CCEEFF"/>
          </w:tcPr>
          <w:p>
            <w:pPr>
              <w:spacing w:after="0"/>
              <w:rPr>
                <w:sz w:val="12"/>
                <w:szCs w:val="12"/>
                <w:color w:val="auto"/>
              </w:rPr>
            </w:pPr>
          </w:p>
        </w:tc>
        <w:tc>
          <w:tcPr>
            <w:tcW w:w="9600" w:type="dxa"/>
            <w:vAlign w:val="bottom"/>
            <w:tcBorders>
              <w:bottom w:val="single" w:sz="8" w:color="0000FF"/>
            </w:tcBorders>
            <w:gridSpan w:val="35"/>
            <w:shd w:val="clear" w:color="auto" w:fill="CCEEFF"/>
          </w:tcPr>
          <w:p>
            <w:pPr>
              <w:spacing w:after="0" w:line="142" w:lineRule="exact"/>
              <w:rPr>
                <w:rFonts w:ascii="Arial" w:cs="Arial" w:eastAsia="Arial" w:hAnsi="Arial"/>
                <w:sz w:val="14"/>
                <w:szCs w:val="14"/>
                <w:color w:val="0000FF"/>
              </w:rPr>
            </w:pPr>
            <w:hyperlink r:id="rId90">
              <w:r>
                <w:rPr>
                  <w:rFonts w:ascii="Arial" w:cs="Arial" w:eastAsia="Arial" w:hAnsi="Arial"/>
                  <w:sz w:val="14"/>
                  <w:szCs w:val="14"/>
                  <w:color w:val="0000FF"/>
                </w:rPr>
                <w:t>TechnipFMC Holdings Limited, TechnipFMC US Holdings LLC and TechnipFMC US Merger Sub LLC (incorporated by reference from Exhibit 2.2 to the</w:t>
              </w:r>
            </w:hyperlink>
          </w:p>
        </w:tc>
        <w:tc>
          <w:tcPr>
            <w:tcW w:w="280" w:type="dxa"/>
            <w:vAlign w:val="bottom"/>
            <w:tcBorders>
              <w:bottom w:val="single" w:sz="8" w:color="CCEEFF"/>
            </w:tcBorders>
            <w:gridSpan w:val="10"/>
            <w:shd w:val="clear" w:color="auto" w:fill="CCEEFF"/>
          </w:tcPr>
          <w:p>
            <w:pPr>
              <w:spacing w:after="0"/>
              <w:rPr>
                <w:sz w:val="12"/>
                <w:szCs w:val="12"/>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5100" w:type="dxa"/>
            <w:vAlign w:val="bottom"/>
            <w:tcBorders>
              <w:bottom w:val="single" w:sz="8" w:color="0000FF"/>
            </w:tcBorders>
            <w:gridSpan w:val="12"/>
            <w:shd w:val="clear" w:color="auto" w:fill="CCEEFF"/>
          </w:tcPr>
          <w:p>
            <w:pPr>
              <w:spacing w:after="0" w:line="142" w:lineRule="exact"/>
              <w:rPr>
                <w:rFonts w:ascii="Arial" w:cs="Arial" w:eastAsia="Arial" w:hAnsi="Arial"/>
                <w:sz w:val="14"/>
                <w:szCs w:val="14"/>
                <w:color w:val="0000FF"/>
              </w:rPr>
            </w:pPr>
            <w:hyperlink r:id="rId90">
              <w:r>
                <w:rPr>
                  <w:rFonts w:ascii="Arial" w:cs="Arial" w:eastAsia="Arial" w:hAnsi="Arial"/>
                  <w:sz w:val="14"/>
                  <w:szCs w:val="14"/>
                  <w:color w:val="0000FF"/>
                </w:rPr>
                <w:t>Current Report on Form 8-K filed on December 14, 2016) (File No. 333-213067)</w:t>
              </w:r>
            </w:hyperlink>
          </w:p>
        </w:tc>
        <w:tc>
          <w:tcPr>
            <w:tcW w:w="4780" w:type="dxa"/>
            <w:vAlign w:val="bottom"/>
            <w:tcBorders>
              <w:bottom w:val="single" w:sz="8" w:color="CCEEFF"/>
            </w:tcBorders>
            <w:gridSpan w:val="33"/>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3.1</w:t>
            </w:r>
          </w:p>
        </w:tc>
        <w:tc>
          <w:tcPr>
            <w:tcW w:w="9880" w:type="dxa"/>
            <w:vAlign w:val="bottom"/>
            <w:gridSpan w:val="45"/>
          </w:tcPr>
          <w:p>
            <w:pPr>
              <w:spacing w:after="0"/>
              <w:rPr>
                <w:rFonts w:ascii="Arial" w:cs="Arial" w:eastAsia="Arial" w:hAnsi="Arial"/>
                <w:sz w:val="14"/>
                <w:szCs w:val="14"/>
                <w:color w:val="0000FF"/>
              </w:rPr>
            </w:pPr>
            <w:hyperlink r:id="rId91">
              <w:r>
                <w:rPr>
                  <w:rFonts w:ascii="Arial" w:cs="Arial" w:eastAsia="Arial" w:hAnsi="Arial"/>
                  <w:sz w:val="14"/>
                  <w:szCs w:val="14"/>
                  <w:color w:val="0000FF"/>
                </w:rPr>
                <w:t>Articles of Association of TechnipFMC plc (incorporated by reference from Exhibit 3.1 to the Current Report on Form 8-K filed on January 17, 2017) (File</w:t>
              </w:r>
            </w:hyperlink>
          </w:p>
        </w:tc>
      </w:tr>
      <w:tr>
        <w:trPr>
          <w:trHeight w:val="142"/>
        </w:trPr>
        <w:tc>
          <w:tcPr>
            <w:tcW w:w="1380" w:type="dxa"/>
            <w:vAlign w:val="bottom"/>
          </w:tcPr>
          <w:p>
            <w:pPr>
              <w:spacing w:after="0"/>
              <w:rPr>
                <w:sz w:val="12"/>
                <w:szCs w:val="12"/>
                <w:color w:val="auto"/>
              </w:rPr>
            </w:pPr>
          </w:p>
        </w:tc>
        <w:tc>
          <w:tcPr>
            <w:tcW w:w="9660" w:type="dxa"/>
            <w:vAlign w:val="bottom"/>
            <w:tcBorders>
              <w:top w:val="single" w:sz="8" w:color="0000FF"/>
            </w:tcBorders>
            <w:gridSpan w:val="38"/>
          </w:tcPr>
          <w:p>
            <w:pPr>
              <w:spacing w:after="0" w:line="142" w:lineRule="exact"/>
              <w:rPr>
                <w:rFonts w:ascii="Arial" w:cs="Arial" w:eastAsia="Arial" w:hAnsi="Arial"/>
                <w:sz w:val="14"/>
                <w:szCs w:val="14"/>
                <w:color w:val="0000FF"/>
              </w:rPr>
            </w:pPr>
            <w:hyperlink r:id="rId91">
              <w:r>
                <w:rPr>
                  <w:rFonts w:ascii="Arial" w:cs="Arial" w:eastAsia="Arial" w:hAnsi="Arial"/>
                  <w:sz w:val="14"/>
                  <w:szCs w:val="14"/>
                  <w:color w:val="0000FF"/>
                </w:rPr>
                <w:t>No. 001-37983)</w:t>
              </w:r>
            </w:hyperlink>
          </w:p>
        </w:tc>
        <w:tc>
          <w:tcPr>
            <w:tcW w:w="220" w:type="dxa"/>
            <w:vAlign w:val="bottom"/>
            <w:gridSpan w:val="7"/>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4.1</w:t>
            </w:r>
          </w:p>
        </w:tc>
        <w:tc>
          <w:tcPr>
            <w:tcW w:w="9880" w:type="dxa"/>
            <w:vAlign w:val="bottom"/>
            <w:gridSpan w:val="45"/>
            <w:shd w:val="clear" w:color="auto" w:fill="CCEEFF"/>
          </w:tcPr>
          <w:p>
            <w:pPr>
              <w:spacing w:after="0"/>
              <w:rPr>
                <w:rFonts w:ascii="Arial" w:cs="Arial" w:eastAsia="Arial" w:hAnsi="Arial"/>
                <w:sz w:val="14"/>
                <w:szCs w:val="14"/>
                <w:color w:val="0000FF"/>
              </w:rPr>
            </w:pPr>
            <w:hyperlink r:id="rId92">
              <w:r>
                <w:rPr>
                  <w:rFonts w:ascii="Arial" w:cs="Arial" w:eastAsia="Arial" w:hAnsi="Arial"/>
                  <w:sz w:val="14"/>
                  <w:szCs w:val="14"/>
                  <w:color w:val="0000FF"/>
                </w:rPr>
                <w:t>Indenture, dated March 29, 2017, between TechnipFMC plc and U.S. Bank National Association, as trustee (incorporated by reference from Exhibit 4.1 to</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41"/>
            <w:shd w:val="clear" w:color="auto" w:fill="CCEEFF"/>
          </w:tcPr>
          <w:p>
            <w:pPr>
              <w:spacing w:after="0" w:line="142" w:lineRule="exact"/>
              <w:rPr>
                <w:rFonts w:ascii="Arial" w:cs="Arial" w:eastAsia="Arial" w:hAnsi="Arial"/>
                <w:sz w:val="14"/>
                <w:szCs w:val="14"/>
                <w:color w:val="0000FF"/>
              </w:rPr>
            </w:pPr>
            <w:hyperlink r:id="rId92">
              <w:r>
                <w:rPr>
                  <w:rFonts w:ascii="Arial" w:cs="Arial" w:eastAsia="Arial" w:hAnsi="Arial"/>
                  <w:sz w:val="14"/>
                  <w:szCs w:val="14"/>
                  <w:color w:val="0000FF"/>
                </w:rPr>
                <w:t>the Current Report on Form 8-K filed on March 30, 2017) (File No. 001-37983)</w:t>
              </w:r>
            </w:hyperlink>
          </w:p>
        </w:tc>
        <w:tc>
          <w:tcPr>
            <w:tcW w:w="140" w:type="dxa"/>
            <w:vAlign w:val="bottom"/>
            <w:tcBorders>
              <w:top w:val="single" w:sz="8" w:color="CCEEFF"/>
            </w:tcBorders>
            <w:gridSpan w:val="4"/>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4.1.a</w:t>
            </w:r>
          </w:p>
        </w:tc>
        <w:tc>
          <w:tcPr>
            <w:tcW w:w="9660" w:type="dxa"/>
            <w:vAlign w:val="bottom"/>
            <w:tcBorders>
              <w:bottom w:val="single" w:sz="8" w:color="0000FF"/>
            </w:tcBorders>
            <w:gridSpan w:val="38"/>
          </w:tcPr>
          <w:p>
            <w:pPr>
              <w:spacing w:after="0"/>
              <w:rPr>
                <w:rFonts w:ascii="Arial" w:cs="Arial" w:eastAsia="Arial" w:hAnsi="Arial"/>
                <w:sz w:val="14"/>
                <w:szCs w:val="14"/>
                <w:color w:val="0000FF"/>
              </w:rPr>
            </w:pPr>
            <w:hyperlink r:id="rId93">
              <w:r>
                <w:rPr>
                  <w:rFonts w:ascii="Arial" w:cs="Arial" w:eastAsia="Arial" w:hAnsi="Arial"/>
                  <w:sz w:val="14"/>
                  <w:szCs w:val="14"/>
                  <w:color w:val="0000FF"/>
                </w:rPr>
                <w:t>Second Supplemental Indenture, dated March 29, 2017, between TechnipFMC plc and U.S. Bank National Association, as trustee (including the form of</w:t>
              </w:r>
            </w:hyperlink>
          </w:p>
        </w:tc>
        <w:tc>
          <w:tcPr>
            <w:tcW w:w="220" w:type="dxa"/>
            <w:vAlign w:val="bottom"/>
            <w:gridSpan w:val="7"/>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93">
              <w:r>
                <w:rPr>
                  <w:rFonts w:ascii="Arial" w:cs="Arial" w:eastAsia="Arial" w:hAnsi="Arial"/>
                  <w:sz w:val="14"/>
                  <w:szCs w:val="14"/>
                  <w:color w:val="0000FF"/>
                </w:rPr>
                <w:t>3.</w:t>
              </w:r>
              <w:r>
                <w:rPr>
                  <w:rFonts w:ascii="Arial" w:cs="Arial" w:eastAsia="Arial" w:hAnsi="Arial"/>
                  <w:sz w:val="14"/>
                  <w:szCs w:val="14"/>
                  <w:u w:val="single" w:color="auto"/>
                  <w:color w:val="0000FF"/>
                </w:rPr>
                <w:t>45%</w:t>
              </w:r>
              <w:r>
                <w:rPr>
                  <w:rFonts w:ascii="Arial" w:cs="Arial" w:eastAsia="Arial" w:hAnsi="Arial"/>
                  <w:sz w:val="14"/>
                  <w:szCs w:val="14"/>
                  <w:color w:val="0000FF"/>
                </w:rPr>
                <w:t xml:space="preserve"> Senior Notes due 2022) (incorporated by reference from Exhibit 4.3 to the Current Report on Form 8-K filed on March 30, 2017) (File No. 001-</w:t>
              </w:r>
            </w:hyperlink>
          </w:p>
        </w:tc>
      </w:tr>
      <w:tr>
        <w:trPr>
          <w:trHeight w:val="142"/>
        </w:trPr>
        <w:tc>
          <w:tcPr>
            <w:tcW w:w="1380" w:type="dxa"/>
            <w:vAlign w:val="bottom"/>
          </w:tcPr>
          <w:p>
            <w:pPr>
              <w:spacing w:after="0"/>
              <w:rPr>
                <w:sz w:val="12"/>
                <w:szCs w:val="12"/>
                <w:color w:val="auto"/>
              </w:rPr>
            </w:pPr>
          </w:p>
        </w:tc>
        <w:tc>
          <w:tcPr>
            <w:tcW w:w="1000" w:type="dxa"/>
            <w:vAlign w:val="bottom"/>
            <w:tcBorders>
              <w:top w:val="single" w:sz="8" w:color="0000FF"/>
            </w:tcBorders>
            <w:gridSpan w:val="2"/>
          </w:tcPr>
          <w:p>
            <w:pPr>
              <w:spacing w:after="0" w:line="142" w:lineRule="exact"/>
              <w:rPr>
                <w:rFonts w:ascii="Arial" w:cs="Arial" w:eastAsia="Arial" w:hAnsi="Arial"/>
                <w:sz w:val="14"/>
                <w:szCs w:val="14"/>
                <w:color w:val="0000FF"/>
              </w:rPr>
            </w:pPr>
            <w:hyperlink r:id="rId93">
              <w:r>
                <w:rPr>
                  <w:rFonts w:ascii="Arial" w:cs="Arial" w:eastAsia="Arial" w:hAnsi="Arial"/>
                  <w:sz w:val="14"/>
                  <w:szCs w:val="14"/>
                  <w:color w:val="0000FF"/>
                </w:rPr>
                <w:t>37983)</w:t>
              </w:r>
            </w:hyperlink>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6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w:t>
            </w:r>
          </w:p>
        </w:tc>
        <w:tc>
          <w:tcPr>
            <w:tcW w:w="9760" w:type="dxa"/>
            <w:vAlign w:val="bottom"/>
            <w:tcBorders>
              <w:bottom w:val="single" w:sz="8" w:color="0000FF"/>
            </w:tcBorders>
            <w:gridSpan w:val="42"/>
            <w:shd w:val="clear" w:color="auto" w:fill="CCEEFF"/>
          </w:tcPr>
          <w:p>
            <w:pPr>
              <w:spacing w:after="0"/>
              <w:rPr>
                <w:rFonts w:ascii="Arial" w:cs="Arial" w:eastAsia="Arial" w:hAnsi="Arial"/>
                <w:sz w:val="14"/>
                <w:szCs w:val="14"/>
                <w:color w:val="0000FF"/>
              </w:rPr>
            </w:pPr>
            <w:hyperlink r:id="rId94">
              <w:r>
                <w:rPr>
                  <w:rFonts w:ascii="Arial" w:cs="Arial" w:eastAsia="Arial" w:hAnsi="Arial"/>
                  <w:sz w:val="14"/>
                  <w:szCs w:val="14"/>
                  <w:color w:val="0000FF"/>
                </w:rPr>
                <w:t>Amended and Restated FMC Technologies, Inc. Non-Qualified Savings and Investment Plan, dated July 31, 2008 (incorporated by reference from Exhibit</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94">
              <w:r>
                <w:rPr>
                  <w:rFonts w:ascii="Arial" w:cs="Arial" w:eastAsia="Arial" w:hAnsi="Arial"/>
                  <w:sz w:val="14"/>
                  <w:szCs w:val="14"/>
                  <w:color w:val="0000FF"/>
                </w:rPr>
                <w:t>10.</w:t>
              </w:r>
              <w:r>
                <w:rPr>
                  <w:rFonts w:ascii="Arial" w:cs="Arial" w:eastAsia="Arial" w:hAnsi="Arial"/>
                  <w:sz w:val="14"/>
                  <w:szCs w:val="14"/>
                  <w:u w:val="single" w:color="auto"/>
                  <w:color w:val="0000FF"/>
                </w:rPr>
                <w:t>9</w:t>
              </w:r>
              <w:r>
                <w:rPr>
                  <w:rFonts w:ascii="Arial" w:cs="Arial" w:eastAsia="Arial" w:hAnsi="Arial"/>
                  <w:sz w:val="14"/>
                  <w:szCs w:val="14"/>
                  <w:color w:val="0000FF"/>
                </w:rPr>
                <w:t xml:space="preserve"> to the Annual Report on Form 10-K of FMC Technologies, Inc. filed on March 1, 2010) (File No. 001-16489)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10.1.a*</w:t>
            </w:r>
          </w:p>
        </w:tc>
        <w:tc>
          <w:tcPr>
            <w:tcW w:w="9760" w:type="dxa"/>
            <w:vAlign w:val="bottom"/>
            <w:tcBorders>
              <w:bottom w:val="single" w:sz="8" w:color="0000FF"/>
            </w:tcBorders>
            <w:gridSpan w:val="42"/>
          </w:tcPr>
          <w:p>
            <w:pPr>
              <w:spacing w:after="0"/>
              <w:rPr>
                <w:rFonts w:ascii="Arial" w:cs="Arial" w:eastAsia="Arial" w:hAnsi="Arial"/>
                <w:sz w:val="14"/>
                <w:szCs w:val="14"/>
                <w:color w:val="0000FF"/>
              </w:rPr>
            </w:pPr>
            <w:hyperlink r:id="rId95">
              <w:r>
                <w:rPr>
                  <w:rFonts w:ascii="Arial" w:cs="Arial" w:eastAsia="Arial" w:hAnsi="Arial"/>
                  <w:sz w:val="14"/>
                  <w:szCs w:val="14"/>
                  <w:color w:val="0000FF"/>
                </w:rPr>
                <w:t>First Amendment of FMC Technologies, Inc. Non-Qualified Savings and Investment Plan, dated October 29, 2009 (incorporated by reference from Exhibit</w:t>
              </w:r>
            </w:hyperlink>
          </w:p>
        </w:tc>
        <w:tc>
          <w:tcPr>
            <w:tcW w:w="120" w:type="dxa"/>
            <w:vAlign w:val="bottom"/>
            <w:gridSpan w:val="3"/>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95">
              <w:r>
                <w:rPr>
                  <w:rFonts w:ascii="Arial" w:cs="Arial" w:eastAsia="Arial" w:hAnsi="Arial"/>
                  <w:sz w:val="14"/>
                  <w:szCs w:val="14"/>
                  <w:color w:val="0000FF"/>
                </w:rPr>
                <w:t>10.</w:t>
              </w:r>
              <w:r>
                <w:rPr>
                  <w:rFonts w:ascii="Arial" w:cs="Arial" w:eastAsia="Arial" w:hAnsi="Arial"/>
                  <w:sz w:val="14"/>
                  <w:szCs w:val="14"/>
                  <w:u w:val="single" w:color="auto"/>
                  <w:color w:val="0000FF"/>
                </w:rPr>
                <w:t>9</w:t>
              </w:r>
              <w:r>
                <w:rPr>
                  <w:rFonts w:ascii="Arial" w:cs="Arial" w:eastAsia="Arial" w:hAnsi="Arial"/>
                  <w:sz w:val="14"/>
                  <w:szCs w:val="14"/>
                  <w:color w:val="0000FF"/>
                </w:rPr>
                <w:t xml:space="preserve"> to the Quarterly Report on Form 10-Q of FMC Technologies, Inc. filed on November 3, 2009) (File No. 001-16489)</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10.1.b*</w:t>
            </w:r>
          </w:p>
        </w:tc>
        <w:tc>
          <w:tcPr>
            <w:tcW w:w="9640" w:type="dxa"/>
            <w:vAlign w:val="bottom"/>
            <w:tcBorders>
              <w:bottom w:val="single" w:sz="8" w:color="0000FF"/>
            </w:tcBorders>
            <w:gridSpan w:val="37"/>
            <w:shd w:val="clear" w:color="auto" w:fill="CCEEFF"/>
          </w:tcPr>
          <w:p>
            <w:pPr>
              <w:spacing w:after="0"/>
              <w:rPr>
                <w:rFonts w:ascii="Arial" w:cs="Arial" w:eastAsia="Arial" w:hAnsi="Arial"/>
                <w:sz w:val="14"/>
                <w:szCs w:val="14"/>
                <w:color w:val="0000FF"/>
              </w:rPr>
            </w:pPr>
            <w:hyperlink r:id="rId96">
              <w:r>
                <w:rPr>
                  <w:rFonts w:ascii="Arial" w:cs="Arial" w:eastAsia="Arial" w:hAnsi="Arial"/>
                  <w:sz w:val="14"/>
                  <w:szCs w:val="14"/>
                  <w:color w:val="0000FF"/>
                </w:rPr>
                <w:t>Second Amendment of FMC Technologies, Inc. Non-Qualified Savings and Investment Plan, dated December 18, 2015 (incorporated by reference from</w:t>
              </w:r>
            </w:hyperlink>
          </w:p>
        </w:tc>
        <w:tc>
          <w:tcPr>
            <w:tcW w:w="240" w:type="dxa"/>
            <w:vAlign w:val="bottom"/>
            <w:tcBorders>
              <w:bottom w:val="single" w:sz="8" w:color="CCEEFF"/>
            </w:tcBorders>
            <w:gridSpan w:val="8"/>
            <w:shd w:val="clear" w:color="auto" w:fill="CCEEFF"/>
          </w:tcPr>
          <w:p>
            <w:pPr>
              <w:spacing w:after="0"/>
              <w:rPr>
                <w:sz w:val="15"/>
                <w:szCs w:val="15"/>
                <w:color w:val="auto"/>
              </w:rPr>
            </w:pPr>
          </w:p>
        </w:tc>
      </w:tr>
      <w:tr>
        <w:trPr>
          <w:trHeight w:val="163"/>
        </w:trPr>
        <w:tc>
          <w:tcPr>
            <w:tcW w:w="1380" w:type="dxa"/>
            <w:vAlign w:val="bottom"/>
            <w:shd w:val="clear" w:color="auto" w:fill="CCEEFF"/>
          </w:tcPr>
          <w:p>
            <w:pPr>
              <w:spacing w:after="0"/>
              <w:rPr>
                <w:sz w:val="14"/>
                <w:szCs w:val="14"/>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96">
              <w:r>
                <w:rPr>
                  <w:rFonts w:ascii="Arial" w:cs="Arial" w:eastAsia="Arial" w:hAnsi="Arial"/>
                  <w:sz w:val="14"/>
                  <w:szCs w:val="14"/>
                  <w:color w:val="0000FF"/>
                </w:rPr>
                <w:t>Exhibit 10.14.b to the Annual Report on Form 10-K of FMC Technologies, Inc. filed on February 24, 2016) (File No. 001-16489)</w:t>
              </w:r>
            </w:hyperlink>
          </w:p>
        </w:tc>
      </w:tr>
      <w:tr>
        <w:trPr>
          <w:trHeight w:val="176"/>
        </w:trPr>
        <w:tc>
          <w:tcPr>
            <w:tcW w:w="1380" w:type="dxa"/>
            <w:vAlign w:val="bottom"/>
            <w:tcBorders>
              <w:top w:val="single" w:sz="8" w:color="CCEEFF"/>
            </w:tcBorders>
          </w:tcPr>
          <w:p>
            <w:pPr>
              <w:ind w:left="40"/>
              <w:spacing w:after="0"/>
              <w:rPr>
                <w:sz w:val="20"/>
                <w:szCs w:val="20"/>
                <w:color w:val="auto"/>
              </w:rPr>
            </w:pPr>
            <w:r>
              <w:rPr>
                <w:rFonts w:ascii="Arial" w:cs="Arial" w:eastAsia="Arial" w:hAnsi="Arial"/>
                <w:sz w:val="14"/>
                <w:szCs w:val="14"/>
                <w:color w:val="auto"/>
              </w:rPr>
              <w:t>10.2*</w:t>
            </w:r>
          </w:p>
        </w:tc>
        <w:tc>
          <w:tcPr>
            <w:tcW w:w="8060" w:type="dxa"/>
            <w:vAlign w:val="bottom"/>
            <w:tcBorders>
              <w:top w:val="single" w:sz="8" w:color="0000FF"/>
            </w:tcBorders>
            <w:gridSpan w:val="24"/>
          </w:tcPr>
          <w:p>
            <w:pPr>
              <w:spacing w:after="0"/>
              <w:rPr>
                <w:rFonts w:ascii="Arial" w:cs="Arial" w:eastAsia="Arial" w:hAnsi="Arial"/>
                <w:sz w:val="14"/>
                <w:szCs w:val="14"/>
                <w:color w:val="0000FF"/>
              </w:rPr>
            </w:pPr>
            <w:hyperlink w:anchor="page144">
              <w:r>
                <w:rPr>
                  <w:rFonts w:ascii="Arial" w:cs="Arial" w:eastAsia="Arial" w:hAnsi="Arial"/>
                  <w:sz w:val="14"/>
                  <w:szCs w:val="14"/>
                  <w:color w:val="0000FF"/>
                </w:rPr>
                <w:t>Amended and Restated TechnipFMC plc Incentive Award Plan</w:t>
              </w:r>
            </w:hyperlink>
          </w:p>
        </w:tc>
        <w:tc>
          <w:tcPr>
            <w:tcW w:w="1820" w:type="dxa"/>
            <w:vAlign w:val="bottom"/>
            <w:tcBorders>
              <w:top w:val="single" w:sz="8" w:color="CCEEFF"/>
            </w:tcBorders>
            <w:gridSpan w:val="21"/>
          </w:tcPr>
          <w:p>
            <w:pPr>
              <w:spacing w:after="0"/>
              <w:rPr>
                <w:sz w:val="15"/>
                <w:szCs w:val="15"/>
                <w:color w:val="auto"/>
              </w:rPr>
            </w:pPr>
          </w:p>
        </w:tc>
      </w:tr>
      <w:tr>
        <w:trPr>
          <w:trHeight w:val="75"/>
        </w:trPr>
        <w:tc>
          <w:tcPr>
            <w:tcW w:w="1380" w:type="dxa"/>
            <w:vAlign w:val="bottom"/>
          </w:tcPr>
          <w:p>
            <w:pPr>
              <w:spacing w:after="0"/>
              <w:rPr>
                <w:sz w:val="6"/>
                <w:szCs w:val="6"/>
                <w:color w:val="auto"/>
              </w:rPr>
            </w:pPr>
          </w:p>
        </w:tc>
        <w:tc>
          <w:tcPr>
            <w:tcW w:w="4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160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10.3*</w:t>
            </w:r>
          </w:p>
        </w:tc>
        <w:tc>
          <w:tcPr>
            <w:tcW w:w="9720" w:type="dxa"/>
            <w:vAlign w:val="bottom"/>
            <w:tcBorders>
              <w:bottom w:val="single" w:sz="8" w:color="0000FF"/>
            </w:tcBorders>
            <w:gridSpan w:val="40"/>
            <w:shd w:val="clear" w:color="auto" w:fill="CCEEFF"/>
          </w:tcPr>
          <w:p>
            <w:pPr>
              <w:spacing w:after="0"/>
              <w:rPr>
                <w:rFonts w:ascii="Arial" w:cs="Arial" w:eastAsia="Arial" w:hAnsi="Arial"/>
                <w:sz w:val="14"/>
                <w:szCs w:val="14"/>
                <w:color w:val="0000FF"/>
              </w:rPr>
            </w:pPr>
            <w:hyperlink r:id="rId97">
              <w:r>
                <w:rPr>
                  <w:rFonts w:ascii="Arial" w:cs="Arial" w:eastAsia="Arial" w:hAnsi="Arial"/>
                  <w:sz w:val="14"/>
                  <w:szCs w:val="14"/>
                  <w:color w:val="0000FF"/>
                </w:rPr>
                <w:t>Form of Restricted Stock Unit Agreement pursuant to the TechnipFMC plc Incentive Award Plan (Employee) (incorporated by reference from Exhibit 10.1</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97">
              <w:r>
                <w:rPr>
                  <w:rFonts w:ascii="Arial" w:cs="Arial" w:eastAsia="Arial" w:hAnsi="Arial"/>
                  <w:sz w:val="14"/>
                  <w:szCs w:val="14"/>
                  <w:color w:val="0000FF"/>
                </w:rPr>
                <w:t>to the Quarterly Report on Form 10-Q filed on August 4, 2017) (File No. 001-37983)</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10.4*</w:t>
            </w:r>
          </w:p>
        </w:tc>
        <w:tc>
          <w:tcPr>
            <w:tcW w:w="9780" w:type="dxa"/>
            <w:vAlign w:val="bottom"/>
            <w:tcBorders>
              <w:bottom w:val="single" w:sz="8" w:color="0000FF"/>
            </w:tcBorders>
            <w:gridSpan w:val="43"/>
          </w:tcPr>
          <w:p>
            <w:pPr>
              <w:spacing w:after="0"/>
              <w:rPr>
                <w:rFonts w:ascii="Arial" w:cs="Arial" w:eastAsia="Arial" w:hAnsi="Arial"/>
                <w:sz w:val="14"/>
                <w:szCs w:val="14"/>
                <w:color w:val="0000FF"/>
              </w:rPr>
            </w:pPr>
            <w:hyperlink r:id="rId98">
              <w:r>
                <w:rPr>
                  <w:rFonts w:ascii="Arial" w:cs="Arial" w:eastAsia="Arial" w:hAnsi="Arial"/>
                  <w:sz w:val="14"/>
                  <w:szCs w:val="14"/>
                  <w:color w:val="0000FF"/>
                </w:rPr>
                <w:t>Form of Restricted Stock Unit Agreement pursuant to the TechnipFMC plc Incentive Award Plan (Non-Employee Director) (incorporated by reference from</w:t>
              </w:r>
            </w:hyperlink>
          </w:p>
        </w:tc>
        <w:tc>
          <w:tcPr>
            <w:tcW w:w="100" w:type="dxa"/>
            <w:vAlign w:val="bottom"/>
            <w:gridSpan w:val="2"/>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98">
              <w:r>
                <w:rPr>
                  <w:rFonts w:ascii="Arial" w:cs="Arial" w:eastAsia="Arial" w:hAnsi="Arial"/>
                  <w:sz w:val="14"/>
                  <w:szCs w:val="14"/>
                  <w:color w:val="0000FF"/>
                </w:rPr>
                <w:t>Exhibit 10.2 to the Quarterly Report on Form 10-Q filed on August 4, 2017)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10.5*</w:t>
            </w:r>
          </w:p>
        </w:tc>
        <w:tc>
          <w:tcPr>
            <w:tcW w:w="9580" w:type="dxa"/>
            <w:vAlign w:val="bottom"/>
            <w:tcBorders>
              <w:bottom w:val="single" w:sz="8" w:color="0000FF"/>
            </w:tcBorders>
            <w:gridSpan w:val="34"/>
            <w:shd w:val="clear" w:color="auto" w:fill="CCEEFF"/>
          </w:tcPr>
          <w:p>
            <w:pPr>
              <w:spacing w:after="0"/>
              <w:rPr>
                <w:rFonts w:ascii="Arial" w:cs="Arial" w:eastAsia="Arial" w:hAnsi="Arial"/>
                <w:sz w:val="14"/>
                <w:szCs w:val="14"/>
                <w:color w:val="0000FF"/>
              </w:rPr>
            </w:pPr>
            <w:hyperlink r:id="rId99">
              <w:r>
                <w:rPr>
                  <w:rFonts w:ascii="Arial" w:cs="Arial" w:eastAsia="Arial" w:hAnsi="Arial"/>
                  <w:sz w:val="14"/>
                  <w:szCs w:val="14"/>
                  <w:color w:val="0000FF"/>
                </w:rPr>
                <w:t>Form of Performance Stock Unit Agreement pursuant to the TechnipFMC plc Incentive Award Plan (Employee) (incorporated by reference from Exhibit</w:t>
              </w:r>
            </w:hyperlink>
          </w:p>
        </w:tc>
        <w:tc>
          <w:tcPr>
            <w:tcW w:w="300" w:type="dxa"/>
            <w:vAlign w:val="bottom"/>
            <w:tcBorders>
              <w:bottom w:val="single" w:sz="8" w:color="CCEEFF"/>
            </w:tcBorders>
            <w:gridSpan w:val="11"/>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99">
              <w:r>
                <w:rPr>
                  <w:rFonts w:ascii="Arial" w:cs="Arial" w:eastAsia="Arial" w:hAnsi="Arial"/>
                  <w:sz w:val="14"/>
                  <w:szCs w:val="14"/>
                  <w:color w:val="0000FF"/>
                </w:rPr>
                <w:t>10.</w:t>
              </w:r>
              <w:r>
                <w:rPr>
                  <w:rFonts w:ascii="Arial" w:cs="Arial" w:eastAsia="Arial" w:hAnsi="Arial"/>
                  <w:sz w:val="14"/>
                  <w:szCs w:val="14"/>
                  <w:u w:val="single" w:color="auto"/>
                  <w:color w:val="0000FF"/>
                </w:rPr>
                <w:t>3</w:t>
              </w:r>
              <w:r>
                <w:rPr>
                  <w:rFonts w:ascii="Arial" w:cs="Arial" w:eastAsia="Arial" w:hAnsi="Arial"/>
                  <w:sz w:val="14"/>
                  <w:szCs w:val="14"/>
                  <w:color w:val="0000FF"/>
                </w:rPr>
                <w:t xml:space="preserve"> to the Quarterly Report on Form 10-Q filed on August 4, 2017) (File No. 001-37983)</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10.6*</w:t>
            </w:r>
          </w:p>
        </w:tc>
        <w:tc>
          <w:tcPr>
            <w:tcW w:w="9520" w:type="dxa"/>
            <w:vAlign w:val="bottom"/>
            <w:tcBorders>
              <w:bottom w:val="single" w:sz="8" w:color="0000FF"/>
            </w:tcBorders>
            <w:gridSpan w:val="31"/>
          </w:tcPr>
          <w:p>
            <w:pPr>
              <w:spacing w:after="0"/>
              <w:rPr>
                <w:rFonts w:ascii="Arial" w:cs="Arial" w:eastAsia="Arial" w:hAnsi="Arial"/>
                <w:sz w:val="14"/>
                <w:szCs w:val="14"/>
                <w:color w:val="0000FF"/>
              </w:rPr>
            </w:pPr>
            <w:hyperlink r:id="rId100">
              <w:r>
                <w:rPr>
                  <w:rFonts w:ascii="Arial" w:cs="Arial" w:eastAsia="Arial" w:hAnsi="Arial"/>
                  <w:sz w:val="14"/>
                  <w:szCs w:val="14"/>
                  <w:color w:val="0000FF"/>
                </w:rPr>
                <w:t>Performance Stock Unit Agreement pursuant to the TechnipFMC plc Incentive Award Plan, dated as of August 9, 2017, between TechnipFMC plc and</w:t>
              </w:r>
            </w:hyperlink>
          </w:p>
        </w:tc>
        <w:tc>
          <w:tcPr>
            <w:tcW w:w="360" w:type="dxa"/>
            <w:vAlign w:val="bottom"/>
            <w:gridSpan w:val="14"/>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100">
              <w:r>
                <w:rPr>
                  <w:rFonts w:ascii="Arial" w:cs="Arial" w:eastAsia="Arial" w:hAnsi="Arial"/>
                  <w:sz w:val="14"/>
                  <w:szCs w:val="14"/>
                  <w:color w:val="0000FF"/>
                </w:rPr>
                <w:t>Thierry Pilenko (incorporated by reference from Exhibit 10.4 to the Quarterly Report on Form 10-Q filed on November 9, 2017)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10.7*</w:t>
            </w:r>
          </w:p>
        </w:tc>
        <w:tc>
          <w:tcPr>
            <w:tcW w:w="9720" w:type="dxa"/>
            <w:vAlign w:val="bottom"/>
            <w:tcBorders>
              <w:bottom w:val="single" w:sz="8" w:color="0000FF"/>
            </w:tcBorders>
            <w:gridSpan w:val="40"/>
            <w:shd w:val="clear" w:color="auto" w:fill="CCEEFF"/>
          </w:tcPr>
          <w:p>
            <w:pPr>
              <w:spacing w:after="0"/>
              <w:rPr>
                <w:rFonts w:ascii="Arial" w:cs="Arial" w:eastAsia="Arial" w:hAnsi="Arial"/>
                <w:sz w:val="14"/>
                <w:szCs w:val="14"/>
                <w:color w:val="0000FF"/>
              </w:rPr>
            </w:pPr>
            <w:hyperlink r:id="rId101">
              <w:r>
                <w:rPr>
                  <w:rFonts w:ascii="Arial" w:cs="Arial" w:eastAsia="Arial" w:hAnsi="Arial"/>
                  <w:sz w:val="14"/>
                  <w:szCs w:val="14"/>
                  <w:color w:val="0000FF"/>
                </w:rPr>
                <w:t>Form of Nonqualified Stock Option Agreement pursuant to the TechnipFMC plc Incentive Award Plan (Employee) (incorporated by reference from Exhibit</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101">
              <w:r>
                <w:rPr>
                  <w:rFonts w:ascii="Arial" w:cs="Arial" w:eastAsia="Arial" w:hAnsi="Arial"/>
                  <w:sz w:val="14"/>
                  <w:szCs w:val="14"/>
                  <w:color w:val="0000FF"/>
                </w:rPr>
                <w:t>10.</w:t>
              </w:r>
              <w:r>
                <w:rPr>
                  <w:rFonts w:ascii="Arial" w:cs="Arial" w:eastAsia="Arial" w:hAnsi="Arial"/>
                  <w:sz w:val="14"/>
                  <w:szCs w:val="14"/>
                  <w:u w:val="single" w:color="auto"/>
                  <w:color w:val="0000FF"/>
                </w:rPr>
                <w:t>4</w:t>
              </w:r>
              <w:r>
                <w:rPr>
                  <w:rFonts w:ascii="Arial" w:cs="Arial" w:eastAsia="Arial" w:hAnsi="Arial"/>
                  <w:sz w:val="14"/>
                  <w:szCs w:val="14"/>
                  <w:color w:val="0000FF"/>
                </w:rPr>
                <w:t xml:space="preserve"> to the Quarterly Report on Form 10-Q filed on August 4, 2017) (File No. 001-37983)</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10.8*</w:t>
            </w:r>
          </w:p>
        </w:tc>
        <w:tc>
          <w:tcPr>
            <w:tcW w:w="9720" w:type="dxa"/>
            <w:vAlign w:val="bottom"/>
            <w:tcBorders>
              <w:bottom w:val="single" w:sz="8" w:color="0000FF"/>
            </w:tcBorders>
            <w:gridSpan w:val="40"/>
          </w:tcPr>
          <w:p>
            <w:pPr>
              <w:spacing w:after="0"/>
              <w:rPr>
                <w:rFonts w:ascii="Arial" w:cs="Arial" w:eastAsia="Arial" w:hAnsi="Arial"/>
                <w:sz w:val="14"/>
                <w:szCs w:val="14"/>
                <w:color w:val="0000FF"/>
              </w:rPr>
            </w:pPr>
            <w:hyperlink r:id="rId102">
              <w:r>
                <w:rPr>
                  <w:rFonts w:ascii="Arial" w:cs="Arial" w:eastAsia="Arial" w:hAnsi="Arial"/>
                  <w:sz w:val="14"/>
                  <w:szCs w:val="14"/>
                  <w:color w:val="0000FF"/>
                </w:rPr>
                <w:t>2011 Technip Incentive Reward Plan (Stock Option Plan Rules) June 17, 2011 allocation (incorporated by reference from Exhibit 99.2 to the Registration</w:t>
              </w:r>
            </w:hyperlink>
          </w:p>
        </w:tc>
        <w:tc>
          <w:tcPr>
            <w:tcW w:w="160" w:type="dxa"/>
            <w:vAlign w:val="bottom"/>
            <w:gridSpan w:val="5"/>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102">
              <w:r>
                <w:rPr>
                  <w:rFonts w:ascii="Arial" w:cs="Arial" w:eastAsia="Arial" w:hAnsi="Arial"/>
                  <w:sz w:val="14"/>
                  <w:szCs w:val="14"/>
                  <w:color w:val="0000FF"/>
                </w:rPr>
                <w:t>Statement on Form S-8 of TechnipFMC plc, filed on February 27, 2017) (File No. 333-216289)</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10.9*</w:t>
            </w:r>
          </w:p>
        </w:tc>
        <w:tc>
          <w:tcPr>
            <w:tcW w:w="9880" w:type="dxa"/>
            <w:vAlign w:val="bottom"/>
            <w:gridSpan w:val="45"/>
            <w:shd w:val="clear" w:color="auto" w:fill="CCEEFF"/>
          </w:tcPr>
          <w:p>
            <w:pPr>
              <w:spacing w:after="0"/>
              <w:rPr>
                <w:rFonts w:ascii="Arial" w:cs="Arial" w:eastAsia="Arial" w:hAnsi="Arial"/>
                <w:sz w:val="14"/>
                <w:szCs w:val="14"/>
                <w:color w:val="0000FF"/>
              </w:rPr>
            </w:pPr>
            <w:hyperlink r:id="rId103">
              <w:r>
                <w:rPr>
                  <w:rFonts w:ascii="Arial" w:cs="Arial" w:eastAsia="Arial" w:hAnsi="Arial"/>
                  <w:sz w:val="14"/>
                  <w:szCs w:val="14"/>
                  <w:color w:val="0000FF"/>
                </w:rPr>
                <w:t>2012 Technip Incentive and Reward Plan (Stock Option Plan Rules) June 15, 2011 allocation (incorporated by reference from Exhibit 99.3 to the</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9160" w:type="dxa"/>
            <w:vAlign w:val="bottom"/>
            <w:tcBorders>
              <w:top w:val="single" w:sz="8" w:color="0000FF"/>
            </w:tcBorders>
            <w:gridSpan w:val="26"/>
            <w:shd w:val="clear" w:color="auto" w:fill="CCEEFF"/>
          </w:tcPr>
          <w:p>
            <w:pPr>
              <w:spacing w:after="0" w:line="142" w:lineRule="exact"/>
              <w:rPr>
                <w:rFonts w:ascii="Arial" w:cs="Arial" w:eastAsia="Arial" w:hAnsi="Arial"/>
                <w:sz w:val="14"/>
                <w:szCs w:val="14"/>
                <w:color w:val="0000FF"/>
              </w:rPr>
            </w:pPr>
            <w:hyperlink r:id="rId103">
              <w:r>
                <w:rPr>
                  <w:rFonts w:ascii="Arial" w:cs="Arial" w:eastAsia="Arial" w:hAnsi="Arial"/>
                  <w:sz w:val="14"/>
                  <w:szCs w:val="14"/>
                  <w:color w:val="0000FF"/>
                </w:rPr>
                <w:t>Registration Statement on Form S-8 of TechnipFMC plc, filed on February 27, 2017) (File No. 333-216289)</w:t>
              </w:r>
            </w:hyperlink>
          </w:p>
        </w:tc>
        <w:tc>
          <w:tcPr>
            <w:tcW w:w="720" w:type="dxa"/>
            <w:vAlign w:val="bottom"/>
            <w:tcBorders>
              <w:top w:val="single" w:sz="8" w:color="CCEEFF"/>
            </w:tcBorders>
            <w:gridSpan w:val="19"/>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10.10*</w:t>
            </w:r>
          </w:p>
        </w:tc>
        <w:tc>
          <w:tcPr>
            <w:tcW w:w="9600" w:type="dxa"/>
            <w:vAlign w:val="bottom"/>
            <w:tcBorders>
              <w:bottom w:val="single" w:sz="8" w:color="0000FF"/>
            </w:tcBorders>
            <w:gridSpan w:val="35"/>
          </w:tcPr>
          <w:p>
            <w:pPr>
              <w:spacing w:after="0"/>
              <w:rPr>
                <w:rFonts w:ascii="Arial" w:cs="Arial" w:eastAsia="Arial" w:hAnsi="Arial"/>
                <w:sz w:val="14"/>
                <w:szCs w:val="14"/>
                <w:color w:val="0000FF"/>
              </w:rPr>
            </w:pPr>
            <w:hyperlink r:id="rId104">
              <w:r>
                <w:rPr>
                  <w:rFonts w:ascii="Arial" w:cs="Arial" w:eastAsia="Arial" w:hAnsi="Arial"/>
                  <w:sz w:val="14"/>
                  <w:szCs w:val="14"/>
                  <w:color w:val="0000FF"/>
                </w:rPr>
                <w:t>2012 Technip Incentive and Reward Plan (Stock Option Plan Rules) December 14, 2011 allocation (incorporated by reference from Exhibit 10.10 to the</w:t>
              </w:r>
            </w:hyperlink>
          </w:p>
        </w:tc>
        <w:tc>
          <w:tcPr>
            <w:tcW w:w="280" w:type="dxa"/>
            <w:vAlign w:val="bottom"/>
            <w:gridSpan w:val="10"/>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104">
              <w:r>
                <w:rPr>
                  <w:rFonts w:ascii="Arial" w:cs="Arial" w:eastAsia="Arial" w:hAnsi="Arial"/>
                  <w:sz w:val="14"/>
                  <w:szCs w:val="14"/>
                  <w:color w:val="0000FF"/>
                </w:rPr>
                <w:t>Annual Report on Form 10-K filed on April 2, 2018)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10.11*</w:t>
            </w:r>
          </w:p>
        </w:tc>
        <w:tc>
          <w:tcPr>
            <w:tcW w:w="9880" w:type="dxa"/>
            <w:vAlign w:val="bottom"/>
            <w:gridSpan w:val="45"/>
            <w:shd w:val="clear" w:color="auto" w:fill="CCEEFF"/>
          </w:tcPr>
          <w:p>
            <w:pPr>
              <w:spacing w:after="0"/>
              <w:rPr>
                <w:rFonts w:ascii="Arial" w:cs="Arial" w:eastAsia="Arial" w:hAnsi="Arial"/>
                <w:sz w:val="14"/>
                <w:szCs w:val="14"/>
                <w:color w:val="0000FF"/>
              </w:rPr>
            </w:pPr>
            <w:hyperlink r:id="rId105">
              <w:r>
                <w:rPr>
                  <w:rFonts w:ascii="Arial" w:cs="Arial" w:eastAsia="Arial" w:hAnsi="Arial"/>
                  <w:sz w:val="14"/>
                  <w:szCs w:val="14"/>
                  <w:color w:val="0000FF"/>
                </w:rPr>
                <w:t>2013 Technip Incentive and Reward Plan (Rules of the Performance Shares Plan) June 14, 2013 allocation (incorporated by reference from Exhibit 99.4 to</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44"/>
            <w:shd w:val="clear" w:color="auto" w:fill="CCEEFF"/>
          </w:tcPr>
          <w:p>
            <w:pPr>
              <w:spacing w:after="0" w:line="142" w:lineRule="exact"/>
              <w:rPr>
                <w:rFonts w:ascii="Arial" w:cs="Arial" w:eastAsia="Arial" w:hAnsi="Arial"/>
                <w:sz w:val="14"/>
                <w:szCs w:val="14"/>
                <w:color w:val="0000FF"/>
              </w:rPr>
            </w:pPr>
            <w:hyperlink r:id="rId105">
              <w:r>
                <w:rPr>
                  <w:rFonts w:ascii="Arial" w:cs="Arial" w:eastAsia="Arial" w:hAnsi="Arial"/>
                  <w:sz w:val="14"/>
                  <w:szCs w:val="14"/>
                  <w:color w:val="0000FF"/>
                </w:rPr>
                <w:t>the Registration Statement on Form S-8 of TechnipFMC plc, filed on February 27, 2017) (File No. 333-216289)</w:t>
              </w:r>
            </w:hyperlink>
          </w:p>
        </w:tc>
        <w:tc>
          <w:tcPr>
            <w:tcW w:w="60" w:type="dxa"/>
            <w:vAlign w:val="bottom"/>
            <w:tcBorders>
              <w:top w:val="single" w:sz="8" w:color="CCEEFF"/>
            </w:tcBorders>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10.12*</w:t>
            </w:r>
          </w:p>
        </w:tc>
        <w:tc>
          <w:tcPr>
            <w:tcW w:w="9880" w:type="dxa"/>
            <w:vAlign w:val="bottom"/>
            <w:gridSpan w:val="45"/>
          </w:tcPr>
          <w:p>
            <w:pPr>
              <w:spacing w:after="0"/>
              <w:rPr>
                <w:rFonts w:ascii="Arial" w:cs="Arial" w:eastAsia="Arial" w:hAnsi="Arial"/>
                <w:sz w:val="14"/>
                <w:szCs w:val="14"/>
                <w:color w:val="0000FF"/>
              </w:rPr>
            </w:pPr>
            <w:hyperlink r:id="rId106">
              <w:r>
                <w:rPr>
                  <w:rFonts w:ascii="Arial" w:cs="Arial" w:eastAsia="Arial" w:hAnsi="Arial"/>
                  <w:sz w:val="14"/>
                  <w:szCs w:val="14"/>
                  <w:color w:val="0000FF"/>
                </w:rPr>
                <w:t>2013 Technip Incentive and Reward Plan (Stock Option Plan Rules) June 14, 2013 allocation (incorporated by reference from Exhibit 99.5 to the</w:t>
              </w:r>
            </w:hyperlink>
          </w:p>
        </w:tc>
      </w:tr>
      <w:tr>
        <w:trPr>
          <w:trHeight w:val="142"/>
        </w:trPr>
        <w:tc>
          <w:tcPr>
            <w:tcW w:w="1380" w:type="dxa"/>
            <w:vAlign w:val="bottom"/>
          </w:tcPr>
          <w:p>
            <w:pPr>
              <w:spacing w:after="0"/>
              <w:rPr>
                <w:sz w:val="12"/>
                <w:szCs w:val="12"/>
                <w:color w:val="auto"/>
              </w:rPr>
            </w:pPr>
          </w:p>
        </w:tc>
        <w:tc>
          <w:tcPr>
            <w:tcW w:w="9160" w:type="dxa"/>
            <w:vAlign w:val="bottom"/>
            <w:tcBorders>
              <w:top w:val="single" w:sz="8" w:color="0000FF"/>
            </w:tcBorders>
            <w:gridSpan w:val="26"/>
          </w:tcPr>
          <w:p>
            <w:pPr>
              <w:spacing w:after="0" w:line="142" w:lineRule="exact"/>
              <w:rPr>
                <w:rFonts w:ascii="Arial" w:cs="Arial" w:eastAsia="Arial" w:hAnsi="Arial"/>
                <w:sz w:val="14"/>
                <w:szCs w:val="14"/>
                <w:color w:val="0000FF"/>
              </w:rPr>
            </w:pPr>
            <w:hyperlink r:id="rId106">
              <w:r>
                <w:rPr>
                  <w:rFonts w:ascii="Arial" w:cs="Arial" w:eastAsia="Arial" w:hAnsi="Arial"/>
                  <w:sz w:val="14"/>
                  <w:szCs w:val="14"/>
                  <w:color w:val="0000FF"/>
                </w:rPr>
                <w:t>Registration Statement on Form S-8 of TechnipFMC plc, filed on February 27, 2017) (File No. 333-216289)</w:t>
              </w:r>
            </w:hyperlink>
          </w:p>
        </w:tc>
        <w:tc>
          <w:tcPr>
            <w:tcW w:w="720" w:type="dxa"/>
            <w:vAlign w:val="bottom"/>
            <w:gridSpan w:val="19"/>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10.13*</w:t>
            </w:r>
          </w:p>
        </w:tc>
        <w:tc>
          <w:tcPr>
            <w:tcW w:w="9560" w:type="dxa"/>
            <w:vAlign w:val="bottom"/>
            <w:tcBorders>
              <w:bottom w:val="single" w:sz="8" w:color="0000FF"/>
            </w:tcBorders>
            <w:gridSpan w:val="33"/>
            <w:shd w:val="clear" w:color="auto" w:fill="CCEEFF"/>
          </w:tcPr>
          <w:p>
            <w:pPr>
              <w:spacing w:after="0"/>
              <w:rPr>
                <w:rFonts w:ascii="Arial" w:cs="Arial" w:eastAsia="Arial" w:hAnsi="Arial"/>
                <w:sz w:val="14"/>
                <w:szCs w:val="14"/>
                <w:color w:val="0000FF"/>
              </w:rPr>
            </w:pPr>
            <w:hyperlink r:id="rId107">
              <w:r>
                <w:rPr>
                  <w:rFonts w:ascii="Arial" w:cs="Arial" w:eastAsia="Arial" w:hAnsi="Arial"/>
                  <w:sz w:val="14"/>
                  <w:szCs w:val="14"/>
                  <w:color w:val="0000FF"/>
                </w:rPr>
                <w:t>2013 Technip Incentive and Reward Plan (Rules of the Performance Shares Plan) January 10, 2014 allocation (incorporated by reference from Exhibit</w:t>
              </w:r>
            </w:hyperlink>
          </w:p>
        </w:tc>
        <w:tc>
          <w:tcPr>
            <w:tcW w:w="320" w:type="dxa"/>
            <w:vAlign w:val="bottom"/>
            <w:tcBorders>
              <w:bottom w:val="single" w:sz="8" w:color="CCEEFF"/>
            </w:tcBorders>
            <w:gridSpan w:val="12"/>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107">
              <w:r>
                <w:rPr>
                  <w:rFonts w:ascii="Arial" w:cs="Arial" w:eastAsia="Arial" w:hAnsi="Arial"/>
                  <w:sz w:val="14"/>
                  <w:szCs w:val="14"/>
                  <w:color w:val="0000FF"/>
                </w:rPr>
                <w:t>99.</w:t>
              </w:r>
              <w:r>
                <w:rPr>
                  <w:rFonts w:ascii="Arial" w:cs="Arial" w:eastAsia="Arial" w:hAnsi="Arial"/>
                  <w:sz w:val="14"/>
                  <w:szCs w:val="14"/>
                  <w:u w:val="single" w:color="auto"/>
                  <w:color w:val="0000FF"/>
                </w:rPr>
                <w:t>6</w:t>
              </w:r>
              <w:r>
                <w:rPr>
                  <w:rFonts w:ascii="Arial" w:cs="Arial" w:eastAsia="Arial" w:hAnsi="Arial"/>
                  <w:sz w:val="14"/>
                  <w:szCs w:val="14"/>
                  <w:color w:val="0000FF"/>
                </w:rPr>
                <w:t xml:space="preserve"> to the Registration Statement on Form S-8 of TechnipFMC plc, filed on February 27, 2017) (File No. 333-216289)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10.14*</w:t>
            </w:r>
          </w:p>
        </w:tc>
        <w:tc>
          <w:tcPr>
            <w:tcW w:w="9880" w:type="dxa"/>
            <w:vAlign w:val="bottom"/>
            <w:gridSpan w:val="45"/>
          </w:tcPr>
          <w:p>
            <w:pPr>
              <w:spacing w:after="0"/>
              <w:rPr>
                <w:rFonts w:ascii="Arial" w:cs="Arial" w:eastAsia="Arial" w:hAnsi="Arial"/>
                <w:sz w:val="14"/>
                <w:szCs w:val="14"/>
                <w:color w:val="0000FF"/>
              </w:rPr>
            </w:pPr>
            <w:hyperlink r:id="rId108">
              <w:r>
                <w:rPr>
                  <w:rFonts w:ascii="Arial" w:cs="Arial" w:eastAsia="Arial" w:hAnsi="Arial"/>
                  <w:sz w:val="14"/>
                  <w:szCs w:val="14"/>
                  <w:color w:val="0000FF"/>
                </w:rPr>
                <w:t>2013 Technip Incentive and Reward Plan (Stock Option Plan Rules) January 10, 2014 allocation (incorporated by reference from Exhibit 99.7 to the</w:t>
              </w:r>
            </w:hyperlink>
          </w:p>
        </w:tc>
      </w:tr>
      <w:tr>
        <w:trPr>
          <w:trHeight w:val="142"/>
        </w:trPr>
        <w:tc>
          <w:tcPr>
            <w:tcW w:w="1380" w:type="dxa"/>
            <w:vAlign w:val="bottom"/>
          </w:tcPr>
          <w:p>
            <w:pPr>
              <w:spacing w:after="0"/>
              <w:rPr>
                <w:sz w:val="12"/>
                <w:szCs w:val="12"/>
                <w:color w:val="auto"/>
              </w:rPr>
            </w:pPr>
          </w:p>
        </w:tc>
        <w:tc>
          <w:tcPr>
            <w:tcW w:w="9360" w:type="dxa"/>
            <w:vAlign w:val="bottom"/>
            <w:tcBorders>
              <w:top w:val="single" w:sz="8" w:color="0000FF"/>
            </w:tcBorders>
            <w:gridSpan w:val="27"/>
          </w:tcPr>
          <w:p>
            <w:pPr>
              <w:spacing w:after="0" w:line="142" w:lineRule="exact"/>
              <w:rPr>
                <w:rFonts w:ascii="Arial" w:cs="Arial" w:eastAsia="Arial" w:hAnsi="Arial"/>
                <w:sz w:val="14"/>
                <w:szCs w:val="14"/>
                <w:color w:val="0000FF"/>
              </w:rPr>
            </w:pPr>
            <w:hyperlink r:id="rId108">
              <w:r>
                <w:rPr>
                  <w:rFonts w:ascii="Arial" w:cs="Arial" w:eastAsia="Arial" w:hAnsi="Arial"/>
                  <w:sz w:val="14"/>
                  <w:szCs w:val="14"/>
                  <w:color w:val="0000FF"/>
                </w:rPr>
                <w:t>Registration Statement on Form S-8 of TechnipFMC plc, filed on February 27, 2017) (File No. 333-216289)</w:t>
              </w:r>
            </w:hyperlink>
          </w:p>
        </w:tc>
        <w:tc>
          <w:tcPr>
            <w:tcW w:w="520" w:type="dxa"/>
            <w:vAlign w:val="bottom"/>
            <w:gridSpan w:val="18"/>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10.15*</w:t>
            </w:r>
          </w:p>
        </w:tc>
        <w:tc>
          <w:tcPr>
            <w:tcW w:w="9700" w:type="dxa"/>
            <w:vAlign w:val="bottom"/>
            <w:tcBorders>
              <w:bottom w:val="single" w:sz="8" w:color="0000FF"/>
            </w:tcBorders>
            <w:gridSpan w:val="39"/>
            <w:shd w:val="clear" w:color="auto" w:fill="CCEEFF"/>
          </w:tcPr>
          <w:p>
            <w:pPr>
              <w:spacing w:after="0"/>
              <w:rPr>
                <w:rFonts w:ascii="Arial" w:cs="Arial" w:eastAsia="Arial" w:hAnsi="Arial"/>
                <w:sz w:val="14"/>
                <w:szCs w:val="14"/>
                <w:color w:val="0000FF"/>
              </w:rPr>
            </w:pPr>
            <w:hyperlink r:id="rId109">
              <w:r>
                <w:rPr>
                  <w:rFonts w:ascii="Arial" w:cs="Arial" w:eastAsia="Arial" w:hAnsi="Arial"/>
                  <w:sz w:val="14"/>
                  <w:szCs w:val="14"/>
                  <w:color w:val="0000FF"/>
                </w:rPr>
                <w:t>2014 Technip Incentive and Reward Plan (Rules of the Performance Shares Plan) December 10, 2014 allocation (incorporated by reference from Exhibit</w:t>
              </w:r>
            </w:hyperlink>
          </w:p>
        </w:tc>
        <w:tc>
          <w:tcPr>
            <w:tcW w:w="180" w:type="dxa"/>
            <w:vAlign w:val="bottom"/>
            <w:tcBorders>
              <w:bottom w:val="single" w:sz="8" w:color="CCEEFF"/>
            </w:tcBorders>
            <w:gridSpan w:val="6"/>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109">
              <w:r>
                <w:rPr>
                  <w:rFonts w:ascii="Arial" w:cs="Arial" w:eastAsia="Arial" w:hAnsi="Arial"/>
                  <w:sz w:val="14"/>
                  <w:szCs w:val="14"/>
                  <w:color w:val="0000FF"/>
                </w:rPr>
                <w:t>99.</w:t>
              </w:r>
              <w:r>
                <w:rPr>
                  <w:rFonts w:ascii="Arial" w:cs="Arial" w:eastAsia="Arial" w:hAnsi="Arial"/>
                  <w:sz w:val="14"/>
                  <w:szCs w:val="14"/>
                  <w:u w:val="single" w:color="auto"/>
                  <w:color w:val="0000FF"/>
                </w:rPr>
                <w:t>8</w:t>
              </w:r>
              <w:r>
                <w:rPr>
                  <w:rFonts w:ascii="Arial" w:cs="Arial" w:eastAsia="Arial" w:hAnsi="Arial"/>
                  <w:sz w:val="14"/>
                  <w:szCs w:val="14"/>
                  <w:color w:val="0000FF"/>
                </w:rPr>
                <w:t xml:space="preserve"> to the Registration Statement on Form S-8 of TechnipFMC plc, filed on February 27, 2017) (File No. 333-216289)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10.16*</w:t>
            </w:r>
          </w:p>
        </w:tc>
        <w:tc>
          <w:tcPr>
            <w:tcW w:w="9480" w:type="dxa"/>
            <w:vAlign w:val="bottom"/>
            <w:tcBorders>
              <w:bottom w:val="single" w:sz="8" w:color="0000FF"/>
            </w:tcBorders>
            <w:gridSpan w:val="29"/>
          </w:tcPr>
          <w:p>
            <w:pPr>
              <w:spacing w:after="0"/>
              <w:rPr>
                <w:rFonts w:ascii="Arial" w:cs="Arial" w:eastAsia="Arial" w:hAnsi="Arial"/>
                <w:sz w:val="14"/>
                <w:szCs w:val="14"/>
                <w:color w:val="0000FF"/>
              </w:rPr>
            </w:pPr>
            <w:hyperlink r:id="rId110">
              <w:r>
                <w:rPr>
                  <w:rFonts w:ascii="Arial" w:cs="Arial" w:eastAsia="Arial" w:hAnsi="Arial"/>
                  <w:sz w:val="14"/>
                  <w:szCs w:val="14"/>
                  <w:color w:val="0000FF"/>
                </w:rPr>
                <w:t>2015 Technip Incentive and Reward Plan (Stock Option Plan Rules) September 7, 2015 allocation (incorporated by reference from Exhibit 99.9 to the</w:t>
              </w:r>
            </w:hyperlink>
          </w:p>
        </w:tc>
        <w:tc>
          <w:tcPr>
            <w:tcW w:w="400" w:type="dxa"/>
            <w:vAlign w:val="bottom"/>
            <w:gridSpan w:val="16"/>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110">
              <w:r>
                <w:rPr>
                  <w:rFonts w:ascii="Arial" w:cs="Arial" w:eastAsia="Arial" w:hAnsi="Arial"/>
                  <w:sz w:val="14"/>
                  <w:szCs w:val="14"/>
                  <w:color w:val="0000FF"/>
                </w:rPr>
                <w:t>Registration Statement on Form S-8 of TechnipFMC plc, filed on February 27, 2017) (File No. 333-216289)</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10.17*</w:t>
            </w:r>
          </w:p>
        </w:tc>
        <w:tc>
          <w:tcPr>
            <w:tcW w:w="9780" w:type="dxa"/>
            <w:vAlign w:val="bottom"/>
            <w:tcBorders>
              <w:bottom w:val="single" w:sz="8" w:color="0000FF"/>
            </w:tcBorders>
            <w:gridSpan w:val="43"/>
            <w:shd w:val="clear" w:color="auto" w:fill="CCEEFF"/>
          </w:tcPr>
          <w:p>
            <w:pPr>
              <w:spacing w:after="0"/>
              <w:rPr>
                <w:rFonts w:ascii="Arial" w:cs="Arial" w:eastAsia="Arial" w:hAnsi="Arial"/>
                <w:sz w:val="14"/>
                <w:szCs w:val="14"/>
                <w:color w:val="0000FF"/>
              </w:rPr>
            </w:pPr>
            <w:hyperlink r:id="rId111">
              <w:r>
                <w:rPr>
                  <w:rFonts w:ascii="Arial" w:cs="Arial" w:eastAsia="Arial" w:hAnsi="Arial"/>
                  <w:sz w:val="14"/>
                  <w:szCs w:val="14"/>
                  <w:color w:val="0000FF"/>
                </w:rPr>
                <w:t>2016 Technip Incentive and Reward Plan (Rules of the Performance Shares Plan) July 1, 2016 allocation (incorporated by reference from Exhibit 99.10 to</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111">
              <w:r>
                <w:rPr>
                  <w:rFonts w:ascii="Arial" w:cs="Arial" w:eastAsia="Arial" w:hAnsi="Arial"/>
                  <w:sz w:val="14"/>
                  <w:szCs w:val="14"/>
                  <w:color w:val="0000FF"/>
                </w:rPr>
                <w:t>the Registration Statement on Form S-8 of TechnipFMC plc, filed on February 27, 2017) (File No. 333-216289)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10.18*</w:t>
            </w:r>
          </w:p>
        </w:tc>
        <w:tc>
          <w:tcPr>
            <w:tcW w:w="9880" w:type="dxa"/>
            <w:vAlign w:val="bottom"/>
            <w:gridSpan w:val="45"/>
          </w:tcPr>
          <w:p>
            <w:pPr>
              <w:spacing w:after="0"/>
              <w:rPr>
                <w:rFonts w:ascii="Arial" w:cs="Arial" w:eastAsia="Arial" w:hAnsi="Arial"/>
                <w:sz w:val="14"/>
                <w:szCs w:val="14"/>
                <w:color w:val="0000FF"/>
              </w:rPr>
            </w:pPr>
            <w:hyperlink r:id="rId112">
              <w:r>
                <w:rPr>
                  <w:rFonts w:ascii="Arial" w:cs="Arial" w:eastAsia="Arial" w:hAnsi="Arial"/>
                  <w:sz w:val="14"/>
                  <w:szCs w:val="14"/>
                  <w:color w:val="0000FF"/>
                </w:rPr>
                <w:t>2016 Technip Incentive and Reward Plan (Stock Option Plan Rules) July 1, 2016 allocation (incorporated by reference from Exhibit 99.11 to the</w:t>
              </w:r>
            </w:hyperlink>
          </w:p>
        </w:tc>
      </w:tr>
      <w:tr>
        <w:trPr>
          <w:trHeight w:val="142"/>
        </w:trPr>
        <w:tc>
          <w:tcPr>
            <w:tcW w:w="1380" w:type="dxa"/>
            <w:vAlign w:val="bottom"/>
          </w:tcPr>
          <w:p>
            <w:pPr>
              <w:spacing w:after="0"/>
              <w:rPr>
                <w:sz w:val="12"/>
                <w:szCs w:val="12"/>
                <w:color w:val="auto"/>
              </w:rPr>
            </w:pPr>
          </w:p>
        </w:tc>
        <w:tc>
          <w:tcPr>
            <w:tcW w:w="9100" w:type="dxa"/>
            <w:vAlign w:val="bottom"/>
            <w:tcBorders>
              <w:top w:val="single" w:sz="8" w:color="0000FF"/>
            </w:tcBorders>
            <w:gridSpan w:val="25"/>
          </w:tcPr>
          <w:p>
            <w:pPr>
              <w:spacing w:after="0" w:line="142" w:lineRule="exact"/>
              <w:rPr>
                <w:rFonts w:ascii="Arial" w:cs="Arial" w:eastAsia="Arial" w:hAnsi="Arial"/>
                <w:sz w:val="14"/>
                <w:szCs w:val="14"/>
                <w:color w:val="0000FF"/>
              </w:rPr>
            </w:pPr>
            <w:hyperlink r:id="rId112">
              <w:r>
                <w:rPr>
                  <w:rFonts w:ascii="Arial" w:cs="Arial" w:eastAsia="Arial" w:hAnsi="Arial"/>
                  <w:sz w:val="14"/>
                  <w:szCs w:val="14"/>
                  <w:color w:val="0000FF"/>
                </w:rPr>
                <w:t>Registration Statement on Form S-8 of TechnipFMC plc, filed on February 27, 2017) (File No. 333-216289)</w:t>
              </w:r>
            </w:hyperlink>
          </w:p>
        </w:tc>
        <w:tc>
          <w:tcPr>
            <w:tcW w:w="780" w:type="dxa"/>
            <w:vAlign w:val="bottom"/>
            <w:gridSpan w:val="20"/>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10.19*</w:t>
            </w:r>
          </w:p>
        </w:tc>
        <w:tc>
          <w:tcPr>
            <w:tcW w:w="9620" w:type="dxa"/>
            <w:vAlign w:val="bottom"/>
            <w:tcBorders>
              <w:bottom w:val="single" w:sz="8" w:color="0000FF"/>
            </w:tcBorders>
            <w:gridSpan w:val="36"/>
            <w:shd w:val="clear" w:color="auto" w:fill="CCEEFF"/>
          </w:tcPr>
          <w:p>
            <w:pPr>
              <w:spacing w:after="0"/>
              <w:rPr>
                <w:rFonts w:ascii="Arial" w:cs="Arial" w:eastAsia="Arial" w:hAnsi="Arial"/>
                <w:sz w:val="14"/>
                <w:szCs w:val="14"/>
                <w:color w:val="0000FF"/>
              </w:rPr>
            </w:pPr>
            <w:hyperlink r:id="rId113">
              <w:r>
                <w:rPr>
                  <w:rFonts w:ascii="Arial" w:cs="Arial" w:eastAsia="Arial" w:hAnsi="Arial"/>
                  <w:sz w:val="14"/>
                  <w:szCs w:val="14"/>
                  <w:color w:val="0000FF"/>
                </w:rPr>
                <w:t>2016 Technip Incentive and Reward Plan (Rules of the Performance Shares Plan) December 6, 2016 allocation (incorporated by reference from Exhibit</w:t>
              </w:r>
            </w:hyperlink>
          </w:p>
        </w:tc>
        <w:tc>
          <w:tcPr>
            <w:tcW w:w="260" w:type="dxa"/>
            <w:vAlign w:val="bottom"/>
            <w:tcBorders>
              <w:bottom w:val="single" w:sz="8" w:color="CCEEFF"/>
            </w:tcBorders>
            <w:gridSpan w:val="9"/>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113">
              <w:r>
                <w:rPr>
                  <w:rFonts w:ascii="Arial" w:cs="Arial" w:eastAsia="Arial" w:hAnsi="Arial"/>
                  <w:sz w:val="14"/>
                  <w:szCs w:val="14"/>
                  <w:color w:val="0000FF"/>
                </w:rPr>
                <w:t>99.</w:t>
              </w:r>
              <w:r>
                <w:rPr>
                  <w:rFonts w:ascii="Arial" w:cs="Arial" w:eastAsia="Arial" w:hAnsi="Arial"/>
                  <w:sz w:val="14"/>
                  <w:szCs w:val="14"/>
                  <w:u w:val="single" w:color="auto"/>
                  <w:color w:val="0000FF"/>
                </w:rPr>
                <w:t>12</w:t>
              </w:r>
              <w:r>
                <w:rPr>
                  <w:rFonts w:ascii="Arial" w:cs="Arial" w:eastAsia="Arial" w:hAnsi="Arial"/>
                  <w:sz w:val="14"/>
                  <w:szCs w:val="14"/>
                  <w:color w:val="0000FF"/>
                </w:rPr>
                <w:t xml:space="preserve"> to the Registration Statement on Form S-8 of TechnipFMC plc, filed on February 27, 2017) (File No. 333-216289)</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10.20*</w:t>
            </w:r>
          </w:p>
        </w:tc>
        <w:tc>
          <w:tcPr>
            <w:tcW w:w="9880" w:type="dxa"/>
            <w:vAlign w:val="bottom"/>
            <w:gridSpan w:val="45"/>
          </w:tcPr>
          <w:p>
            <w:pPr>
              <w:spacing w:after="0"/>
              <w:rPr>
                <w:rFonts w:ascii="Arial" w:cs="Arial" w:eastAsia="Arial" w:hAnsi="Arial"/>
                <w:sz w:val="14"/>
                <w:szCs w:val="14"/>
                <w:color w:val="0000FF"/>
              </w:rPr>
            </w:pPr>
            <w:hyperlink r:id="rId114">
              <w:r>
                <w:rPr>
                  <w:rFonts w:ascii="Arial" w:cs="Arial" w:eastAsia="Arial" w:hAnsi="Arial"/>
                  <w:sz w:val="14"/>
                  <w:szCs w:val="14"/>
                  <w:color w:val="0000FF"/>
                </w:rPr>
                <w:t>Form of TechnipFMC plc Executive Severance Agreement (incorporated by reference from Exhibit 10.5 to the Quarterly Report on Form 10-Q filed on</w:t>
              </w:r>
            </w:hyperlink>
          </w:p>
        </w:tc>
      </w:tr>
      <w:tr>
        <w:trPr>
          <w:trHeight w:val="142"/>
        </w:trPr>
        <w:tc>
          <w:tcPr>
            <w:tcW w:w="1380" w:type="dxa"/>
            <w:vAlign w:val="bottom"/>
          </w:tcPr>
          <w:p>
            <w:pPr>
              <w:spacing w:after="0"/>
              <w:rPr>
                <w:sz w:val="12"/>
                <w:szCs w:val="12"/>
                <w:color w:val="auto"/>
              </w:rPr>
            </w:pPr>
          </w:p>
        </w:tc>
        <w:tc>
          <w:tcPr>
            <w:tcW w:w="9500" w:type="dxa"/>
            <w:vAlign w:val="bottom"/>
            <w:tcBorders>
              <w:top w:val="single" w:sz="8" w:color="0000FF"/>
            </w:tcBorders>
            <w:gridSpan w:val="30"/>
          </w:tcPr>
          <w:p>
            <w:pPr>
              <w:spacing w:after="0" w:line="142" w:lineRule="exact"/>
              <w:rPr>
                <w:rFonts w:ascii="Arial" w:cs="Arial" w:eastAsia="Arial" w:hAnsi="Arial"/>
                <w:sz w:val="14"/>
                <w:szCs w:val="14"/>
                <w:color w:val="0000FF"/>
              </w:rPr>
            </w:pPr>
            <w:hyperlink r:id="rId114">
              <w:r>
                <w:rPr>
                  <w:rFonts w:ascii="Arial" w:cs="Arial" w:eastAsia="Arial" w:hAnsi="Arial"/>
                  <w:sz w:val="14"/>
                  <w:szCs w:val="14"/>
                  <w:color w:val="0000FF"/>
                </w:rPr>
                <w:t>August 4, 2017) (File No. 001-37983)</w:t>
              </w:r>
            </w:hyperlink>
          </w:p>
        </w:tc>
        <w:tc>
          <w:tcPr>
            <w:tcW w:w="380" w:type="dxa"/>
            <w:vAlign w:val="bottom"/>
            <w:gridSpan w:val="15"/>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10.21*</w:t>
            </w:r>
          </w:p>
        </w:tc>
        <w:tc>
          <w:tcPr>
            <w:tcW w:w="9540" w:type="dxa"/>
            <w:vAlign w:val="bottom"/>
            <w:tcBorders>
              <w:bottom w:val="single" w:sz="8" w:color="0000FF"/>
            </w:tcBorders>
            <w:gridSpan w:val="32"/>
            <w:shd w:val="clear" w:color="auto" w:fill="CCEEFF"/>
          </w:tcPr>
          <w:p>
            <w:pPr>
              <w:spacing w:after="0"/>
              <w:rPr>
                <w:rFonts w:ascii="Arial" w:cs="Arial" w:eastAsia="Arial" w:hAnsi="Arial"/>
                <w:sz w:val="14"/>
                <w:szCs w:val="14"/>
                <w:color w:val="0000FF"/>
              </w:rPr>
            </w:pPr>
            <w:hyperlink r:id="rId115">
              <w:r>
                <w:rPr>
                  <w:rFonts w:ascii="Arial" w:cs="Arial" w:eastAsia="Arial" w:hAnsi="Arial"/>
                  <w:sz w:val="14"/>
                  <w:szCs w:val="14"/>
                  <w:color w:val="0000FF"/>
                </w:rPr>
                <w:t>Service Agreement between TechnipFMC plc and Thierry Pilenko dated January 16, 2017 (incorporated by reference from Exhibit 10.21 to the Annual</w:t>
              </w:r>
            </w:hyperlink>
          </w:p>
        </w:tc>
        <w:tc>
          <w:tcPr>
            <w:tcW w:w="340" w:type="dxa"/>
            <w:vAlign w:val="bottom"/>
            <w:tcBorders>
              <w:bottom w:val="single" w:sz="8" w:color="CCEEFF"/>
            </w:tcBorders>
            <w:gridSpan w:val="13"/>
            <w:shd w:val="clear" w:color="auto" w:fill="CCEEFF"/>
          </w:tcPr>
          <w:p>
            <w:pPr>
              <w:spacing w:after="0"/>
              <w:rPr>
                <w:sz w:val="15"/>
                <w:szCs w:val="15"/>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4120" w:type="dxa"/>
            <w:vAlign w:val="bottom"/>
            <w:tcBorders>
              <w:bottom w:val="single" w:sz="8" w:color="0000FF"/>
            </w:tcBorders>
            <w:gridSpan w:val="9"/>
            <w:shd w:val="clear" w:color="auto" w:fill="CCEEFF"/>
          </w:tcPr>
          <w:p>
            <w:pPr>
              <w:spacing w:after="0" w:line="142" w:lineRule="exact"/>
              <w:rPr>
                <w:rFonts w:ascii="Arial" w:cs="Arial" w:eastAsia="Arial" w:hAnsi="Arial"/>
                <w:sz w:val="14"/>
                <w:szCs w:val="14"/>
                <w:color w:val="0000FF"/>
              </w:rPr>
            </w:pPr>
            <w:hyperlink r:id="rId115">
              <w:r>
                <w:rPr>
                  <w:rFonts w:ascii="Arial" w:cs="Arial" w:eastAsia="Arial" w:hAnsi="Arial"/>
                  <w:sz w:val="14"/>
                  <w:szCs w:val="14"/>
                  <w:color w:val="0000FF"/>
                </w:rPr>
                <w:t>Report on Form 10-K filed on April 2, 2018) (File No. 001-37983)</w:t>
              </w:r>
            </w:hyperlink>
          </w:p>
        </w:tc>
        <w:tc>
          <w:tcPr>
            <w:tcW w:w="5760" w:type="dxa"/>
            <w:vAlign w:val="bottom"/>
            <w:tcBorders>
              <w:bottom w:val="single" w:sz="8" w:color="CCEEFF"/>
            </w:tcBorders>
            <w:gridSpan w:val="36"/>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10.22*</w:t>
            </w:r>
          </w:p>
        </w:tc>
        <w:tc>
          <w:tcPr>
            <w:tcW w:w="9620" w:type="dxa"/>
            <w:vAlign w:val="bottom"/>
            <w:tcBorders>
              <w:bottom w:val="single" w:sz="8" w:color="0000FF"/>
            </w:tcBorders>
            <w:gridSpan w:val="36"/>
          </w:tcPr>
          <w:p>
            <w:pPr>
              <w:spacing w:after="0"/>
              <w:rPr>
                <w:rFonts w:ascii="Arial" w:cs="Arial" w:eastAsia="Arial" w:hAnsi="Arial"/>
                <w:sz w:val="14"/>
                <w:szCs w:val="14"/>
                <w:color w:val="0000FF"/>
              </w:rPr>
            </w:pPr>
            <w:hyperlink r:id="rId116">
              <w:r>
                <w:rPr>
                  <w:rFonts w:ascii="Arial" w:cs="Arial" w:eastAsia="Arial" w:hAnsi="Arial"/>
                  <w:sz w:val="14"/>
                  <w:szCs w:val="14"/>
                  <w:color w:val="0000FF"/>
                </w:rPr>
                <w:t>Letter Agreement between TechnipFMC plc and Thierry Pilenko dated September 20, 2017 (incorporated by reference from Exhibit 10.22 to the Annual</w:t>
              </w:r>
            </w:hyperlink>
          </w:p>
        </w:tc>
        <w:tc>
          <w:tcPr>
            <w:tcW w:w="260" w:type="dxa"/>
            <w:vAlign w:val="bottom"/>
            <w:gridSpan w:val="9"/>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116">
              <w:r>
                <w:rPr>
                  <w:rFonts w:ascii="Arial" w:cs="Arial" w:eastAsia="Arial" w:hAnsi="Arial"/>
                  <w:sz w:val="14"/>
                  <w:szCs w:val="14"/>
                  <w:color w:val="0000FF"/>
                </w:rPr>
                <w:t>Report on Form 10-K filed on April 2, 2018)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10.24</w:t>
            </w:r>
          </w:p>
        </w:tc>
        <w:tc>
          <w:tcPr>
            <w:tcW w:w="9760" w:type="dxa"/>
            <w:vAlign w:val="bottom"/>
            <w:tcBorders>
              <w:bottom w:val="single" w:sz="8" w:color="0000FF"/>
            </w:tcBorders>
            <w:gridSpan w:val="42"/>
            <w:shd w:val="clear" w:color="auto" w:fill="CCEEFF"/>
          </w:tcPr>
          <w:p>
            <w:pPr>
              <w:spacing w:after="0"/>
              <w:rPr>
                <w:rFonts w:ascii="Arial" w:cs="Arial" w:eastAsia="Arial" w:hAnsi="Arial"/>
                <w:sz w:val="14"/>
                <w:szCs w:val="14"/>
                <w:color w:val="0000FF"/>
              </w:rPr>
            </w:pPr>
            <w:hyperlink r:id="rId117">
              <w:r>
                <w:rPr>
                  <w:rFonts w:ascii="Arial" w:cs="Arial" w:eastAsia="Arial" w:hAnsi="Arial"/>
                  <w:sz w:val="14"/>
                  <w:szCs w:val="14"/>
                  <w:color w:val="0000FF"/>
                </w:rPr>
                <w:t>Form of Executive Director Appointment Letter (incorporated by reference from Exhibit 10.2 to the Current Report on Form 8-K filed on January 17, 2017)</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r>
      <w:tr>
        <w:trPr>
          <w:trHeight w:val="142"/>
        </w:trPr>
        <w:tc>
          <w:tcPr>
            <w:tcW w:w="1380" w:type="dxa"/>
            <w:vAlign w:val="bottom"/>
            <w:shd w:val="clear" w:color="auto" w:fill="CCEEFF"/>
          </w:tcPr>
          <w:p>
            <w:pPr>
              <w:spacing w:after="0"/>
              <w:rPr>
                <w:sz w:val="12"/>
                <w:szCs w:val="12"/>
                <w:color w:val="auto"/>
              </w:rPr>
            </w:pPr>
          </w:p>
        </w:tc>
        <w:tc>
          <w:tcPr>
            <w:tcW w:w="9880" w:type="dxa"/>
            <w:vAlign w:val="bottom"/>
            <w:gridSpan w:val="45"/>
            <w:shd w:val="clear" w:color="auto" w:fill="CCEEFF"/>
          </w:tcPr>
          <w:p>
            <w:pPr>
              <w:spacing w:after="0" w:line="142" w:lineRule="exact"/>
              <w:rPr>
                <w:rFonts w:ascii="Arial" w:cs="Arial" w:eastAsia="Arial" w:hAnsi="Arial"/>
                <w:sz w:val="14"/>
                <w:szCs w:val="14"/>
                <w:color w:val="0000FF"/>
              </w:rPr>
            </w:pPr>
            <w:hyperlink r:id="rId117">
              <w:r>
                <w:rPr>
                  <w:rFonts w:ascii="Arial" w:cs="Arial" w:eastAsia="Arial" w:hAnsi="Arial"/>
                  <w:sz w:val="14"/>
                  <w:szCs w:val="14"/>
                  <w:color w:val="0000FF"/>
                </w:rPr>
                <w:t>(File No. 001-37983)</w:t>
              </w:r>
            </w:hyperlink>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10.25</w:t>
            </w:r>
          </w:p>
        </w:tc>
        <w:tc>
          <w:tcPr>
            <w:tcW w:w="9660" w:type="dxa"/>
            <w:vAlign w:val="bottom"/>
            <w:tcBorders>
              <w:bottom w:val="single" w:sz="8" w:color="0000FF"/>
            </w:tcBorders>
            <w:gridSpan w:val="38"/>
          </w:tcPr>
          <w:p>
            <w:pPr>
              <w:spacing w:after="0"/>
              <w:rPr>
                <w:rFonts w:ascii="Arial" w:cs="Arial" w:eastAsia="Arial" w:hAnsi="Arial"/>
                <w:sz w:val="14"/>
                <w:szCs w:val="14"/>
                <w:color w:val="0000FF"/>
              </w:rPr>
            </w:pPr>
            <w:hyperlink r:id="rId118">
              <w:r>
                <w:rPr>
                  <w:rFonts w:ascii="Arial" w:cs="Arial" w:eastAsia="Arial" w:hAnsi="Arial"/>
                  <w:sz w:val="14"/>
                  <w:szCs w:val="14"/>
                  <w:color w:val="0000FF"/>
                </w:rPr>
                <w:t>Form of Non-Executive Director Appointment Letter (incorporated by reference from Exhibit 10.3 to the Current Report on Form 8-K filed on January 17,</w:t>
              </w:r>
            </w:hyperlink>
          </w:p>
        </w:tc>
        <w:tc>
          <w:tcPr>
            <w:tcW w:w="220" w:type="dxa"/>
            <w:vAlign w:val="bottom"/>
            <w:gridSpan w:val="7"/>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118">
              <w:r>
                <w:rPr>
                  <w:rFonts w:ascii="Arial" w:cs="Arial" w:eastAsia="Arial" w:hAnsi="Arial"/>
                  <w:sz w:val="14"/>
                  <w:szCs w:val="14"/>
                  <w:color w:val="0000FF"/>
                </w:rPr>
                <w:t>2017) (File No. 001-37983)</w:t>
              </w:r>
            </w:hyperlink>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10.26</w:t>
            </w:r>
          </w:p>
        </w:tc>
        <w:tc>
          <w:tcPr>
            <w:tcW w:w="9880" w:type="dxa"/>
            <w:vAlign w:val="bottom"/>
            <w:gridSpan w:val="45"/>
            <w:shd w:val="clear" w:color="auto" w:fill="CCEEFF"/>
          </w:tcPr>
          <w:p>
            <w:pPr>
              <w:spacing w:after="0"/>
              <w:rPr>
                <w:rFonts w:ascii="Arial" w:cs="Arial" w:eastAsia="Arial" w:hAnsi="Arial"/>
                <w:sz w:val="14"/>
                <w:szCs w:val="14"/>
                <w:color w:val="0000FF"/>
              </w:rPr>
            </w:pPr>
            <w:hyperlink r:id="rId119">
              <w:r>
                <w:rPr>
                  <w:rFonts w:ascii="Arial" w:cs="Arial" w:eastAsia="Arial" w:hAnsi="Arial"/>
                  <w:sz w:val="14"/>
                  <w:szCs w:val="14"/>
                  <w:color w:val="0000FF"/>
                </w:rPr>
                <w:t>Form of Director Deed of Indemnity (Directors) (incorporated by reference from Exhibit 10.2 to the Current Report on Form 8-K filed on January 17, 2017)</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41"/>
            <w:shd w:val="clear" w:color="auto" w:fill="CCEEFF"/>
          </w:tcPr>
          <w:p>
            <w:pPr>
              <w:spacing w:after="0" w:line="142" w:lineRule="exact"/>
              <w:rPr>
                <w:rFonts w:ascii="Arial" w:cs="Arial" w:eastAsia="Arial" w:hAnsi="Arial"/>
                <w:sz w:val="14"/>
                <w:szCs w:val="14"/>
                <w:color w:val="0000FF"/>
              </w:rPr>
            </w:pPr>
            <w:hyperlink r:id="rId119">
              <w:r>
                <w:rPr>
                  <w:rFonts w:ascii="Arial" w:cs="Arial" w:eastAsia="Arial" w:hAnsi="Arial"/>
                  <w:sz w:val="14"/>
                  <w:szCs w:val="14"/>
                  <w:color w:val="0000FF"/>
                </w:rPr>
                <w:t>(File No. 001-37983)</w:t>
              </w:r>
            </w:hyperlink>
          </w:p>
        </w:tc>
        <w:tc>
          <w:tcPr>
            <w:tcW w:w="140" w:type="dxa"/>
            <w:vAlign w:val="bottom"/>
            <w:tcBorders>
              <w:top w:val="single" w:sz="8" w:color="CCEEFF"/>
            </w:tcBorders>
            <w:gridSpan w:val="4"/>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10.27</w:t>
            </w:r>
          </w:p>
        </w:tc>
        <w:tc>
          <w:tcPr>
            <w:tcW w:w="9880" w:type="dxa"/>
            <w:vAlign w:val="bottom"/>
            <w:gridSpan w:val="45"/>
          </w:tcPr>
          <w:p>
            <w:pPr>
              <w:spacing w:after="0"/>
              <w:rPr>
                <w:rFonts w:ascii="Arial" w:cs="Arial" w:eastAsia="Arial" w:hAnsi="Arial"/>
                <w:sz w:val="14"/>
                <w:szCs w:val="14"/>
                <w:color w:val="0000FF"/>
              </w:rPr>
            </w:pPr>
            <w:hyperlink r:id="rId120">
              <w:r>
                <w:rPr>
                  <w:rFonts w:ascii="Arial" w:cs="Arial" w:eastAsia="Arial" w:hAnsi="Arial"/>
                  <w:sz w:val="14"/>
                  <w:szCs w:val="14"/>
                  <w:color w:val="0000FF"/>
                </w:rPr>
                <w:t>Form of Deed of Indemnity (Executive Officers) (incorporated by reference from Exhibit 10.3 to the Current Report on Form 8-K filed on January 17, 2017)</w:t>
              </w:r>
            </w:hyperlink>
          </w:p>
        </w:tc>
      </w:tr>
      <w:tr>
        <w:trPr>
          <w:trHeight w:val="142"/>
        </w:trPr>
        <w:tc>
          <w:tcPr>
            <w:tcW w:w="1380" w:type="dxa"/>
            <w:vAlign w:val="bottom"/>
          </w:tcPr>
          <w:p>
            <w:pPr>
              <w:spacing w:after="0"/>
              <w:rPr>
                <w:sz w:val="12"/>
                <w:szCs w:val="12"/>
                <w:color w:val="auto"/>
              </w:rPr>
            </w:pPr>
          </w:p>
        </w:tc>
        <w:tc>
          <w:tcPr>
            <w:tcW w:w="9780" w:type="dxa"/>
            <w:vAlign w:val="bottom"/>
            <w:tcBorders>
              <w:top w:val="single" w:sz="8" w:color="0000FF"/>
            </w:tcBorders>
            <w:gridSpan w:val="43"/>
          </w:tcPr>
          <w:p>
            <w:pPr>
              <w:spacing w:after="0" w:line="142" w:lineRule="exact"/>
              <w:rPr>
                <w:rFonts w:ascii="Arial" w:cs="Arial" w:eastAsia="Arial" w:hAnsi="Arial"/>
                <w:sz w:val="14"/>
                <w:szCs w:val="14"/>
                <w:color w:val="0000FF"/>
              </w:rPr>
            </w:pPr>
            <w:hyperlink r:id="rId120">
              <w:r>
                <w:rPr>
                  <w:rFonts w:ascii="Arial" w:cs="Arial" w:eastAsia="Arial" w:hAnsi="Arial"/>
                  <w:sz w:val="14"/>
                  <w:szCs w:val="14"/>
                  <w:color w:val="0000FF"/>
                </w:rPr>
                <w:t>(File No. 001-37983)</w:t>
              </w:r>
            </w:hyperlink>
          </w:p>
        </w:tc>
        <w:tc>
          <w:tcPr>
            <w:tcW w:w="100" w:type="dxa"/>
            <w:vAlign w:val="bottom"/>
            <w:gridSpan w:val="2"/>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10.28</w:t>
            </w:r>
          </w:p>
        </w:tc>
        <w:tc>
          <w:tcPr>
            <w:tcW w:w="9880" w:type="dxa"/>
            <w:vAlign w:val="bottom"/>
            <w:gridSpan w:val="45"/>
            <w:shd w:val="clear" w:color="auto" w:fill="CCEEFF"/>
          </w:tcPr>
          <w:p>
            <w:pPr>
              <w:spacing w:after="0"/>
              <w:rPr>
                <w:rFonts w:ascii="Arial" w:cs="Arial" w:eastAsia="Arial" w:hAnsi="Arial"/>
                <w:sz w:val="14"/>
                <w:szCs w:val="14"/>
                <w:color w:val="0000FF"/>
              </w:rPr>
            </w:pPr>
            <w:hyperlink r:id="rId121">
              <w:r>
                <w:rPr>
                  <w:rFonts w:ascii="Arial" w:cs="Arial" w:eastAsia="Arial" w:hAnsi="Arial"/>
                  <w:sz w:val="14"/>
                  <w:szCs w:val="14"/>
                  <w:color w:val="0000FF"/>
                </w:rPr>
                <w:t>Form of Director Deed of Indemnity (Executive Directors) (incorporated by reference from Exhibit 10.4 to the Current Report on Form 8-K filed on January</w:t>
              </w:r>
            </w:hyperlink>
          </w:p>
        </w:tc>
      </w:tr>
      <w:tr>
        <w:trPr>
          <w:trHeight w:val="163"/>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980" w:type="dxa"/>
            <w:vAlign w:val="bottom"/>
            <w:tcBorders>
              <w:top w:val="single" w:sz="8" w:color="0000FF"/>
              <w:bottom w:val="single" w:sz="8" w:color="0000FF"/>
            </w:tcBorders>
            <w:gridSpan w:val="6"/>
            <w:shd w:val="clear" w:color="auto" w:fill="CCEEFF"/>
          </w:tcPr>
          <w:p>
            <w:pPr>
              <w:spacing w:after="0" w:line="142" w:lineRule="exact"/>
              <w:rPr>
                <w:rFonts w:ascii="Arial" w:cs="Arial" w:eastAsia="Arial" w:hAnsi="Arial"/>
                <w:sz w:val="14"/>
                <w:szCs w:val="14"/>
                <w:color w:val="0000FF"/>
              </w:rPr>
            </w:pPr>
            <w:hyperlink r:id="rId121">
              <w:r>
                <w:rPr>
                  <w:rFonts w:ascii="Arial" w:cs="Arial" w:eastAsia="Arial" w:hAnsi="Arial"/>
                  <w:sz w:val="14"/>
                  <w:szCs w:val="14"/>
                  <w:color w:val="0000FF"/>
                </w:rPr>
                <w:t>17, 2017) (File No. 001-37983)</w:t>
              </w:r>
            </w:hyperlink>
          </w:p>
        </w:tc>
        <w:tc>
          <w:tcPr>
            <w:tcW w:w="7780" w:type="dxa"/>
            <w:vAlign w:val="bottom"/>
            <w:tcBorders>
              <w:top w:val="single" w:sz="8" w:color="0000FF"/>
              <w:bottom w:val="single" w:sz="8" w:color="CCEEFF"/>
            </w:tcBorders>
            <w:gridSpan w:val="36"/>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10.29</w:t>
            </w:r>
          </w:p>
        </w:tc>
        <w:tc>
          <w:tcPr>
            <w:tcW w:w="9720" w:type="dxa"/>
            <w:vAlign w:val="bottom"/>
            <w:tcBorders>
              <w:bottom w:val="single" w:sz="8" w:color="0000FF"/>
            </w:tcBorders>
            <w:gridSpan w:val="40"/>
          </w:tcPr>
          <w:p>
            <w:pPr>
              <w:spacing w:after="0"/>
              <w:rPr>
                <w:rFonts w:ascii="Arial" w:cs="Arial" w:eastAsia="Arial" w:hAnsi="Arial"/>
                <w:sz w:val="14"/>
                <w:szCs w:val="14"/>
                <w:color w:val="0000FF"/>
              </w:rPr>
            </w:pPr>
            <w:hyperlink r:id="rId122">
              <w:r>
                <w:rPr>
                  <w:rFonts w:ascii="Arial" w:cs="Arial" w:eastAsia="Arial" w:hAnsi="Arial"/>
                  <w:sz w:val="14"/>
                  <w:szCs w:val="14"/>
                  <w:u w:val="single" w:color="auto"/>
                  <w:color w:val="0000FF"/>
                </w:rPr>
                <w:t>US$</w:t>
              </w:r>
              <w:r>
                <w:rPr>
                  <w:rFonts w:ascii="Arial" w:cs="Arial" w:eastAsia="Arial" w:hAnsi="Arial"/>
                  <w:sz w:val="14"/>
                  <w:szCs w:val="14"/>
                  <w:color w:val="0000FF"/>
                </w:rPr>
                <w:t>2,500,000,000 Facility Agreement, dated January 12, 2017, by and among FMC Technologies, Inc., Technip Eurocash SNC and TechnipFMC plc, as</w:t>
              </w:r>
            </w:hyperlink>
          </w:p>
        </w:tc>
        <w:tc>
          <w:tcPr>
            <w:tcW w:w="160" w:type="dxa"/>
            <w:vAlign w:val="bottom"/>
            <w:gridSpan w:val="5"/>
          </w:tcPr>
          <w:p>
            <w:pPr>
              <w:spacing w:after="0"/>
              <w:rPr>
                <w:sz w:val="15"/>
                <w:szCs w:val="15"/>
                <w:color w:val="auto"/>
              </w:rPr>
            </w:pPr>
          </w:p>
        </w:tc>
      </w:tr>
      <w:tr>
        <w:trPr>
          <w:trHeight w:val="142"/>
        </w:trPr>
        <w:tc>
          <w:tcPr>
            <w:tcW w:w="1380" w:type="dxa"/>
            <w:vAlign w:val="bottom"/>
          </w:tcPr>
          <w:p>
            <w:pPr>
              <w:spacing w:after="0"/>
              <w:rPr>
                <w:sz w:val="12"/>
                <w:szCs w:val="12"/>
                <w:color w:val="auto"/>
              </w:rPr>
            </w:pPr>
          </w:p>
        </w:tc>
        <w:tc>
          <w:tcPr>
            <w:tcW w:w="9880" w:type="dxa"/>
            <w:vAlign w:val="bottom"/>
            <w:gridSpan w:val="45"/>
          </w:tcPr>
          <w:p>
            <w:pPr>
              <w:spacing w:after="0" w:line="142" w:lineRule="exact"/>
              <w:rPr>
                <w:rFonts w:ascii="Arial" w:cs="Arial" w:eastAsia="Arial" w:hAnsi="Arial"/>
                <w:sz w:val="14"/>
                <w:szCs w:val="14"/>
                <w:color w:val="0000FF"/>
              </w:rPr>
            </w:pPr>
            <w:hyperlink r:id="rId122">
              <w:r>
                <w:rPr>
                  <w:rFonts w:ascii="Arial" w:cs="Arial" w:eastAsia="Arial" w:hAnsi="Arial"/>
                  <w:sz w:val="14"/>
                  <w:szCs w:val="14"/>
                  <w:color w:val="0000FF"/>
                </w:rPr>
                <w:t>borrowers; JPMorgan Chase Bank, N.A., as agent; SG Americas Securities, LLC as syndication agent; and the other lenders party thereto (incorporated</w:t>
              </w:r>
            </w:hyperlink>
          </w:p>
        </w:tc>
      </w:tr>
      <w:tr>
        <w:trPr>
          <w:trHeight w:val="142"/>
        </w:trPr>
        <w:tc>
          <w:tcPr>
            <w:tcW w:w="1380" w:type="dxa"/>
            <w:vAlign w:val="bottom"/>
          </w:tcPr>
          <w:p>
            <w:pPr>
              <w:spacing w:after="0"/>
              <w:rPr>
                <w:sz w:val="12"/>
                <w:szCs w:val="12"/>
                <w:color w:val="auto"/>
              </w:rPr>
            </w:pPr>
          </w:p>
        </w:tc>
        <w:tc>
          <w:tcPr>
            <w:tcW w:w="9660" w:type="dxa"/>
            <w:vAlign w:val="bottom"/>
            <w:tcBorders>
              <w:top w:val="single" w:sz="8" w:color="0000FF"/>
            </w:tcBorders>
            <w:gridSpan w:val="38"/>
          </w:tcPr>
          <w:p>
            <w:pPr>
              <w:spacing w:after="0" w:line="142" w:lineRule="exact"/>
              <w:rPr>
                <w:rFonts w:ascii="Arial" w:cs="Arial" w:eastAsia="Arial" w:hAnsi="Arial"/>
                <w:sz w:val="14"/>
                <w:szCs w:val="14"/>
                <w:color w:val="0000FF"/>
              </w:rPr>
            </w:pPr>
            <w:hyperlink r:id="rId122">
              <w:r>
                <w:rPr>
                  <w:rFonts w:ascii="Arial" w:cs="Arial" w:eastAsia="Arial" w:hAnsi="Arial"/>
                  <w:sz w:val="14"/>
                  <w:szCs w:val="14"/>
                  <w:color w:val="0000FF"/>
                </w:rPr>
                <w:t>by reference from Exhibit 10.1 to the Current Report on Form 8-K filed on January 17, 2017) (File No. 001-37983)</w:t>
              </w:r>
            </w:hyperlink>
          </w:p>
        </w:tc>
        <w:tc>
          <w:tcPr>
            <w:tcW w:w="220" w:type="dxa"/>
            <w:vAlign w:val="bottom"/>
            <w:gridSpan w:val="7"/>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1"/>
        </w:trPr>
        <w:tc>
          <w:tcPr>
            <w:tcW w:w="13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bl>
    <w:p>
      <w:pPr>
        <w:sectPr>
          <w:pgSz w:w="11900" w:h="16900" w:orient="portrait"/>
          <w:cols w:equalWidth="0" w:num="1">
            <w:col w:w="11260"/>
          </w:cols>
          <w:pgMar w:left="240" w:top="1332" w:right="399" w:bottom="0" w:gutter="0" w:footer="0" w:header="0"/>
          <w:type w:val="continuous"/>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10.30</w:t>
            </w:r>
          </w:p>
        </w:tc>
        <w:tc>
          <w:tcPr>
            <w:tcW w:w="9880" w:type="dxa"/>
            <w:vAlign w:val="bottom"/>
            <w:gridSpan w:val="10"/>
            <w:shd w:val="clear" w:color="auto" w:fill="CCEEFF"/>
          </w:tcPr>
          <w:p>
            <w:pPr>
              <w:spacing w:after="0"/>
              <w:rPr>
                <w:rFonts w:ascii="Arial" w:cs="Arial" w:eastAsia="Arial" w:hAnsi="Arial"/>
                <w:sz w:val="14"/>
                <w:szCs w:val="14"/>
                <w:color w:val="0000FF"/>
              </w:rPr>
            </w:pPr>
            <w:hyperlink r:id="rId123">
              <w:r>
                <w:rPr>
                  <w:rFonts w:ascii="Arial" w:cs="Arial" w:eastAsia="Arial" w:hAnsi="Arial"/>
                  <w:sz w:val="14"/>
                  <w:szCs w:val="14"/>
                  <w:color w:val="0000FF"/>
                </w:rPr>
                <w:t>Form of Commercial Paper Dealer Agreement, by and among FMC Technologies, Inc., as Issuer, TechnipFMC plc, as Guarantor, and the Dealer party</w:t>
              </w:r>
            </w:hyperlink>
          </w:p>
        </w:tc>
      </w:tr>
      <w:tr>
        <w:trPr>
          <w:trHeight w:val="163"/>
        </w:trPr>
        <w:tc>
          <w:tcPr>
            <w:tcW w:w="1380" w:type="dxa"/>
            <w:vAlign w:val="bottom"/>
            <w:tcBorders>
              <w:top w:val="single" w:sz="8" w:color="CCEEFF"/>
            </w:tcBorders>
            <w:shd w:val="clear" w:color="auto" w:fill="CCEEFF"/>
          </w:tcPr>
          <w:p>
            <w:pPr>
              <w:spacing w:after="0"/>
              <w:rPr>
                <w:sz w:val="14"/>
                <w:szCs w:val="14"/>
                <w:color w:val="auto"/>
              </w:rPr>
            </w:pPr>
          </w:p>
        </w:tc>
        <w:tc>
          <w:tcPr>
            <w:tcW w:w="9540" w:type="dxa"/>
            <w:vAlign w:val="bottom"/>
            <w:tcBorders>
              <w:top w:val="single" w:sz="8" w:color="0000FF"/>
            </w:tcBorders>
            <w:gridSpan w:val="9"/>
            <w:shd w:val="clear" w:color="auto" w:fill="CCEEFF"/>
          </w:tcPr>
          <w:p>
            <w:pPr>
              <w:spacing w:after="0" w:line="142" w:lineRule="exact"/>
              <w:rPr>
                <w:rFonts w:ascii="Arial" w:cs="Arial" w:eastAsia="Arial" w:hAnsi="Arial"/>
                <w:sz w:val="14"/>
                <w:szCs w:val="14"/>
                <w:color w:val="0000FF"/>
              </w:rPr>
            </w:pPr>
            <w:hyperlink r:id="rId123">
              <w:r>
                <w:rPr>
                  <w:rFonts w:ascii="Arial" w:cs="Arial" w:eastAsia="Arial" w:hAnsi="Arial"/>
                  <w:sz w:val="14"/>
                  <w:szCs w:val="14"/>
                  <w:color w:val="0000FF"/>
                </w:rPr>
                <w:t>thereto (incorporated by reference from Exhibit 10.1 to the Current Report on Form 8-K filed on September 20, 2017) (File No. 001-37983)</w:t>
              </w:r>
            </w:hyperlink>
          </w:p>
        </w:tc>
        <w:tc>
          <w:tcPr>
            <w:tcW w:w="340" w:type="dxa"/>
            <w:vAlign w:val="bottom"/>
            <w:tcBorders>
              <w:top w:val="single" w:sz="8" w:color="CCEEFF"/>
            </w:tcBorders>
            <w:shd w:val="clear" w:color="auto" w:fill="CCEEFF"/>
          </w:tcPr>
          <w:p>
            <w:pPr>
              <w:spacing w:after="0"/>
              <w:rPr>
                <w:sz w:val="14"/>
                <w:szCs w:val="14"/>
                <w:color w:val="auto"/>
              </w:rPr>
            </w:pPr>
          </w:p>
        </w:tc>
      </w:tr>
      <w:tr>
        <w:trPr>
          <w:trHeight w:val="176"/>
        </w:trPr>
        <w:tc>
          <w:tcPr>
            <w:tcW w:w="1380" w:type="dxa"/>
            <w:vAlign w:val="bottom"/>
            <w:tcBorders>
              <w:top w:val="single" w:sz="8" w:color="CCEEFF"/>
            </w:tcBorders>
          </w:tcPr>
          <w:p>
            <w:pPr>
              <w:ind w:left="40"/>
              <w:spacing w:after="0"/>
              <w:rPr>
                <w:sz w:val="20"/>
                <w:szCs w:val="20"/>
                <w:color w:val="auto"/>
              </w:rPr>
            </w:pPr>
            <w:r>
              <w:rPr>
                <w:rFonts w:ascii="Arial" w:cs="Arial" w:eastAsia="Arial" w:hAnsi="Arial"/>
                <w:sz w:val="14"/>
                <w:szCs w:val="14"/>
                <w:color w:val="auto"/>
              </w:rPr>
              <w:t>21.1</w:t>
            </w:r>
          </w:p>
        </w:tc>
        <w:tc>
          <w:tcPr>
            <w:tcW w:w="8780" w:type="dxa"/>
            <w:vAlign w:val="bottom"/>
            <w:tcBorders>
              <w:top w:val="single" w:sz="8" w:color="0000FF"/>
            </w:tcBorders>
            <w:gridSpan w:val="8"/>
          </w:tcPr>
          <w:p>
            <w:pPr>
              <w:spacing w:after="0"/>
              <w:rPr>
                <w:rFonts w:ascii="Arial" w:cs="Arial" w:eastAsia="Arial" w:hAnsi="Arial"/>
                <w:sz w:val="14"/>
                <w:szCs w:val="14"/>
                <w:color w:val="0000FF"/>
              </w:rPr>
            </w:pPr>
            <w:hyperlink w:anchor="page177">
              <w:r>
                <w:rPr>
                  <w:rFonts w:ascii="Arial" w:cs="Arial" w:eastAsia="Arial" w:hAnsi="Arial"/>
                  <w:sz w:val="14"/>
                  <w:szCs w:val="14"/>
                  <w:color w:val="0000FF"/>
                </w:rPr>
                <w:t>List of Significant Subsidiaries</w:t>
              </w:r>
            </w:hyperlink>
          </w:p>
        </w:tc>
        <w:tc>
          <w:tcPr>
            <w:tcW w:w="1100" w:type="dxa"/>
            <w:vAlign w:val="bottom"/>
            <w:tcBorders>
              <w:top w:val="single" w:sz="8" w:color="CCEEFF"/>
            </w:tcBorders>
            <w:gridSpan w:val="2"/>
          </w:tcPr>
          <w:p>
            <w:pPr>
              <w:spacing w:after="0"/>
              <w:rPr>
                <w:sz w:val="15"/>
                <w:szCs w:val="15"/>
                <w:color w:val="auto"/>
              </w:rPr>
            </w:pPr>
          </w:p>
        </w:tc>
      </w:tr>
      <w:tr>
        <w:trPr>
          <w:trHeight w:val="75"/>
        </w:trPr>
        <w:tc>
          <w:tcPr>
            <w:tcW w:w="1380" w:type="dxa"/>
            <w:vAlign w:val="bottom"/>
          </w:tcPr>
          <w:p>
            <w:pPr>
              <w:spacing w:after="0"/>
              <w:rPr>
                <w:sz w:val="6"/>
                <w:szCs w:val="6"/>
                <w:color w:val="auto"/>
              </w:rPr>
            </w:pPr>
          </w:p>
        </w:tc>
        <w:tc>
          <w:tcPr>
            <w:tcW w:w="1920" w:type="dxa"/>
            <w:vAlign w:val="bottom"/>
            <w:tcBorders>
              <w:top w:val="single" w:sz="8" w:color="0000FF"/>
            </w:tcBorders>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23.1</w:t>
            </w:r>
          </w:p>
        </w:tc>
        <w:tc>
          <w:tcPr>
            <w:tcW w:w="9880" w:type="dxa"/>
            <w:vAlign w:val="bottom"/>
            <w:gridSpan w:val="10"/>
            <w:shd w:val="clear" w:color="auto" w:fill="CCEEFF"/>
          </w:tcPr>
          <w:p>
            <w:pPr>
              <w:spacing w:after="0"/>
              <w:rPr>
                <w:rFonts w:ascii="Arial" w:cs="Arial" w:eastAsia="Arial" w:hAnsi="Arial"/>
                <w:sz w:val="14"/>
                <w:szCs w:val="14"/>
                <w:color w:val="0000FF"/>
              </w:rPr>
            </w:pPr>
            <w:hyperlink w:anchor="page178">
              <w:r>
                <w:rPr>
                  <w:rFonts w:ascii="Arial" w:cs="Arial" w:eastAsia="Arial" w:hAnsi="Arial"/>
                  <w:sz w:val="14"/>
                  <w:szCs w:val="14"/>
                  <w:color w:val="0000FF"/>
                </w:rPr>
                <w:t>Consent of PricewaterhouseCoopers LLP</w:t>
              </w:r>
            </w:hyperlink>
          </w:p>
        </w:tc>
      </w:tr>
      <w:tr>
        <w:trPr>
          <w:trHeight w:val="75"/>
        </w:trPr>
        <w:tc>
          <w:tcPr>
            <w:tcW w:w="138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0000FF"/>
            </w:tcBorders>
            <w:shd w:val="clear" w:color="auto" w:fill="CCEEFF"/>
          </w:tcPr>
          <w:p>
            <w:pPr>
              <w:spacing w:after="0"/>
              <w:rPr>
                <w:sz w:val="6"/>
                <w:szCs w:val="6"/>
                <w:color w:val="auto"/>
              </w:rPr>
            </w:pPr>
          </w:p>
        </w:tc>
        <w:tc>
          <w:tcPr>
            <w:tcW w:w="74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3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23.2</w:t>
            </w:r>
          </w:p>
        </w:tc>
        <w:tc>
          <w:tcPr>
            <w:tcW w:w="9880" w:type="dxa"/>
            <w:vAlign w:val="bottom"/>
            <w:gridSpan w:val="10"/>
          </w:tcPr>
          <w:p>
            <w:pPr>
              <w:spacing w:after="0"/>
              <w:rPr>
                <w:rFonts w:ascii="Arial" w:cs="Arial" w:eastAsia="Arial" w:hAnsi="Arial"/>
                <w:sz w:val="14"/>
                <w:szCs w:val="14"/>
                <w:color w:val="0000FF"/>
              </w:rPr>
            </w:pPr>
            <w:hyperlink w:anchor="page179">
              <w:r>
                <w:rPr>
                  <w:rFonts w:ascii="Arial" w:cs="Arial" w:eastAsia="Arial" w:hAnsi="Arial"/>
                  <w:sz w:val="14"/>
                  <w:szCs w:val="14"/>
                  <w:color w:val="0000FF"/>
                </w:rPr>
                <w:t>Consent of PricewaterhouseCoopers Audit</w:t>
              </w:r>
            </w:hyperlink>
          </w:p>
        </w:tc>
      </w:tr>
      <w:tr>
        <w:trPr>
          <w:trHeight w:val="75"/>
        </w:trPr>
        <w:tc>
          <w:tcPr>
            <w:tcW w:w="1380" w:type="dxa"/>
            <w:vAlign w:val="bottom"/>
          </w:tcPr>
          <w:p>
            <w:pPr>
              <w:spacing w:after="0"/>
              <w:rPr>
                <w:sz w:val="6"/>
                <w:szCs w:val="6"/>
                <w:color w:val="auto"/>
              </w:rPr>
            </w:pPr>
          </w:p>
        </w:tc>
        <w:tc>
          <w:tcPr>
            <w:tcW w:w="1920" w:type="dxa"/>
            <w:vAlign w:val="bottom"/>
            <w:tcBorders>
              <w:top w:val="single" w:sz="8" w:color="0000FF"/>
            </w:tcBorders>
          </w:tcPr>
          <w:p>
            <w:pPr>
              <w:spacing w:after="0"/>
              <w:rPr>
                <w:sz w:val="6"/>
                <w:szCs w:val="6"/>
                <w:color w:val="auto"/>
              </w:rPr>
            </w:pPr>
          </w:p>
        </w:tc>
        <w:tc>
          <w:tcPr>
            <w:tcW w:w="7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31.1</w:t>
            </w:r>
          </w:p>
        </w:tc>
        <w:tc>
          <w:tcPr>
            <w:tcW w:w="9880" w:type="dxa"/>
            <w:vAlign w:val="bottom"/>
            <w:gridSpan w:val="10"/>
            <w:shd w:val="clear" w:color="auto" w:fill="CCEEFF"/>
          </w:tcPr>
          <w:p>
            <w:pPr>
              <w:spacing w:after="0"/>
              <w:rPr>
                <w:rFonts w:ascii="Arial" w:cs="Arial" w:eastAsia="Arial" w:hAnsi="Arial"/>
                <w:sz w:val="14"/>
                <w:szCs w:val="14"/>
                <w:color w:val="0000FF"/>
              </w:rPr>
            </w:pPr>
            <w:hyperlink w:anchor="page180">
              <w:r>
                <w:rPr>
                  <w:rFonts w:ascii="Arial" w:cs="Arial" w:eastAsia="Arial" w:hAnsi="Arial"/>
                  <w:sz w:val="14"/>
                  <w:szCs w:val="14"/>
                  <w:color w:val="0000FF"/>
                </w:rPr>
                <w:t>Certification of Chief Executive Officer pursuant to Rule 13a-14(a) and Rule 15d-14(a)</w:t>
              </w:r>
            </w:hyperlink>
          </w:p>
        </w:tc>
      </w:tr>
      <w:tr>
        <w:trPr>
          <w:trHeight w:val="75"/>
        </w:trPr>
        <w:tc>
          <w:tcPr>
            <w:tcW w:w="138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0000FF"/>
            </w:tcBorders>
            <w:shd w:val="clear" w:color="auto" w:fill="CCEEFF"/>
          </w:tcPr>
          <w:p>
            <w:pPr>
              <w:spacing w:after="0"/>
              <w:rPr>
                <w:sz w:val="6"/>
                <w:szCs w:val="6"/>
                <w:color w:val="auto"/>
              </w:rPr>
            </w:pPr>
          </w:p>
        </w:tc>
        <w:tc>
          <w:tcPr>
            <w:tcW w:w="74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144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120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33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31.2</w:t>
            </w:r>
          </w:p>
        </w:tc>
        <w:tc>
          <w:tcPr>
            <w:tcW w:w="9880" w:type="dxa"/>
            <w:vAlign w:val="bottom"/>
            <w:gridSpan w:val="10"/>
          </w:tcPr>
          <w:p>
            <w:pPr>
              <w:spacing w:after="0"/>
              <w:rPr>
                <w:rFonts w:ascii="Arial" w:cs="Arial" w:eastAsia="Arial" w:hAnsi="Arial"/>
                <w:sz w:val="14"/>
                <w:szCs w:val="14"/>
                <w:color w:val="0000FF"/>
              </w:rPr>
            </w:pPr>
            <w:hyperlink w:anchor="page181">
              <w:r>
                <w:rPr>
                  <w:rFonts w:ascii="Arial" w:cs="Arial" w:eastAsia="Arial" w:hAnsi="Arial"/>
                  <w:sz w:val="14"/>
                  <w:szCs w:val="14"/>
                  <w:color w:val="0000FF"/>
                </w:rPr>
                <w:t>Certification of Chief Financial Officer pursuant to Rule 13a-14(a) and Rule 15d-14(a)</w:t>
              </w:r>
            </w:hyperlink>
          </w:p>
        </w:tc>
      </w:tr>
      <w:tr>
        <w:trPr>
          <w:trHeight w:val="75"/>
        </w:trPr>
        <w:tc>
          <w:tcPr>
            <w:tcW w:w="1380" w:type="dxa"/>
            <w:vAlign w:val="bottom"/>
          </w:tcPr>
          <w:p>
            <w:pPr>
              <w:spacing w:after="0"/>
              <w:rPr>
                <w:sz w:val="6"/>
                <w:szCs w:val="6"/>
                <w:color w:val="auto"/>
              </w:rPr>
            </w:pPr>
          </w:p>
        </w:tc>
        <w:tc>
          <w:tcPr>
            <w:tcW w:w="1920" w:type="dxa"/>
            <w:vAlign w:val="bottom"/>
            <w:tcBorders>
              <w:top w:val="single" w:sz="8" w:color="0000FF"/>
            </w:tcBorders>
          </w:tcPr>
          <w:p>
            <w:pPr>
              <w:spacing w:after="0"/>
              <w:rPr>
                <w:sz w:val="6"/>
                <w:szCs w:val="6"/>
                <w:color w:val="auto"/>
              </w:rPr>
            </w:pPr>
          </w:p>
        </w:tc>
        <w:tc>
          <w:tcPr>
            <w:tcW w:w="7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17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32.1**</w:t>
            </w:r>
          </w:p>
        </w:tc>
        <w:tc>
          <w:tcPr>
            <w:tcW w:w="9880" w:type="dxa"/>
            <w:vAlign w:val="bottom"/>
            <w:gridSpan w:val="10"/>
            <w:shd w:val="clear" w:color="auto" w:fill="CCEEFF"/>
          </w:tcPr>
          <w:p>
            <w:pPr>
              <w:spacing w:after="0"/>
              <w:rPr>
                <w:rFonts w:ascii="Arial" w:cs="Arial" w:eastAsia="Arial" w:hAnsi="Arial"/>
                <w:sz w:val="14"/>
                <w:szCs w:val="14"/>
                <w:color w:val="0000FF"/>
              </w:rPr>
            </w:pPr>
            <w:hyperlink w:anchor="page182">
              <w:r>
                <w:rPr>
                  <w:rFonts w:ascii="Arial" w:cs="Arial" w:eastAsia="Arial" w:hAnsi="Arial"/>
                  <w:sz w:val="14"/>
                  <w:szCs w:val="14"/>
                  <w:color w:val="0000FF"/>
                </w:rPr>
                <w:t>Certification of Chief Executive Officer pursuant to 18 U.S.C. 1350</w:t>
              </w:r>
            </w:hyperlink>
          </w:p>
        </w:tc>
      </w:tr>
      <w:tr>
        <w:trPr>
          <w:trHeight w:val="75"/>
        </w:trPr>
        <w:tc>
          <w:tcPr>
            <w:tcW w:w="138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0000FF"/>
            </w:tcBorders>
            <w:shd w:val="clear" w:color="auto" w:fill="CCEEFF"/>
          </w:tcPr>
          <w:p>
            <w:pPr>
              <w:spacing w:after="0"/>
              <w:rPr>
                <w:sz w:val="6"/>
                <w:szCs w:val="6"/>
                <w:color w:val="auto"/>
              </w:rPr>
            </w:pPr>
          </w:p>
        </w:tc>
        <w:tc>
          <w:tcPr>
            <w:tcW w:w="74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1440" w:type="dxa"/>
            <w:vAlign w:val="bottom"/>
            <w:tcBorders>
              <w:top w:val="single" w:sz="8" w:color="0000FF"/>
            </w:tcBorders>
            <w:shd w:val="clear" w:color="auto" w:fill="CCEEFF"/>
          </w:tcPr>
          <w:p>
            <w:pPr>
              <w:spacing w:after="0"/>
              <w:rPr>
                <w:sz w:val="6"/>
                <w:szCs w:val="6"/>
                <w:color w:val="auto"/>
              </w:rPr>
            </w:pPr>
          </w:p>
        </w:tc>
        <w:tc>
          <w:tcPr>
            <w:tcW w:w="60" w:type="dxa"/>
            <w:vAlign w:val="bottom"/>
            <w:tcBorders>
              <w:top w:val="single" w:sz="8" w:color="0000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3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tcPr>
          <w:p>
            <w:pPr>
              <w:ind w:left="40"/>
              <w:spacing w:after="0"/>
              <w:rPr>
                <w:sz w:val="20"/>
                <w:szCs w:val="20"/>
                <w:color w:val="auto"/>
              </w:rPr>
            </w:pPr>
            <w:r>
              <w:rPr>
                <w:rFonts w:ascii="Arial" w:cs="Arial" w:eastAsia="Arial" w:hAnsi="Arial"/>
                <w:sz w:val="14"/>
                <w:szCs w:val="14"/>
                <w:color w:val="auto"/>
              </w:rPr>
              <w:t>32.2**</w:t>
            </w:r>
          </w:p>
        </w:tc>
        <w:tc>
          <w:tcPr>
            <w:tcW w:w="9880" w:type="dxa"/>
            <w:vAlign w:val="bottom"/>
            <w:gridSpan w:val="10"/>
          </w:tcPr>
          <w:p>
            <w:pPr>
              <w:spacing w:after="0"/>
              <w:rPr>
                <w:rFonts w:ascii="Arial" w:cs="Arial" w:eastAsia="Arial" w:hAnsi="Arial"/>
                <w:sz w:val="14"/>
                <w:szCs w:val="14"/>
                <w:color w:val="0000FF"/>
              </w:rPr>
            </w:pPr>
            <w:hyperlink w:anchor="page183">
              <w:r>
                <w:rPr>
                  <w:rFonts w:ascii="Arial" w:cs="Arial" w:eastAsia="Arial" w:hAnsi="Arial"/>
                  <w:sz w:val="14"/>
                  <w:szCs w:val="14"/>
                  <w:color w:val="0000FF"/>
                </w:rPr>
                <w:t>Certification of Chief Financial Officer pursuant to 18 U.S.C. 1350</w:t>
              </w:r>
            </w:hyperlink>
          </w:p>
        </w:tc>
      </w:tr>
      <w:tr>
        <w:trPr>
          <w:trHeight w:val="75"/>
        </w:trPr>
        <w:tc>
          <w:tcPr>
            <w:tcW w:w="1380" w:type="dxa"/>
            <w:vAlign w:val="bottom"/>
          </w:tcPr>
          <w:p>
            <w:pPr>
              <w:spacing w:after="0"/>
              <w:rPr>
                <w:sz w:val="6"/>
                <w:szCs w:val="6"/>
                <w:color w:val="auto"/>
              </w:rPr>
            </w:pPr>
          </w:p>
        </w:tc>
        <w:tc>
          <w:tcPr>
            <w:tcW w:w="1920" w:type="dxa"/>
            <w:vAlign w:val="bottom"/>
            <w:tcBorders>
              <w:top w:val="single" w:sz="8" w:color="0000FF"/>
            </w:tcBorders>
          </w:tcPr>
          <w:p>
            <w:pPr>
              <w:spacing w:after="0"/>
              <w:rPr>
                <w:sz w:val="6"/>
                <w:szCs w:val="6"/>
                <w:color w:val="auto"/>
              </w:rPr>
            </w:pPr>
          </w:p>
        </w:tc>
        <w:tc>
          <w:tcPr>
            <w:tcW w:w="7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20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101.INS</w:t>
            </w:r>
          </w:p>
        </w:tc>
        <w:tc>
          <w:tcPr>
            <w:tcW w:w="988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XBRL Instance Document</w:t>
            </w:r>
          </w:p>
        </w:tc>
      </w:tr>
      <w:tr>
        <w:trPr>
          <w:trHeight w:val="66"/>
        </w:trPr>
        <w:tc>
          <w:tcPr>
            <w:tcW w:w="138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3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r>
      <w:tr>
        <w:trPr>
          <w:trHeight w:val="204"/>
        </w:trPr>
        <w:tc>
          <w:tcPr>
            <w:tcW w:w="1380" w:type="dxa"/>
            <w:vAlign w:val="bottom"/>
          </w:tcPr>
          <w:p>
            <w:pPr>
              <w:ind w:left="40"/>
              <w:spacing w:after="0"/>
              <w:rPr>
                <w:sz w:val="20"/>
                <w:szCs w:val="20"/>
                <w:color w:val="auto"/>
              </w:rPr>
            </w:pPr>
            <w:r>
              <w:rPr>
                <w:rFonts w:ascii="Arial" w:cs="Arial" w:eastAsia="Arial" w:hAnsi="Arial"/>
                <w:sz w:val="14"/>
                <w:szCs w:val="14"/>
                <w:color w:val="auto"/>
              </w:rPr>
              <w:t>101.SCH</w:t>
            </w:r>
          </w:p>
        </w:tc>
        <w:tc>
          <w:tcPr>
            <w:tcW w:w="9880" w:type="dxa"/>
            <w:vAlign w:val="bottom"/>
            <w:gridSpan w:val="10"/>
          </w:tcPr>
          <w:p>
            <w:pPr>
              <w:spacing w:after="0"/>
              <w:rPr>
                <w:sz w:val="20"/>
                <w:szCs w:val="20"/>
                <w:color w:val="auto"/>
              </w:rPr>
            </w:pPr>
            <w:r>
              <w:rPr>
                <w:rFonts w:ascii="Arial" w:cs="Arial" w:eastAsia="Arial" w:hAnsi="Arial"/>
                <w:sz w:val="14"/>
                <w:szCs w:val="14"/>
                <w:color w:val="auto"/>
              </w:rPr>
              <w:t>XBRL Schema Document</w:t>
            </w:r>
          </w:p>
        </w:tc>
      </w:tr>
      <w:tr>
        <w:trPr>
          <w:trHeight w:val="66"/>
        </w:trPr>
        <w:tc>
          <w:tcPr>
            <w:tcW w:w="13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20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101.CAL</w:t>
            </w:r>
          </w:p>
        </w:tc>
        <w:tc>
          <w:tcPr>
            <w:tcW w:w="988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XBRL Calculation Linkbase Document</w:t>
            </w:r>
          </w:p>
        </w:tc>
      </w:tr>
      <w:tr>
        <w:trPr>
          <w:trHeight w:val="66"/>
        </w:trPr>
        <w:tc>
          <w:tcPr>
            <w:tcW w:w="138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3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r>
      <w:tr>
        <w:trPr>
          <w:trHeight w:val="204"/>
        </w:trPr>
        <w:tc>
          <w:tcPr>
            <w:tcW w:w="1380" w:type="dxa"/>
            <w:vAlign w:val="bottom"/>
          </w:tcPr>
          <w:p>
            <w:pPr>
              <w:ind w:left="40"/>
              <w:spacing w:after="0"/>
              <w:rPr>
                <w:sz w:val="20"/>
                <w:szCs w:val="20"/>
                <w:color w:val="auto"/>
              </w:rPr>
            </w:pPr>
            <w:r>
              <w:rPr>
                <w:rFonts w:ascii="Arial" w:cs="Arial" w:eastAsia="Arial" w:hAnsi="Arial"/>
                <w:sz w:val="14"/>
                <w:szCs w:val="14"/>
                <w:color w:val="auto"/>
              </w:rPr>
              <w:t>101.DEF</w:t>
            </w:r>
          </w:p>
        </w:tc>
        <w:tc>
          <w:tcPr>
            <w:tcW w:w="9880" w:type="dxa"/>
            <w:vAlign w:val="bottom"/>
            <w:gridSpan w:val="10"/>
          </w:tcPr>
          <w:p>
            <w:pPr>
              <w:spacing w:after="0"/>
              <w:rPr>
                <w:sz w:val="20"/>
                <w:szCs w:val="20"/>
                <w:color w:val="auto"/>
              </w:rPr>
            </w:pPr>
            <w:r>
              <w:rPr>
                <w:rFonts w:ascii="Arial" w:cs="Arial" w:eastAsia="Arial" w:hAnsi="Arial"/>
                <w:sz w:val="14"/>
                <w:szCs w:val="14"/>
                <w:color w:val="auto"/>
              </w:rPr>
              <w:t>XBRL Definition Linkbase Document</w:t>
            </w:r>
          </w:p>
        </w:tc>
      </w:tr>
      <w:tr>
        <w:trPr>
          <w:trHeight w:val="66"/>
        </w:trPr>
        <w:tc>
          <w:tcPr>
            <w:tcW w:w="13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20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101.LAB</w:t>
            </w:r>
          </w:p>
        </w:tc>
        <w:tc>
          <w:tcPr>
            <w:tcW w:w="988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XBRL Label Linkbase Document</w:t>
            </w:r>
          </w:p>
        </w:tc>
      </w:tr>
      <w:tr>
        <w:trPr>
          <w:trHeight w:val="66"/>
        </w:trPr>
        <w:tc>
          <w:tcPr>
            <w:tcW w:w="138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3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r>
      <w:tr>
        <w:trPr>
          <w:trHeight w:val="204"/>
        </w:trPr>
        <w:tc>
          <w:tcPr>
            <w:tcW w:w="1380" w:type="dxa"/>
            <w:vAlign w:val="bottom"/>
          </w:tcPr>
          <w:p>
            <w:pPr>
              <w:ind w:left="40"/>
              <w:spacing w:after="0"/>
              <w:rPr>
                <w:sz w:val="20"/>
                <w:szCs w:val="20"/>
                <w:color w:val="auto"/>
              </w:rPr>
            </w:pPr>
            <w:r>
              <w:rPr>
                <w:rFonts w:ascii="Arial" w:cs="Arial" w:eastAsia="Arial" w:hAnsi="Arial"/>
                <w:sz w:val="14"/>
                <w:szCs w:val="14"/>
                <w:color w:val="auto"/>
              </w:rPr>
              <w:t>101.PRE</w:t>
            </w:r>
          </w:p>
        </w:tc>
        <w:tc>
          <w:tcPr>
            <w:tcW w:w="9880" w:type="dxa"/>
            <w:vAlign w:val="bottom"/>
            <w:gridSpan w:val="10"/>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233" w:lineRule="exact"/>
        <w:rPr>
          <w:sz w:val="20"/>
          <w:szCs w:val="20"/>
          <w:color w:val="auto"/>
        </w:rPr>
      </w:pPr>
    </w:p>
    <w:p>
      <w:pPr>
        <w:ind w:right="6580" w:firstLine="8"/>
        <w:spacing w:after="0" w:line="258" w:lineRule="auto"/>
        <w:tabs>
          <w:tab w:leader="none" w:pos="96"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 ** Furnished with this Form 10-K</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60"/>
          </w:cols>
          <w:pgMar w:left="240" w:top="127" w:right="399" w:bottom="1440" w:gutter="0" w:footer="0" w:header="0"/>
        </w:sectPr>
      </w:pPr>
    </w:p>
    <w:bookmarkStart w:id="141" w:name="page142"/>
    <w:bookmarkEnd w:id="141"/>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00" w:firstLine="432"/>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TechnipFMC plc</w:t>
      </w:r>
    </w:p>
    <w:p>
      <w:pPr>
        <w:ind w:left="528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280"/>
        <w:spacing w:after="0"/>
        <w:tabs>
          <w:tab w:leader="none" w:pos="7200" w:val="left"/>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Krisztina Doroghazi</w:t>
      </w:r>
    </w:p>
    <w:p>
      <w:pPr>
        <w:spacing w:after="0" w:line="19"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Senior Vice President, Controller and Chief Accounting Officer</w:t>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(Principal Accounting Officer and a Duly Authorized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2019</w:t>
      </w:r>
    </w:p>
    <w:p>
      <w:pPr>
        <w:spacing w:after="0" w:line="171" w:lineRule="exact"/>
        <w:rPr>
          <w:sz w:val="20"/>
          <w:szCs w:val="20"/>
          <w:color w:val="auto"/>
        </w:rPr>
      </w:pPr>
    </w:p>
    <w:p>
      <w:pPr>
        <w:ind w:right="480"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p>
      <w:pPr>
        <w:ind w:left="1920"/>
        <w:spacing w:after="0"/>
        <w:tabs>
          <w:tab w:leader="none" w:pos="782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8" w:lineRule="exact"/>
        <w:rPr>
          <w:sz w:val="20"/>
          <w:szCs w:val="20"/>
          <w:color w:val="auto"/>
        </w:rPr>
      </w:pPr>
    </w:p>
    <w:tbl>
      <w:tblPr>
        <w:tblLayout w:type="fixed"/>
        <w:tblInd w:w="1440" w:type="dxa"/>
        <w:tblCellMar>
          <w:top w:w="0" w:type="dxa"/>
          <w:left w:w="0" w:type="dxa"/>
          <w:bottom w:w="0" w:type="dxa"/>
          <w:right w:w="0" w:type="dxa"/>
        </w:tblCellMar>
      </w:tblP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2"/>
          </w:tcPr>
          <w:p>
            <w:pPr>
              <w:jc w:val="center"/>
              <w:ind w:right="184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OUGLAS</w:t>
            </w:r>
            <w:r>
              <w:rPr>
                <w:rFonts w:ascii="Arial" w:cs="Arial" w:eastAsia="Arial" w:hAnsi="Arial"/>
                <w:sz w:val="18"/>
                <w:szCs w:val="18"/>
                <w:color w:val="auto"/>
              </w:rPr>
              <w:t xml:space="preserve"> J. P</w:t>
            </w:r>
            <w:r>
              <w:rPr>
                <w:rFonts w:ascii="Arial" w:cs="Arial" w:eastAsia="Arial" w:hAnsi="Arial"/>
                <w:sz w:val="14"/>
                <w:szCs w:val="14"/>
                <w:color w:val="auto"/>
              </w:rPr>
              <w:t>FERDEHIRT</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1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rPr>
              <w:t>Douglas J. Pferdehirt</w:t>
            </w:r>
          </w:p>
        </w:tc>
      </w:tr>
      <w:tr>
        <w:trPr>
          <w:trHeight w:val="162"/>
        </w:trPr>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1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rPr>
              <w:t>Chief Executive Officer</w:t>
            </w:r>
          </w:p>
        </w:tc>
      </w:tr>
      <w:tr>
        <w:trPr>
          <w:trHeight w:val="190"/>
        </w:trPr>
        <w:tc>
          <w:tcPr>
            <w:tcW w:w="3480" w:type="dxa"/>
            <w:vAlign w:val="bottom"/>
          </w:tcPr>
          <w:p>
            <w:pPr>
              <w:spacing w:after="0"/>
              <w:rPr>
                <w:sz w:val="16"/>
                <w:szCs w:val="16"/>
                <w:color w:val="auto"/>
              </w:rPr>
            </w:pPr>
          </w:p>
        </w:tc>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640" w:type="dxa"/>
            <w:vAlign w:val="bottom"/>
            <w:tcBorders>
              <w:bottom w:val="single" w:sz="8" w:color="auto"/>
            </w:tcBorders>
            <w:gridSpan w:val="2"/>
          </w:tcPr>
          <w:p>
            <w:pPr>
              <w:ind w:left="2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ARYANN</w:t>
            </w:r>
            <w:r>
              <w:rPr>
                <w:rFonts w:ascii="Arial" w:cs="Arial" w:eastAsia="Arial" w:hAnsi="Arial"/>
                <w:sz w:val="18"/>
                <w:szCs w:val="18"/>
                <w:color w:val="auto"/>
                <w:w w:val="99"/>
              </w:rPr>
              <w:t xml:space="preserve"> T. M</w:t>
            </w:r>
            <w:r>
              <w:rPr>
                <w:rFonts w:ascii="Arial" w:cs="Arial" w:eastAsia="Arial" w:hAnsi="Arial"/>
                <w:sz w:val="14"/>
                <w:szCs w:val="14"/>
                <w:color w:val="auto"/>
                <w:w w:val="99"/>
              </w:rPr>
              <w:t>ANNEN</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1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rPr>
              <w:t>Maryann T. Mannen</w:t>
            </w:r>
          </w:p>
        </w:tc>
      </w:tr>
      <w:tr>
        <w:trPr>
          <w:trHeight w:val="162"/>
        </w:trPr>
        <w:tc>
          <w:tcPr>
            <w:tcW w:w="3480" w:type="dxa"/>
            <w:vAlign w:val="bottom"/>
          </w:tcPr>
          <w:p>
            <w:pPr>
              <w:spacing w:after="0"/>
              <w:rPr>
                <w:sz w:val="14"/>
                <w:szCs w:val="14"/>
                <w:color w:val="auto"/>
              </w:rPr>
            </w:pPr>
          </w:p>
        </w:tc>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190"/>
        </w:trPr>
        <w:tc>
          <w:tcPr>
            <w:tcW w:w="3480" w:type="dxa"/>
            <w:vAlign w:val="bottom"/>
          </w:tcPr>
          <w:p>
            <w:pPr>
              <w:spacing w:after="0"/>
              <w:rPr>
                <w:sz w:val="16"/>
                <w:szCs w:val="16"/>
                <w:color w:val="auto"/>
              </w:rPr>
            </w:pPr>
          </w:p>
        </w:tc>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HIERRY</w:t>
            </w:r>
            <w:r>
              <w:rPr>
                <w:rFonts w:ascii="Arial" w:cs="Arial" w:eastAsia="Arial" w:hAnsi="Arial"/>
                <w:sz w:val="18"/>
                <w:szCs w:val="18"/>
                <w:color w:val="auto"/>
              </w:rPr>
              <w:t xml:space="preserve"> P</w:t>
            </w:r>
            <w:r>
              <w:rPr>
                <w:rFonts w:ascii="Arial" w:cs="Arial" w:eastAsia="Arial" w:hAnsi="Arial"/>
                <w:sz w:val="14"/>
                <w:szCs w:val="14"/>
                <w:color w:val="auto"/>
              </w:rPr>
              <w:t>ILENKO</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60" w:type="dxa"/>
            <w:vAlign w:val="bottom"/>
          </w:tcPr>
          <w:p>
            <w:pPr>
              <w:jc w:val="center"/>
              <w:ind w:right="2542"/>
              <w:spacing w:after="0"/>
              <w:rPr>
                <w:sz w:val="20"/>
                <w:szCs w:val="20"/>
                <w:color w:val="auto"/>
              </w:rPr>
            </w:pPr>
            <w:r>
              <w:rPr>
                <w:rFonts w:ascii="Arial" w:cs="Arial" w:eastAsia="Arial" w:hAnsi="Arial"/>
                <w:sz w:val="14"/>
                <w:szCs w:val="14"/>
                <w:b w:val="1"/>
                <w:bCs w:val="1"/>
                <w:color w:val="auto"/>
              </w:rPr>
              <w:t>Thierry Pilenko</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1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rPr>
              <w:t>Executive Chairman</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RNAUD</w:t>
            </w:r>
            <w:r>
              <w:rPr>
                <w:rFonts w:ascii="Arial" w:cs="Arial" w:eastAsia="Arial" w:hAnsi="Arial"/>
                <w:sz w:val="18"/>
                <w:szCs w:val="18"/>
                <w:color w:val="auto"/>
              </w:rPr>
              <w:t xml:space="preserve"> C</w:t>
            </w:r>
            <w:r>
              <w:rPr>
                <w:rFonts w:ascii="Arial" w:cs="Arial" w:eastAsia="Arial" w:hAnsi="Arial"/>
                <w:sz w:val="14"/>
                <w:szCs w:val="14"/>
                <w:color w:val="auto"/>
              </w:rPr>
              <w:t>AUDOUX</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Arnaud Caudox,</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640" w:type="dxa"/>
            <w:vAlign w:val="bottom"/>
            <w:tcBorders>
              <w:bottom w:val="single" w:sz="8" w:color="auto"/>
            </w:tcBorders>
            <w:gridSpan w:val="2"/>
          </w:tcPr>
          <w:p>
            <w:pPr>
              <w:ind w:left="2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ASCAL</w:t>
            </w:r>
            <w:r>
              <w:rPr>
                <w:rFonts w:ascii="Arial" w:cs="Arial" w:eastAsia="Arial" w:hAnsi="Arial"/>
                <w:sz w:val="18"/>
                <w:szCs w:val="18"/>
                <w:color w:val="auto"/>
              </w:rPr>
              <w:t xml:space="preserve"> C</w:t>
            </w:r>
            <w:r>
              <w:rPr>
                <w:rFonts w:ascii="Arial" w:cs="Arial" w:eastAsia="Arial" w:hAnsi="Arial"/>
                <w:sz w:val="14"/>
                <w:szCs w:val="14"/>
                <w:color w:val="auto"/>
              </w:rPr>
              <w:t>OLOMBANI</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160" w:type="dxa"/>
            <w:vAlign w:val="bottom"/>
            <w:gridSpan w:val="2"/>
          </w:tcPr>
          <w:p>
            <w:pPr>
              <w:jc w:val="center"/>
              <w:ind w:right="2242"/>
              <w:spacing w:after="0"/>
              <w:rPr>
                <w:sz w:val="20"/>
                <w:szCs w:val="20"/>
                <w:color w:val="auto"/>
              </w:rPr>
            </w:pPr>
            <w:r>
              <w:rPr>
                <w:rFonts w:ascii="Arial" w:cs="Arial" w:eastAsia="Arial" w:hAnsi="Arial"/>
                <w:sz w:val="14"/>
                <w:szCs w:val="14"/>
                <w:b w:val="1"/>
                <w:bCs w:val="1"/>
                <w:color w:val="auto"/>
              </w:rPr>
              <w:t>Pascal Colombani,</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64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ARIE</w:t>
            </w:r>
            <w:r>
              <w:rPr>
                <w:rFonts w:ascii="Arial" w:cs="Arial" w:eastAsia="Arial" w:hAnsi="Arial"/>
                <w:sz w:val="18"/>
                <w:szCs w:val="18"/>
                <w:color w:val="auto"/>
              </w:rPr>
              <w:t>-A</w:t>
            </w:r>
            <w:r>
              <w:rPr>
                <w:rFonts w:ascii="Arial" w:cs="Arial" w:eastAsia="Arial" w:hAnsi="Arial"/>
                <w:sz w:val="14"/>
                <w:szCs w:val="14"/>
                <w:color w:val="auto"/>
              </w:rPr>
              <w:t>NGE</w:t>
            </w:r>
            <w:r>
              <w:rPr>
                <w:rFonts w:ascii="Arial" w:cs="Arial" w:eastAsia="Arial" w:hAnsi="Arial"/>
                <w:sz w:val="18"/>
                <w:szCs w:val="18"/>
                <w:color w:val="auto"/>
              </w:rPr>
              <w:t xml:space="preserve"> D</w:t>
            </w:r>
            <w:r>
              <w:rPr>
                <w:rFonts w:ascii="Arial" w:cs="Arial" w:eastAsia="Arial" w:hAnsi="Arial"/>
                <w:sz w:val="14"/>
                <w:szCs w:val="14"/>
                <w:color w:val="auto"/>
              </w:rPr>
              <w:t>EBON</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1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rPr>
              <w:t>Marie-Ange Debon,</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6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LEAZAR</w:t>
            </w:r>
            <w:r>
              <w:rPr>
                <w:rFonts w:ascii="Arial" w:cs="Arial" w:eastAsia="Arial" w:hAnsi="Arial"/>
                <w:sz w:val="18"/>
                <w:szCs w:val="18"/>
                <w:color w:val="auto"/>
              </w:rPr>
              <w:t xml:space="preserve"> D</w:t>
            </w:r>
            <w:r>
              <w:rPr>
                <w:rFonts w:ascii="Arial" w:cs="Arial" w:eastAsia="Arial" w:hAnsi="Arial"/>
                <w:sz w:val="14"/>
                <w:szCs w:val="14"/>
                <w:color w:val="auto"/>
              </w:rPr>
              <w:t>E</w:t>
            </w:r>
            <w:r>
              <w:rPr>
                <w:rFonts w:ascii="Arial" w:cs="Arial" w:eastAsia="Arial" w:hAnsi="Arial"/>
                <w:sz w:val="18"/>
                <w:szCs w:val="18"/>
                <w:color w:val="auto"/>
              </w:rPr>
              <w:t xml:space="preserve"> C</w:t>
            </w:r>
            <w:r>
              <w:rPr>
                <w:rFonts w:ascii="Arial" w:cs="Arial" w:eastAsia="Arial" w:hAnsi="Arial"/>
                <w:sz w:val="14"/>
                <w:szCs w:val="14"/>
                <w:color w:val="auto"/>
              </w:rPr>
              <w:t>ARVALHO</w:t>
            </w:r>
            <w:r>
              <w:rPr>
                <w:rFonts w:ascii="Arial" w:cs="Arial" w:eastAsia="Arial" w:hAnsi="Arial"/>
                <w:sz w:val="18"/>
                <w:szCs w:val="18"/>
                <w:color w:val="auto"/>
              </w:rPr>
              <w:t xml:space="preserve"> F</w:t>
            </w:r>
            <w:r>
              <w:rPr>
                <w:rFonts w:ascii="Arial" w:cs="Arial" w:eastAsia="Arial" w:hAnsi="Arial"/>
                <w:sz w:val="14"/>
                <w:szCs w:val="14"/>
                <w:color w:val="auto"/>
              </w:rPr>
              <w:t>ILHO</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1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rPr>
              <w:t>Eleazar De Carvalho Filho,</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LAIRE</w:t>
            </w:r>
            <w:r>
              <w:rPr>
                <w:rFonts w:ascii="Arial" w:cs="Arial" w:eastAsia="Arial" w:hAnsi="Arial"/>
                <w:sz w:val="18"/>
                <w:szCs w:val="18"/>
                <w:color w:val="auto"/>
              </w:rPr>
              <w:t xml:space="preserve"> S. F</w:t>
            </w:r>
            <w:r>
              <w:rPr>
                <w:rFonts w:ascii="Arial" w:cs="Arial" w:eastAsia="Arial" w:hAnsi="Arial"/>
                <w:sz w:val="14"/>
                <w:szCs w:val="14"/>
                <w:color w:val="auto"/>
              </w:rPr>
              <w:t>ARLEY</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Claire S. Farley,</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IDIER</w:t>
            </w:r>
            <w:r>
              <w:rPr>
                <w:rFonts w:ascii="Arial" w:cs="Arial" w:eastAsia="Arial" w:hAnsi="Arial"/>
                <w:sz w:val="18"/>
                <w:szCs w:val="18"/>
                <w:color w:val="auto"/>
              </w:rPr>
              <w:t xml:space="preserve"> H</w:t>
            </w:r>
            <w:r>
              <w:rPr>
                <w:rFonts w:ascii="Arial" w:cs="Arial" w:eastAsia="Arial" w:hAnsi="Arial"/>
                <w:sz w:val="14"/>
                <w:szCs w:val="14"/>
                <w:color w:val="auto"/>
              </w:rPr>
              <w:t>OUSSIN</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Didier Houssin,</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M</w:t>
            </w:r>
            <w:r>
              <w:rPr>
                <w:rFonts w:ascii="Arial" w:cs="Arial" w:eastAsia="Arial" w:hAnsi="Arial"/>
                <w:sz w:val="14"/>
                <w:szCs w:val="14"/>
                <w:color w:val="auto"/>
              </w:rPr>
              <w:t>ELLBYE</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Peter Mellbye,</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center"/>
              <w:ind w:right="226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O’L</w:t>
            </w:r>
            <w:r>
              <w:rPr>
                <w:rFonts w:ascii="Arial" w:cs="Arial" w:eastAsia="Arial" w:hAnsi="Arial"/>
                <w:sz w:val="14"/>
                <w:szCs w:val="14"/>
                <w:color w:val="auto"/>
              </w:rPr>
              <w:t>EARY</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John O’Leary,</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ind w:left="2140"/>
              <w:spacing w:after="0"/>
              <w:rPr>
                <w:sz w:val="20"/>
                <w:szCs w:val="20"/>
                <w:color w:val="auto"/>
              </w:rPr>
            </w:pPr>
            <w:r>
              <w:rPr>
                <w:rFonts w:ascii="Arial" w:cs="Arial" w:eastAsia="Arial" w:hAnsi="Arial"/>
                <w:sz w:val="16"/>
                <w:szCs w:val="16"/>
                <w:color w:val="auto"/>
                <w:w w:val="91"/>
              </w:rPr>
              <w:t>/S/</w:t>
            </w:r>
          </w:p>
        </w:tc>
        <w:tc>
          <w:tcPr>
            <w:tcW w:w="4160" w:type="dxa"/>
            <w:vAlign w:val="bottom"/>
            <w:tcBorders>
              <w:bottom w:val="single" w:sz="8" w:color="auto"/>
            </w:tcBorders>
            <w:gridSpan w:val="2"/>
          </w:tcPr>
          <w:p>
            <w:pPr>
              <w:jc w:val="center"/>
              <w:ind w:right="1882"/>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A</w:t>
            </w:r>
            <w:r>
              <w:rPr>
                <w:rFonts w:ascii="Arial" w:cs="Arial" w:eastAsia="Arial" w:hAnsi="Arial"/>
                <w:sz w:val="16"/>
                <w:szCs w:val="16"/>
                <w:color w:val="auto"/>
              </w:rPr>
              <w:t>.</w:t>
            </w:r>
            <w:r>
              <w:rPr>
                <w:rFonts w:ascii="Arial" w:cs="Arial" w:eastAsia="Arial" w:hAnsi="Arial"/>
                <w:sz w:val="18"/>
                <w:szCs w:val="18"/>
                <w:color w:val="auto"/>
              </w:rPr>
              <w:t xml:space="preserve"> P</w:t>
            </w:r>
            <w:r>
              <w:rPr>
                <w:rFonts w:ascii="Arial" w:cs="Arial" w:eastAsia="Arial" w:hAnsi="Arial"/>
                <w:sz w:val="14"/>
                <w:szCs w:val="14"/>
                <w:color w:val="auto"/>
              </w:rPr>
              <w:t>ATTAROZZI</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160" w:type="dxa"/>
            <w:vAlign w:val="bottom"/>
            <w:gridSpan w:val="2"/>
          </w:tcPr>
          <w:p>
            <w:pPr>
              <w:jc w:val="center"/>
              <w:ind w:right="2242"/>
              <w:spacing w:after="0"/>
              <w:rPr>
                <w:sz w:val="20"/>
                <w:szCs w:val="20"/>
                <w:color w:val="auto"/>
              </w:rPr>
            </w:pPr>
            <w:r>
              <w:rPr>
                <w:rFonts w:ascii="Arial" w:cs="Arial" w:eastAsia="Arial" w:hAnsi="Arial"/>
                <w:sz w:val="14"/>
                <w:szCs w:val="14"/>
                <w:b w:val="1"/>
                <w:bCs w:val="1"/>
                <w:color w:val="auto"/>
              </w:rPr>
              <w:t>Richard A. Pattarozzi,</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AY</w:t>
            </w:r>
            <w:r>
              <w:rPr>
                <w:rFonts w:ascii="Arial" w:cs="Arial" w:eastAsia="Arial" w:hAnsi="Arial"/>
                <w:sz w:val="18"/>
                <w:szCs w:val="18"/>
                <w:color w:val="auto"/>
                <w:w w:val="99"/>
              </w:rPr>
              <w:t xml:space="preserve"> G. P</w:t>
            </w:r>
            <w:r>
              <w:rPr>
                <w:rFonts w:ascii="Arial" w:cs="Arial" w:eastAsia="Arial" w:hAnsi="Arial"/>
                <w:sz w:val="14"/>
                <w:szCs w:val="14"/>
                <w:color w:val="auto"/>
                <w:w w:val="99"/>
              </w:rPr>
              <w:t>RIESTLY</w:t>
            </w:r>
          </w:p>
        </w:tc>
      </w:tr>
      <w:tr>
        <w:trPr>
          <w:trHeight w:val="176"/>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Kay G. Priestly,</w:t>
            </w:r>
          </w:p>
        </w:tc>
      </w:tr>
      <w:tr>
        <w:trPr>
          <w:trHeight w:val="190"/>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bl>
    <w:p>
      <w:pPr>
        <w:sectPr>
          <w:pgSz w:w="11900" w:h="16858" w:orient="portrait"/>
          <w:cols w:equalWidth="0" w:num="1">
            <w:col w:w="11420"/>
          </w:cols>
          <w:pgMar w:left="240" w:top="576" w:right="239" w:bottom="0" w:gutter="0" w:footer="0" w:header="0"/>
        </w:sectPr>
      </w:pPr>
    </w:p>
    <w:bookmarkStart w:id="142" w:name="page143"/>
    <w:bookmarkEnd w:id="142"/>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OSEPH</w:t>
            </w:r>
            <w:r>
              <w:rPr>
                <w:rFonts w:ascii="Arial" w:cs="Arial" w:eastAsia="Arial" w:hAnsi="Arial"/>
                <w:sz w:val="18"/>
                <w:szCs w:val="18"/>
                <w:color w:val="auto"/>
              </w:rPr>
              <w:t xml:space="preserve"> R</w:t>
            </w:r>
            <w:r>
              <w:rPr>
                <w:rFonts w:ascii="Arial" w:cs="Arial" w:eastAsia="Arial" w:hAnsi="Arial"/>
                <w:sz w:val="14"/>
                <w:szCs w:val="14"/>
                <w:color w:val="auto"/>
              </w:rPr>
              <w:t>INALDI</w:t>
            </w:r>
          </w:p>
        </w:tc>
      </w:tr>
      <w:tr>
        <w:trPr>
          <w:trHeight w:val="176"/>
        </w:trPr>
        <w:tc>
          <w:tcPr>
            <w:tcW w:w="34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Joseph Rinaldi,</w:t>
            </w:r>
          </w:p>
        </w:tc>
      </w:tr>
      <w:tr>
        <w:trPr>
          <w:trHeight w:val="190"/>
        </w:trPr>
        <w:tc>
          <w:tcPr>
            <w:tcW w:w="34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519"/>
        </w:trPr>
        <w:tc>
          <w:tcPr>
            <w:tcW w:w="3480" w:type="dxa"/>
            <w:vAlign w:val="bottom"/>
          </w:tcPr>
          <w:p>
            <w:pPr>
              <w:spacing w:after="0"/>
              <w:rPr>
                <w:sz w:val="20"/>
                <w:szCs w:val="20"/>
                <w:color w:val="auto"/>
              </w:rPr>
            </w:pPr>
            <w:r>
              <w:rPr>
                <w:rFonts w:ascii="Arial" w:cs="Arial" w:eastAsia="Arial" w:hAnsi="Arial"/>
                <w:sz w:val="18"/>
                <w:szCs w:val="18"/>
                <w:color w:val="auto"/>
              </w:rPr>
              <w:t>March 11, 2019</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60" w:type="dxa"/>
            <w:vAlign w:val="bottom"/>
            <w:tcBorders>
              <w:bottom w:val="single" w:sz="8" w:color="auto"/>
            </w:tcBorders>
          </w:tcPr>
          <w:p>
            <w:pPr>
              <w:jc w:val="center"/>
              <w:ind w:right="2162"/>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M. R</w:t>
            </w:r>
            <w:r>
              <w:rPr>
                <w:rFonts w:ascii="Arial" w:cs="Arial" w:eastAsia="Arial" w:hAnsi="Arial"/>
                <w:sz w:val="14"/>
                <w:szCs w:val="14"/>
                <w:color w:val="auto"/>
              </w:rPr>
              <w:t>INGLER</w:t>
            </w:r>
          </w:p>
        </w:tc>
      </w:tr>
      <w:tr>
        <w:trPr>
          <w:trHeight w:val="176"/>
        </w:trPr>
        <w:tc>
          <w:tcPr>
            <w:tcW w:w="34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James M. Ringler,</w:t>
            </w:r>
          </w:p>
        </w:tc>
      </w:tr>
      <w:tr>
        <w:trPr>
          <w:trHeight w:val="190"/>
        </w:trPr>
        <w:tc>
          <w:tcPr>
            <w:tcW w:w="34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60" w:type="dxa"/>
            <w:vAlign w:val="bottom"/>
          </w:tcPr>
          <w:p>
            <w:pPr>
              <w:jc w:val="center"/>
              <w:ind w:right="2562"/>
              <w:spacing w:after="0"/>
              <w:rPr>
                <w:sz w:val="20"/>
                <w:szCs w:val="20"/>
                <w:color w:val="auto"/>
              </w:rPr>
            </w:pPr>
            <w:r>
              <w:rPr>
                <w:rFonts w:ascii="Arial" w:cs="Arial" w:eastAsia="Arial" w:hAnsi="Arial"/>
                <w:sz w:val="14"/>
                <w:szCs w:val="14"/>
                <w:b w:val="1"/>
                <w:bCs w:val="1"/>
                <w:color w:val="auto"/>
              </w:rPr>
              <w:t>Director</w:t>
            </w:r>
          </w:p>
        </w:tc>
      </w:tr>
      <w:tr>
        <w:trPr>
          <w:trHeight w:val="471"/>
        </w:trPr>
        <w:tc>
          <w:tcPr>
            <w:tcW w:w="3480" w:type="dxa"/>
            <w:vAlign w:val="bottom"/>
          </w:tcPr>
          <w:p>
            <w:pPr>
              <w:spacing w:after="0"/>
              <w:rPr>
                <w:sz w:val="24"/>
                <w:szCs w:val="24"/>
                <w:color w:val="auto"/>
              </w:rPr>
            </w:pPr>
          </w:p>
        </w:tc>
        <w:tc>
          <w:tcPr>
            <w:tcW w:w="2640" w:type="dxa"/>
            <w:vAlign w:val="bottom"/>
          </w:tcPr>
          <w:p>
            <w:pPr>
              <w:jc w:val="right"/>
              <w:ind w:right="1610"/>
              <w:spacing w:after="0"/>
              <w:rPr>
                <w:sz w:val="20"/>
                <w:szCs w:val="20"/>
                <w:color w:val="auto"/>
              </w:rPr>
            </w:pPr>
            <w:r>
              <w:rPr>
                <w:rFonts w:ascii="Arial" w:cs="Arial" w:eastAsia="Arial" w:hAnsi="Arial"/>
                <w:sz w:val="18"/>
                <w:szCs w:val="18"/>
                <w:color w:val="auto"/>
              </w:rPr>
              <w:t>141</w:t>
            </w:r>
          </w:p>
        </w:tc>
        <w:tc>
          <w:tcPr>
            <w:tcW w:w="3860" w:type="dxa"/>
            <w:vAlign w:val="bottom"/>
          </w:tcPr>
          <w:p>
            <w:pPr>
              <w:spacing w:after="0"/>
              <w:rPr>
                <w:sz w:val="24"/>
                <w:szCs w:val="24"/>
                <w:color w:val="auto"/>
              </w:rPr>
            </w:pPr>
          </w:p>
        </w:tc>
      </w:tr>
    </w:tbl>
    <w:p>
      <w:pPr>
        <w:sectPr>
          <w:pgSz w:w="11900" w:h="16838" w:orient="portrait"/>
          <w:cols w:equalWidth="0" w:num="1">
            <w:col w:w="10220"/>
          </w:cols>
          <w:pgMar w:left="1440" w:top="382"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76"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TECHNIPFMC PLC</w:t>
      </w:r>
    </w:p>
    <w:p>
      <w:pPr>
        <w:spacing w:after="0" w:line="4"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INCENTIVE AWARD PLAN</w:t>
      </w:r>
    </w:p>
    <w:p>
      <w:pPr>
        <w:spacing w:after="0" w:line="200" w:lineRule="exact"/>
        <w:rPr>
          <w:sz w:val="20"/>
          <w:szCs w:val="20"/>
          <w:color w:val="auto"/>
        </w:rPr>
      </w:pPr>
    </w:p>
    <w:p>
      <w:pPr>
        <w:spacing w:after="0" w:line="25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purpose of the TechnipFMC PLC Incentive Award Plan (as it may be amended or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is to promote the success and enhance the value of TechnipFMC PLC, a public limited company incorporated under the laws of England and Wales (the “</w:t>
      </w:r>
      <w:r>
        <w:rPr>
          <w:rFonts w:ascii="Arial" w:cs="Arial" w:eastAsia="Arial" w:hAnsi="Arial"/>
          <w:sz w:val="19"/>
          <w:szCs w:val="19"/>
          <w:u w:val="single" w:color="auto"/>
          <w:color w:val="auto"/>
        </w:rPr>
        <w:t>Company</w:t>
      </w:r>
      <w:r>
        <w:rPr>
          <w:rFonts w:ascii="Arial" w:cs="Arial" w:eastAsia="Arial" w:hAnsi="Arial"/>
          <w:sz w:val="19"/>
          <w:szCs w:val="19"/>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CONSTRUCTION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2.1 “</w:t>
      </w:r>
      <w:r>
        <w:rPr>
          <w:rFonts w:ascii="Arial" w:cs="Arial" w:eastAsia="Arial" w:hAnsi="Arial"/>
          <w:sz w:val="19"/>
          <w:szCs w:val="19"/>
          <w:u w:val="single" w:color="auto"/>
          <w:color w:val="auto"/>
        </w:rPr>
        <w:t>Administrator</w:t>
      </w:r>
      <w:r>
        <w:rPr>
          <w:rFonts w:ascii="Arial" w:cs="Arial" w:eastAsia="Arial" w:hAnsi="Arial"/>
          <w:sz w:val="19"/>
          <w:szCs w:val="19"/>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3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Applicable Accounting Standards</w:t>
      </w:r>
      <w:r>
        <w:rPr>
          <w:rFonts w:ascii="Arial" w:cs="Arial" w:eastAsia="Arial" w:hAnsi="Arial"/>
          <w:sz w:val="22"/>
          <w:szCs w:val="22"/>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2.3 “</w:t>
      </w:r>
      <w:r>
        <w:rPr>
          <w:rFonts w:ascii="Arial" w:cs="Arial" w:eastAsia="Arial" w:hAnsi="Arial"/>
          <w:sz w:val="21"/>
          <w:szCs w:val="21"/>
          <w:u w:val="single" w:color="auto"/>
          <w:color w:val="auto"/>
        </w:rPr>
        <w:t>Applicable Law</w:t>
      </w:r>
      <w:r>
        <w:rPr>
          <w:rFonts w:ascii="Arial" w:cs="Arial" w:eastAsia="Arial" w:hAnsi="Arial"/>
          <w:sz w:val="21"/>
          <w:szCs w:val="21"/>
          <w:color w:val="auto"/>
        </w:rPr>
        <w:t>” shall mean any applicable law, including without limitation: (a) provisions of the listing rules of NYSE and Euronext Paris, the Code, the Securities Act, the Exchange Act and any rules or regulations thereunder; (b) corporate, securities, tax or other laws, statutes, rules, requirements or regulations, whether federal, state, local or foreign, applicable in the United Kingdom, United States, France or any other relevant jurisdiction; and (c) rules of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other securities exchange or automated quotation system on which the Shares are listed, quoted or traded.</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Automatic Exercise Date</w:t>
      </w:r>
      <w:r>
        <w:rPr>
          <w:rFonts w:ascii="Arial" w:cs="Arial" w:eastAsia="Arial" w:hAnsi="Arial"/>
          <w:sz w:val="22"/>
          <w:szCs w:val="22"/>
          <w:color w:val="auto"/>
        </w:rPr>
        <w:t>”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22"/>
          <w:szCs w:val="22"/>
          <w:i w:val="1"/>
          <w:iCs w:val="1"/>
          <w:color w:val="auto"/>
        </w:rPr>
        <w:t>e.g.</w:t>
      </w:r>
      <w:r>
        <w:rPr>
          <w:rFonts w:ascii="Arial" w:cs="Arial" w:eastAsia="Arial" w:hAnsi="Arial"/>
          <w:sz w:val="22"/>
          <w:szCs w:val="22"/>
          <w:color w:val="auto"/>
        </w:rPr>
        <w:t>,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190"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2.5 “</w:t>
      </w:r>
      <w:r>
        <w:rPr>
          <w:rFonts w:ascii="Arial" w:cs="Arial" w:eastAsia="Arial" w:hAnsi="Arial"/>
          <w:sz w:val="19"/>
          <w:szCs w:val="19"/>
          <w:u w:val="single" w:color="auto"/>
          <w:color w:val="auto"/>
        </w:rPr>
        <w:t>Award</w:t>
      </w:r>
      <w:r>
        <w:rPr>
          <w:rFonts w:ascii="Arial" w:cs="Arial" w:eastAsia="Arial" w:hAnsi="Arial"/>
          <w:sz w:val="19"/>
          <w:szCs w:val="19"/>
          <w:color w:val="auto"/>
        </w:rPr>
        <w:t>” shall mean an Option, a Stock Appreciation Right, a Restricted Stock award, a Restricted Stock Unit award, an Other Stock or Cash Based Award or a Dividend Equivalent award, which may be awarded or granted under the Plan.</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Award Agreement</w:t>
      </w:r>
      <w:r>
        <w:rPr>
          <w:rFonts w:ascii="Arial" w:cs="Arial" w:eastAsia="Arial" w:hAnsi="Arial"/>
          <w:sz w:val="22"/>
          <w:szCs w:val="22"/>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2.7 “</w:t>
      </w:r>
      <w:r>
        <w:rPr>
          <w:rFonts w:ascii="Arial" w:cs="Arial" w:eastAsia="Arial" w:hAnsi="Arial"/>
          <w:sz w:val="22"/>
          <w:szCs w:val="22"/>
          <w:u w:val="single" w:color="auto"/>
          <w:color w:val="auto"/>
        </w:rPr>
        <w:t>Award Limit</w:t>
      </w:r>
      <w:r>
        <w:rPr>
          <w:rFonts w:ascii="Arial" w:cs="Arial" w:eastAsia="Arial" w:hAnsi="Arial"/>
          <w:sz w:val="22"/>
          <w:szCs w:val="22"/>
          <w:color w:val="auto"/>
        </w:rPr>
        <w:t>” shall mean with respect to Awards that shall be payable in Shares or in cash, as the case may be, the respective limit set forth in Section 3.2.</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Directors of the Company.</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Closing</w:t>
      </w:r>
      <w:r>
        <w:rPr>
          <w:rFonts w:ascii="Arial" w:cs="Arial" w:eastAsia="Arial" w:hAnsi="Arial"/>
          <w:sz w:val="22"/>
          <w:szCs w:val="22"/>
          <w:color w:val="auto"/>
        </w:rPr>
        <w:t>” shall mean the closing of the transactions contemplated by the Business Combination Agreement by and among FMC Technologies, Inc., TechnipFMC PLC (formerly known as FMC Technologies SIS Limited) and Technip S.A. dated May 18, 2016;</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shall have the meaning given in section 995 (2) of the Income Tax Act 2007, unless otherwise specified;</w:t>
      </w:r>
    </w:p>
    <w:p>
      <w:pPr>
        <w:spacing w:after="0" w:line="23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and includes each of the following:</w:t>
      </w:r>
    </w:p>
    <w:p>
      <w:pPr>
        <w:spacing w:after="0" w:line="233" w:lineRule="exact"/>
        <w:rPr>
          <w:sz w:val="20"/>
          <w:szCs w:val="20"/>
          <w:color w:val="auto"/>
        </w:rPr>
      </w:pPr>
    </w:p>
    <w:p>
      <w:pPr>
        <w:ind w:left="1720" w:hanging="415"/>
        <w:spacing w:after="0"/>
        <w:tabs>
          <w:tab w:leader="none" w:pos="17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 Sale;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 Takeover.</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2.12 “</w:t>
      </w:r>
      <w:r>
        <w:rPr>
          <w:rFonts w:ascii="Arial" w:cs="Arial" w:eastAsia="Arial" w:hAnsi="Arial"/>
          <w:sz w:val="21"/>
          <w:szCs w:val="21"/>
          <w:u w:val="single" w:color="auto"/>
          <w:color w:val="auto"/>
        </w:rPr>
        <w:t>Code</w:t>
      </w:r>
      <w:r>
        <w:rPr>
          <w:rFonts w:ascii="Arial" w:cs="Arial" w:eastAsia="Arial" w:hAnsi="Arial"/>
          <w:sz w:val="21"/>
          <w:szCs w:val="21"/>
          <w:color w:val="auto"/>
        </w:rPr>
        <w:t>” shall mean the Internal Revenue Code of 1986, as amended from time to time, together with the regulations and official guidance promulgated thereunder, whether issued prior or subsequent to the grant of any Award.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45" w:name="page146"/>
    <w:bookmarkEnd w:id="145"/>
    <w:p>
      <w:pPr>
        <w:jc w:val="both"/>
        <w:ind w:firstLine="648"/>
        <w:spacing w:after="0" w:line="276"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Committee</w:t>
      </w:r>
      <w:r>
        <w:rPr>
          <w:rFonts w:ascii="Arial" w:cs="Arial" w:eastAsia="Arial" w:hAnsi="Arial"/>
          <w:sz w:val="22"/>
          <w:szCs w:val="22"/>
          <w:color w:val="auto"/>
        </w:rPr>
        <w:t>” shall mean the Compensation Committee of the Board, or another committee or subcommittee of the Board or the Compensation Committee of the Board described in Article 12 hereof.</w:t>
      </w:r>
    </w:p>
    <w:p>
      <w:pPr>
        <w:spacing w:after="0" w:line="16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shall have the meaning set forth in Article 1.</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u w:val="single" w:color="auto"/>
          <w:color w:val="auto"/>
        </w:rPr>
        <w:t>Consultant</w:t>
      </w:r>
      <w:r>
        <w:rPr>
          <w:rFonts w:ascii="Arial" w:cs="Arial" w:eastAsia="Arial" w:hAnsi="Arial"/>
          <w:sz w:val="22"/>
          <w:szCs w:val="22"/>
          <w:color w:val="auto"/>
        </w:rPr>
        <w:t>” shall mean any consultant or adviser engaged to provide services to the Company or any Subsidiary who qualifies as a consultant or advisor under the applicable rules of the Securities and Exchange Commission for registration of shares on a Form S-8 Registration Statement.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2.16 “</w:t>
      </w:r>
      <w:r>
        <w:rPr>
          <w:rFonts w:ascii="Arial" w:cs="Arial" w:eastAsia="Arial" w:hAnsi="Arial"/>
          <w:sz w:val="22"/>
          <w:szCs w:val="22"/>
          <w:u w:val="single" w:color="auto"/>
          <w:color w:val="auto"/>
        </w:rPr>
        <w:t>Covered Employee</w:t>
      </w:r>
      <w:r>
        <w:rPr>
          <w:rFonts w:ascii="Arial" w:cs="Arial" w:eastAsia="Arial" w:hAnsi="Arial"/>
          <w:sz w:val="22"/>
          <w:szCs w:val="22"/>
          <w:color w:val="auto"/>
        </w:rPr>
        <w:t>” shall mean any Employee who is, or could become, a “covered employee” within the meaning of Section 162(m) of the Code.</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Director</w:t>
      </w:r>
      <w:r>
        <w:rPr>
          <w:rFonts w:ascii="Arial" w:cs="Arial" w:eastAsia="Arial" w:hAnsi="Arial"/>
          <w:sz w:val="19"/>
          <w:szCs w:val="19"/>
          <w:color w:val="auto"/>
        </w:rPr>
        <w:t>” shall mean a member of the Board, as constituted from time to time.</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Director Limit</w:t>
      </w:r>
      <w:r>
        <w:rPr>
          <w:rFonts w:ascii="Arial" w:cs="Arial" w:eastAsia="Arial" w:hAnsi="Arial"/>
          <w:sz w:val="19"/>
          <w:szCs w:val="19"/>
          <w:color w:val="auto"/>
        </w:rPr>
        <w:t>” shall have the meaning set forth in Section 4.6.</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u w:val="single" w:color="auto"/>
          <w:color w:val="auto"/>
        </w:rPr>
        <w:t>Dividend Equivalent</w:t>
      </w:r>
      <w:r>
        <w:rPr>
          <w:rFonts w:ascii="Arial" w:cs="Arial" w:eastAsia="Arial" w:hAnsi="Arial"/>
          <w:sz w:val="22"/>
          <w:szCs w:val="22"/>
          <w:color w:val="auto"/>
        </w:rPr>
        <w:t>” shall mean a right to receive the equivalent value (in cash or Shares) of dividends paid on Shares, awarded under Section 10.2.</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DRO</w:t>
      </w:r>
      <w:r>
        <w:rPr>
          <w:rFonts w:ascii="Arial" w:cs="Arial" w:eastAsia="Arial" w:hAnsi="Arial"/>
          <w:sz w:val="22"/>
          <w:szCs w:val="22"/>
          <w:color w:val="auto"/>
        </w:rPr>
        <w:t>” shall mean a “domestic relations order” as defined by the Code or Title I of the Employee Retirement Income Security Act of 1974, as amended from time to time, or the rules thereunder.</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mean the date of the Closing; provided that the Plan shall be effective immediately following the Closing on the Effective Date and in any event prior to Listing.</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Eligible Individual</w:t>
      </w:r>
      <w:r>
        <w:rPr>
          <w:rFonts w:ascii="Arial" w:cs="Arial" w:eastAsia="Arial" w:hAnsi="Arial"/>
          <w:sz w:val="22"/>
          <w:szCs w:val="22"/>
          <w:color w:val="auto"/>
        </w:rPr>
        <w:t>” shall mean any person who is an Employee, a Consultant or a Non-Employee Director, as determined by the Administrator.</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2.23 “</w:t>
      </w:r>
      <w:r>
        <w:rPr>
          <w:rFonts w:ascii="Arial" w:cs="Arial" w:eastAsia="Arial" w:hAnsi="Arial"/>
          <w:sz w:val="22"/>
          <w:szCs w:val="22"/>
          <w:u w:val="single" w:color="auto"/>
          <w:color w:val="auto"/>
        </w:rPr>
        <w:t>Employee</w:t>
      </w:r>
      <w:r>
        <w:rPr>
          <w:rFonts w:ascii="Arial" w:cs="Arial" w:eastAsia="Arial" w:hAnsi="Arial"/>
          <w:sz w:val="22"/>
          <w:szCs w:val="22"/>
          <w:color w:val="auto"/>
        </w:rPr>
        <w:t>” shall mean any officer or other employee (as determined in accordance with Section 3401(c) of the Code and the Treasury Regulations thereunder) of the Company or of any Subsidiary.</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2.24 “</w:t>
      </w:r>
      <w:r>
        <w:rPr>
          <w:rFonts w:ascii="Arial" w:cs="Arial" w:eastAsia="Arial" w:hAnsi="Arial"/>
          <w:sz w:val="21"/>
          <w:szCs w:val="21"/>
          <w:u w:val="single" w:color="auto"/>
          <w:color w:val="auto"/>
        </w:rPr>
        <w:t>Equity Restructuring</w:t>
      </w:r>
      <w:r>
        <w:rPr>
          <w:rFonts w:ascii="Arial" w:cs="Arial" w:eastAsia="Arial" w:hAnsi="Arial"/>
          <w:sz w:val="21"/>
          <w:szCs w:val="21"/>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shall mean the Securities Exchange Act of 1934, as amended from time to time.</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Expiration Date</w:t>
      </w:r>
      <w:r>
        <w:rPr>
          <w:rFonts w:ascii="Arial" w:cs="Arial" w:eastAsia="Arial" w:hAnsi="Arial"/>
          <w:sz w:val="19"/>
          <w:szCs w:val="19"/>
          <w:color w:val="auto"/>
        </w:rPr>
        <w:t>” shall have the meaning given to such term in Section 13.1(c).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46" w:name="page147"/>
    <w:bookmarkEnd w:id="146"/>
    <w:p>
      <w:pPr>
        <w:ind w:left="660"/>
        <w:spacing w:after="0"/>
        <w:tabs>
          <w:tab w:leader="none" w:pos="124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mean, as of any given date, the value of a Share determined as follows:</w:t>
      </w:r>
    </w:p>
    <w:p>
      <w:pPr>
        <w:spacing w:after="0" w:line="233" w:lineRule="exact"/>
        <w:rPr>
          <w:sz w:val="20"/>
          <w:szCs w:val="20"/>
          <w:color w:val="auto"/>
        </w:rPr>
      </w:pPr>
    </w:p>
    <w:p>
      <w:pPr>
        <w:jc w:val="both"/>
        <w:ind w:firstLine="1305"/>
        <w:spacing w:after="0" w:line="294" w:lineRule="auto"/>
        <w:tabs>
          <w:tab w:leader="none" w:pos="1824"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If the Shares are (i) listed on any established securities exchange (such as the New York Stock Exchange, Euronext Paris, the NASDAQ Capital Market, the NASDAQ Global Market and the NASDAQ Global Select Market), (ii) listed on any national market system or (iii) listed, quoted or traded on any automated quotation system, their Fair Market Value shall be the closing sales price for a Share as quoted on such date or, if there is no closing sales price on the date in question, then the closing sales price for a Share on the last preceding date for which such quotation exists,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If the Shares are listed or traded on more than one exchange or system, then the Committee shall select the exchange on which Fair Market Value will be determined in its discretion;</w:t>
      </w:r>
    </w:p>
    <w:p>
      <w:pPr>
        <w:spacing w:after="0" w:line="152" w:lineRule="exact"/>
        <w:rPr>
          <w:rFonts w:ascii="Arial" w:cs="Arial" w:eastAsia="Arial" w:hAnsi="Arial"/>
          <w:sz w:val="19"/>
          <w:szCs w:val="19"/>
          <w:color w:val="auto"/>
        </w:rPr>
      </w:pPr>
    </w:p>
    <w:p>
      <w:pPr>
        <w:jc w:val="both"/>
        <w:ind w:firstLine="1305"/>
        <w:spacing w:after="0" w:line="266" w:lineRule="auto"/>
        <w:tabs>
          <w:tab w:leader="none" w:pos="1904"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If the Shares are not listed on an established securities exchange, national market system or automated quotation system, but the Shares are regularly quoted by a recognized securities dealer, their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21"/>
          <w:szCs w:val="21"/>
          <w:i w:val="1"/>
          <w:iCs w:val="1"/>
          <w:color w:val="auto"/>
        </w:rPr>
        <w:t>The Wall Street</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Journal </w:t>
      </w:r>
      <w:r>
        <w:rPr>
          <w:rFonts w:ascii="Arial" w:cs="Arial" w:eastAsia="Arial" w:hAnsi="Arial"/>
          <w:sz w:val="21"/>
          <w:szCs w:val="21"/>
          <w:color w:val="auto"/>
        </w:rPr>
        <w:t>or such other source as the Administrator deems reliable; or</w:t>
      </w:r>
    </w:p>
    <w:p>
      <w:pPr>
        <w:spacing w:after="0" w:line="174" w:lineRule="exact"/>
        <w:rPr>
          <w:rFonts w:ascii="Arial" w:cs="Arial" w:eastAsia="Arial" w:hAnsi="Arial"/>
          <w:sz w:val="21"/>
          <w:szCs w:val="21"/>
          <w:color w:val="auto"/>
        </w:rPr>
      </w:pPr>
    </w:p>
    <w:p>
      <w:pPr>
        <w:jc w:val="both"/>
        <w:ind w:firstLine="1305"/>
        <w:spacing w:after="0" w:line="260" w:lineRule="auto"/>
        <w:tabs>
          <w:tab w:leader="none" w:pos="1824"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the Shares are neither listed on an established securities exchange, national market system or automated quotation system nor regularly quoted by a recognized securities dealer, their Fair Market Value shall be established by the Administrator in good faith.</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foregoing, with respect to any Award granted on or prior to the Public Trading Date, the Fair Market Value shall mean the opening price of a Share on the Public Trading Date.</w:t>
      </w:r>
    </w:p>
    <w:p>
      <w:pPr>
        <w:spacing w:after="0" w:line="17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2.28 “</w:t>
      </w:r>
      <w:r>
        <w:rPr>
          <w:rFonts w:ascii="Arial" w:cs="Arial" w:eastAsia="Arial" w:hAnsi="Arial"/>
          <w:sz w:val="19"/>
          <w:szCs w:val="19"/>
          <w:u w:val="single" w:color="auto"/>
          <w:color w:val="auto"/>
        </w:rPr>
        <w:t>Greater Than 10% Stockholder</w:t>
      </w:r>
      <w:r>
        <w:rPr>
          <w:rFonts w:ascii="Arial" w:cs="Arial" w:eastAsia="Arial" w:hAnsi="Arial"/>
          <w:sz w:val="19"/>
          <w:szCs w:val="19"/>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shall mean a person who has been granted an Award.</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2.30 “</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shall mean an Option that is intended to qualify as an incentive stock option and conforms to the applicable provisions of Section 422 of the Code.</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2.31 “</w:t>
      </w:r>
      <w:r>
        <w:rPr>
          <w:rFonts w:ascii="Arial" w:cs="Arial" w:eastAsia="Arial" w:hAnsi="Arial"/>
          <w:sz w:val="22"/>
          <w:szCs w:val="22"/>
          <w:u w:val="single" w:color="auto"/>
          <w:color w:val="auto"/>
        </w:rPr>
        <w:t>Listing</w:t>
      </w:r>
      <w:r>
        <w:rPr>
          <w:rFonts w:ascii="Arial" w:cs="Arial" w:eastAsia="Arial" w:hAnsi="Arial"/>
          <w:sz w:val="22"/>
          <w:szCs w:val="22"/>
          <w:color w:val="auto"/>
        </w:rPr>
        <w:t>” shall mean the time upon which the Shares are first listed and begin trading on any national securities exchange (as defined in the Exchange Act).</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shall mean a Director of the Company who is not an Employee.</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Non-Employee Director Equity Compensation Policy</w:t>
      </w:r>
      <w:r>
        <w:rPr>
          <w:rFonts w:ascii="Arial" w:cs="Arial" w:eastAsia="Arial" w:hAnsi="Arial"/>
          <w:sz w:val="19"/>
          <w:szCs w:val="19"/>
          <w:color w:val="auto"/>
        </w:rPr>
        <w:t>” shall have the meaning set forth in Section 4.6.</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47" w:name="page148"/>
    <w:bookmarkEnd w:id="147"/>
    <w:p>
      <w:pPr>
        <w:jc w:val="both"/>
        <w:ind w:firstLine="648"/>
        <w:spacing w:after="0" w:line="276" w:lineRule="auto"/>
        <w:rPr>
          <w:sz w:val="20"/>
          <w:szCs w:val="20"/>
          <w:color w:val="auto"/>
        </w:rPr>
      </w:pPr>
      <w:r>
        <w:rPr>
          <w:rFonts w:ascii="Arial" w:cs="Arial" w:eastAsia="Arial" w:hAnsi="Arial"/>
          <w:sz w:val="22"/>
          <w:szCs w:val="22"/>
          <w:color w:val="auto"/>
        </w:rPr>
        <w:t>2.34 “</w:t>
      </w:r>
      <w:r>
        <w:rPr>
          <w:rFonts w:ascii="Arial" w:cs="Arial" w:eastAsia="Arial" w:hAnsi="Arial"/>
          <w:sz w:val="22"/>
          <w:szCs w:val="22"/>
          <w:u w:val="single" w:color="auto"/>
          <w:color w:val="auto"/>
        </w:rPr>
        <w:t>Non-Qualified Stock Option</w:t>
      </w:r>
      <w:r>
        <w:rPr>
          <w:rFonts w:ascii="Arial" w:cs="Arial" w:eastAsia="Arial" w:hAnsi="Arial"/>
          <w:sz w:val="22"/>
          <w:szCs w:val="22"/>
          <w:color w:val="auto"/>
        </w:rPr>
        <w:t>” shall mean an Option that is not an Incentive Stock Option or which is designated as an Incentive Stock Option but does not meet the applicable requirements of Section 422 of the Code.</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2.35 “</w:t>
      </w:r>
      <w:r>
        <w:rPr>
          <w:rFonts w:ascii="Arial" w:cs="Arial" w:eastAsia="Arial" w:hAnsi="Arial"/>
          <w:sz w:val="22"/>
          <w:szCs w:val="22"/>
          <w:u w:val="single" w:color="auto"/>
          <w:color w:val="auto"/>
        </w:rPr>
        <w:t>Option</w:t>
      </w:r>
      <w:r>
        <w:rPr>
          <w:rFonts w:ascii="Arial" w:cs="Arial" w:eastAsia="Arial" w:hAnsi="Arial"/>
          <w:sz w:val="22"/>
          <w:szCs w:val="22"/>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Options granted to Non-Employee Directors and Consultants shall only be Non-Qualified Stock Options.</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 Term</w:t>
      </w:r>
      <w:r>
        <w:rPr>
          <w:rFonts w:ascii="Arial" w:cs="Arial" w:eastAsia="Arial" w:hAnsi="Arial"/>
          <w:sz w:val="19"/>
          <w:szCs w:val="19"/>
          <w:color w:val="auto"/>
        </w:rPr>
        <w:t>” shall have the meaning set forth in Section 6.4.</w:t>
      </w:r>
    </w:p>
    <w:p>
      <w:pPr>
        <w:spacing w:after="0" w:line="23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2.37 “</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shall mean, collectively, (a) the Company’s articles of association,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2.38 “</w:t>
      </w:r>
      <w:r>
        <w:rPr>
          <w:rFonts w:ascii="Arial" w:cs="Arial" w:eastAsia="Arial" w:hAnsi="Arial"/>
          <w:sz w:val="22"/>
          <w:szCs w:val="22"/>
          <w:u w:val="single" w:color="auto"/>
          <w:color w:val="auto"/>
        </w:rPr>
        <w:t>Other Stock or Cash Based Award</w:t>
      </w:r>
      <w:r>
        <w:rPr>
          <w:rFonts w:ascii="Arial" w:cs="Arial" w:eastAsia="Arial" w:hAnsi="Arial"/>
          <w:sz w:val="22"/>
          <w:szCs w:val="22"/>
          <w:color w:val="auto"/>
        </w:rPr>
        <w:t>” shall mean a cash bonus award, stock bonus award, performance award or incentive award that is paid in cash, Shares or a combination of both, awarded under Section 10.1, which may include, without limitation, deferred stock, deferred stock units, stock payments and performance awards.</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2.39 “</w:t>
      </w:r>
      <w:r>
        <w:rPr>
          <w:rFonts w:ascii="Arial" w:cs="Arial" w:eastAsia="Arial" w:hAnsi="Arial"/>
          <w:sz w:val="22"/>
          <w:szCs w:val="22"/>
          <w:u w:val="single" w:color="auto"/>
          <w:color w:val="auto"/>
        </w:rPr>
        <w:t>Performance-Based Compensation</w:t>
      </w:r>
      <w:r>
        <w:rPr>
          <w:rFonts w:ascii="Arial" w:cs="Arial" w:eastAsia="Arial" w:hAnsi="Arial"/>
          <w:sz w:val="22"/>
          <w:szCs w:val="22"/>
          <w:color w:val="auto"/>
        </w:rPr>
        <w:t>” shall mean any compensation that is intended to qualify as “performance-based compensation” as described in Section 162(m)(4)(C) of the Code.</w:t>
      </w:r>
    </w:p>
    <w:p>
      <w:pPr>
        <w:spacing w:after="0" w:line="161"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2.40 “</w:t>
      </w:r>
      <w:r>
        <w:rPr>
          <w:rFonts w:ascii="Arial" w:cs="Arial" w:eastAsia="Arial" w:hAnsi="Arial"/>
          <w:sz w:val="21"/>
          <w:szCs w:val="21"/>
          <w:u w:val="single" w:color="auto"/>
          <w:color w:val="auto"/>
        </w:rPr>
        <w:t>Performance Criteria</w:t>
      </w:r>
      <w:r>
        <w:rPr>
          <w:rFonts w:ascii="Arial" w:cs="Arial" w:eastAsia="Arial" w:hAnsi="Arial"/>
          <w:sz w:val="21"/>
          <w:szCs w:val="21"/>
          <w:color w:val="auto"/>
        </w:rPr>
        <w:t>” shall mean the criteria (and adjustments) that the Administrator selects for an Award for purposes of establishing the Performance Goal or Performance Goals for a Performance Period, determined as follows:</w:t>
      </w:r>
    </w:p>
    <w:p>
      <w:pPr>
        <w:spacing w:after="0" w:line="137" w:lineRule="exact"/>
        <w:rPr>
          <w:sz w:val="20"/>
          <w:szCs w:val="20"/>
          <w:color w:val="auto"/>
        </w:rPr>
      </w:pPr>
    </w:p>
    <w:p>
      <w:pPr>
        <w:jc w:val="both"/>
        <w:ind w:firstLine="1305"/>
        <w:spacing w:after="0" w:line="287" w:lineRule="auto"/>
        <w:tabs>
          <w:tab w:leader="none" w:pos="173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Performance Criteria that shall be used to establish Performance Goals are limited to the following: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 (xxx) sales and sales unit volume; (xxxi) licensing revenue; (xxxii) brand recognition and acceptance; (xxxiii) inventory turns or cycle time; (xxxiv) market penetration and geographic business expansion; (xxxv) customer satisfaction/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4" w:right="239" w:bottom="1440" w:gutter="0" w:footer="0" w:header="0"/>
        </w:sectPr>
      </w:pPr>
    </w:p>
    <w:bookmarkStart w:id="148" w:name="page149"/>
    <w:bookmarkEnd w:id="148"/>
    <w:p>
      <w:pPr>
        <w:jc w:val="both"/>
        <w:spacing w:after="0" w:line="289" w:lineRule="auto"/>
        <w:rPr>
          <w:sz w:val="20"/>
          <w:szCs w:val="20"/>
          <w:color w:val="auto"/>
        </w:rPr>
      </w:pPr>
      <w:r>
        <w:rPr>
          <w:rFonts w:ascii="Arial" w:cs="Arial" w:eastAsia="Arial" w:hAnsi="Arial"/>
          <w:sz w:val="19"/>
          <w:szCs w:val="19"/>
          <w:color w:val="auto"/>
        </w:rPr>
        <w:t>growth; (xxxvi) customer service; (xxxvi) employee satisfaction; (xxxvii) recruitment and maintenance of personnel; (xxxviii) human resources management; (xxxix) supervision of litigation and other legal matters; (xl) strategic partnerships and transactions; (xli) financial ratios (including those measuring liquidity, activity, profitability or leverage); (xlii) new or existing store results and operations and new store openings; (xliii) supply chain achievements; (xliv) debt levels or reductions; (xlv) sales-related goals; (xlvi) financing and other capital raising transactions; (xlvii) year-end cash; (xlviii) acquisition activity; (xlix) investment sourcing activity; (l) marketing initiatives, (li) productivity ratios; (lii) operating goals including but not limited to safety, reliability, maintenance expenses, capital expenses, operating efficiency, and (liii) capital employed (operating working capital, less net property, plant and equipment), any of which may be measured either in absolute terms or as compared to any incremental increase or decrease or as compared to results of a peer group or to market performance indicators or indices.</w:t>
      </w:r>
    </w:p>
    <w:p>
      <w:pPr>
        <w:spacing w:after="0" w:line="158" w:lineRule="exact"/>
        <w:rPr>
          <w:sz w:val="20"/>
          <w:szCs w:val="20"/>
          <w:color w:val="auto"/>
        </w:rPr>
      </w:pPr>
    </w:p>
    <w:p>
      <w:pPr>
        <w:jc w:val="both"/>
        <w:ind w:firstLine="1305"/>
        <w:spacing w:after="0" w:line="286" w:lineRule="auto"/>
        <w:tabs>
          <w:tab w:leader="none" w:pos="1783"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or early retirement initiative; (xx) items relating to foreign exchange or currency transactions and/or fluctuations; or (xxi) items relating to any other unusual or nonrecurring events or changes in Applicable Law, Applicable Accounting Standards or business conditions. For all Awards intended to qualify as Performance-Based Compensation, such determinations shall be made within the time prescribed by, and otherwise in compliance with, Section 162(m) of the Code.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2.41 “</w:t>
      </w:r>
      <w:r>
        <w:rPr>
          <w:rFonts w:ascii="Arial" w:cs="Arial" w:eastAsia="Arial" w:hAnsi="Arial"/>
          <w:sz w:val="21"/>
          <w:szCs w:val="21"/>
          <w:u w:val="single" w:color="auto"/>
          <w:color w:val="auto"/>
        </w:rPr>
        <w:t>Performance Goals</w:t>
      </w:r>
      <w:r>
        <w:rPr>
          <w:rFonts w:ascii="Arial" w:cs="Arial" w:eastAsia="Arial" w:hAnsi="Arial"/>
          <w:sz w:val="21"/>
          <w:szCs w:val="21"/>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149" w:name="page150"/>
    <w:bookmarkEnd w:id="149"/>
    <w:p>
      <w:pPr>
        <w:jc w:val="both"/>
        <w:ind w:firstLine="648"/>
        <w:spacing w:after="0" w:line="260" w:lineRule="auto"/>
        <w:rPr>
          <w:sz w:val="20"/>
          <w:szCs w:val="20"/>
          <w:color w:val="auto"/>
        </w:rPr>
      </w:pPr>
      <w:r>
        <w:rPr>
          <w:rFonts w:ascii="Arial" w:cs="Arial" w:eastAsia="Arial" w:hAnsi="Arial"/>
          <w:sz w:val="22"/>
          <w:szCs w:val="22"/>
          <w:color w:val="auto"/>
        </w:rPr>
        <w:t>2.42 “</w:t>
      </w:r>
      <w:r>
        <w:rPr>
          <w:rFonts w:ascii="Arial" w:cs="Arial" w:eastAsia="Arial" w:hAnsi="Arial"/>
          <w:sz w:val="22"/>
          <w:szCs w:val="22"/>
          <w:u w:val="single" w:color="auto"/>
          <w:color w:val="auto"/>
        </w:rPr>
        <w:t>Performance Period</w:t>
      </w:r>
      <w:r>
        <w:rPr>
          <w:rFonts w:ascii="Arial" w:cs="Arial" w:eastAsia="Arial" w:hAnsi="Arial"/>
          <w:sz w:val="22"/>
          <w:szCs w:val="22"/>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2.43 “</w:t>
      </w:r>
      <w:r>
        <w:rPr>
          <w:rFonts w:ascii="Arial" w:cs="Arial" w:eastAsia="Arial" w:hAnsi="Arial"/>
          <w:sz w:val="21"/>
          <w:szCs w:val="21"/>
          <w:u w:val="single" w:color="auto"/>
          <w:color w:val="auto"/>
        </w:rPr>
        <w:t>Permitted Transferee</w:t>
      </w:r>
      <w:r>
        <w:rPr>
          <w:rFonts w:ascii="Arial" w:cs="Arial" w:eastAsia="Arial" w:hAnsi="Arial"/>
          <w:sz w:val="21"/>
          <w:szCs w:val="21"/>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shall have the meaning set forth in Article 1.</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2.45 “</w:t>
      </w:r>
      <w:r>
        <w:rPr>
          <w:rFonts w:ascii="Arial" w:cs="Arial" w:eastAsia="Arial" w:hAnsi="Arial"/>
          <w:sz w:val="22"/>
          <w:szCs w:val="22"/>
          <w:u w:val="single" w:color="auto"/>
          <w:color w:val="auto"/>
        </w:rPr>
        <w:t>Program</w:t>
      </w:r>
      <w:r>
        <w:rPr>
          <w:rFonts w:ascii="Arial" w:cs="Arial" w:eastAsia="Arial" w:hAnsi="Arial"/>
          <w:sz w:val="22"/>
          <w:szCs w:val="22"/>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2.46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Public Trading Date</w:t>
      </w:r>
      <w:r>
        <w:rPr>
          <w:rFonts w:ascii="Arial" w:cs="Arial" w:eastAsia="Arial" w:hAnsi="Arial"/>
          <w:sz w:val="19"/>
          <w:szCs w:val="19"/>
          <w:color w:val="auto"/>
        </w:rPr>
        <w:t>” shall mean the date of Listing.</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2.47 “</w:t>
      </w:r>
      <w:r>
        <w:rPr>
          <w:rFonts w:ascii="Arial" w:cs="Arial" w:eastAsia="Arial" w:hAnsi="Arial"/>
          <w:sz w:val="22"/>
          <w:szCs w:val="22"/>
          <w:u w:val="single" w:color="auto"/>
          <w:color w:val="auto"/>
        </w:rPr>
        <w:t>Restricted Stock</w:t>
      </w:r>
      <w:r>
        <w:rPr>
          <w:rFonts w:ascii="Arial" w:cs="Arial" w:eastAsia="Arial" w:hAnsi="Arial"/>
          <w:sz w:val="22"/>
          <w:szCs w:val="22"/>
          <w:color w:val="auto"/>
        </w:rPr>
        <w:t>” shall mean Shares awarded under Article 8 that are subject to certain restrictions and may be subject to risk of forfeiture or repurchase.</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2.48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shall mean the right to receive Shares awarded under Article 9.</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Sale</w:t>
      </w:r>
      <w:r>
        <w:rPr>
          <w:rFonts w:ascii="Arial" w:cs="Arial" w:eastAsia="Arial" w:hAnsi="Arial"/>
          <w:sz w:val="19"/>
          <w:szCs w:val="19"/>
          <w:color w:val="auto"/>
        </w:rPr>
        <w:t>” shall mean the sale of all or substantially all of the assets of the Company.</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2.50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SAR Term</w:t>
      </w:r>
      <w:r>
        <w:rPr>
          <w:rFonts w:ascii="Arial" w:cs="Arial" w:eastAsia="Arial" w:hAnsi="Arial"/>
          <w:sz w:val="19"/>
          <w:szCs w:val="19"/>
          <w:color w:val="auto"/>
        </w:rPr>
        <w:t>” shall have the meaning set forth in Section 6.4.</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2.51 “</w:t>
      </w:r>
      <w:r>
        <w:rPr>
          <w:rFonts w:ascii="Arial" w:cs="Arial" w:eastAsia="Arial" w:hAnsi="Arial"/>
          <w:sz w:val="22"/>
          <w:szCs w:val="22"/>
          <w:u w:val="single" w:color="auto"/>
          <w:color w:val="auto"/>
        </w:rPr>
        <w:t>Section 409A</w:t>
      </w:r>
      <w:r>
        <w:rPr>
          <w:rFonts w:ascii="Arial" w:cs="Arial" w:eastAsia="Arial" w:hAnsi="Arial"/>
          <w:sz w:val="22"/>
          <w:szCs w:val="22"/>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shall mean the Securities Act of 1933, as amended.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Shares</w:t>
      </w:r>
      <w:r>
        <w:rPr>
          <w:rFonts w:ascii="Arial" w:cs="Arial" w:eastAsia="Arial" w:hAnsi="Arial"/>
          <w:sz w:val="19"/>
          <w:szCs w:val="19"/>
          <w:color w:val="auto"/>
        </w:rPr>
        <w:t>” shall mean ordinary shares in the capital of the Company.</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2.53A “</w:t>
      </w:r>
      <w:r>
        <w:rPr>
          <w:rFonts w:ascii="Arial" w:cs="Arial" w:eastAsia="Arial" w:hAnsi="Arial"/>
          <w:sz w:val="22"/>
          <w:szCs w:val="22"/>
          <w:u w:val="single" w:color="auto"/>
          <w:color w:val="auto"/>
        </w:rPr>
        <w:t>Share Purchase Offering</w:t>
      </w:r>
      <w:r>
        <w:rPr>
          <w:rFonts w:ascii="Arial" w:cs="Arial" w:eastAsia="Arial" w:hAnsi="Arial"/>
          <w:sz w:val="22"/>
          <w:szCs w:val="22"/>
          <w:color w:val="auto"/>
        </w:rPr>
        <w:t>” shall mean a broad based Share purchase offering made to Employees generally, in which Employees are allowed to purchase Shares at a purchase price not less than 85% of the market value of the Shares, as determined by the Administrator.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2.54 “</w:t>
      </w: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50" w:name="page151"/>
    <w:bookmarkEnd w:id="150"/>
    <w:p>
      <w:pPr>
        <w:jc w:val="both"/>
        <w:ind w:firstLine="648"/>
        <w:spacing w:after="0" w:line="276" w:lineRule="auto"/>
        <w:rPr>
          <w:sz w:val="20"/>
          <w:szCs w:val="20"/>
          <w:color w:val="auto"/>
        </w:rPr>
      </w:pPr>
      <w:r>
        <w:rPr>
          <w:rFonts w:ascii="Arial" w:cs="Arial" w:eastAsia="Arial" w:hAnsi="Arial"/>
          <w:sz w:val="22"/>
          <w:szCs w:val="22"/>
          <w:color w:val="auto"/>
        </w:rPr>
        <w:t>2.55 “</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 company that is a subsidiary of the Company within the meaning of Section 1159 of the Companies Act 2006.</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2.56 “</w:t>
      </w:r>
      <w:r>
        <w:rPr>
          <w:rFonts w:ascii="Arial" w:cs="Arial" w:eastAsia="Arial" w:hAnsi="Arial"/>
          <w:sz w:val="22"/>
          <w:szCs w:val="22"/>
          <w:u w:val="single" w:color="auto"/>
          <w:color w:val="auto"/>
        </w:rPr>
        <w:t>Substitute Award</w:t>
      </w:r>
      <w:r>
        <w:rPr>
          <w:rFonts w:ascii="Arial" w:cs="Arial" w:eastAsia="Arial" w:hAnsi="Arial"/>
          <w:sz w:val="22"/>
          <w:szCs w:val="22"/>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no event shall the term “Substitute Award” be construed to refer to an award made in connection with the cancellation and repricing of an Option or Stock Appreciation Right.</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Takeover</w:t>
      </w:r>
      <w:r>
        <w:rPr>
          <w:rFonts w:ascii="Arial" w:cs="Arial" w:eastAsia="Arial" w:hAnsi="Arial"/>
          <w:sz w:val="19"/>
          <w:szCs w:val="19"/>
          <w:color w:val="auto"/>
        </w:rPr>
        <w:t>” shall mean if any person (or a group of persons acting in concert) (the “</w:t>
      </w:r>
      <w:r>
        <w:rPr>
          <w:rFonts w:ascii="Arial" w:cs="Arial" w:eastAsia="Arial" w:hAnsi="Arial"/>
          <w:sz w:val="19"/>
          <w:szCs w:val="19"/>
          <w:u w:val="single" w:color="auto"/>
          <w:color w:val="auto"/>
        </w:rPr>
        <w:t>Acquiring Person</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obtains Control of the Company as the result of making a general offer to:</w:t>
      </w:r>
    </w:p>
    <w:p>
      <w:pPr>
        <w:spacing w:after="0" w:line="233" w:lineRule="exact"/>
        <w:rPr>
          <w:rFonts w:ascii="Arial" w:cs="Arial" w:eastAsia="Arial" w:hAnsi="Arial"/>
          <w:sz w:val="22"/>
          <w:szCs w:val="22"/>
          <w:color w:val="auto"/>
        </w:rPr>
      </w:pPr>
    </w:p>
    <w:p>
      <w:pPr>
        <w:ind w:firstLine="1953"/>
        <w:spacing w:after="0" w:line="276" w:lineRule="auto"/>
        <w:tabs>
          <w:tab w:leader="none" w:pos="2329" w:val="left"/>
        </w:tabs>
        <w:numPr>
          <w:ilvl w:val="1"/>
          <w:numId w:val="71"/>
        </w:numPr>
        <w:rPr>
          <w:rFonts w:ascii="Arial" w:cs="Arial" w:eastAsia="Arial" w:hAnsi="Arial"/>
          <w:sz w:val="22"/>
          <w:szCs w:val="22"/>
          <w:color w:val="auto"/>
        </w:rPr>
      </w:pPr>
      <w:r>
        <w:rPr>
          <w:rFonts w:ascii="Arial" w:cs="Arial" w:eastAsia="Arial" w:hAnsi="Arial"/>
          <w:sz w:val="22"/>
          <w:szCs w:val="22"/>
          <w:color w:val="auto"/>
        </w:rPr>
        <w:t>acquire all of the issued ordinary share capital of the Company, which is made on a condition that, if it is satisfied, the Acquiring Person will have Control of the Company; or</w:t>
      </w:r>
    </w:p>
    <w:p>
      <w:pPr>
        <w:spacing w:after="0" w:line="160" w:lineRule="exact"/>
        <w:rPr>
          <w:rFonts w:ascii="Arial" w:cs="Arial" w:eastAsia="Arial" w:hAnsi="Arial"/>
          <w:sz w:val="22"/>
          <w:szCs w:val="22"/>
          <w:color w:val="auto"/>
        </w:rPr>
      </w:pPr>
    </w:p>
    <w:p>
      <w:pPr>
        <w:ind w:left="2400" w:hanging="447"/>
        <w:spacing w:after="0"/>
        <w:tabs>
          <w:tab w:leader="none" w:pos="24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acquire all of the shares in the Company which are of the same class as the Shares; or</w:t>
      </w:r>
    </w:p>
    <w:p>
      <w:pPr>
        <w:spacing w:after="0" w:line="233" w:lineRule="exact"/>
        <w:rPr>
          <w:rFonts w:ascii="Arial" w:cs="Arial" w:eastAsia="Arial" w:hAnsi="Arial"/>
          <w:sz w:val="22"/>
          <w:szCs w:val="22"/>
          <w:color w:val="auto"/>
        </w:rPr>
      </w:pPr>
    </w:p>
    <w:p>
      <w:pPr>
        <w:ind w:firstLine="1305"/>
        <w:spacing w:after="0" w:line="301" w:lineRule="auto"/>
        <w:tabs>
          <w:tab w:leader="none" w:pos="1850" w:val="left"/>
        </w:tabs>
        <w:numPr>
          <w:ilvl w:val="0"/>
          <w:numId w:val="71"/>
        </w:numPr>
        <w:rPr>
          <w:rFonts w:ascii="Arial" w:cs="Arial" w:eastAsia="Arial" w:hAnsi="Arial"/>
          <w:sz w:val="21"/>
          <w:szCs w:val="21"/>
          <w:color w:val="auto"/>
        </w:rPr>
      </w:pPr>
      <w:r>
        <w:rPr>
          <w:rFonts w:ascii="Arial" w:cs="Arial" w:eastAsia="Arial" w:hAnsi="Arial"/>
          <w:sz w:val="21"/>
          <w:szCs w:val="21"/>
          <w:color w:val="auto"/>
        </w:rPr>
        <w:t>obtains Control of the Company as a result of a compromise or arrangement sanctioned by a court under Section 899 of the Companies Act 2006, or sanctioned under any other similar law of another jurisdiction; or</w:t>
      </w:r>
    </w:p>
    <w:p>
      <w:pPr>
        <w:spacing w:after="0" w:line="137" w:lineRule="exact"/>
        <w:rPr>
          <w:rFonts w:ascii="Arial" w:cs="Arial" w:eastAsia="Arial" w:hAnsi="Arial"/>
          <w:sz w:val="21"/>
          <w:szCs w:val="21"/>
          <w:color w:val="auto"/>
        </w:rPr>
      </w:pPr>
    </w:p>
    <w:p>
      <w:pPr>
        <w:ind w:firstLine="1305"/>
        <w:spacing w:after="0" w:line="276" w:lineRule="auto"/>
        <w:tabs>
          <w:tab w:leader="none" w:pos="1784" w:val="left"/>
        </w:tabs>
        <w:numPr>
          <w:ilvl w:val="0"/>
          <w:numId w:val="71"/>
        </w:numPr>
        <w:rPr>
          <w:rFonts w:ascii="Arial" w:cs="Arial" w:eastAsia="Arial" w:hAnsi="Arial"/>
          <w:sz w:val="22"/>
          <w:szCs w:val="22"/>
          <w:color w:val="auto"/>
        </w:rPr>
      </w:pPr>
      <w:r>
        <w:rPr>
          <w:rFonts w:ascii="Arial" w:cs="Arial" w:eastAsia="Arial" w:hAnsi="Arial"/>
          <w:sz w:val="22"/>
          <w:szCs w:val="22"/>
          <w:color w:val="auto"/>
        </w:rPr>
        <w:t>becomes bound or entitled under Sections 979 to 985 of the Companies Act 2006 (or similar law of another jurisdiction) to acquire shares of the same class as the Shares; or</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obtains Control of the Company in any other way.</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Termination of Service</w:t>
      </w:r>
      <w:r>
        <w:rPr>
          <w:rFonts w:ascii="Arial" w:cs="Arial" w:eastAsia="Arial" w:hAnsi="Arial"/>
          <w:sz w:val="19"/>
          <w:szCs w:val="19"/>
          <w:color w:val="auto"/>
        </w:rPr>
        <w:t>” shall mean:</w:t>
      </w:r>
    </w:p>
    <w:p>
      <w:pPr>
        <w:spacing w:after="0" w:line="233" w:lineRule="exact"/>
        <w:rPr>
          <w:sz w:val="20"/>
          <w:szCs w:val="20"/>
          <w:color w:val="auto"/>
        </w:rPr>
      </w:pPr>
    </w:p>
    <w:p>
      <w:pPr>
        <w:jc w:val="both"/>
        <w:ind w:firstLine="1305"/>
        <w:spacing w:after="0" w:line="254" w:lineRule="auto"/>
        <w:tabs>
          <w:tab w:leader="none" w:pos="173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As to a Consultant, the time when the engagement of a Holder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837" w:val="left"/>
        </w:tabs>
        <w:numPr>
          <w:ilvl w:val="0"/>
          <w:numId w:val="72"/>
        </w:numPr>
        <w:rPr>
          <w:rFonts w:ascii="Arial" w:cs="Arial" w:eastAsia="Arial" w:hAnsi="Arial"/>
          <w:sz w:val="22"/>
          <w:szCs w:val="22"/>
          <w:color w:val="auto"/>
        </w:rPr>
      </w:pPr>
      <w:r>
        <w:rPr>
          <w:rFonts w:ascii="Arial" w:cs="Arial" w:eastAsia="Arial" w:hAnsi="Arial"/>
          <w:sz w:val="22"/>
          <w:szCs w:val="22"/>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Subsidiary.</w:t>
      </w:r>
    </w:p>
    <w:p>
      <w:pPr>
        <w:spacing w:after="0" w:line="185" w:lineRule="exact"/>
        <w:rPr>
          <w:rFonts w:ascii="Arial" w:cs="Arial" w:eastAsia="Arial" w:hAnsi="Arial"/>
          <w:sz w:val="22"/>
          <w:szCs w:val="22"/>
          <w:color w:val="auto"/>
        </w:rPr>
      </w:pPr>
    </w:p>
    <w:p>
      <w:pPr>
        <w:ind w:firstLine="1305"/>
        <w:spacing w:after="0" w:line="276" w:lineRule="auto"/>
        <w:tabs>
          <w:tab w:leader="none" w:pos="1743" w:val="left"/>
        </w:tabs>
        <w:numPr>
          <w:ilvl w:val="0"/>
          <w:numId w:val="72"/>
        </w:numPr>
        <w:rPr>
          <w:rFonts w:ascii="Arial" w:cs="Arial" w:eastAsia="Arial" w:hAnsi="Arial"/>
          <w:sz w:val="22"/>
          <w:szCs w:val="22"/>
          <w:color w:val="auto"/>
        </w:rPr>
      </w:pPr>
      <w:r>
        <w:rPr>
          <w:rFonts w:ascii="Arial" w:cs="Arial" w:eastAsia="Arial" w:hAnsi="Arial"/>
          <w:sz w:val="22"/>
          <w:szCs w:val="22"/>
          <w:color w:val="auto"/>
        </w:rPr>
        <w:t>As to an Employee, the time when the employee-employer relationship between a Holder and the Company or any Subsidiary is terminated for any reason, including,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151" w:name="page152"/>
    <w:bookmarkEnd w:id="151"/>
    <w:p>
      <w:pPr>
        <w:jc w:val="both"/>
        <w:spacing w:after="0" w:line="287" w:lineRule="auto"/>
        <w:rPr>
          <w:sz w:val="20"/>
          <w:szCs w:val="20"/>
          <w:color w:val="auto"/>
        </w:rPr>
      </w:pPr>
      <w:r>
        <w:rPr>
          <w:rFonts w:ascii="Arial" w:cs="Arial" w:eastAsia="Arial" w:hAnsi="Arial"/>
          <w:sz w:val="21"/>
          <w:szCs w:val="21"/>
          <w:color w:val="auto"/>
        </w:rPr>
        <w:t>without limitation, a termination by resignation, discharge, death, disability or retirement, but excluding terminations where the Holder simultaneously commences or remains in employment or service with the Company or any Subsidiary.</w:t>
      </w:r>
    </w:p>
    <w:p>
      <w:pPr>
        <w:spacing w:after="0" w:line="1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 Subsidiary following any merger, sale of stock or other corporate transaction or event (including, without limitation, a spin-off).</w:t>
      </w:r>
    </w:p>
    <w:p>
      <w:pPr>
        <w:spacing w:after="0" w:line="14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SUBJECT TO THE PLAN</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Number of Shares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4" w:lineRule="auto"/>
        <w:tabs>
          <w:tab w:leader="none" w:pos="18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Subject to Sections 3.1(b) and 13.2, the aggregate number of Shares which may be issued or transferred pursuant to Awards (including, without limitation, Incentive Stock Options) under the Plan is 24,100,000. Any Shares distributed pursuant to an Award may consist, in whole or in part, of authorized and unissued Shares, treasury Shares or Shares purchased on the open market.</w:t>
      </w:r>
    </w:p>
    <w:p>
      <w:pPr>
        <w:spacing w:after="0" w:line="185" w:lineRule="exact"/>
        <w:rPr>
          <w:rFonts w:ascii="Arial" w:cs="Arial" w:eastAsia="Arial" w:hAnsi="Arial"/>
          <w:sz w:val="22"/>
          <w:szCs w:val="22"/>
          <w:color w:val="auto"/>
        </w:rPr>
      </w:pPr>
    </w:p>
    <w:p>
      <w:pPr>
        <w:jc w:val="both"/>
        <w:ind w:firstLine="1305"/>
        <w:spacing w:after="0" w:line="289" w:lineRule="auto"/>
        <w:tabs>
          <w:tab w:leader="none" w:pos="1891"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any Shares subject to an Award are forfeited or expire, are converted to shares of another Person in connection with a Takeover, Sale, recapitalization, reorganization, merger, consolidation, split-up, spin-off, combination, exchange of shares or other similar event, or such Award is settled for cash (in whole or in part) (including Shares repurchased by the Company under Section 8.4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Option or Stock Appreciation Right;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4" w:right="239" w:bottom="1440" w:gutter="0" w:footer="0" w:header="0"/>
        </w:sectPr>
      </w:pPr>
    </w:p>
    <w:bookmarkStart w:id="152" w:name="page153"/>
    <w:bookmarkEnd w:id="152"/>
    <w:p>
      <w:pPr>
        <w:jc w:val="both"/>
        <w:spacing w:after="0" w:line="265" w:lineRule="auto"/>
        <w:rPr>
          <w:sz w:val="20"/>
          <w:szCs w:val="20"/>
          <w:color w:val="auto"/>
        </w:rPr>
      </w:pPr>
      <w:r>
        <w:rPr>
          <w:rFonts w:ascii="Arial" w:cs="Arial" w:eastAsia="Arial" w:hAnsi="Arial"/>
          <w:sz w:val="21"/>
          <w:szCs w:val="21"/>
          <w:color w:val="auto"/>
        </w:rPr>
        <w:t>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76" w:lineRule="exact"/>
        <w:rPr>
          <w:sz w:val="20"/>
          <w:szCs w:val="20"/>
          <w:color w:val="auto"/>
        </w:rPr>
      </w:pPr>
    </w:p>
    <w:p>
      <w:pPr>
        <w:jc w:val="both"/>
        <w:ind w:firstLine="1305"/>
        <w:spacing w:after="0" w:line="290" w:lineRule="auto"/>
        <w:tabs>
          <w:tab w:leader="none" w:pos="17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Substitute Awards shall not reduce the Shares authorized for grant under the Plan, except as may be required by reason of Section 422 of the Code. Additionally, in the event that a company acquired by the Company or any Subsidiary or with which the Company or 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5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Limitation on Number of Shares Subject to Awards</w:t>
      </w:r>
      <w:r>
        <w:rPr>
          <w:rFonts w:ascii="Arial" w:cs="Arial" w:eastAsia="Arial" w:hAnsi="Arial"/>
          <w:sz w:val="19"/>
          <w:szCs w:val="19"/>
          <w:color w:val="auto"/>
        </w:rPr>
        <w:t>. Notwithstanding any provision in the Plan to the contrary, and subject to Section 13.2, the maximum aggregate number of Shares with respect to one or more Awards that may be granted to any one person during any calendar year shall be 2,000,000 and the maximum aggregate amount of cash that may be paid in cash to any one person during any calendar year with respect to one or more Awards payable in cash shall be $7,000,000. To the extent required by Section 162(m) of the Code, Shares subject to Awards that are cancelled shall continue to be counted against the Award Limit.</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Award Vesting Limitations</w:t>
      </w:r>
      <w:r>
        <w:rPr>
          <w:rFonts w:ascii="Arial" w:cs="Arial" w:eastAsia="Arial" w:hAnsi="Arial"/>
          <w:sz w:val="19"/>
          <w:szCs w:val="19"/>
          <w:color w:val="auto"/>
        </w:rPr>
        <w:t xml:space="preserve">. Notwithstanding any other provision of the Plan to the contrary, but subject to Section 13.2, Awards granted under the Plan shall vest no earlier than the first anniversary of the date the Award is granted;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Awards (i) granted pursuant to a Share Purchase Offering, or (ii) that result in the issuance of an aggregate of up to 5% of the Shares available pursuant to Section 3.1(a) as of the Effective Date, may be granted to any one or more Eligible Individuals without respect to and/or administered without regard for this minimum vesting provision. No Award Agreement shall be permitted to reduce or eliminate the requirements of this Section 3.3. The Administrator may, in its sole discretion, provide for acceleration of the vesting of any Award in connection with or following a Holder’s death, Disability, involuntary Termination of Service or the consummation of a Change in Control.</w:t>
      </w:r>
    </w:p>
    <w:p>
      <w:pPr>
        <w:spacing w:after="0" w:line="15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GRANTING OF AWARDS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53" w:name="page154"/>
    <w:bookmarkEnd w:id="153"/>
    <w:p>
      <w:pPr>
        <w:jc w:val="both"/>
        <w:ind w:firstLine="648"/>
        <w:spacing w:after="0" w:line="29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Participation</w:t>
      </w:r>
      <w:r>
        <w:rPr>
          <w:rFonts w:ascii="Arial" w:cs="Arial" w:eastAsia="Arial" w:hAnsi="Arial"/>
          <w:sz w:val="19"/>
          <w:szCs w:val="19"/>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1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Award Agreement</w:t>
      </w:r>
      <w:r>
        <w:rPr>
          <w:rFonts w:ascii="Arial" w:cs="Arial" w:eastAsia="Arial" w:hAnsi="Arial"/>
          <w:sz w:val="21"/>
          <w:szCs w:val="21"/>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75"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Limitations Applicable to Section 16 Persons</w:t>
      </w:r>
      <w:r>
        <w:rPr>
          <w:rFonts w:ascii="Arial" w:cs="Arial" w:eastAsia="Arial" w:hAnsi="Arial"/>
          <w:sz w:val="22"/>
          <w:szCs w:val="22"/>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r>
      <w:r>
        <w:rPr>
          <w:rFonts w:ascii="MS PGothic" w:cs="MS PGothic" w:eastAsia="MS PGothic" w:hAnsi="MS PGothic"/>
          <w:sz w:val="22"/>
          <w:szCs w:val="22"/>
          <w:color w:val="auto"/>
        </w:rPr>
        <w:t>‑</w:t>
      </w:r>
      <w:r>
        <w:rPr>
          <w:rFonts w:ascii="Arial" w:cs="Arial" w:eastAsia="Arial" w:hAnsi="Arial"/>
          <w:sz w:val="22"/>
          <w:szCs w:val="22"/>
          <w:color w:val="auto"/>
        </w:rPr>
        <w:t>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No Right to Continued Service.</w:t>
      </w:r>
      <w:r>
        <w:rPr>
          <w:rFonts w:ascii="Arial" w:cs="Arial" w:eastAsia="Arial" w:hAnsi="Arial"/>
          <w:sz w:val="21"/>
          <w:szCs w:val="21"/>
          <w:color w:val="auto"/>
        </w:rPr>
        <w:t xml:space="preserve">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Local Law Plans</w:t>
      </w:r>
      <w:r>
        <w:rPr>
          <w:rFonts w:ascii="Arial" w:cs="Arial" w:eastAsia="Arial" w:hAnsi="Arial"/>
          <w:sz w:val="22"/>
          <w:szCs w:val="22"/>
          <w:color w:val="auto"/>
        </w:rPr>
        <w:t>. Notwithstanding any provision of the Plan or applicable Program to the contrary, in order to comply with the laws in all countries in which the Company and its Subsidiaries operate or have Employees, Non-Employee Directors or Consultants, or in order to comply with the requirements of any securities exchange or other Applicable Law, the Administrator, in its sole discretion, shall have the power and authority to: (a) determine which Subsidiaries shall be covered by the Plan; (b) determine which Eligible Individuals are eligible to participate in the Plan; (c) modify the terms and conditions of any Award granted to Eligible Individuals to comply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54" w:name="page155"/>
    <w:bookmarkEnd w:id="154"/>
    <w:p>
      <w:pPr>
        <w:jc w:val="both"/>
        <w:spacing w:after="0" w:line="247" w:lineRule="auto"/>
        <w:rPr>
          <w:sz w:val="20"/>
          <w:szCs w:val="20"/>
          <w:color w:val="auto"/>
        </w:rPr>
      </w:pPr>
      <w:r>
        <w:rPr>
          <w:rFonts w:ascii="Arial" w:cs="Arial" w:eastAsia="Arial" w:hAnsi="Arial"/>
          <w:sz w:val="22"/>
          <w:szCs w:val="22"/>
          <w:color w:val="auto"/>
        </w:rPr>
        <w:t xml:space="preserve">with Applicable Law (including, without limitation, applicable laws or listing requirements of any local securities exchange); (d) establish sub-plans and modify exercise procedures and other terms and procedures, to the extent such actions may be necessary or advisable;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sub-plans and/or modifications shall increase the share limitation contained in Section 3.1, the Award Limit or the Director Limit; and (e) take any action, before or after an Award is made, that it deems advisable to obtain approval or comply with any necessary local governmental regulatory exemptions or approvals or listing requirements of any securities exchange.</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Non-Employee Director Awards</w:t>
      </w:r>
      <w:r>
        <w:rPr>
          <w:rFonts w:ascii="Arial" w:cs="Arial" w:eastAsia="Arial" w:hAnsi="Arial"/>
          <w:sz w:val="19"/>
          <w:szCs w:val="19"/>
          <w:color w:val="auto"/>
        </w:rPr>
        <w:t>. The Administrator, in its sole discretion, may provide that Awards granted to Non-Employee Directors shall be granted pursuant to a written nondiscretionary formula established by the Administrator (the “</w:t>
      </w:r>
      <w:r>
        <w:rPr>
          <w:rFonts w:ascii="Arial" w:cs="Arial" w:eastAsia="Arial" w:hAnsi="Arial"/>
          <w:sz w:val="19"/>
          <w:szCs w:val="19"/>
          <w:u w:val="single" w:color="auto"/>
          <w:color w:val="auto"/>
        </w:rPr>
        <w:t>Non-Employee Director Equity Compensation Policy</w:t>
      </w:r>
      <w:r>
        <w:rPr>
          <w:rFonts w:ascii="Arial" w:cs="Arial" w:eastAsia="Arial" w:hAnsi="Arial"/>
          <w:sz w:val="19"/>
          <w:szCs w:val="19"/>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 Notwithstanding any provision to the contrary in the Plan or in the Non-Employee Director Equity Compensation Policy, the sum of the grant date fair value of equity-based Awards and the amount of any cash-based Awards granted to a Non-Employee Director during any calendar year shall not exceed $500,000 (the “</w:t>
      </w:r>
      <w:r>
        <w:rPr>
          <w:rFonts w:ascii="Arial" w:cs="Arial" w:eastAsia="Arial" w:hAnsi="Arial"/>
          <w:sz w:val="19"/>
          <w:szCs w:val="19"/>
          <w:u w:val="single" w:color="auto"/>
          <w:color w:val="auto"/>
        </w:rPr>
        <w:t>Director Limit</w:t>
      </w: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5.</w:t>
      </w:r>
    </w:p>
    <w:p>
      <w:pPr>
        <w:spacing w:after="0" w:line="274"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PROVISIONS APPLICABLE TO AWARDS INTENDED TO QUALIFY AS PERFORMANCE-BASED COMPENSATION</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Purpose</w:t>
      </w:r>
      <w:r>
        <w:rPr>
          <w:rFonts w:ascii="Arial" w:cs="Arial" w:eastAsia="Arial" w:hAnsi="Arial"/>
          <w:sz w:val="21"/>
          <w:szCs w:val="21"/>
          <w:color w:val="auto"/>
        </w:rPr>
        <w:t>. The Administrator, in its sole discretion, may determine whether such Award is intended to qualify as Performance-Based Compensation. If the Administrator, in its sole discretion, decides to grant an Award that is intended to qualify as Performance-Based Compensation (other than an Option or Stock Appreciation Right), then the provisions of this Article 5 shall control over any contrary provision contained in the Plan or any applicable Program. The Administrator, in its sole discretion, may grant Awards to other Eligible Individuals that are based on Performance Criteria or Performance Goals or any such other criteria and goals as the Administrator shall establish, but that do not satisfy the requirements of this Article 5 and that are not intended to qualify as Performance-Based Compensation. Unless otherwise specified by the Administrator at the time of grant, the Performance Criteria with respect to an Award intended to be Performance-Based Compensation payable to a Covered Employee shall be determined on the basis of Applicable Accounting Standards.</w:t>
      </w:r>
    </w:p>
    <w:p>
      <w:pPr>
        <w:spacing w:after="0" w:line="18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Procedures with Respect to Performance-Based Awards</w:t>
      </w:r>
      <w:r>
        <w:rPr>
          <w:rFonts w:ascii="Arial" w:cs="Arial" w:eastAsia="Arial" w:hAnsi="Arial"/>
          <w:sz w:val="19"/>
          <w:szCs w:val="19"/>
          <w:color w:val="auto"/>
        </w:rPr>
        <w:t>. To the extent necessary to comply with the requirements of Section 162(m)(4)(C) of the Code, with respect to any Award which is intended to qualify as Performance-Based Compensation, no later than 90 days following the commencement of any Performance Period or any designated fiscal period or period of service (or such earlier time as may be required under Section 162(m) of the Code), the Administrator shall,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in writing, (a) designate one or more Eligible Individuals, (b) select the Performance Criteria applicable to the Performance Period,</w:t>
      </w:r>
    </w:p>
    <w:p>
      <w:pPr>
        <w:spacing w:after="0" w:line="56" w:lineRule="exact"/>
        <w:rPr>
          <w:sz w:val="20"/>
          <w:szCs w:val="20"/>
          <w:color w:val="auto"/>
        </w:rPr>
      </w:pPr>
    </w:p>
    <w:p>
      <w:pPr>
        <w:jc w:val="both"/>
        <w:ind w:firstLine="8"/>
        <w:spacing w:after="0" w:line="287" w:lineRule="auto"/>
        <w:tabs>
          <w:tab w:leader="none" w:pos="295" w:val="left"/>
        </w:tabs>
        <w:numPr>
          <w:ilvl w:val="0"/>
          <w:numId w:val="75"/>
        </w:numPr>
        <w:rPr>
          <w:rFonts w:ascii="Arial" w:cs="Arial" w:eastAsia="Arial" w:hAnsi="Arial"/>
          <w:sz w:val="19"/>
          <w:szCs w:val="19"/>
          <w:color w:val="auto"/>
        </w:rPr>
      </w:pPr>
      <w:r>
        <w:rPr>
          <w:rFonts w:ascii="Arial" w:cs="Arial" w:eastAsia="Arial" w:hAnsi="Arial"/>
          <w:sz w:val="19"/>
          <w:szCs w:val="19"/>
          <w:color w:val="auto"/>
        </w:rPr>
        <w:t>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Administrator shall certify in writing whether and the extent to which the applicable Performance Goals have been achieved for such Performance Period. In determining the amount earned under such Awards, unless otherwise provided in an Award Agreement, the Administrator shall have the right to reduce or eliminate (but not to increase) the amount payable at a given level of performance to take into account additional factors that the Administrator may deem relevant, including the assessment of individual or corporate performance for the Performance Period.</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Payment of Performance-Based Awards</w:t>
      </w:r>
      <w:r>
        <w:rPr>
          <w:rFonts w:ascii="Arial" w:cs="Arial" w:eastAsia="Arial" w:hAnsi="Arial"/>
          <w:sz w:val="22"/>
          <w:szCs w:val="22"/>
          <w:color w:val="auto"/>
        </w:rPr>
        <w:t>. Unless otherwise provided in the applicable Program or Award Agreement and only to the extent otherwise permitted by Section 162(m) of the Code, as to an Award that is intended to qualify as Performance-Based Compensation, the Holder must be employed by the Company or a Subsidiary throughout the Performance Period. Unless otherwise provided in the applicable Program or Award Agreement, a Holder shall be eligible to receive payment pursuant to such Awards for a Performance Period only if and to the extent the Performance Goals for such Performance Period are achieved.</w:t>
      </w:r>
    </w:p>
    <w:p>
      <w:pPr>
        <w:spacing w:after="0" w:line="18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Additional Limitations</w:t>
      </w:r>
      <w:r>
        <w:rPr>
          <w:rFonts w:ascii="Arial" w:cs="Arial" w:eastAsia="Arial" w:hAnsi="Arial"/>
          <w:sz w:val="19"/>
          <w:szCs w:val="19"/>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and the applicable Program and Award Agreement shall be deemed amended to the extent necessary to conform to such requirements.</w:t>
      </w:r>
    </w:p>
    <w:p>
      <w:pPr>
        <w:spacing w:after="0" w:line="14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6.</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GRANTING OF OPTIONS AND STOCK APPRECIATION RIGHTS</w:t>
      </w:r>
    </w:p>
    <w:p>
      <w:pPr>
        <w:spacing w:after="0" w:line="2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Granting of Options and Stock Appreciation Rights to Eligible Individuals</w:t>
      </w:r>
      <w:r>
        <w:rPr>
          <w:rFonts w:ascii="Arial" w:cs="Arial" w:eastAsia="Arial" w:hAnsi="Arial"/>
          <w:sz w:val="22"/>
          <w:szCs w:val="22"/>
          <w:color w:val="auto"/>
        </w:rPr>
        <w:t>. The Administrator is authorized to grant Options and Stock Appreciation Rights to Eligible Individuals from time to time, in its sole discretion, on such terms and conditions as it may determine, which shall not be inconsistent with the Plan. A Share Purchase Offering will not be considered an Option for any purposes of the Plan.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Qualification of Incentive Stock Options</w:t>
      </w:r>
      <w:r>
        <w:rPr>
          <w:rFonts w:ascii="Arial" w:cs="Arial" w:eastAsia="Arial" w:hAnsi="Arial"/>
          <w:sz w:val="22"/>
          <w:szCs w:val="22"/>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156" w:name="page157"/>
    <w:bookmarkEnd w:id="156"/>
    <w:p>
      <w:pPr>
        <w:jc w:val="both"/>
        <w:spacing w:after="0" w:line="286" w:lineRule="auto"/>
        <w:rPr>
          <w:sz w:val="20"/>
          <w:szCs w:val="20"/>
          <w:color w:val="auto"/>
        </w:rPr>
      </w:pPr>
      <w:r>
        <w:rPr>
          <w:rFonts w:ascii="Arial" w:cs="Arial" w:eastAsia="Arial" w:hAnsi="Arial"/>
          <w:sz w:val="19"/>
          <w:szCs w:val="19"/>
          <w:color w:val="auto"/>
        </w:rPr>
        <w:t>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Option and Stock Appreciation Right Exercise Price</w:t>
      </w:r>
      <w:r>
        <w:rPr>
          <w:rFonts w:ascii="Arial" w:cs="Arial" w:eastAsia="Arial" w:hAnsi="Arial"/>
          <w:sz w:val="19"/>
          <w:szCs w:val="19"/>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exercise price of any Substitute Award shall be determined in accordance with the applicable requirements of Section 424 and 409A of the Code and shall not be less than par value of a Share.</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Option and SAR Term</w:t>
      </w:r>
      <w:r>
        <w:rPr>
          <w:rFonts w:ascii="Arial" w:cs="Arial" w:eastAsia="Arial" w:hAnsi="Arial"/>
          <w:sz w:val="21"/>
          <w:szCs w:val="21"/>
          <w:color w:val="auto"/>
        </w:rPr>
        <w:t>. The term of each Option (the “</w:t>
      </w:r>
      <w:r>
        <w:rPr>
          <w:rFonts w:ascii="Arial" w:cs="Arial" w:eastAsia="Arial" w:hAnsi="Arial"/>
          <w:sz w:val="21"/>
          <w:szCs w:val="21"/>
          <w:u w:val="single" w:color="auto"/>
          <w:color w:val="auto"/>
        </w:rPr>
        <w:t>Option Term</w:t>
      </w:r>
      <w:r>
        <w:rPr>
          <w:rFonts w:ascii="Arial" w:cs="Arial" w:eastAsia="Arial" w:hAnsi="Arial"/>
          <w:sz w:val="21"/>
          <w:szCs w:val="21"/>
          <w:color w:val="auto"/>
        </w:rPr>
        <w:t>”) and the term of each Stock Appreciation Right (the “</w:t>
      </w:r>
      <w:r>
        <w:rPr>
          <w:rFonts w:ascii="Arial" w:cs="Arial" w:eastAsia="Arial" w:hAnsi="Arial"/>
          <w:sz w:val="21"/>
          <w:szCs w:val="21"/>
          <w:u w:val="single" w:color="auto"/>
          <w:color w:val="auto"/>
        </w:rPr>
        <w:t>SAR Term</w:t>
      </w:r>
      <w:r>
        <w:rPr>
          <w:rFonts w:ascii="Arial" w:cs="Arial" w:eastAsia="Arial" w:hAnsi="Arial"/>
          <w:sz w:val="21"/>
          <w:szCs w:val="21"/>
          <w:color w:val="auto"/>
        </w:rPr>
        <w:t xml:space="preserve">”) shall be set by the Administrator in its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Option Term or SAR Term, as applicable, shall not be more than (a) ten (10) 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6.4 and without limiting the Company’s rights under Section 11.7,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11.7 and 13.1, any other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term or condition of such Option or Stock Appreciation Right relating to such Termination of Service of the Holder or otherwise.</w:t>
      </w:r>
    </w:p>
    <w:p>
      <w:pPr>
        <w:spacing w:after="0" w:line="2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Option and SAR Vesting</w:t>
      </w:r>
      <w:r>
        <w:rPr>
          <w:rFonts w:ascii="Arial" w:cs="Arial" w:eastAsia="Arial" w:hAnsi="Arial"/>
          <w:sz w:val="22"/>
          <w:szCs w:val="22"/>
          <w:color w:val="auto"/>
        </w:rPr>
        <w:t>. The period during which the right to exercise, in whole or in part, an Option or Stock Appreciation Right vests in the Holder shall be set by the Administrator and set forth in the applicable Award Agreement. Unless otherwise determined by the Administrator in the Award Agreement, the applicable Program or by action of the Administrator following the grant of the Option or Stock Appreciation Right, (a) no portion of an Option or Stock Appreciation Right which is unexercisable at a Holder’s Termination of Service shall thereafter become exercisable and (b) the portion of an Option or Stock Appreciation Right that is unexercisable at a Holder’s Termination of Service shall automatically expire on the date of such Termination of Service.</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Substitution of Stock Appreciation Rights; Early Exercise of Options</w:t>
      </w:r>
      <w:r>
        <w:rPr>
          <w:rFonts w:ascii="Arial" w:cs="Arial" w:eastAsia="Arial" w:hAnsi="Arial"/>
          <w:sz w:val="19"/>
          <w:szCs w:val="19"/>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14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7.</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OF OPTIONS AND STOCK APPRECIATION RIGHTS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Exercise and Payment</w:t>
      </w:r>
      <w:r>
        <w:rPr>
          <w:rFonts w:ascii="Arial" w:cs="Arial" w:eastAsia="Arial" w:hAnsi="Arial"/>
          <w:sz w:val="22"/>
          <w:szCs w:val="22"/>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7 shall be in cash, Shares (based on their Fair Market Value as of the date the Stock Appreciation Right is exercised), or a combination of both, as determined by the Administrator.</w:t>
      </w:r>
    </w:p>
    <w:p>
      <w:pPr>
        <w:spacing w:after="0" w:line="18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Manner of Exercise</w:t>
      </w:r>
      <w:r>
        <w:rPr>
          <w:rFonts w:ascii="Arial" w:cs="Arial" w:eastAsia="Arial" w:hAnsi="Arial"/>
          <w:sz w:val="19"/>
          <w:szCs w:val="19"/>
          <w:color w:val="auto"/>
        </w:rPr>
        <w:t>. Except as set forth in Section 7.3,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125" w:lineRule="exact"/>
        <w:rPr>
          <w:sz w:val="20"/>
          <w:szCs w:val="20"/>
          <w:color w:val="auto"/>
        </w:rPr>
      </w:pPr>
    </w:p>
    <w:p>
      <w:pPr>
        <w:ind w:firstLine="1305"/>
        <w:spacing w:after="0" w:line="276" w:lineRule="auto"/>
        <w:tabs>
          <w:tab w:leader="none" w:pos="173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written or electronic notice complying with the applicable rules established by the Administrator stating that the Option or Stock Appreciation Right, or a portion thereof, 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158" w:name="page159"/>
    <w:bookmarkEnd w:id="158"/>
    <w:p>
      <w:pPr>
        <w:spacing w:after="0" w:line="263" w:lineRule="auto"/>
        <w:rPr>
          <w:sz w:val="20"/>
          <w:szCs w:val="20"/>
          <w:color w:val="auto"/>
        </w:rPr>
      </w:pPr>
      <w:r>
        <w:rPr>
          <w:rFonts w:ascii="Arial" w:cs="Arial" w:eastAsia="Arial" w:hAnsi="Arial"/>
          <w:sz w:val="22"/>
          <w:szCs w:val="22"/>
          <w:color w:val="auto"/>
        </w:rPr>
        <w:t>exercised. The notice shall be signed by the Holder or other person then entitled to exercise the Option or Stock Appreciation Right or such portion thereof;</w:t>
      </w:r>
    </w:p>
    <w:p>
      <w:pPr>
        <w:spacing w:after="0" w:line="175" w:lineRule="exact"/>
        <w:rPr>
          <w:sz w:val="20"/>
          <w:szCs w:val="20"/>
          <w:color w:val="auto"/>
        </w:rPr>
      </w:pPr>
    </w:p>
    <w:p>
      <w:pPr>
        <w:ind w:firstLine="1305"/>
        <w:spacing w:after="0" w:line="276" w:lineRule="auto"/>
        <w:tabs>
          <w:tab w:leader="none" w:pos="1728" w:val="left"/>
        </w:tabs>
        <w:numPr>
          <w:ilvl w:val="0"/>
          <w:numId w:val="77"/>
        </w:numPr>
        <w:rPr>
          <w:rFonts w:ascii="Arial" w:cs="Arial" w:eastAsia="Arial" w:hAnsi="Arial"/>
          <w:sz w:val="22"/>
          <w:szCs w:val="22"/>
          <w:color w:val="auto"/>
        </w:rPr>
      </w:pPr>
      <w:r>
        <w:rPr>
          <w:rFonts w:ascii="Arial" w:cs="Arial" w:eastAsia="Arial" w:hAnsi="Arial"/>
          <w:sz w:val="22"/>
          <w:szCs w:val="22"/>
          <w:color w:val="auto"/>
        </w:rPr>
        <w:t>Such representations and documents as the Administrator, in its sole discretion, deems necessary or advisable to effect compliance with Applicable Law.</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97" w:val="left"/>
        </w:tabs>
        <w:numPr>
          <w:ilvl w:val="0"/>
          <w:numId w:val="77"/>
        </w:numPr>
        <w:rPr>
          <w:rFonts w:ascii="Arial" w:cs="Arial" w:eastAsia="Arial" w:hAnsi="Arial"/>
          <w:sz w:val="22"/>
          <w:szCs w:val="22"/>
          <w:color w:val="auto"/>
        </w:rPr>
      </w:pPr>
      <w:r>
        <w:rPr>
          <w:rFonts w:ascii="Arial" w:cs="Arial" w:eastAsia="Arial" w:hAnsi="Arial"/>
          <w:sz w:val="22"/>
          <w:szCs w:val="22"/>
          <w:color w:val="auto"/>
        </w:rPr>
        <w:t>In the event that the Option or Stock Appreciation Right shall be exercised pursuant to Section 11.3 by any person or persons other than the Holder, appropriate proof of the right of such person or persons to exercise the Option or Stock Appreciation Right, as determined in the sole discretion of the Administrator; and</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823" w:val="left"/>
        </w:tabs>
        <w:numPr>
          <w:ilvl w:val="0"/>
          <w:numId w:val="77"/>
        </w:numPr>
        <w:rPr>
          <w:rFonts w:ascii="Arial" w:cs="Arial" w:eastAsia="Arial" w:hAnsi="Arial"/>
          <w:sz w:val="22"/>
          <w:szCs w:val="22"/>
          <w:color w:val="auto"/>
        </w:rPr>
      </w:pPr>
      <w:r>
        <w:rPr>
          <w:rFonts w:ascii="Arial" w:cs="Arial" w:eastAsia="Arial" w:hAnsi="Arial"/>
          <w:sz w:val="22"/>
          <w:szCs w:val="22"/>
          <w:color w:val="auto"/>
        </w:rPr>
        <w:t>Full payment of the applicable withholding taxes for the Shares with respect to which the Option or Stock Appreciation Right, or portion thereof, is exercised, and, in the case of an Option, full payment of the exercise price, in a manner permitted by the Administrator in accordance with Sections 11.1 and 11.2.</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Expiration of Option Term or SAR Term: Automatic Exercise of In-The-Money Options and Stock Appreciation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Rights</w:t>
      </w:r>
      <w:r>
        <w:rPr>
          <w:rFonts w:ascii="Arial" w:cs="Arial" w:eastAsia="Arial" w:hAnsi="Arial"/>
          <w:sz w:val="19"/>
          <w:szCs w:val="19"/>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Unless otherwise provided by the Administrator in its sole discretion in an Award Agreement or otherwise, payment of the exercise price of any such Option exercised on the Automatic Exercise Date shall be made pursuant to Section 11.1(b) and the Company or any Subsidiary shall be entitled to deduct or withhold an amount sufficient to satisfy all taxes associated with such exercise in accordance with Section 11.2. Unless otherwise determined by the Administrator, this Section 7.3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7.3.</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Notification Regarding Disposition</w:t>
      </w:r>
      <w:r>
        <w:rPr>
          <w:rFonts w:ascii="Arial" w:cs="Arial" w:eastAsia="Arial" w:hAnsi="Arial"/>
          <w:sz w:val="22"/>
          <w:szCs w:val="22"/>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159" w:name="page160"/>
    <w:bookmarkEnd w:id="159"/>
    <w:p>
      <w:pPr>
        <w:jc w:val="center"/>
        <w:ind w:right="220"/>
        <w:spacing w:after="0"/>
        <w:rPr>
          <w:sz w:val="20"/>
          <w:szCs w:val="20"/>
          <w:color w:val="auto"/>
        </w:rPr>
      </w:pPr>
      <w:r>
        <w:rPr>
          <w:rFonts w:ascii="Arial" w:cs="Arial" w:eastAsia="Arial" w:hAnsi="Arial"/>
          <w:sz w:val="22"/>
          <w:szCs w:val="22"/>
          <w:b w:val="1"/>
          <w:bCs w:val="1"/>
          <w:color w:val="auto"/>
        </w:rPr>
        <w:t>ARTICLE 8.</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OF RESTRICTED STOCK</w:t>
      </w:r>
    </w:p>
    <w:p>
      <w:pPr>
        <w:spacing w:after="0" w:line="226" w:lineRule="exact"/>
        <w:rPr>
          <w:sz w:val="20"/>
          <w:szCs w:val="20"/>
          <w:color w:val="auto"/>
        </w:rPr>
      </w:pPr>
    </w:p>
    <w:p>
      <w:pPr>
        <w:jc w:val="both"/>
        <w:ind w:firstLine="810"/>
        <w:spacing w:after="0" w:line="294"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Award of Restricted Stock</w:t>
      </w:r>
      <w:r>
        <w:rPr>
          <w:rFonts w:ascii="Arial" w:cs="Arial" w:eastAsia="Arial" w:hAnsi="Arial"/>
          <w:sz w:val="19"/>
          <w:szCs w:val="19"/>
          <w:color w:val="auto"/>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Rights as Stockholders</w:t>
      </w:r>
      <w:r>
        <w:rPr>
          <w:rFonts w:ascii="Arial" w:cs="Arial" w:eastAsia="Arial" w:hAnsi="Arial"/>
          <w:sz w:val="19"/>
          <w:szCs w:val="19"/>
          <w:color w:val="auto"/>
        </w:rPr>
        <w:t xml:space="preserve">. Subject to Section 8.4, upon issuance of Restricted Stock, the Holder shall have, unless otherwise provided by the Administrator, all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is granted becomes the record holder of such Restricted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sole discretion of the Administrator, any extraordinary distributions with respect to the Shares may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Restrictions</w:t>
      </w:r>
      <w:r>
        <w:rPr>
          <w:rFonts w:ascii="Arial" w:cs="Arial" w:eastAsia="Arial" w:hAnsi="Arial"/>
          <w:sz w:val="22"/>
          <w:szCs w:val="22"/>
          <w:color w:val="auto"/>
        </w:rPr>
        <w:t>. All shares of Restricted Stock (including any shares received by Holders thereof with respect to shares of Restricted Stock as a result of stock dividends, stock splits or any other form of recapitalization) shall be subject to such restrictions and vesting requirements as the Administrator shall provide in the applicable Program or Award Agreement. By action taken after the Restricted Stock is issued, the Administrator may, on such terms and conditions as it may determine to be appropriate, accelerate the vesting of such Restricted Stock by removing any or all of the restrictions imposed by the terms of the applicable Program or Award Agreement.</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Repurchase or Forfeiture of Restricted Stock</w:t>
      </w:r>
      <w:r>
        <w:rPr>
          <w:rFonts w:ascii="Arial" w:cs="Arial" w:eastAsia="Arial" w:hAnsi="Arial"/>
          <w:sz w:val="19"/>
          <w:szCs w:val="19"/>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a person nominated by the Company without consideration on the date of such Termination of Service. If a price was paid by the Holder for the Restricted Stock, upon a Termination of Service during the applicable restriction period, the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69" w:right="239" w:bottom="1440" w:gutter="0" w:footer="0" w:header="0"/>
        </w:sectPr>
      </w:pPr>
    </w:p>
    <w:bookmarkStart w:id="160" w:name="page161"/>
    <w:bookmarkEnd w:id="160"/>
    <w:p>
      <w:pPr>
        <w:jc w:val="both"/>
        <w:spacing w:after="0" w:line="250" w:lineRule="auto"/>
        <w:rPr>
          <w:sz w:val="20"/>
          <w:szCs w:val="20"/>
          <w:color w:val="auto"/>
        </w:rPr>
      </w:pPr>
      <w:r>
        <w:rPr>
          <w:rFonts w:ascii="Arial" w:cs="Arial" w:eastAsia="Arial" w:hAnsi="Arial"/>
          <w:sz w:val="22"/>
          <w:szCs w:val="22"/>
          <w:color w:val="auto"/>
        </w:rPr>
        <w:t>Administrator, in its sole discretion, may provide that upon certain events, including, without limitation, a Change in Control, the Holder’s death, retirement or disability or any other specified Termination of Service or any other event, the Holder’s rights in unvested Restricted Stock then subject to restrictions shall not lapse, such Restricted Stock shall vest and cease to be forfeitable and, if applicable, the Company shall cease to have a right of repurchase.</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Section 83(b) Election</w:t>
      </w:r>
      <w:r>
        <w:rPr>
          <w:rFonts w:ascii="Arial" w:cs="Arial" w:eastAsia="Arial" w:hAnsi="Arial"/>
          <w:sz w:val="22"/>
          <w:szCs w:val="22"/>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18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OF RESTRICTED STOCK UNITS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Term</w:t>
      </w:r>
      <w:r>
        <w:rPr>
          <w:rFonts w:ascii="Arial" w:cs="Arial" w:eastAsia="Arial" w:hAnsi="Arial"/>
          <w:sz w:val="22"/>
          <w:szCs w:val="22"/>
          <w:color w:val="auto"/>
        </w:rPr>
        <w:t>. Except as otherwise provided herein, the term of a Restricted Stock Unit award shall be set by the Administrator in its sole discretion.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The Administrator shall specify the purchase price, if any, to be paid by the Holder to the Company with respect to any Restricted Stock Unit award;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value of the consideration shall not be less than the par value of a Share, unless otherwise permitted by Applicable Law.</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Vesting of Restricted Stock Units</w:t>
      </w:r>
      <w:r>
        <w:rPr>
          <w:rFonts w:ascii="Arial" w:cs="Arial" w:eastAsia="Arial" w:hAnsi="Arial"/>
          <w:sz w:val="21"/>
          <w:szCs w:val="21"/>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Maturity and Payment</w:t>
      </w:r>
      <w:r>
        <w:rPr>
          <w:rFonts w:ascii="Arial" w:cs="Arial" w:eastAsia="Arial" w:hAnsi="Arial"/>
          <w:sz w:val="20"/>
          <w:szCs w:val="20"/>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end of calendar year in which the applicable portion of the Restricted Stock Unit vests; or (b)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end of the Company’s fiscal year in which the applicable portion of the Restricted Stock Unit vests. On the maturity date, the Company shall,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161" w:name="page162"/>
    <w:bookmarkEnd w:id="161"/>
    <w:p>
      <w:pPr>
        <w:jc w:val="both"/>
        <w:spacing w:after="0" w:line="250" w:lineRule="auto"/>
        <w:rPr>
          <w:sz w:val="20"/>
          <w:szCs w:val="20"/>
          <w:color w:val="auto"/>
        </w:rPr>
      </w:pPr>
      <w:r>
        <w:rPr>
          <w:rFonts w:ascii="Arial" w:cs="Arial" w:eastAsia="Arial" w:hAnsi="Arial"/>
          <w:sz w:val="22"/>
          <w:szCs w:val="22"/>
          <w:color w:val="auto"/>
        </w:rPr>
        <w:t>in accordance with the applicable Award Agreement and subject to Section 11.4(f),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Payment upon Termination of Service</w:t>
      </w:r>
      <w:r>
        <w:rPr>
          <w:rFonts w:ascii="Arial" w:cs="Arial" w:eastAsia="Arial" w:hAnsi="Arial"/>
          <w:sz w:val="22"/>
          <w:szCs w:val="22"/>
          <w:color w:val="auto"/>
        </w:rPr>
        <w:t xml:space="preserve">. An Award of Restricted Stock Units shall only be payable while the Holder is an Employee, a Consultant or a member of the Board,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Administrator, in its sole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8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OF OTHER STOCK OR CASH BASED AWARDS AND DIVIDEND EQUIVALENTS</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Other Stock or Cash Based Awards</w:t>
      </w:r>
      <w:r>
        <w:rPr>
          <w:rFonts w:ascii="Arial" w:cs="Arial" w:eastAsia="Arial" w:hAnsi="Arial"/>
          <w:sz w:val="19"/>
          <w:szCs w:val="19"/>
          <w:color w:val="auto"/>
        </w:rPr>
        <w:t>. The Administrator is authorized to (a) grant Other Stock or Cash Based Awards, including Share Purchase Offerings and awards entitling a Holder to receive Shares or cash to be delivered immediately or in the future, to any Eligible Individual and (b) determine whether such Other Stock or Cash Based Awards shall be Performance-Based Compensation.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162" w:name="page163"/>
    <w:bookmarkEnd w:id="162"/>
    <w:p>
      <w:pPr>
        <w:jc w:val="both"/>
        <w:ind w:firstLine="648"/>
        <w:spacing w:after="0" w:line="260"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Dividend Equivalents</w:t>
      </w:r>
      <w:r>
        <w:rPr>
          <w:rFonts w:ascii="Arial" w:cs="Arial" w:eastAsia="Arial" w:hAnsi="Arial"/>
          <w:sz w:val="21"/>
          <w:szCs w:val="21"/>
          <w:color w:val="auto"/>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 Notwithstanding the foregoing, no Dividend Equivalents shall be payable with respect to Options or Stock Appreciation Rights.</w:t>
      </w:r>
    </w:p>
    <w:p>
      <w:pPr>
        <w:spacing w:after="0" w:line="18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Settlement of Other Stock or Cash Based Awards</w:t>
      </w:r>
      <w:r>
        <w:rPr>
          <w:rFonts w:ascii="Arial" w:cs="Arial" w:eastAsia="Arial" w:hAnsi="Arial"/>
          <w:sz w:val="22"/>
          <w:szCs w:val="22"/>
          <w:color w:val="auto"/>
        </w:rPr>
        <w:t>. Except as otherwise determined by the Administrator, and subject to compliance with Section 409A, in no event shall Other Stock or Cash Based Awards be settled following the later of (a)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month following the end of calendar year in which the applicable portion of the Award is earned and no longer subject to a substantial risk of forfeiture (within the meaning of Section 409A); or (b)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month following the end of the Company’s fiscal year in which the applicable portion of the Award is earned and no longer subject to a substantial risk of forfeiture.</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OF AWARDS</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The Administrator shall determine the method or methods by which payments by any Holder with respect to any Awards granted under the Plan shall be made, including, without limitation: (a) cash or check, (b) Shares (including, in the case of payment of the exercise price of an Award, Shares issuable but unissued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or any Subsidiary shall have the authority and the right to deduct or withhold, or require a Holder to remit to the Company, an amount sufficient to satisfy any federal, state, local and foreign taxes (including the Holder’s FICA, employment tax or other social security contribution obligation) required by law to be withheld or otherwise arising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75" w:right="239" w:bottom="1440" w:gutter="0" w:footer="0" w:header="0"/>
        </w:sectPr>
      </w:pPr>
    </w:p>
    <w:bookmarkStart w:id="163" w:name="page164"/>
    <w:bookmarkEnd w:id="163"/>
    <w:p>
      <w:pPr>
        <w:jc w:val="both"/>
        <w:spacing w:after="0" w:line="288" w:lineRule="auto"/>
        <w:rPr>
          <w:sz w:val="20"/>
          <w:szCs w:val="20"/>
          <w:color w:val="auto"/>
        </w:rPr>
      </w:pPr>
      <w:r>
        <w:rPr>
          <w:rFonts w:ascii="Arial" w:cs="Arial" w:eastAsia="Arial" w:hAnsi="Arial"/>
          <w:sz w:val="19"/>
          <w:szCs w:val="19"/>
          <w:color w:val="auto"/>
        </w:rPr>
        <w:t>with respect to any taxable event concerning a Holder arising as a result of the Plan or any Award. The Administrator may, in its sole discretion and in satisfaction of the foregoing requirement, allow a Holder to satisfy such obligations by any payment means described in Section 11.1 hereof, including without limitation, by allowing such Holder to have the Company or any Subsidiary withhold Shares otherwise issuable but unissued under an Award. The number of Shares which may be so withheld or surrendered shall be limited to the number of Shares which have a fair market value on the date of withholding or repurchase no greater than the aggregate amount of such liabilities based on the maximum statutory withholding rates for federal, state, local and foreign income tax and payroll tax purposes that are applicable to such taxable income (or such other amount as would not result in adverse financial accounting consequences for the Company or any of its Subsidiaries).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5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Except as otherwise provided in Sections 11.3(b) and 11.3(c):</w:t>
      </w:r>
    </w:p>
    <w:p>
      <w:pPr>
        <w:spacing w:after="0" w:line="233" w:lineRule="exact"/>
        <w:rPr>
          <w:rFonts w:ascii="Arial" w:cs="Arial" w:eastAsia="Arial" w:hAnsi="Arial"/>
          <w:sz w:val="22"/>
          <w:szCs w:val="22"/>
          <w:color w:val="auto"/>
        </w:rPr>
      </w:pPr>
    </w:p>
    <w:p>
      <w:pPr>
        <w:jc w:val="both"/>
        <w:ind w:firstLine="1953"/>
        <w:spacing w:after="0" w:line="254" w:lineRule="auto"/>
        <w:tabs>
          <w:tab w:leader="none" w:pos="2342" w:val="left"/>
        </w:tabs>
        <w:numPr>
          <w:ilvl w:val="1"/>
          <w:numId w:val="78"/>
        </w:numPr>
        <w:rPr>
          <w:rFonts w:ascii="Arial" w:cs="Arial" w:eastAsia="Arial" w:hAnsi="Arial"/>
          <w:sz w:val="22"/>
          <w:szCs w:val="22"/>
          <w:color w:val="auto"/>
        </w:rPr>
      </w:pPr>
      <w:r>
        <w:rPr>
          <w:rFonts w:ascii="Arial" w:cs="Arial" w:eastAsia="Arial" w:hAnsi="Arial"/>
          <w:sz w:val="22"/>
          <w:szCs w:val="22"/>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185" w:lineRule="exact"/>
        <w:rPr>
          <w:rFonts w:ascii="Arial" w:cs="Arial" w:eastAsia="Arial" w:hAnsi="Arial"/>
          <w:sz w:val="22"/>
          <w:szCs w:val="22"/>
          <w:color w:val="auto"/>
        </w:rPr>
      </w:pPr>
    </w:p>
    <w:p>
      <w:pPr>
        <w:jc w:val="both"/>
        <w:ind w:firstLine="1953"/>
        <w:spacing w:after="0" w:line="294" w:lineRule="auto"/>
        <w:tabs>
          <w:tab w:leader="none" w:pos="2443" w:val="left"/>
        </w:tabs>
        <w:numPr>
          <w:ilvl w:val="1"/>
          <w:numId w:val="78"/>
        </w:numPr>
        <w:rPr>
          <w:rFonts w:ascii="Arial" w:cs="Arial" w:eastAsia="Arial" w:hAnsi="Arial"/>
          <w:sz w:val="19"/>
          <w:szCs w:val="19"/>
          <w:color w:val="auto"/>
        </w:rPr>
      </w:pPr>
      <w:r>
        <w:rPr>
          <w:rFonts w:ascii="Arial" w:cs="Arial" w:eastAsia="Arial" w:hAnsi="Arial"/>
          <w:sz w:val="19"/>
          <w:szCs w:val="19"/>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11.3(a)(i); and</w:t>
      </w:r>
    </w:p>
    <w:p>
      <w:pPr>
        <w:spacing w:after="0" w:line="152" w:lineRule="exact"/>
        <w:rPr>
          <w:rFonts w:ascii="Arial" w:cs="Arial" w:eastAsia="Arial" w:hAnsi="Arial"/>
          <w:sz w:val="19"/>
          <w:szCs w:val="19"/>
          <w:color w:val="auto"/>
        </w:rPr>
      </w:pPr>
    </w:p>
    <w:p>
      <w:pPr>
        <w:jc w:val="both"/>
        <w:ind w:firstLine="1953"/>
        <w:spacing w:after="0" w:line="266" w:lineRule="auto"/>
        <w:tabs>
          <w:tab w:leader="none" w:pos="2503" w:val="left"/>
        </w:tabs>
        <w:numPr>
          <w:ilvl w:val="1"/>
          <w:numId w:val="78"/>
        </w:numPr>
        <w:rPr>
          <w:rFonts w:ascii="Arial" w:cs="Arial" w:eastAsia="Arial" w:hAnsi="Arial"/>
          <w:sz w:val="21"/>
          <w:szCs w:val="21"/>
          <w:color w:val="auto"/>
        </w:rPr>
      </w:pPr>
      <w:r>
        <w:rPr>
          <w:rFonts w:ascii="Arial" w:cs="Arial" w:eastAsia="Arial" w:hAnsi="Arial"/>
          <w:sz w:val="21"/>
          <w:szCs w:val="21"/>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174" w:lineRule="exact"/>
        <w:rPr>
          <w:rFonts w:ascii="Arial" w:cs="Arial" w:eastAsia="Arial" w:hAnsi="Arial"/>
          <w:sz w:val="21"/>
          <w:szCs w:val="21"/>
          <w:color w:val="auto"/>
        </w:rPr>
      </w:pPr>
    </w:p>
    <w:p>
      <w:pPr>
        <w:ind w:firstLine="1305"/>
        <w:spacing w:after="0" w:line="276" w:lineRule="auto"/>
        <w:tabs>
          <w:tab w:leader="none" w:pos="1756"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Notwithstanding Section 11.3(a), the Administrator, in its sole discretion, may determine to permit a Holder or a Permitted Transferee of such Holder to transfer an Award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75" w:right="239" w:bottom="1440" w:gutter="0" w:footer="0" w:header="0"/>
        </w:sectPr>
      </w:pPr>
    </w:p>
    <w:bookmarkStart w:id="164" w:name="page165"/>
    <w:bookmarkEnd w:id="164"/>
    <w:p>
      <w:pPr>
        <w:jc w:val="both"/>
        <w:spacing w:after="0" w:line="287" w:lineRule="auto"/>
        <w:rPr>
          <w:sz w:val="20"/>
          <w:szCs w:val="20"/>
          <w:color w:val="auto"/>
        </w:rPr>
      </w:pPr>
      <w:r>
        <w:rPr>
          <w:rFonts w:ascii="Arial" w:cs="Arial" w:eastAsia="Arial" w:hAnsi="Arial"/>
          <w:sz w:val="19"/>
          <w:szCs w:val="19"/>
          <w:color w:val="auto"/>
        </w:rPr>
        <w:t>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notwithstanding Section 11.3(a),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200" w:lineRule="exact"/>
        <w:rPr>
          <w:sz w:val="20"/>
          <w:szCs w:val="20"/>
          <w:color w:val="auto"/>
        </w:rPr>
      </w:pPr>
    </w:p>
    <w:p>
      <w:pPr>
        <w:spacing w:after="0" w:line="217" w:lineRule="exact"/>
        <w:rPr>
          <w:sz w:val="20"/>
          <w:szCs w:val="20"/>
          <w:color w:val="auto"/>
        </w:rPr>
      </w:pPr>
    </w:p>
    <w:p>
      <w:pPr>
        <w:jc w:val="both"/>
        <w:ind w:firstLine="1305"/>
        <w:spacing w:after="0" w:line="289" w:lineRule="auto"/>
        <w:tabs>
          <w:tab w:leader="none" w:pos="1797"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change or revocation is delivered in writing to the Administrator prior to the Holder’s death.</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Conditions to Issuance of Shares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4" w:lineRule="auto"/>
        <w:tabs>
          <w:tab w:leader="none" w:pos="1716"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75" w:right="239" w:bottom="1440" w:gutter="0" w:footer="0" w:header="0"/>
        </w:sectPr>
      </w:pPr>
    </w:p>
    <w:bookmarkStart w:id="165" w:name="page166"/>
    <w:bookmarkEnd w:id="165"/>
    <w:p>
      <w:pPr>
        <w:jc w:val="both"/>
        <w:ind w:firstLine="1305"/>
        <w:spacing w:after="0" w:line="270" w:lineRule="auto"/>
        <w:tabs>
          <w:tab w:leader="none" w:pos="1742" w:val="left"/>
        </w:tabs>
        <w:numPr>
          <w:ilvl w:val="0"/>
          <w:numId w:val="81"/>
        </w:numPr>
        <w:rPr>
          <w:rFonts w:ascii="Arial" w:cs="Arial" w:eastAsia="Arial" w:hAnsi="Arial"/>
          <w:sz w:val="21"/>
          <w:szCs w:val="21"/>
          <w:color w:val="auto"/>
        </w:rPr>
      </w:pPr>
      <w:r>
        <w:rPr>
          <w:rFonts w:ascii="Arial" w:cs="Arial" w:eastAsia="Arial" w:hAnsi="Arial"/>
          <w:sz w:val="21"/>
          <w:szCs w:val="21"/>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69" w:lineRule="exact"/>
        <w:rPr>
          <w:rFonts w:ascii="Arial" w:cs="Arial" w:eastAsia="Arial" w:hAnsi="Arial"/>
          <w:sz w:val="21"/>
          <w:szCs w:val="21"/>
          <w:color w:val="auto"/>
        </w:rPr>
      </w:pPr>
    </w:p>
    <w:p>
      <w:pPr>
        <w:jc w:val="both"/>
        <w:ind w:firstLine="1305"/>
        <w:spacing w:after="0" w:line="260" w:lineRule="auto"/>
        <w:tabs>
          <w:tab w:leader="none" w:pos="178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77" w:lineRule="exact"/>
        <w:rPr>
          <w:rFonts w:ascii="Arial" w:cs="Arial" w:eastAsia="Arial" w:hAnsi="Arial"/>
          <w:sz w:val="22"/>
          <w:szCs w:val="22"/>
          <w:color w:val="auto"/>
        </w:rPr>
      </w:pPr>
    </w:p>
    <w:p>
      <w:pPr>
        <w:ind w:right="20" w:firstLine="1305"/>
        <w:spacing w:after="0" w:line="358" w:lineRule="auto"/>
        <w:tabs>
          <w:tab w:leader="none" w:pos="1756" w:val="left"/>
        </w:tabs>
        <w:numPr>
          <w:ilvl w:val="0"/>
          <w:numId w:val="81"/>
        </w:numPr>
        <w:rPr>
          <w:rFonts w:ascii="Arial" w:cs="Arial" w:eastAsia="Arial" w:hAnsi="Arial"/>
          <w:sz w:val="19"/>
          <w:szCs w:val="19"/>
          <w:color w:val="auto"/>
        </w:rPr>
      </w:pPr>
      <w:r>
        <w:rPr>
          <w:rFonts w:ascii="Arial" w:cs="Arial" w:eastAsia="Arial" w:hAnsi="Arial"/>
          <w:sz w:val="19"/>
          <w:szCs w:val="19"/>
          <w:color w:val="auto"/>
        </w:rPr>
        <w:t>No fractional Shares shall be issued and the Administrator, in its sole discretion, shall determine whether cash shall be given in lieu of fractional Shares or whether such fractional Shares shall be eliminated by rounding down.</w:t>
      </w:r>
    </w:p>
    <w:p>
      <w:pPr>
        <w:spacing w:after="0" w:line="90" w:lineRule="exact"/>
        <w:rPr>
          <w:rFonts w:ascii="Arial" w:cs="Arial" w:eastAsia="Arial" w:hAnsi="Arial"/>
          <w:sz w:val="19"/>
          <w:szCs w:val="19"/>
          <w:color w:val="auto"/>
        </w:rPr>
      </w:pPr>
    </w:p>
    <w:p>
      <w:pPr>
        <w:jc w:val="both"/>
        <w:ind w:firstLine="1305"/>
        <w:spacing w:after="0" w:line="307" w:lineRule="auto"/>
        <w:tabs>
          <w:tab w:leader="none" w:pos="1824"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138" w:lineRule="exact"/>
        <w:rPr>
          <w:rFonts w:ascii="Arial" w:cs="Arial" w:eastAsia="Arial" w:hAnsi="Arial"/>
          <w:sz w:val="19"/>
          <w:szCs w:val="19"/>
          <w:color w:val="auto"/>
        </w:rPr>
      </w:pPr>
    </w:p>
    <w:p>
      <w:pPr>
        <w:jc w:val="both"/>
        <w:ind w:firstLine="1305"/>
        <w:spacing w:after="0" w:line="254" w:lineRule="auto"/>
        <w:tabs>
          <w:tab w:leader="none" w:pos="1719"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Forfeiture and Claw-Back Provisions</w:t>
      </w:r>
      <w:r>
        <w:rPr>
          <w:rFonts w:ascii="Arial" w:cs="Arial" w:eastAsia="Arial" w:hAnsi="Arial"/>
          <w:sz w:val="19"/>
          <w:szCs w:val="19"/>
          <w:color w:val="auto"/>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Prohibition on Repricing</w:t>
      </w:r>
      <w:r>
        <w:rPr>
          <w:rFonts w:ascii="Arial" w:cs="Arial" w:eastAsia="Arial" w:hAnsi="Arial"/>
          <w:sz w:val="19"/>
          <w:szCs w:val="19"/>
          <w:color w:val="auto"/>
        </w:rPr>
        <w:t>. Subject to Section 13.2, the Administrator shall not, without the approval of the stockholders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11.6,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75" w:right="239" w:bottom="1440" w:gutter="0" w:footer="0" w:header="0"/>
        </w:sectPr>
      </w:pPr>
    </w:p>
    <w:bookmarkStart w:id="166" w:name="page167"/>
    <w:bookmarkEnd w:id="166"/>
    <w:p>
      <w:pPr>
        <w:jc w:val="both"/>
        <w:spacing w:after="0" w:line="250" w:lineRule="auto"/>
        <w:rPr>
          <w:sz w:val="20"/>
          <w:szCs w:val="20"/>
          <w:color w:val="auto"/>
        </w:rPr>
      </w:pPr>
      <w:r>
        <w:rPr>
          <w:rFonts w:ascii="Arial" w:cs="Arial" w:eastAsia="Arial" w:hAnsi="Arial"/>
          <w:sz w:val="22"/>
          <w:szCs w:val="22"/>
          <w:color w:val="auto"/>
        </w:rPr>
        <w:t>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8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Amendment of Awards</w:t>
      </w:r>
      <w:r>
        <w:rPr>
          <w:rFonts w:ascii="Arial" w:cs="Arial" w:eastAsia="Arial" w:hAnsi="Arial"/>
          <w:sz w:val="19"/>
          <w:szCs w:val="19"/>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if such action would materially and adversely affect any rights or obligations under the Award, unless the change is otherwise permitted under the Plan (including, without limitation, under Section 13.2 or 13.10).</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u w:val="single" w:color="auto"/>
          <w:color w:val="auto"/>
        </w:rPr>
        <w:t>Data Privacy</w:t>
      </w:r>
      <w:r>
        <w:rPr>
          <w:rFonts w:ascii="Arial" w:cs="Arial" w:eastAsia="Arial" w:hAnsi="Arial"/>
          <w:sz w:val="19"/>
          <w:szCs w:val="19"/>
          <w:color w:val="auto"/>
        </w:rPr>
        <w:t>. As a condition of receipt of any Award, each Holder explicitly and unambiguously consents to the collection, use and transfer, in electronic or other form, of personal data as described in this Section 11.8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details of all Awards, in each case, for the purpose of implementing, managing and administering the Plan and Awards (the “</w:t>
      </w:r>
      <w:r>
        <w:rPr>
          <w:rFonts w:ascii="Arial" w:cs="Arial" w:eastAsia="Arial" w:hAnsi="Arial"/>
          <w:sz w:val="19"/>
          <w:szCs w:val="19"/>
          <w:u w:val="single" w:color="auto"/>
          <w:color w:val="auto"/>
        </w:rPr>
        <w:t>Data</w:t>
      </w:r>
      <w:r>
        <w:rPr>
          <w:rFonts w:ascii="Arial" w:cs="Arial" w:eastAsia="Arial" w:hAnsi="Arial"/>
          <w:sz w:val="19"/>
          <w:szCs w:val="19"/>
          <w:color w:val="auto"/>
        </w:rPr>
        <w:t>”). The Company and its Subsidiaries may transfer the Data amongst themselves as necessary for the purpose of implementation, administration and management of a 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75" w:right="239" w:bottom="1440" w:gutter="0" w:footer="0" w:header="0"/>
        </w:sectPr>
      </w:pPr>
    </w:p>
    <w:bookmarkStart w:id="167" w:name="page168"/>
    <w:bookmarkEnd w:id="167"/>
    <w:p>
      <w:pPr>
        <w:jc w:val="center"/>
        <w:ind w:right="180"/>
        <w:spacing w:after="0"/>
        <w:rPr>
          <w:sz w:val="20"/>
          <w:szCs w:val="20"/>
          <w:color w:val="auto"/>
        </w:rPr>
      </w:pPr>
      <w:r>
        <w:rPr>
          <w:rFonts w:ascii="Arial" w:cs="Arial" w:eastAsia="Arial" w:hAnsi="Arial"/>
          <w:sz w:val="22"/>
          <w:szCs w:val="22"/>
          <w:b w:val="1"/>
          <w:bCs w:val="1"/>
          <w:color w:val="auto"/>
        </w:rPr>
        <w:t>ARTICLE 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Administrator</w:t>
      </w:r>
      <w:r>
        <w:rPr>
          <w:rFonts w:ascii="Arial" w:cs="Arial" w:eastAsia="Arial" w:hAnsi="Arial"/>
          <w:sz w:val="19"/>
          <w:szCs w:val="19"/>
          <w:color w:val="auto"/>
        </w:rPr>
        <w:t>. The Committee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shall take all action with respect to such Awards, and the individuals taking such action shall consist solely of two or more Non-Employee Directors, each of whom is intended to qualify as both a “non-employee director” as defined by Rule 16b-3 of the Exchange Act or any successor rule and an “outside director” for purposes of Section 162(m) of the Code.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12.1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as used in the Plan shall be deemed to refer to the Board and (b) the Board or Committee may delegate its authority hereunder to the extent permitted by Section 12.6.</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Duties and Powers of Administrator</w:t>
      </w:r>
      <w:r>
        <w:rPr>
          <w:rFonts w:ascii="Arial" w:cs="Arial" w:eastAsia="Arial" w:hAnsi="Arial"/>
          <w:sz w:val="19"/>
          <w:szCs w:val="19"/>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11.5 or Section 13.10. In its sole discretion, the Board may at any time and from time to time exercise any and all rights and duties of the Committee in its capacity as the Administrator under the Plan except with respect to matters which under Rule 16b</w:t>
      </w:r>
      <w:r>
        <w:rPr>
          <w:rFonts w:ascii="MS PGothic" w:cs="MS PGothic" w:eastAsia="MS PGothic" w:hAnsi="MS PGothic"/>
          <w:sz w:val="19"/>
          <w:szCs w:val="19"/>
          <w:color w:val="auto"/>
        </w:rPr>
        <w:t>‑</w:t>
      </w:r>
      <w:r>
        <w:rPr>
          <w:rFonts w:ascii="Arial" w:cs="Arial" w:eastAsia="Arial" w:hAnsi="Arial"/>
          <w:sz w:val="19"/>
          <w:szCs w:val="19"/>
          <w:color w:val="auto"/>
        </w:rPr>
        <w:t>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Action by the Administrator</w:t>
      </w:r>
      <w:r>
        <w:rPr>
          <w:rFonts w:ascii="Arial" w:cs="Arial" w:eastAsia="Arial" w:hAnsi="Arial"/>
          <w:sz w:val="22"/>
          <w:szCs w:val="22"/>
          <w:color w:val="auto"/>
        </w:rPr>
        <w:t>. Unless otherwise established by the Board, set forth in any Organizational Documents or as required by Applicable Law, a majority of the members of the Administrator shall constitute a quorum and the acts of a majority of the members present at 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69" w:right="239" w:bottom="1440" w:gutter="0" w:footer="0" w:header="0"/>
        </w:sectPr>
      </w:pPr>
    </w:p>
    <w:bookmarkStart w:id="168" w:name="page169"/>
    <w:bookmarkEnd w:id="168"/>
    <w:p>
      <w:pPr>
        <w:jc w:val="both"/>
        <w:ind w:right="20"/>
        <w:spacing w:after="0" w:line="248" w:lineRule="auto"/>
        <w:rPr>
          <w:sz w:val="20"/>
          <w:szCs w:val="20"/>
          <w:color w:val="auto"/>
        </w:rPr>
      </w:pPr>
      <w:r>
        <w:rPr>
          <w:rFonts w:ascii="Arial" w:cs="Arial" w:eastAsia="Arial" w:hAnsi="Arial"/>
          <w:sz w:val="22"/>
          <w:szCs w:val="22"/>
          <w:color w:val="auto"/>
        </w:rPr>
        <w:t>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9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Authority of Administrator</w:t>
      </w:r>
      <w:r>
        <w:rPr>
          <w:rFonts w:ascii="Arial" w:cs="Arial" w:eastAsia="Arial" w:hAnsi="Arial"/>
          <w:sz w:val="19"/>
          <w:szCs w:val="19"/>
          <w:color w:val="auto"/>
        </w:rPr>
        <w:t>. Subject to the Organizational Documents, any specific designation in the Plan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Applicable Law, the Administrator has the exclusive power, authority and sole discretion to:</w:t>
      </w:r>
    </w:p>
    <w:p>
      <w:pPr>
        <w:spacing w:after="0" w:line="215" w:lineRule="exact"/>
        <w:rPr>
          <w:sz w:val="20"/>
          <w:szCs w:val="20"/>
          <w:color w:val="auto"/>
        </w:rPr>
      </w:pPr>
    </w:p>
    <w:p>
      <w:pPr>
        <w:ind w:left="1720" w:hanging="415"/>
        <w:spacing w:after="0"/>
        <w:tabs>
          <w:tab w:leader="none" w:pos="17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Designate Eligible Individuals to receive Awards;</w:t>
      </w:r>
    </w:p>
    <w:p>
      <w:pPr>
        <w:spacing w:after="0" w:line="233" w:lineRule="exact"/>
        <w:rPr>
          <w:rFonts w:ascii="Arial" w:cs="Arial" w:eastAsia="Arial" w:hAnsi="Arial"/>
          <w:sz w:val="22"/>
          <w:szCs w:val="22"/>
          <w:color w:val="auto"/>
        </w:rPr>
      </w:pPr>
    </w:p>
    <w:p>
      <w:pPr>
        <w:ind w:firstLine="1305"/>
        <w:spacing w:after="0" w:line="276" w:lineRule="auto"/>
        <w:tabs>
          <w:tab w:leader="none" w:pos="1756" w:val="left"/>
        </w:tabs>
        <w:numPr>
          <w:ilvl w:val="0"/>
          <w:numId w:val="82"/>
        </w:numPr>
        <w:rPr>
          <w:rFonts w:ascii="Arial" w:cs="Arial" w:eastAsia="Arial" w:hAnsi="Arial"/>
          <w:sz w:val="22"/>
          <w:szCs w:val="22"/>
          <w:color w:val="auto"/>
        </w:rPr>
      </w:pPr>
      <w:r>
        <w:rPr>
          <w:rFonts w:ascii="Arial" w:cs="Arial" w:eastAsia="Arial" w:hAnsi="Arial"/>
          <w:sz w:val="22"/>
          <w:szCs w:val="22"/>
          <w:color w:val="auto"/>
        </w:rPr>
        <w:t>Determine the type or types of Awards to be granted to each Eligible Individual (including, without limitation, any Awards granted in tandem with another Award granted pursuant to the Plan);</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82"/>
        </w:numPr>
        <w:rPr>
          <w:rFonts w:ascii="Arial" w:cs="Arial" w:eastAsia="Arial" w:hAnsi="Arial"/>
          <w:sz w:val="21"/>
          <w:szCs w:val="21"/>
          <w:color w:val="auto"/>
        </w:rPr>
      </w:pPr>
      <w:r>
        <w:rPr>
          <w:rFonts w:ascii="Arial" w:cs="Arial" w:eastAsia="Arial" w:hAnsi="Arial"/>
          <w:sz w:val="21"/>
          <w:szCs w:val="21"/>
          <w:color w:val="auto"/>
        </w:rPr>
        <w:t>Determine the number of Awards to be granted and the number of Shares to which an Award will relate;</w:t>
      </w:r>
    </w:p>
    <w:p>
      <w:pPr>
        <w:spacing w:after="0" w:line="244" w:lineRule="exact"/>
        <w:rPr>
          <w:rFonts w:ascii="Arial" w:cs="Arial" w:eastAsia="Arial" w:hAnsi="Arial"/>
          <w:sz w:val="21"/>
          <w:szCs w:val="21"/>
          <w:color w:val="auto"/>
        </w:rPr>
      </w:pPr>
    </w:p>
    <w:p>
      <w:pPr>
        <w:jc w:val="both"/>
        <w:ind w:firstLine="1305"/>
        <w:spacing w:after="0" w:line="300" w:lineRule="auto"/>
        <w:tabs>
          <w:tab w:leader="none" w:pos="1783" w:val="left"/>
        </w:tabs>
        <w:numPr>
          <w:ilvl w:val="0"/>
          <w:numId w:val="82"/>
        </w:numPr>
        <w:rPr>
          <w:rFonts w:ascii="Arial" w:cs="Arial" w:eastAsia="Arial" w:hAnsi="Arial"/>
          <w:sz w:val="19"/>
          <w:szCs w:val="19"/>
          <w:color w:val="auto"/>
        </w:rPr>
      </w:pPr>
      <w:r>
        <w:rPr>
          <w:rFonts w:ascii="Arial" w:cs="Arial" w:eastAsia="Arial" w:hAnsi="Arial"/>
          <w:sz w:val="19"/>
          <w:szCs w:val="19"/>
          <w:color w:val="auto"/>
        </w:rPr>
        <w:t>Determine the terms and conditions of any Award granted pursuant to the Plan, including, but not limited to, the exercise price, grant price, purchase price, any Performance Criteria or performance criteria, any reload provision,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797" w:val="left"/>
        </w:tabs>
        <w:numPr>
          <w:ilvl w:val="0"/>
          <w:numId w:val="82"/>
        </w:numPr>
        <w:rPr>
          <w:rFonts w:ascii="Arial" w:cs="Arial" w:eastAsia="Arial" w:hAnsi="Arial"/>
          <w:sz w:val="22"/>
          <w:szCs w:val="22"/>
          <w:color w:val="auto"/>
        </w:rPr>
      </w:pPr>
      <w:r>
        <w:rPr>
          <w:rFonts w:ascii="Arial" w:cs="Arial" w:eastAsia="Arial" w:hAnsi="Arial"/>
          <w:sz w:val="22"/>
          <w:szCs w:val="22"/>
          <w:color w:val="auto"/>
        </w:rPr>
        <w:t>Determine whether, to what extent, and under what circumstances an Award may be settled, or the exercise price of an Award may be paid, in cash, Shares, other Awards, or other property, or an Award may be canceled, forfeited, or surrendered;</w:t>
      </w:r>
    </w:p>
    <w:p>
      <w:pPr>
        <w:spacing w:after="0" w:line="177" w:lineRule="exact"/>
        <w:rPr>
          <w:rFonts w:ascii="Arial" w:cs="Arial" w:eastAsia="Arial" w:hAnsi="Arial"/>
          <w:sz w:val="22"/>
          <w:szCs w:val="22"/>
          <w:color w:val="auto"/>
        </w:rPr>
      </w:pPr>
    </w:p>
    <w:p>
      <w:pPr>
        <w:ind w:left="1700" w:hanging="395"/>
        <w:spacing w:after="0"/>
        <w:tabs>
          <w:tab w:leader="none" w:pos="17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Prescribe the form of each Award Agreement, which need not be identical for each Holder;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Decide all other matters that must be determined in connection with an Award;</w:t>
      </w:r>
    </w:p>
    <w:p>
      <w:pPr>
        <w:spacing w:after="0" w:line="233" w:lineRule="exact"/>
        <w:rPr>
          <w:rFonts w:ascii="Arial" w:cs="Arial" w:eastAsia="Arial" w:hAnsi="Arial"/>
          <w:sz w:val="22"/>
          <w:szCs w:val="22"/>
          <w:color w:val="auto"/>
        </w:rPr>
      </w:pPr>
    </w:p>
    <w:p>
      <w:pPr>
        <w:ind w:left="1880" w:hanging="575"/>
        <w:spacing w:after="0"/>
        <w:tabs>
          <w:tab w:leader="none" w:pos="18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Establish, adopt, or revise any Programs, rules and regulations as it may deem necessary or advisable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administer the Plan;</w:t>
      </w:r>
    </w:p>
    <w:p>
      <w:pPr>
        <w:spacing w:after="0" w:line="215" w:lineRule="exact"/>
        <w:rPr>
          <w:rFonts w:ascii="Arial" w:cs="Arial" w:eastAsia="Arial" w:hAnsi="Arial"/>
          <w:sz w:val="19"/>
          <w:szCs w:val="19"/>
          <w:color w:val="auto"/>
        </w:rPr>
      </w:pPr>
    </w:p>
    <w:p>
      <w:pPr>
        <w:ind w:left="1680" w:hanging="375"/>
        <w:spacing w:after="0"/>
        <w:tabs>
          <w:tab w:leader="none" w:pos="16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Interpret the terms of, and any matter arising pursuant to, the Plan, any Program or any Award Agreement;</w:t>
      </w:r>
    </w:p>
    <w:p>
      <w:pPr>
        <w:spacing w:after="0" w:line="267" w:lineRule="exact"/>
        <w:rPr>
          <w:rFonts w:ascii="Arial" w:cs="Arial" w:eastAsia="Arial" w:hAnsi="Arial"/>
          <w:sz w:val="19"/>
          <w:szCs w:val="19"/>
          <w:color w:val="auto"/>
        </w:rPr>
      </w:pPr>
    </w:p>
    <w:p>
      <w:pPr>
        <w:ind w:firstLine="1305"/>
        <w:spacing w:after="0" w:line="276" w:lineRule="auto"/>
        <w:tabs>
          <w:tab w:leader="none" w:pos="1721" w:val="left"/>
        </w:tabs>
        <w:numPr>
          <w:ilvl w:val="0"/>
          <w:numId w:val="82"/>
        </w:numPr>
        <w:rPr>
          <w:rFonts w:ascii="Arial" w:cs="Arial" w:eastAsia="Arial" w:hAnsi="Arial"/>
          <w:sz w:val="22"/>
          <w:szCs w:val="22"/>
          <w:color w:val="auto"/>
        </w:rPr>
      </w:pPr>
      <w:r>
        <w:rPr>
          <w:rFonts w:ascii="Arial" w:cs="Arial" w:eastAsia="Arial" w:hAnsi="Arial"/>
          <w:sz w:val="22"/>
          <w:szCs w:val="22"/>
          <w:color w:val="auto"/>
        </w:rPr>
        <w:t>Make all other decisions and determinations that may be required pursuant to the Plan or as the Administrator deems necessary or advisable to administer the Plan;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375" w:right="239" w:bottom="1440" w:gutter="0" w:footer="0" w:header="0"/>
        </w:sectPr>
      </w:pPr>
    </w:p>
    <w:bookmarkStart w:id="169" w:name="page170"/>
    <w:bookmarkEnd w:id="169"/>
    <w:p>
      <w:pPr>
        <w:ind w:firstLine="1305"/>
        <w:spacing w:after="0" w:line="276" w:lineRule="auto"/>
        <w:tabs>
          <w:tab w:leader="none" w:pos="1783" w:val="left"/>
        </w:tabs>
        <w:numPr>
          <w:ilvl w:val="0"/>
          <w:numId w:val="83"/>
        </w:numPr>
        <w:rPr>
          <w:rFonts w:ascii="Arial" w:cs="Arial" w:eastAsia="Arial" w:hAnsi="Arial"/>
          <w:sz w:val="22"/>
          <w:szCs w:val="22"/>
          <w:color w:val="auto"/>
        </w:rPr>
      </w:pPr>
      <w:r>
        <w:rPr>
          <w:rFonts w:ascii="Arial" w:cs="Arial" w:eastAsia="Arial" w:hAnsi="Arial"/>
          <w:sz w:val="22"/>
          <w:szCs w:val="22"/>
          <w:color w:val="auto"/>
        </w:rPr>
        <w:t>Accelerate wholly or partially the vesting or lapse of restrictions of any Award or portion thereof at any time after the grant of an Award, subject to whatever terms and conditions it selects and Section 13.2.</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Decisions Binding</w:t>
      </w:r>
      <w:r>
        <w:rPr>
          <w:rFonts w:ascii="Arial" w:cs="Arial" w:eastAsia="Arial" w:hAnsi="Arial"/>
          <w:sz w:val="22"/>
          <w:szCs w:val="22"/>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u w:val="single" w:color="auto"/>
          <w:color w:val="auto"/>
        </w:rPr>
        <w:t>Delegation of Authority</w:t>
      </w:r>
      <w:r>
        <w:rPr>
          <w:rFonts w:ascii="Arial" w:cs="Arial" w:eastAsia="Arial" w:hAnsi="Arial"/>
          <w:sz w:val="19"/>
          <w:szCs w:val="19"/>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Article 12;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 officer of the Company be delegated the authority to grant Awards to, or amend Awards held by, the following individuals: (a) individuals who are subject to Section 16 of the Exchange Act, (b) Covered Employees with respect to Awards intended to constitute Performance-Based Compensation, or</w:t>
      </w:r>
    </w:p>
    <w:p>
      <w:pPr>
        <w:spacing w:after="0" w:line="4" w:lineRule="exact"/>
        <w:rPr>
          <w:sz w:val="20"/>
          <w:szCs w:val="20"/>
          <w:color w:val="auto"/>
        </w:rPr>
      </w:pPr>
    </w:p>
    <w:p>
      <w:pPr>
        <w:jc w:val="both"/>
        <w:ind w:firstLine="8"/>
        <w:spacing w:after="0" w:line="287" w:lineRule="auto"/>
        <w:tabs>
          <w:tab w:leader="none" w:pos="310"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officers of the Company (or Directors) to whom authority to grant or amend Awards has been delegated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delegation of administrative authority shall only be permitted to the extent it is permissible under any Organizational Documents and Applicable Law (including, without limitation, Section 162(m) of the Code).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12.6 shall serve in such capacity at the pleasure of the Board or the Committee, as applicable, and the Board or the Committee may abolish any committee at any time and re-vest in itself any previously delegated authority.</w:t>
      </w:r>
    </w:p>
    <w:p>
      <w:pPr>
        <w:spacing w:after="0" w:line="15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13.</w:t>
      </w:r>
    </w:p>
    <w:p>
      <w:pPr>
        <w:spacing w:after="0" w:line="27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MISCELLANEOUS PROVISIONS</w:t>
      </w:r>
    </w:p>
    <w:p>
      <w:pPr>
        <w:spacing w:after="0" w:line="2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1" w:lineRule="auto"/>
        <w:tabs>
          <w:tab w:leader="none" w:pos="1797"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Except as otherwise provided in Section 13.1(b), the Plan may be wholly or partially amended or otherwise modified, suspended or terminated at any time or from time to time by the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provided in Section 11.5 and Section 13.10,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89" w:lineRule="exact"/>
        <w:rPr>
          <w:rFonts w:ascii="Arial" w:cs="Arial" w:eastAsia="Arial" w:hAnsi="Arial"/>
          <w:sz w:val="22"/>
          <w:szCs w:val="22"/>
          <w:color w:val="auto"/>
        </w:rPr>
      </w:pPr>
    </w:p>
    <w:p>
      <w:pPr>
        <w:jc w:val="both"/>
        <w:ind w:firstLine="1305"/>
        <w:spacing w:after="0" w:line="266" w:lineRule="auto"/>
        <w:tabs>
          <w:tab w:leader="none" w:pos="1864" w:val="left"/>
        </w:tabs>
        <w:numPr>
          <w:ilvl w:val="0"/>
          <w:numId w:val="85"/>
        </w:numPr>
        <w:rPr>
          <w:rFonts w:ascii="Arial" w:cs="Arial" w:eastAsia="Arial" w:hAnsi="Arial"/>
          <w:sz w:val="21"/>
          <w:szCs w:val="21"/>
          <w:color w:val="auto"/>
        </w:rPr>
      </w:pPr>
      <w:r>
        <w:rPr>
          <w:rFonts w:ascii="Arial" w:cs="Arial" w:eastAsia="Arial" w:hAnsi="Arial"/>
          <w:sz w:val="21"/>
          <w:szCs w:val="21"/>
          <w:color w:val="auto"/>
        </w:rPr>
        <w:t>Notwithstanding Section 13.1(a), the Board may not, except as provided in Section 13.2, take any of the following actions without approval of the Company’s stockholders given within twelve (12) months before or after such action: (i) increase the limit imposed in Section 3.1 on the maximum number of Shares which may be issued under the Plan, the Award Limit or the Director Limit, (ii) reduce the price per share of any outstanding Option or Stock Appreciation Right granted under the Plan or take any action prohibited under Section 11.6, or (iii) cancel 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375"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Option or Stock Appreciation Right in exchange for cash or another Award in violation of Section 11.6.</w:t>
      </w:r>
    </w:p>
    <w:p>
      <w:pPr>
        <w:spacing w:after="0" w:line="220" w:lineRule="exact"/>
        <w:rPr>
          <w:sz w:val="20"/>
          <w:szCs w:val="20"/>
          <w:color w:val="auto"/>
        </w:rPr>
      </w:pPr>
    </w:p>
    <w:p>
      <w:pPr>
        <w:jc w:val="both"/>
        <w:ind w:firstLine="1305"/>
        <w:spacing w:after="0" w:line="263" w:lineRule="auto"/>
        <w:tabs>
          <w:tab w:leader="none" w:pos="1770"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earlier of (i) the date on which the Plan was adopted by the Board or (ii) the date the Plan was approved by the Company’s stockholders (such anniversary, the “</w:t>
      </w:r>
      <w:r>
        <w:rPr>
          <w:rFonts w:ascii="Arial" w:cs="Arial" w:eastAsia="Arial" w:hAnsi="Arial"/>
          <w:sz w:val="20"/>
          <w:szCs w:val="20"/>
          <w:u w:val="single" w:color="auto"/>
          <w:color w:val="auto"/>
        </w:rPr>
        <w:t>Expiration Date</w:t>
      </w:r>
      <w:r>
        <w:rPr>
          <w:rFonts w:ascii="Arial" w:cs="Arial" w:eastAsia="Arial" w:hAnsi="Arial"/>
          <w:sz w:val="20"/>
          <w:szCs w:val="20"/>
          <w:color w:val="auto"/>
        </w:rPr>
        <w:t>”). Any Awards that are outstanding on the Expiration Date shall remain in force according to the terms of the Plan, the applicable Program and the applicable Award Agreement.</w:t>
      </w:r>
    </w:p>
    <w:p>
      <w:pPr>
        <w:spacing w:after="0" w:line="17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Changes in Shares or Assets of the Company, Acquisition or Liquidation of the Company and Other Corporate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Events</w:t>
      </w:r>
      <w:r>
        <w:rPr>
          <w:rFonts w:ascii="Arial" w:cs="Arial" w:eastAsia="Arial" w:hAnsi="Arial"/>
          <w:sz w:val="22"/>
          <w:szCs w:val="22"/>
          <w:color w:val="auto"/>
        </w:rPr>
        <w:t>.</w:t>
      </w:r>
    </w:p>
    <w:p>
      <w:pPr>
        <w:spacing w:after="0" w:line="215" w:lineRule="exact"/>
        <w:rPr>
          <w:sz w:val="20"/>
          <w:szCs w:val="20"/>
          <w:color w:val="auto"/>
        </w:rPr>
      </w:pPr>
    </w:p>
    <w:p>
      <w:pPr>
        <w:jc w:val="both"/>
        <w:ind w:firstLine="1305"/>
        <w:spacing w:after="0" w:line="288" w:lineRule="auto"/>
        <w:tabs>
          <w:tab w:leader="none" w:pos="1797"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(iv) the grant or exercise price per share for any outstanding Awards under the Plan provided the price is not below par value of a Share; and (v) the number and kind of Shares (or other securities or property) for which automatic grants are subsequently to be made to new and continuing Non-Employee Directors pursuant to Section 4.6. Any adjustment affecting an Award intended as Performance-Based Compensation shall be made consistent with the requirements of Section 162(m) of the Code unless otherwise determined by the Administrator.</w:t>
      </w:r>
    </w:p>
    <w:p>
      <w:pPr>
        <w:spacing w:after="0" w:line="162" w:lineRule="exact"/>
        <w:rPr>
          <w:rFonts w:ascii="Arial" w:cs="Arial" w:eastAsia="Arial" w:hAnsi="Arial"/>
          <w:sz w:val="19"/>
          <w:szCs w:val="19"/>
          <w:color w:val="auto"/>
        </w:rPr>
      </w:pPr>
    </w:p>
    <w:p>
      <w:pPr>
        <w:jc w:val="both"/>
        <w:ind w:firstLine="1305"/>
        <w:spacing w:after="0" w:line="261" w:lineRule="auto"/>
        <w:tabs>
          <w:tab w:leader="none" w:pos="1728" w:val="left"/>
        </w:tabs>
        <w:numPr>
          <w:ilvl w:val="0"/>
          <w:numId w:val="87"/>
        </w:numPr>
        <w:rPr>
          <w:rFonts w:ascii="Arial" w:cs="Arial" w:eastAsia="Arial" w:hAnsi="Arial"/>
          <w:sz w:val="21"/>
          <w:szCs w:val="21"/>
          <w:color w:val="auto"/>
        </w:rPr>
      </w:pPr>
      <w:r>
        <w:rPr>
          <w:rFonts w:ascii="Arial" w:cs="Arial" w:eastAsia="Arial" w:hAnsi="Arial"/>
          <w:sz w:val="21"/>
          <w:szCs w:val="21"/>
          <w:color w:val="auto"/>
        </w:rPr>
        <w:t>In the event of any transaction or event described in Section 13.2(a) or any unusual or nonrecurring transactions or events affecting the Company, any Subsidiary,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81" w:lineRule="exact"/>
        <w:rPr>
          <w:rFonts w:ascii="Arial" w:cs="Arial" w:eastAsia="Arial" w:hAnsi="Arial"/>
          <w:sz w:val="21"/>
          <w:szCs w:val="21"/>
          <w:color w:val="auto"/>
        </w:rPr>
      </w:pPr>
    </w:p>
    <w:p>
      <w:pPr>
        <w:jc w:val="both"/>
        <w:ind w:firstLine="1953"/>
        <w:spacing w:after="0" w:line="254" w:lineRule="auto"/>
        <w:tabs>
          <w:tab w:leader="none" w:pos="245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13.2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375" w:right="239" w:bottom="1440" w:gutter="0" w:footer="0" w:header="0"/>
        </w:sectPr>
      </w:pPr>
    </w:p>
    <w:bookmarkStart w:id="171" w:name="page172"/>
    <w:bookmarkEnd w:id="171"/>
    <w:p>
      <w:pPr>
        <w:spacing w:after="0" w:line="263" w:lineRule="auto"/>
        <w:rPr>
          <w:sz w:val="20"/>
          <w:szCs w:val="20"/>
          <w:color w:val="auto"/>
        </w:rPr>
      </w:pPr>
      <w:r>
        <w:rPr>
          <w:rFonts w:ascii="Arial" w:cs="Arial" w:eastAsia="Arial" w:hAnsi="Arial"/>
          <w:sz w:val="22"/>
          <w:szCs w:val="22"/>
          <w:color w:val="auto"/>
        </w:rPr>
        <w:t>the Administrator determines in good faith that no amount would have been attained upon the exercise of such Award or realization of the Holder’s rights, then such Award may be terminated by the Company without payment);</w:t>
      </w:r>
    </w:p>
    <w:p>
      <w:pPr>
        <w:spacing w:after="0" w:line="175" w:lineRule="exact"/>
        <w:rPr>
          <w:sz w:val="20"/>
          <w:szCs w:val="20"/>
          <w:color w:val="auto"/>
        </w:rPr>
      </w:pPr>
    </w:p>
    <w:p>
      <w:pPr>
        <w:jc w:val="both"/>
        <w:ind w:firstLine="1953"/>
        <w:spacing w:after="0" w:line="254" w:lineRule="auto"/>
        <w:tabs>
          <w:tab w:leader="none" w:pos="2537" w:val="left"/>
        </w:tabs>
        <w:numPr>
          <w:ilvl w:val="1"/>
          <w:numId w:val="88"/>
        </w:numPr>
        <w:rPr>
          <w:rFonts w:ascii="Arial" w:cs="Arial" w:eastAsia="Arial" w:hAnsi="Arial"/>
          <w:sz w:val="22"/>
          <w:szCs w:val="22"/>
          <w:color w:val="auto"/>
        </w:rPr>
      </w:pPr>
      <w:r>
        <w:rPr>
          <w:rFonts w:ascii="Arial" w:cs="Arial" w:eastAsia="Arial" w:hAnsi="Arial"/>
          <w:sz w:val="22"/>
          <w:szCs w:val="22"/>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85" w:lineRule="exact"/>
        <w:rPr>
          <w:rFonts w:ascii="Arial" w:cs="Arial" w:eastAsia="Arial" w:hAnsi="Arial"/>
          <w:sz w:val="22"/>
          <w:szCs w:val="22"/>
          <w:color w:val="auto"/>
        </w:rPr>
      </w:pPr>
    </w:p>
    <w:p>
      <w:pPr>
        <w:jc w:val="both"/>
        <w:ind w:firstLine="1953"/>
        <w:spacing w:after="0" w:line="254" w:lineRule="auto"/>
        <w:tabs>
          <w:tab w:leader="none" w:pos="2476" w:val="left"/>
        </w:tabs>
        <w:numPr>
          <w:ilvl w:val="1"/>
          <w:numId w:val="88"/>
        </w:numPr>
        <w:rPr>
          <w:rFonts w:ascii="Arial" w:cs="Arial" w:eastAsia="Arial" w:hAnsi="Arial"/>
          <w:sz w:val="22"/>
          <w:szCs w:val="22"/>
          <w:color w:val="auto"/>
        </w:rPr>
      </w:pPr>
      <w:r>
        <w:rPr>
          <w:rFonts w:ascii="Arial" w:cs="Arial" w:eastAsia="Arial" w:hAnsi="Arial"/>
          <w:sz w:val="22"/>
          <w:szCs w:val="22"/>
          <w:color w:val="auto"/>
        </w:rPr>
        <w:t>To make adjustments in the number and type of Shares of the Company’s stock (or other securities or property) subject to outstanding Awards, and/or in the terms and conditions of (including the grant or exercise price provided the price is not below par value of a Share), and the criteria included in, outstanding Awards and Awards which may be granted in the future;</w:t>
      </w:r>
    </w:p>
    <w:p>
      <w:pPr>
        <w:spacing w:after="0" w:line="185" w:lineRule="exact"/>
        <w:rPr>
          <w:rFonts w:ascii="Arial" w:cs="Arial" w:eastAsia="Arial" w:hAnsi="Arial"/>
          <w:sz w:val="22"/>
          <w:szCs w:val="22"/>
          <w:color w:val="auto"/>
        </w:rPr>
      </w:pPr>
    </w:p>
    <w:p>
      <w:pPr>
        <w:ind w:firstLine="1953"/>
        <w:spacing w:after="0" w:line="358" w:lineRule="auto"/>
        <w:tabs>
          <w:tab w:leader="none" w:pos="2491" w:val="left"/>
        </w:tabs>
        <w:numPr>
          <w:ilvl w:val="1"/>
          <w:numId w:val="88"/>
        </w:numPr>
        <w:rPr>
          <w:rFonts w:ascii="Arial" w:cs="Arial" w:eastAsia="Arial" w:hAnsi="Arial"/>
          <w:sz w:val="19"/>
          <w:szCs w:val="19"/>
          <w:color w:val="auto"/>
        </w:rPr>
      </w:pPr>
      <w:r>
        <w:rPr>
          <w:rFonts w:ascii="Arial" w:cs="Arial" w:eastAsia="Arial" w:hAnsi="Arial"/>
          <w:sz w:val="19"/>
          <w:szCs w:val="19"/>
          <w:color w:val="auto"/>
        </w:rPr>
        <w:t>To provide that such Award shall be exercisable or payable or fully vested with respect to all Shares covered thereby, notwithstanding anything to the contrary in the Plan or the applicable Program or Award Agreement;</w:t>
      </w:r>
    </w:p>
    <w:p>
      <w:pPr>
        <w:spacing w:after="0" w:line="90" w:lineRule="exact"/>
        <w:rPr>
          <w:rFonts w:ascii="Arial" w:cs="Arial" w:eastAsia="Arial" w:hAnsi="Arial"/>
          <w:sz w:val="19"/>
          <w:szCs w:val="19"/>
          <w:color w:val="auto"/>
        </w:rPr>
      </w:pPr>
    </w:p>
    <w:p>
      <w:pPr>
        <w:ind w:left="2380" w:hanging="427"/>
        <w:spacing w:after="0"/>
        <w:tabs>
          <w:tab w:leader="none" w:pos="2380" w:val="left"/>
        </w:tabs>
        <w:numPr>
          <w:ilvl w:val="1"/>
          <w:numId w:val="88"/>
        </w:numPr>
        <w:rPr>
          <w:rFonts w:ascii="Arial" w:cs="Arial" w:eastAsia="Arial" w:hAnsi="Arial"/>
          <w:sz w:val="22"/>
          <w:szCs w:val="22"/>
          <w:color w:val="auto"/>
        </w:rPr>
      </w:pPr>
      <w:r>
        <w:rPr>
          <w:rFonts w:ascii="Arial" w:cs="Arial" w:eastAsia="Arial" w:hAnsi="Arial"/>
          <w:sz w:val="22"/>
          <w:szCs w:val="22"/>
          <w:color w:val="auto"/>
        </w:rPr>
        <w:t>To replace such Award with other rights or property selected by the Administrator; and/or</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88"/>
        </w:numPr>
        <w:rPr>
          <w:rFonts w:ascii="Arial" w:cs="Arial" w:eastAsia="Arial" w:hAnsi="Arial"/>
          <w:sz w:val="22"/>
          <w:szCs w:val="22"/>
          <w:color w:val="auto"/>
        </w:rPr>
      </w:pPr>
      <w:r>
        <w:rPr>
          <w:rFonts w:ascii="Arial" w:cs="Arial" w:eastAsia="Arial" w:hAnsi="Arial"/>
          <w:sz w:val="22"/>
          <w:szCs w:val="22"/>
          <w:color w:val="auto"/>
        </w:rPr>
        <w:t>To provide that the Award cannot vest, be exercised or become payable after such event.</w:t>
      </w:r>
    </w:p>
    <w:p>
      <w:pPr>
        <w:spacing w:after="0" w:line="233" w:lineRule="exact"/>
        <w:rPr>
          <w:rFonts w:ascii="Arial" w:cs="Arial" w:eastAsia="Arial" w:hAnsi="Arial"/>
          <w:sz w:val="22"/>
          <w:szCs w:val="22"/>
          <w:color w:val="auto"/>
        </w:rPr>
      </w:pPr>
    </w:p>
    <w:p>
      <w:pPr>
        <w:ind w:firstLine="1305"/>
        <w:spacing w:after="0" w:line="276" w:lineRule="auto"/>
        <w:tabs>
          <w:tab w:leader="none" w:pos="1730" w:val="left"/>
        </w:tabs>
        <w:numPr>
          <w:ilvl w:val="0"/>
          <w:numId w:val="89"/>
        </w:numPr>
        <w:rPr>
          <w:rFonts w:ascii="Arial" w:cs="Arial" w:eastAsia="Arial" w:hAnsi="Arial"/>
          <w:sz w:val="22"/>
          <w:szCs w:val="22"/>
          <w:color w:val="auto"/>
        </w:rPr>
      </w:pPr>
      <w:r>
        <w:rPr>
          <w:rFonts w:ascii="Arial" w:cs="Arial" w:eastAsia="Arial" w:hAnsi="Arial"/>
          <w:sz w:val="22"/>
          <w:szCs w:val="22"/>
          <w:color w:val="auto"/>
        </w:rPr>
        <w:t>In connection with the occurrence of any Equity Restructuring, and notwithstanding anything to the contrary in Sections 13.2(a) and 13.2(b):</w:t>
      </w:r>
    </w:p>
    <w:p>
      <w:pPr>
        <w:spacing w:after="0" w:line="160" w:lineRule="exact"/>
        <w:rPr>
          <w:rFonts w:ascii="Arial" w:cs="Arial" w:eastAsia="Arial" w:hAnsi="Arial"/>
          <w:sz w:val="22"/>
          <w:szCs w:val="22"/>
          <w:color w:val="auto"/>
        </w:rPr>
      </w:pPr>
    </w:p>
    <w:p>
      <w:pPr>
        <w:jc w:val="both"/>
        <w:ind w:firstLine="1953"/>
        <w:spacing w:after="0" w:line="254" w:lineRule="auto"/>
        <w:tabs>
          <w:tab w:leader="none" w:pos="2410"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number and type of securities subject to each outstanding Award and the exercise price or grant price thereof provided the price is not below par value of a Share, if applicable, shall be equitably adjusted (and the adjustments provided under this Section 13.2(c)(i) shall be nondiscretionary and shall be final and binding on the affected Holder and the Company); and/or</w:t>
      </w:r>
    </w:p>
    <w:p>
      <w:pPr>
        <w:spacing w:after="0" w:line="185" w:lineRule="exact"/>
        <w:rPr>
          <w:rFonts w:ascii="Arial" w:cs="Arial" w:eastAsia="Arial" w:hAnsi="Arial"/>
          <w:sz w:val="22"/>
          <w:szCs w:val="22"/>
          <w:color w:val="auto"/>
        </w:rPr>
      </w:pPr>
    </w:p>
    <w:p>
      <w:pPr>
        <w:jc w:val="both"/>
        <w:ind w:firstLine="1953"/>
        <w:spacing w:after="0" w:line="270" w:lineRule="auto"/>
        <w:tabs>
          <w:tab w:leader="none" w:pos="2524"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169" w:lineRule="exact"/>
        <w:rPr>
          <w:rFonts w:ascii="Arial" w:cs="Arial" w:eastAsia="Arial" w:hAnsi="Arial"/>
          <w:sz w:val="21"/>
          <w:szCs w:val="21"/>
          <w:color w:val="auto"/>
        </w:rPr>
      </w:pPr>
    </w:p>
    <w:p>
      <w:pPr>
        <w:jc w:val="both"/>
        <w:ind w:firstLine="1305"/>
        <w:spacing w:after="0" w:line="307" w:lineRule="auto"/>
        <w:tabs>
          <w:tab w:leader="none" w:pos="1742"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13.2, (A) such Award (other than any portion subject to performance-based vesting) shall continue in effect or 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75" w:right="239" w:bottom="1440" w:gutter="0" w:footer="0" w:header="0"/>
        </w:sectPr>
      </w:pPr>
    </w:p>
    <w:bookmarkStart w:id="172" w:name="page173"/>
    <w:bookmarkEnd w:id="172"/>
    <w:p>
      <w:pPr>
        <w:spacing w:after="0"/>
        <w:rPr>
          <w:sz w:val="20"/>
          <w:szCs w:val="20"/>
          <w:color w:val="auto"/>
        </w:rPr>
      </w:pPr>
      <w:r>
        <w:rPr>
          <w:rFonts w:ascii="Arial" w:cs="Arial" w:eastAsia="Arial" w:hAnsi="Arial"/>
          <w:sz w:val="19"/>
          <w:szCs w:val="19"/>
          <w:color w:val="auto"/>
        </w:rPr>
        <w:t>assumed or an equivalent Award substituted by the successor corporation or a parent or subsidiary of the successor corporation and</w:t>
      </w:r>
    </w:p>
    <w:p>
      <w:pPr>
        <w:spacing w:after="0" w:line="56" w:lineRule="exact"/>
        <w:rPr>
          <w:sz w:val="20"/>
          <w:szCs w:val="20"/>
          <w:color w:val="auto"/>
        </w:rPr>
      </w:pPr>
    </w:p>
    <w:p>
      <w:pPr>
        <w:ind w:firstLine="8"/>
        <w:spacing w:after="0" w:line="270" w:lineRule="auto"/>
        <w:tabs>
          <w:tab w:leader="none" w:pos="356"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portion of such Award subject to performance-based vesting shall be subject to the terms and conditions of the applicable Award Agreement and, in the absence of applicable terms and conditions, the Administrator’s discretion.</w:t>
      </w:r>
    </w:p>
    <w:p>
      <w:pPr>
        <w:spacing w:after="0" w:line="168" w:lineRule="exact"/>
        <w:rPr>
          <w:rFonts w:ascii="Arial" w:cs="Arial" w:eastAsia="Arial" w:hAnsi="Arial"/>
          <w:sz w:val="21"/>
          <w:szCs w:val="21"/>
          <w:color w:val="auto"/>
        </w:rPr>
      </w:pPr>
    </w:p>
    <w:p>
      <w:pPr>
        <w:jc w:val="both"/>
        <w:ind w:firstLine="1305"/>
        <w:spacing w:after="0" w:line="261" w:lineRule="auto"/>
        <w:tabs>
          <w:tab w:leader="none" w:pos="1730" w:val="left"/>
        </w:tabs>
        <w:numPr>
          <w:ilvl w:val="1"/>
          <w:numId w:val="90"/>
        </w:numPr>
        <w:rPr>
          <w:rFonts w:ascii="Arial" w:cs="Arial" w:eastAsia="Arial" w:hAnsi="Arial"/>
          <w:sz w:val="21"/>
          <w:szCs w:val="21"/>
          <w:color w:val="auto"/>
        </w:rPr>
      </w:pPr>
      <w:r>
        <w:rPr>
          <w:rFonts w:ascii="Arial" w:cs="Arial" w:eastAsia="Arial" w:hAnsi="Arial"/>
          <w:sz w:val="21"/>
          <w:szCs w:val="21"/>
          <w:color w:val="auto"/>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13.2(b)(i)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81" w:lineRule="exact"/>
        <w:rPr>
          <w:rFonts w:ascii="Arial" w:cs="Arial" w:eastAsia="Arial" w:hAnsi="Arial"/>
          <w:sz w:val="21"/>
          <w:szCs w:val="21"/>
          <w:color w:val="auto"/>
        </w:rPr>
      </w:pPr>
    </w:p>
    <w:p>
      <w:pPr>
        <w:jc w:val="both"/>
        <w:ind w:firstLine="1305"/>
        <w:spacing w:after="0" w:line="291" w:lineRule="auto"/>
        <w:tabs>
          <w:tab w:leader="none" w:pos="1827"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For the purposes of this Section 13.2,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823"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77" w:lineRule="exact"/>
        <w:rPr>
          <w:rFonts w:ascii="Arial" w:cs="Arial" w:eastAsia="Arial" w:hAnsi="Arial"/>
          <w:sz w:val="22"/>
          <w:szCs w:val="22"/>
          <w:color w:val="auto"/>
        </w:rPr>
      </w:pPr>
    </w:p>
    <w:p>
      <w:pPr>
        <w:jc w:val="both"/>
        <w:ind w:firstLine="1305"/>
        <w:spacing w:after="0" w:line="264" w:lineRule="auto"/>
        <w:tabs>
          <w:tab w:leader="none" w:pos="1742" w:val="left"/>
        </w:tabs>
        <w:numPr>
          <w:ilvl w:val="1"/>
          <w:numId w:val="90"/>
        </w:numPr>
        <w:rPr>
          <w:rFonts w:ascii="Arial" w:cs="Arial" w:eastAsia="Arial" w:hAnsi="Arial"/>
          <w:sz w:val="21"/>
          <w:szCs w:val="21"/>
          <w:color w:val="auto"/>
        </w:rPr>
      </w:pPr>
      <w:r>
        <w:rPr>
          <w:rFonts w:ascii="Arial" w:cs="Arial" w:eastAsia="Arial" w:hAnsi="Arial"/>
          <w:sz w:val="21"/>
          <w:szCs w:val="21"/>
          <w:color w:val="auto"/>
        </w:rPr>
        <w:t>Unless otherwise determined by the Administrator, no adjustment or action described in this Section 13.2 or in any other provision of the Plan shall be authorized to the extent it would (i) with respect to Awards which are granted to Covered Employees and are intended to qualify as Performance-Based Compensation, cause such Award to fail to so qualify as Performance-Based Compensation, (ii) cause the Plan to violate Section 422(b)(1) of the Code, (iii) result in short-swing profits liability under Section 16 of the Exchange Act or violate the exemptive conditions of Rule 16b-3 of the Exchange Act, or (iv) cause an Award to fail to be exempt from or comply with Section 409A.</w:t>
      </w:r>
    </w:p>
    <w:p>
      <w:pPr>
        <w:spacing w:after="0" w:line="175" w:lineRule="exact"/>
        <w:rPr>
          <w:rFonts w:ascii="Arial" w:cs="Arial" w:eastAsia="Arial" w:hAnsi="Arial"/>
          <w:sz w:val="21"/>
          <w:szCs w:val="21"/>
          <w:color w:val="auto"/>
        </w:rPr>
      </w:pPr>
    </w:p>
    <w:p>
      <w:pPr>
        <w:jc w:val="both"/>
        <w:ind w:firstLine="1305"/>
        <w:spacing w:after="0" w:line="320" w:lineRule="auto"/>
        <w:tabs>
          <w:tab w:leader="none" w:pos="1721"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375" w:right="239" w:bottom="1440" w:gutter="0" w:footer="0" w:header="0"/>
        </w:sectPr>
      </w:pPr>
    </w:p>
    <w:bookmarkStart w:id="173" w:name="page174"/>
    <w:bookmarkEnd w:id="173"/>
    <w:p>
      <w:pPr>
        <w:jc w:val="both"/>
        <w:spacing w:after="0" w:line="302" w:lineRule="auto"/>
        <w:rPr>
          <w:sz w:val="20"/>
          <w:szCs w:val="20"/>
          <w:color w:val="auto"/>
        </w:rPr>
      </w:pPr>
      <w:r>
        <w:rPr>
          <w:rFonts w:ascii="Arial" w:cs="Arial" w:eastAsia="Arial" w:hAnsi="Arial"/>
          <w:sz w:val="19"/>
          <w:szCs w:val="19"/>
          <w:color w:val="auto"/>
        </w:rPr>
        <w:t>consolidation of the Company,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143" w:lineRule="exact"/>
        <w:rPr>
          <w:sz w:val="20"/>
          <w:szCs w:val="20"/>
          <w:color w:val="auto"/>
        </w:rPr>
      </w:pPr>
    </w:p>
    <w:p>
      <w:pPr>
        <w:jc w:val="both"/>
        <w:ind w:firstLine="1305"/>
        <w:spacing w:after="0" w:line="251" w:lineRule="auto"/>
        <w:tabs>
          <w:tab w:leader="none" w:pos="2006"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Approval of Plan by Stockholders</w:t>
      </w:r>
      <w:r>
        <w:rPr>
          <w:rFonts w:ascii="Arial" w:cs="Arial" w:eastAsia="Arial" w:hAnsi="Arial"/>
          <w:sz w:val="22"/>
          <w:szCs w:val="22"/>
          <w:color w:val="auto"/>
        </w:rPr>
        <w:t>. The Plan shall be submitted for the approval of the Company’s stockholders within twelve (12) months after the date of the Board’s initial adoption of the Plan.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No Stockholders Rights</w:t>
      </w:r>
      <w:r>
        <w:rPr>
          <w:rFonts w:ascii="Arial" w:cs="Arial" w:eastAsia="Arial" w:hAnsi="Arial"/>
          <w:sz w:val="22"/>
          <w:szCs w:val="22"/>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u w:val="single" w:color="auto"/>
          <w:color w:val="auto"/>
        </w:rPr>
        <w:t>Paperless Administration</w:t>
      </w:r>
      <w:r>
        <w:rPr>
          <w:rFonts w:ascii="Arial" w:cs="Arial" w:eastAsia="Arial" w:hAnsi="Arial"/>
          <w:sz w:val="22"/>
          <w:szCs w:val="22"/>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Effect of Plan upon Other Compensation Plans</w:t>
      </w:r>
      <w:r>
        <w:rPr>
          <w:rFonts w:ascii="Arial" w:cs="Arial" w:eastAsia="Arial" w:hAnsi="Arial"/>
          <w:sz w:val="21"/>
          <w:szCs w:val="21"/>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13.7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375" w:right="239" w:bottom="1440" w:gutter="0" w:footer="0" w:header="0"/>
        </w:sectPr>
      </w:pPr>
    </w:p>
    <w:bookmarkStart w:id="174" w:name="page175"/>
    <w:bookmarkEnd w:id="174"/>
    <w:p>
      <w:pPr>
        <w:jc w:val="both"/>
        <w:spacing w:after="0" w:line="263" w:lineRule="auto"/>
        <w:rPr>
          <w:sz w:val="20"/>
          <w:szCs w:val="20"/>
          <w:color w:val="auto"/>
        </w:rPr>
      </w:pPr>
      <w:r>
        <w:rPr>
          <w:rFonts w:ascii="Arial" w:cs="Arial" w:eastAsia="Arial" w:hAnsi="Arial"/>
          <w:sz w:val="21"/>
          <w:szCs w:val="21"/>
          <w:color w:val="auto"/>
        </w:rPr>
        <w:t>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13.8 </w:t>
      </w:r>
      <w:r>
        <w:rPr>
          <w:rFonts w:ascii="Arial" w:cs="Arial" w:eastAsia="Arial" w:hAnsi="Arial"/>
          <w:sz w:val="22"/>
          <w:szCs w:val="22"/>
          <w:u w:val="single" w:color="auto"/>
          <w:color w:val="auto"/>
        </w:rPr>
        <w:t>Titles and Headings, References to Sections of Applicable Law.</w:t>
      </w:r>
      <w:r>
        <w:rPr>
          <w:rFonts w:ascii="Arial" w:cs="Arial" w:eastAsia="Arial" w:hAnsi="Arial"/>
          <w:sz w:val="22"/>
          <w:szCs w:val="22"/>
          <w:color w:val="auto"/>
        </w:rPr>
        <w:t xml:space="preserve">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w:t>
      </w:r>
    </w:p>
    <w:p>
      <w:pPr>
        <w:spacing w:after="0" w:line="18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u w:val="single" w:color="auto"/>
          <w:color w:val="auto"/>
        </w:rPr>
        <w:t>Governing Law</w:t>
      </w:r>
      <w:r>
        <w:rPr>
          <w:rFonts w:ascii="Arial" w:cs="Arial" w:eastAsia="Arial" w:hAnsi="Arial"/>
          <w:sz w:val="19"/>
          <w:szCs w:val="19"/>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13.10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13.10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5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13.11 </w:t>
      </w:r>
      <w:r>
        <w:rPr>
          <w:rFonts w:ascii="Arial" w:cs="Arial" w:eastAsia="Arial" w:hAnsi="Arial"/>
          <w:sz w:val="19"/>
          <w:szCs w:val="19"/>
          <w:u w:val="single" w:color="auto"/>
          <w:color w:val="auto"/>
        </w:rPr>
        <w:t>Unfunded Status of Awards</w:t>
      </w:r>
      <w:r>
        <w:rPr>
          <w:rFonts w:ascii="Arial" w:cs="Arial" w:eastAsia="Arial" w:hAnsi="Arial"/>
          <w:sz w:val="19"/>
          <w:szCs w:val="19"/>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13.12 </w:t>
      </w:r>
      <w:r>
        <w:rPr>
          <w:rFonts w:ascii="Arial" w:cs="Arial" w:eastAsia="Arial" w:hAnsi="Arial"/>
          <w:sz w:val="22"/>
          <w:szCs w:val="22"/>
          <w:u w:val="single" w:color="auto"/>
          <w:color w:val="auto"/>
        </w:rPr>
        <w:t>Indemnification</w:t>
      </w:r>
      <w:r>
        <w:rPr>
          <w:rFonts w:ascii="Arial" w:cs="Arial" w:eastAsia="Arial" w:hAnsi="Arial"/>
          <w:sz w:val="22"/>
          <w:szCs w:val="22"/>
          <w:color w:val="auto"/>
        </w:rPr>
        <w:t>. To the extent permitted under Applicable Law and the Organizational Documents, each member of the Administrator shall be indemnified and held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375" w:right="239" w:bottom="1440" w:gutter="0" w:footer="0" w:header="0"/>
        </w:sectPr>
      </w:pPr>
    </w:p>
    <w:bookmarkStart w:id="175" w:name="page176"/>
    <w:bookmarkEnd w:id="175"/>
    <w:p>
      <w:pPr>
        <w:jc w:val="both"/>
        <w:spacing w:after="0" w:line="290" w:lineRule="auto"/>
        <w:rPr>
          <w:sz w:val="20"/>
          <w:szCs w:val="20"/>
          <w:color w:val="auto"/>
        </w:rPr>
      </w:pPr>
      <w:r>
        <w:rPr>
          <w:rFonts w:ascii="Arial" w:cs="Arial" w:eastAsia="Arial" w:hAnsi="Arial"/>
          <w:sz w:val="19"/>
          <w:szCs w:val="19"/>
          <w:color w:val="auto"/>
        </w:rPr>
        <w:t xml:space="preserve">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15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13.13 </w:t>
      </w:r>
      <w:r>
        <w:rPr>
          <w:rFonts w:ascii="Arial" w:cs="Arial" w:eastAsia="Arial" w:hAnsi="Arial"/>
          <w:sz w:val="19"/>
          <w:szCs w:val="19"/>
          <w:u w:val="single" w:color="auto"/>
          <w:color w:val="auto"/>
        </w:rPr>
        <w:t>Relationship to other Benefits</w:t>
      </w:r>
      <w:r>
        <w:rPr>
          <w:rFonts w:ascii="Arial" w:cs="Arial" w:eastAsia="Arial" w:hAnsi="Arial"/>
          <w:sz w:val="19"/>
          <w:szCs w:val="19"/>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13.14</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The expenses of administering the Plan shall be borne by the Company and its Subsidiaries.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37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TechnipFMC plc</w:t>
      </w:r>
    </w:p>
    <w:p>
      <w:pPr>
        <w:spacing w:after="0" w:line="59"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Significant Subsidiaries of the Registrant</w:t>
      </w:r>
    </w:p>
    <w:p>
      <w:pPr>
        <w:spacing w:after="0" w:line="25"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Arial" w:cs="Arial" w:eastAsia="Arial" w:hAnsi="Arial"/>
                <w:sz w:val="18"/>
                <w:szCs w:val="18"/>
                <w:color w:val="auto"/>
              </w:rPr>
              <w:t>Name of Company</w:t>
            </w:r>
          </w:p>
        </w:tc>
        <w:tc>
          <w:tcPr>
            <w:tcW w:w="2460" w:type="dxa"/>
            <w:vAlign w:val="bottom"/>
            <w:gridSpan w:val="2"/>
          </w:tcPr>
          <w:p>
            <w:pPr>
              <w:ind w:left="520"/>
              <w:spacing w:after="0"/>
              <w:rPr>
                <w:sz w:val="20"/>
                <w:szCs w:val="20"/>
                <w:color w:val="auto"/>
              </w:rPr>
            </w:pPr>
            <w:r>
              <w:rPr>
                <w:rFonts w:ascii="Arial" w:cs="Arial" w:eastAsia="Arial" w:hAnsi="Arial"/>
                <w:sz w:val="18"/>
                <w:szCs w:val="18"/>
                <w:color w:val="auto"/>
                <w:w w:val="99"/>
              </w:rPr>
              <w:t>Country of Incorporation</w:t>
            </w:r>
          </w:p>
        </w:tc>
      </w:tr>
      <w:tr>
        <w:trPr>
          <w:trHeight w:val="20"/>
        </w:trPr>
        <w:tc>
          <w:tcPr>
            <w:tcW w:w="15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601"/>
        </w:trPr>
        <w:tc>
          <w:tcPr>
            <w:tcW w:w="2940" w:type="dxa"/>
            <w:vAlign w:val="bottom"/>
            <w:gridSpan w:val="2"/>
          </w:tcPr>
          <w:p>
            <w:pPr>
              <w:spacing w:after="0"/>
              <w:rPr>
                <w:sz w:val="20"/>
                <w:szCs w:val="20"/>
                <w:color w:val="auto"/>
              </w:rPr>
            </w:pPr>
            <w:r>
              <w:rPr>
                <w:rFonts w:ascii="Arial" w:cs="Arial" w:eastAsia="Arial" w:hAnsi="Arial"/>
                <w:sz w:val="18"/>
                <w:szCs w:val="18"/>
                <w:color w:val="auto"/>
              </w:rPr>
              <w:t>Technip Offshore International</w:t>
            </w:r>
          </w:p>
        </w:tc>
        <w:tc>
          <w:tcPr>
            <w:tcW w:w="2460" w:type="dxa"/>
            <w:vAlign w:val="bottom"/>
            <w:gridSpan w:val="2"/>
          </w:tcPr>
          <w:p>
            <w:pPr>
              <w:ind w:left="520"/>
              <w:spacing w:after="0"/>
              <w:rPr>
                <w:sz w:val="20"/>
                <w:szCs w:val="20"/>
                <w:color w:val="auto"/>
              </w:rPr>
            </w:pPr>
            <w:r>
              <w:rPr>
                <w:rFonts w:ascii="Arial" w:cs="Arial" w:eastAsia="Arial" w:hAnsi="Arial"/>
                <w:sz w:val="18"/>
                <w:szCs w:val="18"/>
                <w:color w:val="auto"/>
              </w:rPr>
              <w:t>France</w:t>
            </w:r>
          </w:p>
        </w:tc>
      </w:tr>
      <w:tr>
        <w:trPr>
          <w:trHeight w:val="257"/>
        </w:trPr>
        <w:tc>
          <w:tcPr>
            <w:tcW w:w="2940" w:type="dxa"/>
            <w:vAlign w:val="bottom"/>
            <w:gridSpan w:val="2"/>
          </w:tcPr>
          <w:p>
            <w:pPr>
              <w:spacing w:after="0"/>
              <w:rPr>
                <w:sz w:val="20"/>
                <w:szCs w:val="20"/>
                <w:color w:val="auto"/>
              </w:rPr>
            </w:pPr>
            <w:r>
              <w:rPr>
                <w:rFonts w:ascii="Arial" w:cs="Arial" w:eastAsia="Arial" w:hAnsi="Arial"/>
                <w:sz w:val="18"/>
                <w:szCs w:val="18"/>
                <w:color w:val="auto"/>
              </w:rPr>
              <w:t>Yamgaz SNC</w:t>
            </w:r>
          </w:p>
        </w:tc>
        <w:tc>
          <w:tcPr>
            <w:tcW w:w="2460" w:type="dxa"/>
            <w:vAlign w:val="bottom"/>
            <w:gridSpan w:val="2"/>
          </w:tcPr>
          <w:p>
            <w:pPr>
              <w:ind w:left="520"/>
              <w:spacing w:after="0"/>
              <w:rPr>
                <w:sz w:val="20"/>
                <w:szCs w:val="20"/>
                <w:color w:val="auto"/>
              </w:rPr>
            </w:pPr>
            <w:r>
              <w:rPr>
                <w:rFonts w:ascii="Arial" w:cs="Arial" w:eastAsia="Arial" w:hAnsi="Arial"/>
                <w:sz w:val="18"/>
                <w:szCs w:val="18"/>
                <w:color w:val="auto"/>
              </w:rPr>
              <w:t>France</w:t>
            </w:r>
          </w:p>
        </w:tc>
      </w:tr>
      <w:tr>
        <w:trPr>
          <w:trHeight w:val="257"/>
        </w:trPr>
        <w:tc>
          <w:tcPr>
            <w:tcW w:w="2940" w:type="dxa"/>
            <w:vAlign w:val="bottom"/>
            <w:gridSpan w:val="2"/>
          </w:tcPr>
          <w:p>
            <w:pPr>
              <w:spacing w:after="0"/>
              <w:rPr>
                <w:sz w:val="20"/>
                <w:szCs w:val="20"/>
                <w:color w:val="auto"/>
              </w:rPr>
            </w:pPr>
            <w:r>
              <w:rPr>
                <w:rFonts w:ascii="Arial" w:cs="Arial" w:eastAsia="Arial" w:hAnsi="Arial"/>
                <w:sz w:val="18"/>
                <w:szCs w:val="18"/>
                <w:color w:val="auto"/>
              </w:rPr>
              <w:t>South Tambey LNG SNC</w:t>
            </w:r>
          </w:p>
        </w:tc>
        <w:tc>
          <w:tcPr>
            <w:tcW w:w="2460" w:type="dxa"/>
            <w:vAlign w:val="bottom"/>
            <w:gridSpan w:val="2"/>
          </w:tcPr>
          <w:p>
            <w:pPr>
              <w:ind w:left="520"/>
              <w:spacing w:after="0"/>
              <w:rPr>
                <w:sz w:val="20"/>
                <w:szCs w:val="20"/>
                <w:color w:val="auto"/>
              </w:rPr>
            </w:pPr>
            <w:r>
              <w:rPr>
                <w:rFonts w:ascii="Arial" w:cs="Arial" w:eastAsia="Arial" w:hAnsi="Arial"/>
                <w:sz w:val="18"/>
                <w:szCs w:val="18"/>
                <w:color w:val="auto"/>
              </w:rPr>
              <w:t>France</w:t>
            </w:r>
          </w:p>
        </w:tc>
      </w:tr>
      <w:tr>
        <w:trPr>
          <w:trHeight w:val="257"/>
        </w:trPr>
        <w:tc>
          <w:tcPr>
            <w:tcW w:w="2940" w:type="dxa"/>
            <w:vAlign w:val="bottom"/>
            <w:gridSpan w:val="2"/>
          </w:tcPr>
          <w:p>
            <w:pPr>
              <w:spacing w:after="0"/>
              <w:rPr>
                <w:sz w:val="20"/>
                <w:szCs w:val="20"/>
                <w:color w:val="auto"/>
              </w:rPr>
            </w:pPr>
            <w:r>
              <w:rPr>
                <w:rFonts w:ascii="Arial" w:cs="Arial" w:eastAsia="Arial" w:hAnsi="Arial"/>
                <w:sz w:val="18"/>
                <w:szCs w:val="18"/>
                <w:color w:val="auto"/>
              </w:rPr>
              <w:t>Technip UK Ltd</w:t>
            </w:r>
          </w:p>
        </w:tc>
        <w:tc>
          <w:tcPr>
            <w:tcW w:w="246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r>
      <w:tr>
        <w:trPr>
          <w:trHeight w:val="257"/>
        </w:trPr>
        <w:tc>
          <w:tcPr>
            <w:tcW w:w="2940" w:type="dxa"/>
            <w:vAlign w:val="bottom"/>
            <w:gridSpan w:val="2"/>
          </w:tcPr>
          <w:p>
            <w:pPr>
              <w:spacing w:after="0"/>
              <w:rPr>
                <w:sz w:val="20"/>
                <w:szCs w:val="20"/>
                <w:color w:val="auto"/>
              </w:rPr>
            </w:pPr>
            <w:r>
              <w:rPr>
                <w:rFonts w:ascii="Arial" w:cs="Arial" w:eastAsia="Arial" w:hAnsi="Arial"/>
                <w:sz w:val="18"/>
                <w:szCs w:val="18"/>
                <w:color w:val="auto"/>
              </w:rPr>
              <w:t>TechnipFMC Holdings Limited</w:t>
            </w:r>
          </w:p>
        </w:tc>
        <w:tc>
          <w:tcPr>
            <w:tcW w:w="246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r>
      <w:tr>
        <w:trPr>
          <w:trHeight w:val="257"/>
        </w:trPr>
        <w:tc>
          <w:tcPr>
            <w:tcW w:w="2940" w:type="dxa"/>
            <w:vAlign w:val="bottom"/>
            <w:gridSpan w:val="2"/>
          </w:tcPr>
          <w:p>
            <w:pPr>
              <w:spacing w:after="0"/>
              <w:rPr>
                <w:sz w:val="20"/>
                <w:szCs w:val="20"/>
                <w:color w:val="auto"/>
              </w:rPr>
            </w:pPr>
            <w:r>
              <w:rPr>
                <w:rFonts w:ascii="Arial" w:cs="Arial" w:eastAsia="Arial" w:hAnsi="Arial"/>
                <w:sz w:val="18"/>
                <w:szCs w:val="18"/>
                <w:color w:val="auto"/>
              </w:rPr>
              <w:t>FMC Technologies Inc</w:t>
            </w:r>
          </w:p>
        </w:tc>
        <w:tc>
          <w:tcPr>
            <w:tcW w:w="2460" w:type="dxa"/>
            <w:vAlign w:val="bottom"/>
            <w:gridSpan w:val="2"/>
          </w:tcPr>
          <w:p>
            <w:pPr>
              <w:ind w:left="520"/>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0220"/>
          </w:cols>
          <w:pgMar w:left="1440" w:top="580"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23.1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333-216289 and 333-216284) of TechnipFMC plc of our report dated March 11, 2019 relating to the financial statements and financial statement schedule and the effectiveness of internal control over financial reporting, which appears in this Form 10-K.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2019</w:t>
      </w:r>
    </w:p>
    <w:p>
      <w:pPr>
        <w:sectPr>
          <w:pgSz w:w="11900" w:h="16838" w:orient="portrait"/>
          <w:cols w:equalWidth="0" w:num="1">
            <w:col w:w="11420"/>
          </w:cols>
          <w:pgMar w:left="240" w:top="58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23.2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333-216289 and 333-216284) of TechnipFMC plc of our report dated April 2, 2018 relating to the financial statements and financial statement schedule, which appears in this Form 10-K.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2019</w:t>
      </w:r>
    </w:p>
    <w:p>
      <w:pPr>
        <w:sectPr>
          <w:pgSz w:w="11900" w:h="16838" w:orient="portrait"/>
          <w:cols w:equalWidth="0" w:num="1">
            <w:col w:w="11420"/>
          </w:cols>
          <w:pgMar w:left="240" w:top="58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2018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2019</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2018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2019</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I, Douglas J. Pferdehirt, Chief Executive Officer of TechnipFMC plc (the “Company”), do hereby certify, pursuant to 18 U.S.C. Section 1350, as adopted pursuant to Section 906 of the Sarbanes-Oxley Act of 2002, that, to my knowledge:</w:t>
      </w:r>
    </w:p>
    <w:p>
      <w:pPr>
        <w:spacing w:after="0" w:line="169" w:lineRule="exact"/>
        <w:rPr>
          <w:sz w:val="20"/>
          <w:szCs w:val="20"/>
          <w:color w:val="auto"/>
        </w:rPr>
      </w:pPr>
    </w:p>
    <w:p>
      <w:pPr>
        <w:ind w:right="320" w:firstLine="8"/>
        <w:spacing w:after="0" w:line="260" w:lineRule="auto"/>
        <w:tabs>
          <w:tab w:leader="none" w:pos="243"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2018,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2019</w:t>
      </w:r>
    </w:p>
    <w:p>
      <w:pPr>
        <w:spacing w:after="0" w:line="200" w:lineRule="exact"/>
        <w:rPr>
          <w:sz w:val="20"/>
          <w:szCs w:val="20"/>
          <w:color w:val="auto"/>
        </w:rPr>
      </w:pPr>
    </w:p>
    <w:p>
      <w:pPr>
        <w:spacing w:after="0" w:line="210"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94" w:lineRule="exact"/>
        <w:rPr>
          <w:sz w:val="20"/>
          <w:szCs w:val="20"/>
          <w:color w:val="auto"/>
        </w:rPr>
      </w:pPr>
    </w:p>
    <w:p>
      <w:pPr>
        <w:ind w:right="320" w:firstLine="8"/>
        <w:spacing w:after="0" w:line="260" w:lineRule="auto"/>
        <w:tabs>
          <w:tab w:leader="none" w:pos="24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2018,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2019</w:t>
      </w:r>
    </w:p>
    <w:p>
      <w:pPr>
        <w:spacing w:after="0" w:line="200" w:lineRule="exact"/>
        <w:rPr>
          <w:sz w:val="20"/>
          <w:szCs w:val="20"/>
          <w:color w:val="auto"/>
        </w:rPr>
      </w:pPr>
    </w:p>
    <w:p>
      <w:pPr>
        <w:spacing w:after="0" w:line="210"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3445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lowerLetter"/>
      <w:start w:val="1"/>
    </w:lvl>
  </w:abstractNum>
  <w:abstractNum w:abstractNumId="20">
    <w:nsid w:val="235BA861"/>
    <w:multiLevelType w:val="hybridMultilevel"/>
    <w:lvl w:ilvl="0">
      <w:lvlJc w:val="left"/>
      <w:lvlText w:val="(%1)"/>
      <w:numFmt w:val="lowerLetter"/>
      <w:start w:val="1"/>
    </w:lvl>
  </w:abstractNum>
  <w:abstractNum w:abstractNumId="21">
    <w:nsid w:val="47398C89"/>
    <w:multiLevelType w:val="hybridMultilevel"/>
    <w:lvl w:ilvl="0">
      <w:lvlJc w:val="left"/>
      <w:lvlText w:val="(%1)"/>
      <w:numFmt w:val="lowerLetter"/>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1)"/>
      <w:numFmt w:val="lowerLetter"/>
      <w:start w:val="1"/>
    </w:lvl>
  </w:abstractNum>
  <w:abstractNum w:abstractNumId="24">
    <w:nsid w:val="741226BB"/>
    <w:multiLevelType w:val="hybridMultilevel"/>
    <w:lvl w:ilvl="0">
      <w:lvlJc w:val="left"/>
      <w:lvlText w:val="(%1)"/>
      <w:numFmt w:val="lowerLetter"/>
      <w:start w:val="1"/>
    </w:lvl>
  </w:abstractNum>
  <w:abstractNum w:abstractNumId="25">
    <w:nsid w:val="D34B6A8"/>
    <w:multiLevelType w:val="hybridMultilevel"/>
    <w:lvl w:ilvl="0">
      <w:lvlJc w:val="left"/>
      <w:lvlText w:val="(%1)"/>
      <w:numFmt w:val="lowerLetter"/>
      <w:start w:val="1"/>
    </w:lvl>
  </w:abstractNum>
  <w:abstractNum w:abstractNumId="26">
    <w:nsid w:val="10233C99"/>
    <w:multiLevelType w:val="hybridMultilevel"/>
    <w:lvl w:ilvl="0">
      <w:lvlJc w:val="left"/>
      <w:lvlText w:val="(%1)"/>
      <w:numFmt w:val="lowerLetter"/>
      <w:start w:val="1"/>
    </w:lvl>
  </w:abstractNum>
  <w:abstractNum w:abstractNumId="27">
    <w:nsid w:val="3F6AB60F"/>
    <w:multiLevelType w:val="hybridMultilevel"/>
    <w:lvl w:ilvl="0">
      <w:lvlJc w:val="left"/>
      <w:lvlText w:val="(%1)"/>
      <w:numFmt w:val="lowerLetter"/>
      <w:start w:val="1"/>
    </w:lvl>
  </w:abstractNum>
  <w:abstractNum w:abstractNumId="28">
    <w:nsid w:val="61574095"/>
    <w:multiLevelType w:val="hybridMultilevel"/>
    <w:lvl w:ilvl="0">
      <w:lvlJc w:val="left"/>
      <w:lvlText w:val="(%1)"/>
      <w:numFmt w:val="lowerLetter"/>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lowerLetter"/>
      <w:start w:val="1"/>
    </w:lvl>
  </w:abstractNum>
  <w:abstractNum w:abstractNumId="32">
    <w:nsid w:val="310C50B3"/>
    <w:multiLevelType w:val="hybridMultilevel"/>
    <w:lvl w:ilvl="0">
      <w:lvlJc w:val="left"/>
      <w:lvlText w:val="%1."/>
      <w:numFmt w:val="decimal"/>
      <w:start w:val="606"/>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1)"/>
      <w:numFmt w:val="lowerLetter"/>
      <w:start w:val="1"/>
    </w:lvl>
  </w:abstractNum>
  <w:abstractNum w:abstractNumId="36">
    <w:nsid w:val="1DBABF00"/>
    <w:multiLevelType w:val="hybridMultilevel"/>
    <w:lvl w:ilvl="0">
      <w:lvlJc w:val="left"/>
      <w:lvlText w:val="(%1)"/>
      <w:numFmt w:val="lowerLetter"/>
      <w:start w:val="1"/>
    </w:lvl>
  </w:abstractNum>
  <w:abstractNum w:abstractNumId="37">
    <w:nsid w:val="4AD084E9"/>
    <w:multiLevelType w:val="hybridMultilevel"/>
    <w:lvl w:ilvl="0">
      <w:lvlJc w:val="left"/>
      <w:lvlText w:val="(%1)"/>
      <w:numFmt w:val="lowerLetter"/>
      <w:start w:val="1"/>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lowerLetter"/>
      <w:start w:val="1"/>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1"/>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lowerLetter"/>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1"/>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lowerRoman"/>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1)"/>
      <w:numFmt w:val="lowerRoman"/>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1)"/>
      <w:numFmt w:val="lowerLetter"/>
      <w:start w:val="1"/>
    </w:lvl>
    <w:lvl w:ilvl="1">
      <w:lvlJc w:val="left"/>
      <w:lvlText w:val="%2."/>
      <w:numFmt w:val="decimal"/>
      <w:start w:val="1"/>
    </w:lvl>
  </w:abstractNum>
  <w:abstractNum w:abstractNumId="64">
    <w:nsid w:val="68EB2F63"/>
    <w:multiLevelType w:val="hybridMultilevel"/>
    <w:lvl w:ilvl="0">
      <w:lvlJc w:val="left"/>
      <w:lvlText w:val="(%1)"/>
      <w:numFmt w:val="lowerLetter"/>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1)"/>
      <w:numFmt w:val="lowerLetter"/>
      <w:start w:val="1"/>
    </w:lvl>
  </w:abstractNum>
  <w:abstractNum w:abstractNumId="67">
    <w:nsid w:val="6A5EE64"/>
    <w:multiLevelType w:val="hybridMultilevel"/>
    <w:lvl w:ilvl="0">
      <w:lvlJc w:val="left"/>
      <w:lvlText w:val="(%1)"/>
      <w:numFmt w:val="lowerLetter"/>
      <w:start w:val="1"/>
    </w:lvl>
  </w:abstractNum>
  <w:abstractNum w:abstractNumId="68">
    <w:nsid w:val="14330624"/>
    <w:multiLevelType w:val="hybridMultilevel"/>
    <w:lvl w:ilvl="0">
      <w:lvlJc w:val="left"/>
      <w:lvlText w:val="(%1)"/>
      <w:numFmt w:val="lowerLetter"/>
      <w:start w:val="1"/>
    </w:lvl>
  </w:abstractNum>
  <w:abstractNum w:abstractNumId="69">
    <w:nsid w:val="7FFFCA11"/>
    <w:multiLevelType w:val="hybridMultilevel"/>
    <w:lvl w:ilvl="0">
      <w:lvlJc w:val="left"/>
      <w:lvlText w:val="(%1)"/>
      <w:numFmt w:val="lowerLetter"/>
      <w:start w:val="2"/>
    </w:lvl>
  </w:abstractNum>
  <w:abstractNum w:abstractNumId="70">
    <w:nsid w:val="1A27709E"/>
    <w:multiLevelType w:val="hybridMultilevel"/>
    <w:lvl w:ilvl="0">
      <w:lvlJc w:val="left"/>
      <w:lvlText w:val="(%1)"/>
      <w:numFmt w:val="lowerLetter"/>
      <w:start w:val="1"/>
    </w:lvl>
    <w:lvl w:ilvl="1">
      <w:lvlJc w:val="left"/>
      <w:lvlText w:val="(%2)"/>
      <w:numFmt w:val="lowerRoman"/>
      <w:start w:val="1"/>
    </w:lvl>
  </w:abstractNum>
  <w:abstractNum w:abstractNumId="71">
    <w:nsid w:val="71EA1109"/>
    <w:multiLevelType w:val="hybridMultilevel"/>
    <w:lvl w:ilvl="0">
      <w:lvlJc w:val="left"/>
      <w:lvlText w:val="(%1)"/>
      <w:numFmt w:val="lowerLetter"/>
      <w:start w:val="1"/>
    </w:lvl>
  </w:abstractNum>
  <w:abstractNum w:abstractNumId="72">
    <w:nsid w:val="100F59DC"/>
    <w:multiLevelType w:val="hybridMultilevel"/>
    <w:lvl w:ilvl="0">
      <w:lvlJc w:val="left"/>
      <w:lvlText w:val="(%1)"/>
      <w:numFmt w:val="lowerLetter"/>
      <w:start w:val="1"/>
    </w:lvl>
  </w:abstractNum>
  <w:abstractNum w:abstractNumId="73">
    <w:nsid w:val="7FB7E0AA"/>
    <w:multiLevelType w:val="hybridMultilevel"/>
    <w:lvl w:ilvl="0">
      <w:lvlJc w:val="left"/>
      <w:lvlText w:val="(%1)"/>
      <w:numFmt w:val="lowerLetter"/>
      <w:start w:val="3"/>
    </w:lvl>
  </w:abstractNum>
  <w:abstractNum w:abstractNumId="74">
    <w:nsid w:val="6EB5BD4"/>
    <w:multiLevelType w:val="hybridMultilevel"/>
    <w:lvl w:ilvl="0">
      <w:lvlJc w:val="left"/>
      <w:lvlText w:val="(%1)"/>
      <w:numFmt w:val="lowerLetter"/>
      <w:start w:val="3"/>
    </w:lvl>
  </w:abstractNum>
  <w:abstractNum w:abstractNumId="75">
    <w:nsid w:val="6F6DD9AC"/>
    <w:multiLevelType w:val="hybridMultilevel"/>
    <w:lvl w:ilvl="0">
      <w:lvlJc w:val="left"/>
      <w:lvlText w:val="(%1)"/>
      <w:numFmt w:val="lowerLetter"/>
      <w:start w:val="1"/>
    </w:lvl>
  </w:abstractNum>
  <w:abstractNum w:abstractNumId="76">
    <w:nsid w:val="94211F2"/>
    <w:multiLevelType w:val="hybridMultilevel"/>
    <w:lvl w:ilvl="0">
      <w:lvlJc w:val="left"/>
      <w:lvlText w:val="(%1)"/>
      <w:numFmt w:val="lowerLetter"/>
      <w:start w:val="2"/>
    </w:lvl>
  </w:abstractNum>
  <w:abstractNum w:abstractNumId="77">
    <w:nsid w:val="885E1B"/>
    <w:multiLevelType w:val="hybridMultilevel"/>
    <w:lvl w:ilvl="0">
      <w:lvlJc w:val="left"/>
      <w:lvlText w:val="(%1)"/>
      <w:numFmt w:val="lowerLetter"/>
      <w:start w:val="1"/>
    </w:lvl>
    <w:lvl w:ilvl="1">
      <w:lvlJc w:val="left"/>
      <w:lvlText w:val="(%2)"/>
      <w:numFmt w:val="lowerRoman"/>
      <w:start w:val="1"/>
    </w:lvl>
  </w:abstractNum>
  <w:abstractNum w:abstractNumId="78">
    <w:nsid w:val="76272110"/>
    <w:multiLevelType w:val="hybridMultilevel"/>
    <w:lvl w:ilvl="0">
      <w:lvlJc w:val="left"/>
      <w:lvlText w:val="(%1)"/>
      <w:numFmt w:val="lowerLetter"/>
      <w:start w:val="3"/>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2"/>
    </w:lvl>
  </w:abstractNum>
  <w:abstractNum w:abstractNumId="81">
    <w:nsid w:val="14E17E33"/>
    <w:multiLevelType w:val="hybridMultilevel"/>
    <w:lvl w:ilvl="0">
      <w:lvlJc w:val="left"/>
      <w:lvlText w:val="(%1)"/>
      <w:numFmt w:val="lowerLetter"/>
      <w:start w:val="1"/>
    </w:lvl>
  </w:abstractNum>
  <w:abstractNum w:abstractNumId="82">
    <w:nsid w:val="3222E7CD"/>
    <w:multiLevelType w:val="hybridMultilevel"/>
    <w:lvl w:ilvl="0">
      <w:lvlJc w:val="left"/>
      <w:lvlText w:val="(%1)"/>
      <w:numFmt w:val="lowerLetter"/>
      <w:start w:val="11"/>
    </w:lvl>
  </w:abstractNum>
  <w:abstractNum w:abstractNumId="83">
    <w:nsid w:val="74DE0EE3"/>
    <w:multiLevelType w:val="hybridMultilevel"/>
    <w:lvl w:ilvl="0">
      <w:lvlJc w:val="left"/>
      <w:lvlText w:val="(%1)"/>
      <w:numFmt w:val="lowerLetter"/>
      <w:start w:val="3"/>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lowerLetter"/>
      <w:start w:val="3"/>
    </w:lvl>
  </w:abstractNum>
  <w:abstractNum w:abstractNumId="86">
    <w:nsid w:val="46B7D447"/>
    <w:multiLevelType w:val="hybridMultilevel"/>
    <w:lvl w:ilvl="0">
      <w:lvlJc w:val="left"/>
      <w:lvlText w:val="(%1)"/>
      <w:numFmt w:val="lowerLetter"/>
      <w:start w:val="1"/>
    </w:lvl>
    <w:lvl w:ilvl="1">
      <w:lvlJc w:val="left"/>
      <w:lvlText w:val="(%2)"/>
      <w:numFmt w:val="lowerLetter"/>
      <w:start w:val="9"/>
    </w:lvl>
  </w:abstractNum>
  <w:abstractNum w:abstractNumId="87">
    <w:nsid w:val="4A2AC315"/>
    <w:multiLevelType w:val="hybridMultilevel"/>
    <w:lvl w:ilvl="0">
      <w:lvlJc w:val="left"/>
      <w:lvlText w:val="%1"/>
      <w:numFmt w:val="lowerLetter"/>
      <w:start w:val="1"/>
    </w:lvl>
    <w:lvl w:ilvl="1">
      <w:lvlJc w:val="left"/>
      <w:lvlText w:val="(%2)"/>
      <w:numFmt w:val="lowerRoman"/>
      <w:start w:val="2"/>
    </w:lvl>
  </w:abstractNum>
  <w:abstractNum w:abstractNumId="88">
    <w:nsid w:val="39EE015C"/>
    <w:multiLevelType w:val="hybridMultilevel"/>
    <w:lvl w:ilvl="0">
      <w:lvlJc w:val="left"/>
      <w:lvlText w:val="(%1)"/>
      <w:numFmt w:val="lowerLetter"/>
      <w:start w:val="3"/>
    </w:lvl>
    <w:lvl w:ilvl="1">
      <w:lvlJc w:val="left"/>
      <w:lvlText w:val="(%2)"/>
      <w:numFmt w:val="lowerRoman"/>
      <w:start w:val="1"/>
    </w:lvl>
  </w:abstractNum>
  <w:abstractNum w:abstractNumId="89">
    <w:nsid w:val="57FC4FBB"/>
    <w:multiLevelType w:val="hybridMultilevel"/>
    <w:lvl w:ilvl="0">
      <w:lvlJc w:val="left"/>
      <w:lvlText w:val="(%1)"/>
      <w:numFmt w:val="upperLetter"/>
      <w:start w:val="2"/>
    </w:lvl>
    <w:lvl w:ilvl="1">
      <w:lvlJc w:val="left"/>
      <w:lvlText w:val="(%2)"/>
      <w:numFmt w:val="lowerLetter"/>
      <w:start w:val="5"/>
    </w:lvl>
  </w:abstractNum>
  <w:abstractNum w:abstractNumId="90">
    <w:nsid w:val="CC1016F"/>
    <w:multiLevelType w:val="hybridMultilevel"/>
    <w:lvl w:ilvl="0">
      <w:lvlJc w:val="left"/>
      <w:lvlText w:val="(%1)"/>
      <w:numFmt w:val="lowerLetter"/>
      <w:start w:val="10"/>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lowerLetter"/>
      <w:start w:val="1"/>
    </w:lvl>
  </w:abstractNum>
  <w:abstractNum w:abstractNumId="94">
    <w:nsid w:val="7F01579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88" Type="http://schemas.openxmlformats.org/officeDocument/2006/relationships/hyperlink" Target="http://www.sec.gov/Archives/edgar/data/1681459/000119312516743942/d213233ds4a.htm#rom213233_155" TargetMode="External"/><Relationship Id="rId89" Type="http://schemas.openxmlformats.org/officeDocument/2006/relationships/hyperlink" Target="http://www.sec.gov/Archives/edgar/data/1681459/000119312516793136/d263181dex21.htm" TargetMode="External"/><Relationship Id="rId90" Type="http://schemas.openxmlformats.org/officeDocument/2006/relationships/hyperlink" Target="http://www.sec.gov/Archives/edgar/data/1681459/000119312516793136/d263181dex22.htm" TargetMode="External"/><Relationship Id="rId91" Type="http://schemas.openxmlformats.org/officeDocument/2006/relationships/hyperlink" Target="http://www.sec.gov/Archives/edgar/data/1681459/000119312517010409/d320389dex31.htm" TargetMode="External"/><Relationship Id="rId92" Type="http://schemas.openxmlformats.org/officeDocument/2006/relationships/hyperlink" Target="http://www.sec.gov/Archives/edgar/data/1681459/000119312517102258/d369644dex41.htm" TargetMode="External"/><Relationship Id="rId93" Type="http://schemas.openxmlformats.org/officeDocument/2006/relationships/hyperlink" Target="http://www.sec.gov/Archives/edgar/data/1681459/000119312517102258/d369644dex43.htm" TargetMode="External"/><Relationship Id="rId94" Type="http://schemas.openxmlformats.org/officeDocument/2006/relationships/hyperlink" Target="http://www.sec.gov/Archives/edgar/data/1135152/000119312510044365/dex109.htm" TargetMode="External"/><Relationship Id="rId95" Type="http://schemas.openxmlformats.org/officeDocument/2006/relationships/hyperlink" Target="http://www.sec.gov/Archives/edgar/data/1135152/000119312509221455/dex109.htm" TargetMode="External"/><Relationship Id="rId96" Type="http://schemas.openxmlformats.org/officeDocument/2006/relationships/hyperlink" Target="http://www.sec.gov/Archives/edgar/data/1135152/000113515216000039/exhibit1014b.htm" TargetMode="External"/><Relationship Id="rId97" Type="http://schemas.openxmlformats.org/officeDocument/2006/relationships/hyperlink" Target="http://www.sec.gov/Archives/edgar/data/1681459/000168145917000244/technipfmc20170630ex101.htm" TargetMode="External"/><Relationship Id="rId98" Type="http://schemas.openxmlformats.org/officeDocument/2006/relationships/hyperlink" Target="http://www.sec.gov/Archives/edgar/data/1681459/000168145917000244/technipfmc20170630ex102.htm" TargetMode="External"/><Relationship Id="rId99" Type="http://schemas.openxmlformats.org/officeDocument/2006/relationships/hyperlink" Target="http://www.sec.gov/Archives/edgar/data/1681459/000168145917000244/technipfmc20170630ex103.htm" TargetMode="External"/><Relationship Id="rId100" Type="http://schemas.openxmlformats.org/officeDocument/2006/relationships/hyperlink" Target="http://www.sec.gov/Archives/edgar/data/1681459/000168145917000258/technipfmc20170930ex104.htm" TargetMode="External"/><Relationship Id="rId101" Type="http://schemas.openxmlformats.org/officeDocument/2006/relationships/hyperlink" Target="http://www.sec.gov/Archives/edgar/data/1681459/000168145917000244/technipfmc20170630ex104.htm" TargetMode="External"/><Relationship Id="rId102" Type="http://schemas.openxmlformats.org/officeDocument/2006/relationships/hyperlink" Target="http://www.sec.gov/Archives/edgar/data/1681459/000119312517059320/d348554dex992.htm" TargetMode="External"/><Relationship Id="rId103" Type="http://schemas.openxmlformats.org/officeDocument/2006/relationships/hyperlink" Target="http://www.sec.gov/Archives/edgar/data/1681459/000119312517059320/d348554dex993.htm" TargetMode="External"/><Relationship Id="rId104" Type="http://schemas.openxmlformats.org/officeDocument/2006/relationships/hyperlink" Target="http://www.sec.gov/Archives/edgar/data/1681459/000168145918000049/technipfmc20171231ex1010.htm" TargetMode="External"/><Relationship Id="rId105" Type="http://schemas.openxmlformats.org/officeDocument/2006/relationships/hyperlink" Target="http://www.sec.gov/Archives/edgar/data/1681459/000119312517059320/d348554dex994.htm" TargetMode="External"/><Relationship Id="rId106" Type="http://schemas.openxmlformats.org/officeDocument/2006/relationships/hyperlink" Target="http://www.sec.gov/Archives/edgar/data/1681459/000119312517059320/d348554dex995.htm" TargetMode="External"/><Relationship Id="rId107" Type="http://schemas.openxmlformats.org/officeDocument/2006/relationships/hyperlink" Target="http://www.sec.gov/Archives/edgar/data/1681459/000119312517059320/d348554dex996.htm" TargetMode="External"/><Relationship Id="rId108" Type="http://schemas.openxmlformats.org/officeDocument/2006/relationships/hyperlink" Target="http://www.sec.gov/Archives/edgar/data/1681459/000119312517059320/d348554dex997.htm" TargetMode="External"/><Relationship Id="rId109" Type="http://schemas.openxmlformats.org/officeDocument/2006/relationships/hyperlink" Target="http://www.sec.gov/Archives/edgar/data/1681459/000119312517059320/d348554dex998.htm" TargetMode="External"/><Relationship Id="rId110" Type="http://schemas.openxmlformats.org/officeDocument/2006/relationships/hyperlink" Target="http://www.sec.gov/Archives/edgar/data/1681459/000119312517059320/d348554dex999.htm" TargetMode="External"/><Relationship Id="rId111" Type="http://schemas.openxmlformats.org/officeDocument/2006/relationships/hyperlink" Target="http://www.sec.gov/Archives/edgar/data/1681459/000119312517059320/d348554dex9910.htm" TargetMode="External"/><Relationship Id="rId112" Type="http://schemas.openxmlformats.org/officeDocument/2006/relationships/hyperlink" Target="http://www.sec.gov/Archives/edgar/data/1681459/000119312517059320/d348554dex9911.htm" TargetMode="External"/><Relationship Id="rId113" Type="http://schemas.openxmlformats.org/officeDocument/2006/relationships/hyperlink" Target="http://www.sec.gov/Archives/edgar/data/1681459/000119312517059320/d348554dex9912.htm" TargetMode="External"/><Relationship Id="rId114" Type="http://schemas.openxmlformats.org/officeDocument/2006/relationships/hyperlink" Target="http://www.sec.gov/Archives/edgar/data/1681459/000168145917000244/technipfmc20170630ex105.htm" TargetMode="External"/><Relationship Id="rId115" Type="http://schemas.openxmlformats.org/officeDocument/2006/relationships/hyperlink" Target="http://www.sec.gov/Archives/edgar/data/1681459/000168145918000049/technipfmc20171231ex1021.htm" TargetMode="External"/><Relationship Id="rId116" Type="http://schemas.openxmlformats.org/officeDocument/2006/relationships/hyperlink" Target="http://www.sec.gov/Archives/edgar/data/1681459/000168145918000049/technipfmc20171231ex1022.htm" TargetMode="External"/><Relationship Id="rId117" Type="http://schemas.openxmlformats.org/officeDocument/2006/relationships/hyperlink" Target="http://www.sec.gov/Archives/edgar/data/1681459/000119312517010409/d320389dex102.htm" TargetMode="External"/><Relationship Id="rId118" Type="http://schemas.openxmlformats.org/officeDocument/2006/relationships/hyperlink" Target="http://www.sec.gov/Archives/edgar/data/1681459/000119312517010409/d320389dex103.htm" TargetMode="External"/><Relationship Id="rId119" Type="http://schemas.openxmlformats.org/officeDocument/2006/relationships/hyperlink" Target="http://www.sec.gov/Archives/edgar/data/1681459/000119312517010419/d320443dex102.htm" TargetMode="External"/><Relationship Id="rId120" Type="http://schemas.openxmlformats.org/officeDocument/2006/relationships/hyperlink" Target="http://www.sec.gov/Archives/edgar/data/1681459/000119312517010419/d320443dex103.htm" TargetMode="External"/><Relationship Id="rId121" Type="http://schemas.openxmlformats.org/officeDocument/2006/relationships/hyperlink" Target="http://www.sec.gov/Archives/edgar/data/1681459/000119312517010419/d320443dex104.htm" TargetMode="External"/><Relationship Id="rId122" Type="http://schemas.openxmlformats.org/officeDocument/2006/relationships/hyperlink" Target="http://www.sec.gov/Archives/edgar/data/1681459/000119312517010419/d320443dex101.htm" TargetMode="External"/><Relationship Id="rId123" Type="http://schemas.openxmlformats.org/officeDocument/2006/relationships/hyperlink" Target="http://www.sec.gov/Archives/edgar/data/1681459/000119312517289503/d6027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2019-12-28T14:36:59Z</dcterms:created>
  <dcterms:modified xsi:type="dcterms:W3CDTF">2019-12-28T14:36:59Z</dcterms:modified>
</cp:coreProperties>
</file>