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832" w:hAnchor="page" w:vAnchor="page" w:x="628" w:y="1975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With:</w:t>
      </w:r>
    </w:p>
    <w:p>
      <w:pPr>
        <w:pStyle w:val="Normal"/>
        <w:framePr w:w="3152" w:hAnchor="page" w:vAnchor="page" w:x="1609" w:y="197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7  Sole Dispositive Power </w:t>
      </w:r>
    </w:p>
    <w:p>
      <w:pPr>
        <w:pStyle w:val="Normal"/>
        <w:framePr w:w="942" w:hAnchor="page" w:vAnchor="page" w:x="578" w:y="194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Person</w:t>
      </w:r>
    </w:p>
    <w:p>
      <w:pPr>
        <w:pStyle w:val="Normal"/>
        <w:framePr w:w="726" w:hAnchor="page" w:vAnchor="page" w:x="1856" w:y="194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1272" w:hAnchor="page" w:vAnchor="page" w:x="428" w:y="192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Reporting</w:t>
      </w:r>
    </w:p>
    <w:p>
      <w:pPr>
        <w:pStyle w:val="Normal"/>
        <w:framePr w:w="396" w:hAnchor="page" w:vAnchor="page" w:x="1609" w:y="1916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6</w:t>
      </w:r>
    </w:p>
    <w:p>
      <w:pPr>
        <w:pStyle w:val="Normal"/>
        <w:framePr w:w="757" w:hAnchor="page" w:vAnchor="page" w:x="662" w:y="1898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Each</w:t>
      </w:r>
    </w:p>
    <w:p>
      <w:pPr>
        <w:pStyle w:val="Normal"/>
        <w:framePr w:w="2718" w:hAnchor="page" w:vAnchor="page" w:x="1856" w:y="1889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Shared Voting Power </w:t>
      </w:r>
    </w:p>
    <w:p>
      <w:pPr>
        <w:pStyle w:val="Normal"/>
        <w:framePr w:w="1279" w:hAnchor="page" w:vAnchor="page" w:x="424" w:y="187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Owned by</w:t>
      </w:r>
    </w:p>
    <w:p>
      <w:pPr>
        <w:pStyle w:val="Normal"/>
        <w:framePr w:w="1783" w:hAnchor="page" w:vAnchor="page" w:x="1856" w:y="185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16,680,501.00</w:t>
      </w:r>
    </w:p>
    <w:p>
      <w:pPr>
        <w:pStyle w:val="Normal"/>
        <w:framePr w:w="1430" w:hAnchor="page" w:vAnchor="page" w:x="356" w:y="184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Beneficially</w:t>
      </w:r>
    </w:p>
    <w:p>
      <w:pPr>
        <w:pStyle w:val="Normal"/>
        <w:framePr w:w="396" w:hAnchor="page" w:vAnchor="page" w:x="1609" w:y="182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5</w:t>
      </w:r>
    </w:p>
    <w:p>
      <w:pPr>
        <w:pStyle w:val="Normal"/>
        <w:framePr w:w="924" w:hAnchor="page" w:vAnchor="page" w:x="586" w:y="182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Shares</w:t>
      </w:r>
    </w:p>
    <w:p>
      <w:pPr>
        <w:pStyle w:val="Normal"/>
        <w:framePr w:w="2385" w:hAnchor="page" w:vAnchor="page" w:x="1856" w:y="1800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Sole Voting Power </w:t>
      </w:r>
    </w:p>
    <w:p>
      <w:pPr>
        <w:pStyle w:val="Normal"/>
        <w:framePr w:w="1344" w:hAnchor="page" w:vAnchor="page" w:x="395" w:y="179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Number of</w:t>
      </w:r>
    </w:p>
    <w:p>
      <w:pPr>
        <w:pStyle w:val="Normal"/>
        <w:framePr w:w="1602" w:hAnchor="page" w:vAnchor="page" w:x="1526" w:y="1763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MARYLAND</w:t>
      </w:r>
    </w:p>
    <w:p>
      <w:pPr>
        <w:pStyle w:val="Normal"/>
        <w:framePr w:w="361" w:hAnchor="page" w:vAnchor="page" w:x="842" w:y="1738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4</w:t>
      </w:r>
    </w:p>
    <w:p>
      <w:pPr>
        <w:pStyle w:val="Normal"/>
        <w:framePr w:w="3998" w:hAnchor="page" w:vAnchor="page" w:x="1526" w:y="1712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 or Place of Organization </w:t>
      </w:r>
    </w:p>
    <w:p>
      <w:pPr>
        <w:pStyle w:val="Normal"/>
        <w:framePr w:w="361" w:hAnchor="page" w:vAnchor="page" w:x="842" w:y="167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3</w:t>
      </w:r>
    </w:p>
    <w:p>
      <w:pPr>
        <w:pStyle w:val="Normal"/>
        <w:framePr w:w="1575" w:hAnchor="page" w:vAnchor="page" w:x="1526" w:y="167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 Use Only</w:t>
      </w:r>
    </w:p>
    <w:p>
      <w:pPr>
        <w:pStyle w:val="Normal"/>
        <w:framePr w:w="2803" w:hAnchor="page" w:vAnchor="page" w:x="1766" w:y="164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Checkbox not checked  (b)</w:t>
      </w:r>
    </w:p>
    <w:p>
      <w:pPr>
        <w:pStyle w:val="Normal"/>
        <w:framePr w:w="2849" w:hAnchor="page" w:vAnchor="page" w:x="1766" w:y="162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Checkbox not checked  (a) </w:t>
      </w:r>
    </w:p>
    <w:p>
      <w:pPr>
        <w:pStyle w:val="Normal"/>
        <w:framePr w:w="361" w:hAnchor="page" w:vAnchor="page" w:x="842" w:y="160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2</w:t>
      </w:r>
    </w:p>
    <w:p>
      <w:pPr>
        <w:pStyle w:val="Normal"/>
        <w:framePr w:w="7256" w:hAnchor="page" w:vAnchor="page" w:x="1526" w:y="1570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the appropriate box if a member of a Group (see instructions) </w:t>
      </w:r>
    </w:p>
    <w:p>
      <w:pPr>
        <w:pStyle w:val="Normal"/>
        <w:framePr w:w="4487" w:hAnchor="page" w:vAnchor="page" w:x="1526" w:y="1537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T. Rowe Price Investment Management, Inc.</w:t>
      </w:r>
    </w:p>
    <w:p>
      <w:pPr>
        <w:pStyle w:val="Normal"/>
        <w:framePr w:w="361" w:hAnchor="page" w:vAnchor="page" w:x="842" w:y="1511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</w:t>
      </w:r>
    </w:p>
    <w:p>
      <w:pPr>
        <w:pStyle w:val="Normal"/>
        <w:framePr w:w="3186" w:hAnchor="page" w:vAnchor="page" w:x="1526" w:y="1486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Names of Reporting Persons </w:t>
      </w:r>
    </w:p>
    <w:p>
      <w:pPr>
        <w:pStyle w:val="Normal"/>
        <w:framePr w:w="1570" w:hAnchor="page" w:vAnchor="page" w:x="340" w:y="1392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Number(s):</w:t>
      </w:r>
    </w:p>
    <w:p>
      <w:pPr>
        <w:pStyle w:val="Normal"/>
        <w:framePr w:w="1355" w:hAnchor="page" w:vAnchor="page" w:x="1736" w:y="137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G87110105</w:t>
      </w:r>
    </w:p>
    <w:p>
      <w:pPr>
        <w:pStyle w:val="Normal"/>
        <w:framePr w:w="1057" w:hAnchor="page" w:vAnchor="page" w:x="340" w:y="136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CUSIP</w:t>
      </w:r>
    </w:p>
    <w:p>
      <w:pPr>
        <w:pStyle w:val="Normal"/>
        <w:framePr w:w="2599" w:hAnchor="page" w:vAnchor="page" w:x="332" w:y="12979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358" w:hAnchor="page" w:vAnchor="page" w:x="565" w:y="1075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13d-1(d)</w:t>
      </w:r>
    </w:p>
    <w:p>
      <w:pPr>
        <w:pStyle w:val="Normal"/>
        <w:framePr w:w="4344" w:hAnchor="page" w:vAnchor="page" w:x="565" w:y="104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13d-1(c)</w:t>
      </w:r>
    </w:p>
    <w:p>
      <w:pPr>
        <w:pStyle w:val="Normal"/>
        <w:framePr w:w="3955" w:hAnchor="page" w:vAnchor="page" w:x="565" w:y="1009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checked   Rule 13d-1(b)</w:t>
      </w:r>
    </w:p>
    <w:p>
      <w:pPr>
        <w:pStyle w:val="Normal"/>
        <w:framePr w:w="9568" w:hAnchor="page" w:vAnchor="page" w:x="325" w:y="976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 the appropriate box to designate the rule pursuant to which this Schedule is filed:</w:t>
      </w:r>
    </w:p>
    <w:p>
      <w:pPr>
        <w:pStyle w:val="Normal"/>
        <w:framePr w:w="6571" w:hAnchor="page" w:vAnchor="page" w:x="3253" w:y="89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(Date of Event Which Requires Filing of this Statement)</w:t>
      </w:r>
    </w:p>
    <w:p>
      <w:pPr>
        <w:pStyle w:val="Normal"/>
        <w:framePr w:w="1468" w:hAnchor="page" w:vAnchor="page" w:x="5573" w:y="845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4"/>
          <w:szCs w:val="24"/>
        </w:rPr>
        <w:t>03/31/2026</w:t>
      </w:r>
    </w:p>
    <w:p>
      <w:pPr>
        <w:pStyle w:val="Normal"/>
        <w:framePr w:w="2238" w:hAnchor="page" w:vAnchor="page" w:x="358" w:y="81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(CUSIP Number)</w:t>
      </w:r>
    </w:p>
    <w:p>
      <w:pPr>
        <w:pStyle w:val="Normal"/>
        <w:framePr w:w="1512" w:hAnchor="page" w:vAnchor="page" w:x="689" w:y="766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4"/>
          <w:szCs w:val="24"/>
        </w:rPr>
        <w:t>G87110105</w:t>
      </w:r>
    </w:p>
    <w:p>
      <w:pPr>
        <w:pStyle w:val="Normal"/>
        <w:framePr w:w="3036" w:hAnchor="page" w:vAnchor="page" w:x="3769" w:y="62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(Title of Class of Securities)</w:t>
      </w:r>
    </w:p>
    <w:p>
      <w:pPr>
        <w:pStyle w:val="Normal"/>
        <w:framePr w:w="2291" w:hAnchor="page" w:vAnchor="page" w:x="4108" w:y="582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1932" w:hAnchor="page" w:vAnchor="page" w:x="4271" w:y="49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(Name of Issuer)</w:t>
      </w:r>
    </w:p>
    <w:p>
      <w:pPr>
        <w:pStyle w:val="Normal"/>
        <w:framePr w:w="2401" w:hAnchor="page" w:vAnchor="page" w:x="4058" w:y="45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2242" w:hAnchor="page" w:vAnchor="page" w:x="4130" w:y="37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(Amendment No. </w:t>
      </w: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6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)</w:t>
      </w:r>
    </w:p>
    <w:p>
      <w:pPr>
        <w:pStyle w:val="Normal"/>
        <w:framePr w:w="6544" w:hAnchor="page" w:vAnchor="page" w:x="2179" w:y="3420"/>
        <w:widowControl w:val="off"/>
        <w:autoSpaceDE w:val="off"/>
        <w:autoSpaceDN w:val="off"/>
        <w:spacing w:before="0" w:after="0" w:line="25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UNDER THE SECURITIES EXCHANGE ACT OF 1934</w:t>
      </w:r>
    </w:p>
    <w:p>
      <w:pPr>
        <w:pStyle w:val="Normal"/>
        <w:framePr w:w="2736" w:hAnchor="page" w:vAnchor="page" w:x="3941" w:y="2542"/>
        <w:widowControl w:val="off"/>
        <w:autoSpaceDE w:val="off"/>
        <w:autoSpaceDN w:val="off"/>
        <w:spacing w:before="0" w:after="0" w:line="323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5375" w:hAnchor="page" w:vAnchor="page" w:x="2811" w:y="1516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>Washington, D.C. 20549</w:t>
      </w:r>
    </w:p>
    <w:p>
      <w:pPr>
        <w:pStyle w:val="Normal"/>
        <w:framePr w:w="10831" w:hAnchor="page" w:vAnchor="page" w:x="331" w:y="1021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 xml:space="preserve">SECURITIES AND EXCHANGE COMMISSION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5.25pt;margin-top:186.4pt;z-index:-16777208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227.7pt;z-index:-16777204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5.25pt;margin-top:245.7pt;z-index:-16777200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5.25pt;margin-top:290pt;z-index:-16777196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5.25pt;margin-top:308pt;z-index:-16777192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3pt;margin-top:378.55pt;z-index:-16777188;width:9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3pt;margin-top:421.35pt;z-index:-16777184;width:9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09.85pt;margin-top:378.55pt;z-index:-16777180;width:2.75pt;height:45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3pt;margin-top:378.55pt;z-index:-16777176;width:2.75pt;height:45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5.25pt;margin-top:380.8pt;z-index:-16777172;width:95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419.1pt;z-index:-16777168;width:95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07.6pt;margin-top:380.8pt;z-index:-16777164;width:2.75pt;height:41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25pt;margin-top:380.8pt;z-index:-16777160;width:2.75pt;height:41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6.75pt;margin-top:382.3pt;z-index:-16777156;width:92.1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6.75pt;margin-top:401.85pt;z-index:-16777152;width:92.1pt;height:18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3pt;margin-top:422.1pt;z-index:-16777148;width:58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3pt;margin-top:441.6pt;z-index:-16777144;width:586pt;height:18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3.4pt;margin-top:679.2pt;z-index:-16777140;width:585.2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3.4pt;margin-top:739.25pt;z-index:-16777136;width:585.25pt;height:267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5.25pt;margin-top:837.95pt;z-index:-16777132;width:59.0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73.8pt;margin-top:837.95pt;z-index:-16777128;width:522.9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25pt;margin-top:780.9pt;z-index:-1677712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71.55pt;margin-top:741.1pt;z-index:-1677712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25pt;margin-top:741.1pt;z-index:-167771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73.8pt;margin-top:780.9pt;z-index:-16777112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594pt;margin-top:741.1pt;z-index:-1677710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73.8pt;margin-top:741.1pt;z-index:-167771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75.3pt;margin-top:767.4pt;z-index:-16777100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5.25pt;margin-top:835.7pt;z-index:-1677709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71.55pt;margin-top:783.15pt;z-index:-1677709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5.25pt;margin-top:783.15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73.8pt;margin-top:835.7pt;z-index:-1677708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594pt;margin-top:783.15pt;z-index:-1677708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73.8pt;margin-top:783.15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75.3pt;margin-top:809.45pt;z-index:-16777072;width:519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5.25pt;margin-top:852.2pt;z-index:-1677706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71.55pt;margin-top:837.95pt;z-index:-16777064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5.25pt;margin-top:837.95pt;z-index:-16777060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73.8pt;margin-top:852.2pt;z-index:-1677705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594pt;margin-top:837.95pt;z-index:-16777052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73.8pt;margin-top:837.95pt;z-index:-16777048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5.25pt;margin-top:894.25pt;z-index:-1677704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71.55pt;margin-top:854.45pt;z-index:-167770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5.25pt;margin-top:854.45pt;z-index:-167770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73.8pt;margin-top:894.25pt;z-index:-16777032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94pt;margin-top:854.45pt;z-index:-167770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73.8pt;margin-top:854.45pt;z-index:-167770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75.3pt;margin-top:880.75pt;z-index:-16777020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71.55pt;margin-top:896.5pt;z-index:-16777016;width:2.75pt;height:110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15.25pt;margin-top:896.5pt;z-index:-16777012;width:2.75pt;height:110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594pt;margin-top:896.5pt;z-index:-16777008;width:2.75pt;height:110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73.8pt;margin-top:896.5pt;z-index:-16777004;width:2.75pt;height:110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76.8pt;margin-top:940.8pt;z-index:-16777000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88.05pt;margin-top:898.75pt;z-index:-16776996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90.3pt;margin-top:940.8pt;z-index:-16776992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90.3pt;margin-top:898.75pt;z-index:-1677698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91.8pt;margin-top:926.55pt;z-index:-16776984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76.8pt;margin-top:985.1pt;z-index:-16776980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88.05pt;margin-top:943.05pt;z-index:-16776976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90.3pt;margin-top:985.1pt;z-index:-16776972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90.3pt;margin-top:943.05pt;z-index:-1677696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91.8pt;margin-top:970.8pt;z-index:-16776964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8.05pt;margin-top:987.35pt;z-index:-167769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90.3pt;margin-top:987.35pt;z-index:-167769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6.25pt;margin-top:504.9pt;z-index:-1677695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6.25pt;margin-top:521.45pt;z-index:-1677694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6.25pt;margin-top:537.95pt;z-index:-1677694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76.3pt;margin-top:810.45pt;z-index:-1677694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76.3pt;margin-top:823.2pt;z-index:-1677693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pt;margin-top:22pt;z-index:-16776932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3pt;margin-top:46.05pt;z-index:-16776928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5.25pt;margin-top:247.2pt;z-index:-16776924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5.25pt;margin-top:309.5pt;z-index:-16776920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6.75pt;margin-top:403.35pt;z-index:-16776916;width:92.1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13pt;margin-top:443.1pt;z-index:-16776912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pt;margin-top:566.2pt;z-index:-16776908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pt;margin-top:582.75pt;z-index:-16776904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</w:p>
    <w:p>
      <w:pPr>
        <w:pStyle w:val="Normal"/>
        <w:framePr w:w="1193" w:hAnchor="page" w:vAnchor="page" w:x="1286" w:y="19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16734474</w:t>
      </w:r>
    </w:p>
    <w:p>
      <w:pPr>
        <w:pStyle w:val="Normal"/>
        <w:framePr w:w="519" w:hAnchor="page" w:vAnchor="page" w:x="650" w:y="1957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3153" w:hAnchor="page" w:vAnchor="page" w:x="1286" w:y="1931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Amount beneficially owned: </w:t>
      </w:r>
    </w:p>
    <w:p>
      <w:pPr>
        <w:pStyle w:val="Normal"/>
        <w:framePr w:w="2282" w:hAnchor="page" w:vAnchor="page" w:x="452" w:y="190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4.   Ownership</w:t>
      </w:r>
    </w:p>
    <w:p>
      <w:pPr>
        <w:pStyle w:val="Normal"/>
        <w:framePr w:w="532" w:hAnchor="page" w:vAnchor="page" w:x="643" w:y="1837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(k)</w:t>
      </w:r>
    </w:p>
    <w:p>
      <w:pPr>
        <w:pStyle w:val="Normal"/>
        <w:framePr w:w="8245" w:hAnchor="page" w:vAnchor="page" w:x="1526" w:y="1837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Group, in accordance with Rule 240.13d-1(b)(1)(ii)(K).</w:t>
      </w:r>
    </w:p>
    <w:p>
      <w:pPr>
        <w:pStyle w:val="Normal"/>
        <w:framePr w:w="4348" w:hAnchor="page" w:vAnchor="page" w:x="1286" w:y="1805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   please specify the type of institution:</w:t>
      </w:r>
    </w:p>
    <w:p>
      <w:pPr>
        <w:pStyle w:val="Normal"/>
        <w:framePr w:w="479" w:hAnchor="page" w:vAnchor="page" w:x="668" w:y="1780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(j)</w:t>
      </w:r>
    </w:p>
    <w:p>
      <w:pPr>
        <w:pStyle w:val="Normal"/>
        <w:framePr w:w="5734" w:hAnchor="page" w:vAnchor="page" w:x="1286" w:y="1780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institution in accordance with § 240.13d-1(b)(1)(ii)(J), </w:t>
      </w:r>
    </w:p>
    <w:p>
      <w:pPr>
        <w:pStyle w:val="Normal"/>
        <w:framePr w:w="11511" w:hAnchor="page" w:vAnchor="page" w:x="1526" w:y="1754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non-U.S. institution in accordance with § 240.13d-1(b)(1)(ii)(J). If filing as a non-U.S.</w:t>
      </w:r>
    </w:p>
    <w:p>
      <w:pPr>
        <w:pStyle w:val="Normal"/>
        <w:framePr w:w="7727" w:hAnchor="page" w:vAnchor="page" w:x="1286" w:y="172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section 3(c)(14) of the Investment Company Act of 1940 (15 U.S.C. 80a-3);</w:t>
      </w:r>
    </w:p>
    <w:p>
      <w:pPr>
        <w:pStyle w:val="Normal"/>
        <w:framePr w:w="466" w:hAnchor="page" w:vAnchor="page" w:x="673" w:y="170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(i)</w:t>
      </w:r>
    </w:p>
    <w:p>
      <w:pPr>
        <w:pStyle w:val="Normal"/>
        <w:framePr w:w="11139" w:hAnchor="page" w:vAnchor="page" w:x="1526" w:y="1697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church plan that is excluded from the definition of an investment company under</w:t>
      </w:r>
    </w:p>
    <w:p>
      <w:pPr>
        <w:pStyle w:val="Normal"/>
        <w:framePr w:w="1965" w:hAnchor="page" w:vAnchor="page" w:x="1286" w:y="1666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(12 U.S.C. 1813);</w:t>
      </w:r>
    </w:p>
    <w:p>
      <w:pPr>
        <w:pStyle w:val="Normal"/>
        <w:framePr w:w="532" w:hAnchor="page" w:vAnchor="page" w:x="643" w:y="165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(h)</w:t>
      </w:r>
    </w:p>
    <w:p>
      <w:pPr>
        <w:pStyle w:val="Normal"/>
        <w:framePr w:w="11319" w:hAnchor="page" w:vAnchor="page" w:x="1526" w:y="1640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savings associations as defined in Section 3(b) of the Federal Deposit Insurance Act</w:t>
      </w:r>
    </w:p>
    <w:p>
      <w:pPr>
        <w:pStyle w:val="Normal"/>
        <w:framePr w:w="664" w:hAnchor="page" w:vAnchor="page" w:x="1286" w:y="160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(G);</w:t>
      </w:r>
    </w:p>
    <w:p>
      <w:pPr>
        <w:pStyle w:val="Normal"/>
        <w:framePr w:w="519" w:hAnchor="page" w:vAnchor="page" w:x="650" w:y="159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(g)</w:t>
      </w:r>
    </w:p>
    <w:p>
      <w:pPr>
        <w:pStyle w:val="Normal"/>
        <w:framePr w:w="11264" w:hAnchor="page" w:vAnchor="page" w:x="1526" w:y="1583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parent holding company or control person in accordance with § 240.13d-1(b)(1)(ii)</w:t>
      </w:r>
    </w:p>
    <w:p>
      <w:pPr>
        <w:pStyle w:val="Normal"/>
        <w:framePr w:w="625" w:hAnchor="page" w:vAnchor="page" w:x="1286" w:y="155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(F);</w:t>
      </w:r>
    </w:p>
    <w:p>
      <w:pPr>
        <w:pStyle w:val="Normal"/>
        <w:framePr w:w="479" w:hAnchor="page" w:vAnchor="page" w:x="668" w:y="1538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</w:t>
      </w:r>
    </w:p>
    <w:p>
      <w:pPr>
        <w:pStyle w:val="Normal"/>
        <w:framePr w:w="11378" w:hAnchor="page" w:vAnchor="page" w:x="1526" w:y="1526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An employee benefit plan or endowment fund in accordance with § 240.13d-1(b)(1)(ii)</w:t>
      </w:r>
    </w:p>
    <w:p>
      <w:pPr>
        <w:pStyle w:val="Normal"/>
        <w:framePr w:w="506" w:hAnchor="page" w:vAnchor="page" w:x="656" w:y="149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9021" w:hAnchor="page" w:vAnchor="page" w:x="1526" w:y="149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checked   An investment adviser in accordance with § 240.13d-1(b)(1)(ii)(E);</w:t>
      </w:r>
    </w:p>
    <w:p>
      <w:pPr>
        <w:pStyle w:val="Normal"/>
        <w:framePr w:w="2044" w:hAnchor="page" w:vAnchor="page" w:x="1286" w:y="146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(15 U.S.C. 80a-8);</w:t>
      </w:r>
    </w:p>
    <w:p>
      <w:pPr>
        <w:pStyle w:val="Normal"/>
        <w:framePr w:w="532" w:hAnchor="page" w:vAnchor="page" w:x="643" w:y="1450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11580" w:hAnchor="page" w:vAnchor="page" w:x="1526" w:y="143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Investment company registered under section 8 of the Investment Company Act of 1940</w:t>
      </w:r>
    </w:p>
    <w:p>
      <w:pPr>
        <w:pStyle w:val="Normal"/>
        <w:framePr w:w="506" w:hAnchor="page" w:vAnchor="page" w:x="656" w:y="140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0355" w:hAnchor="page" w:vAnchor="page" w:x="1526" w:y="140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Insurance company as defined in section 3(a)(19) of the Act (15 U.S.C. 78c);</w:t>
      </w:r>
    </w:p>
    <w:p>
      <w:pPr>
        <w:pStyle w:val="Normal"/>
        <w:framePr w:w="532" w:hAnchor="page" w:vAnchor="page" w:x="643" w:y="137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8777" w:hAnchor="page" w:vAnchor="page" w:x="1526" w:y="137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Bank as defined in section 3(a)(6) of the Act (15 U.S.C. 78c);</w:t>
      </w:r>
    </w:p>
    <w:p>
      <w:pPr>
        <w:pStyle w:val="Normal"/>
        <w:framePr w:w="519" w:hAnchor="page" w:vAnchor="page" w:x="650" w:y="134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9905" w:hAnchor="page" w:vAnchor="page" w:x="1526" w:y="134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Broker or dealer registered under section 15 of the Act (15 U.S.C. 78o);</w:t>
      </w:r>
    </w:p>
    <w:p>
      <w:pPr>
        <w:pStyle w:val="Normal"/>
        <w:framePr w:w="12408" w:hAnchor="page" w:vAnchor="page" w:x="452" w:y="131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3.   If this statement is filed pursuant to §§ 240.13d-1(b) or 240.13d-2(b) or (c), check whether the person filing is a:</w:t>
      </w:r>
    </w:p>
    <w:p>
      <w:pPr>
        <w:pStyle w:val="Normal"/>
        <w:framePr w:w="1355" w:hAnchor="page" w:vAnchor="page" w:x="1286" w:y="128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G87110105</w:t>
      </w:r>
    </w:p>
    <w:p>
      <w:pPr>
        <w:pStyle w:val="Normal"/>
        <w:framePr w:w="506" w:hAnchor="page" w:vAnchor="page" w:x="656" w:y="125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1503" w:hAnchor="page" w:vAnchor="page" w:x="1286" w:y="1229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CUSIP No.: </w:t>
      </w:r>
    </w:p>
    <w:p>
      <w:pPr>
        <w:pStyle w:val="Normal"/>
        <w:framePr w:w="2172" w:hAnchor="page" w:vAnchor="page" w:x="1286" w:y="119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532" w:hAnchor="page" w:vAnchor="page" w:x="643" w:y="1172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2911" w:hAnchor="page" w:vAnchor="page" w:x="1286" w:y="1146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Title of class of securities: </w:t>
      </w:r>
    </w:p>
    <w:p>
      <w:pPr>
        <w:pStyle w:val="Normal"/>
        <w:framePr w:w="1523" w:hAnchor="page" w:vAnchor="page" w:x="1286" w:y="1115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Maryland</w:t>
      </w:r>
    </w:p>
    <w:p>
      <w:pPr>
        <w:pStyle w:val="Normal"/>
        <w:framePr w:w="506" w:hAnchor="page" w:vAnchor="page" w:x="656" w:y="108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529" w:hAnchor="page" w:vAnchor="page" w:x="1286" w:y="1064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Citizenship: </w:t>
      </w:r>
    </w:p>
    <w:p>
      <w:pPr>
        <w:pStyle w:val="Normal"/>
        <w:framePr w:w="4117" w:hAnchor="page" w:vAnchor="page" w:x="1286" w:y="103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1307 Point Street, Baltimore, MD 21231</w:t>
      </w:r>
    </w:p>
    <w:p>
      <w:pPr>
        <w:pStyle w:val="Normal"/>
        <w:framePr w:w="532" w:hAnchor="page" w:vAnchor="page" w:x="643" w:y="1007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6133" w:hAnchor="page" w:vAnchor="page" w:x="1286" w:y="98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or principal business office or, if none, residence: </w:t>
      </w:r>
    </w:p>
    <w:p>
      <w:pPr>
        <w:pStyle w:val="Normal"/>
        <w:framePr w:w="4487" w:hAnchor="page" w:vAnchor="page" w:x="1286" w:y="950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T. Rowe Price Investment Management, Inc.</w:t>
      </w:r>
    </w:p>
    <w:p>
      <w:pPr>
        <w:pStyle w:val="Normal"/>
        <w:framePr w:w="519" w:hAnchor="page" w:vAnchor="page" w:x="650" w:y="924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2565" w:hAnchor="page" w:vAnchor="page" w:x="1286" w:y="899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person filing: </w:t>
      </w:r>
    </w:p>
    <w:p>
      <w:pPr>
        <w:pStyle w:val="Normal"/>
        <w:framePr w:w="955" w:hAnchor="page" w:vAnchor="page" w:x="452" w:y="86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2.</w:t>
      </w:r>
    </w:p>
    <w:p>
      <w:pPr>
        <w:pStyle w:val="Normal"/>
        <w:framePr w:w="8968" w:hAnchor="page" w:vAnchor="page" w:x="1286" w:y="836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HADRIAN HOUSE, WINCOMBLEE ROAD, NEWCASTLE UPON TYNE, X0, NE63PL</w:t>
      </w:r>
    </w:p>
    <w:p>
      <w:pPr>
        <w:pStyle w:val="Normal"/>
        <w:framePr w:w="532" w:hAnchor="page" w:vAnchor="page" w:x="643" w:y="810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4964" w:hAnchor="page" w:vAnchor="page" w:x="1286" w:y="78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of issuer's principal executive offices: </w:t>
      </w:r>
    </w:p>
    <w:p>
      <w:pPr>
        <w:pStyle w:val="Normal"/>
        <w:framePr w:w="2243" w:hAnchor="page" w:vAnchor="page" w:x="1286" w:y="75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519" w:hAnchor="page" w:vAnchor="page" w:x="650" w:y="72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1885" w:hAnchor="page" w:vAnchor="page" w:x="1286" w:y="70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issuer: </w:t>
      </w:r>
    </w:p>
    <w:p>
      <w:pPr>
        <w:pStyle w:val="Normal"/>
        <w:framePr w:w="955" w:hAnchor="page" w:vAnchor="page" w:x="452" w:y="67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1.</w:t>
      </w:r>
    </w:p>
    <w:p>
      <w:pPr>
        <w:pStyle w:val="Normal"/>
        <w:framePr w:w="2599" w:hAnchor="page" w:vAnchor="page" w:x="332" w:y="6043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93" w:hAnchor="page" w:vAnchor="page" w:x="1526" w:y="489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IA</w:t>
      </w:r>
    </w:p>
    <w:p>
      <w:pPr>
        <w:pStyle w:val="Normal"/>
        <w:framePr w:w="480" w:hAnchor="page" w:vAnchor="page" w:x="787" w:y="463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12</w:t>
      </w:r>
    </w:p>
    <w:p>
      <w:pPr>
        <w:pStyle w:val="Normal"/>
        <w:framePr w:w="4753" w:hAnchor="page" w:vAnchor="page" w:x="1526" w:y="43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Type of Reporting Person (See Instructions) </w:t>
      </w:r>
    </w:p>
    <w:p>
      <w:pPr>
        <w:pStyle w:val="Normal"/>
        <w:framePr w:w="797" w:hAnchor="page" w:vAnchor="page" w:x="1526" w:y="40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4.2 %</w:t>
      </w:r>
    </w:p>
    <w:p>
      <w:pPr>
        <w:pStyle w:val="Normal"/>
        <w:framePr w:w="467" w:hAnchor="page" w:vAnchor="page" w:x="794" w:y="379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11</w:t>
      </w:r>
    </w:p>
    <w:p>
      <w:pPr>
        <w:pStyle w:val="Normal"/>
        <w:framePr w:w="5313" w:hAnchor="page" w:vAnchor="page" w:x="1526" w:y="35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 represented by amount in row (9) </w:t>
      </w:r>
    </w:p>
    <w:p>
      <w:pPr>
        <w:pStyle w:val="Normal"/>
        <w:framePr w:w="2526" w:hAnchor="page" w:vAnchor="page" w:x="1766" w:y="321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</w:t>
      </w:r>
    </w:p>
    <w:p>
      <w:pPr>
        <w:pStyle w:val="Normal"/>
        <w:framePr w:w="480" w:hAnchor="page" w:vAnchor="page" w:x="787" w:y="295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10</w:t>
      </w:r>
    </w:p>
    <w:p>
      <w:pPr>
        <w:pStyle w:val="Normal"/>
        <w:framePr w:w="9127" w:hAnchor="page" w:vAnchor="page" w:x="1526" w:y="270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box if the aggregate amount in row (9) excludes certain shares (See Instructions) </w:t>
      </w:r>
    </w:p>
    <w:p>
      <w:pPr>
        <w:pStyle w:val="Normal"/>
        <w:framePr w:w="1609" w:hAnchor="page" w:vAnchor="page" w:x="1526" w:y="236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16,734,474.00</w:t>
      </w:r>
    </w:p>
    <w:p>
      <w:pPr>
        <w:pStyle w:val="Normal"/>
        <w:framePr w:w="361" w:hAnchor="page" w:vAnchor="page" w:x="842" w:y="21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9</w:t>
      </w:r>
    </w:p>
    <w:p>
      <w:pPr>
        <w:pStyle w:val="Normal"/>
        <w:framePr w:w="6997" w:hAnchor="page" w:vAnchor="page" w:x="1526" w:y="18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Aggregate Amount Beneficially Owned by Each Reporting Person </w:t>
      </w:r>
    </w:p>
    <w:p>
      <w:pPr>
        <w:pStyle w:val="Normal"/>
        <w:framePr w:w="726" w:hAnchor="page" w:vAnchor="page" w:x="1856" w:y="146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396" w:hAnchor="page" w:vAnchor="page" w:x="1609" w:y="105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8</w:t>
      </w:r>
    </w:p>
    <w:p>
      <w:pPr>
        <w:pStyle w:val="Normal"/>
        <w:framePr w:w="1044" w:hAnchor="page" w:vAnchor="page" w:x="1856" w:y="92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Power </w:t>
      </w:r>
    </w:p>
    <w:p>
      <w:pPr>
        <w:pStyle w:val="Normal"/>
        <w:framePr w:w="2366" w:hAnchor="page" w:vAnchor="page" w:x="1856" w:y="65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Shared Dispositive</w:t>
      </w:r>
    </w:p>
    <w:p>
      <w:pPr>
        <w:pStyle w:val="Normal"/>
        <w:framePr w:w="1783" w:hAnchor="page" w:vAnchor="page" w:x="1856" w:y="30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16,734,474.00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7pt;margin-top:1pt;z-index:-1677690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3.4pt;margin-top:1pt;z-index:-16776896;width:585.25pt;height:260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5.25pt;margin-top:88.8pt;z-index:-16776892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71.55pt;margin-top:1pt;z-index:-16776888;width:2.75pt;height:90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5.25pt;margin-top:1pt;z-index:-16776884;width:2.75pt;height:90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73.8pt;margin-top:88.8pt;z-index:-16776880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94pt;margin-top:1pt;z-index:-16776876;width:2.75pt;height:90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73.8pt;margin-top:1pt;z-index:-16776872;width:2.75pt;height:90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6.8pt;margin-top:28.75pt;z-index:-16776868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88.05pt;margin-top:1pt;z-index:-16776864;width:2.75pt;height:30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90.3pt;margin-top:28.75pt;z-index:-16776860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90.3pt;margin-top:1pt;z-index:-16776856;width:2.75pt;height:30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91.8pt;margin-top:14.5pt;z-index:-16776852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88.05pt;margin-top:31.05pt;z-index:-16776848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90.3pt;margin-top:31.05pt;z-index:-16776844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91.8pt;margin-top:72.3pt;z-index:-16776840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15.25pt;margin-top:130.85pt;z-index:-1677683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71.55pt;margin-top:91.1pt;z-index:-1677683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15.25pt;margin-top:91.1pt;z-index:-167768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73.8pt;margin-top:130.85pt;z-index:-1677682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94pt;margin-top:91.1pt;z-index:-1677682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73.8pt;margin-top:91.1pt;z-index:-167768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75.3pt;margin-top:117.35pt;z-index:-1677681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15.25pt;margin-top:172.9pt;z-index:-1677680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71.55pt;margin-top:133.1pt;z-index:-167768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15.25pt;margin-top:133.1pt;z-index:-167768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3.8pt;margin-top:172.9pt;z-index:-1677679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94pt;margin-top:133.1pt;z-index:-167767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73.8pt;margin-top:133.1pt;z-index:-1677678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15.25pt;margin-top:214.95pt;z-index:-1677678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71.55pt;margin-top:175.15pt;z-index:-1677678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5.25pt;margin-top:175.15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73.8pt;margin-top:214.95pt;z-index:-16776772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594pt;margin-top:175.15pt;z-index:-167767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73.8pt;margin-top:175.15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75.3pt;margin-top:201.4pt;z-index:-16776760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15.25pt;margin-top:256.95pt;z-index:-1677675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71.55pt;margin-top:217.2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15.25pt;margin-top:217.2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73.8pt;margin-top:256.95pt;z-index:-1677674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594pt;margin-top:217.2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73.8pt;margin-top:217.2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75.3pt;margin-top:243.45pt;z-index:-1677673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63.3pt;margin-top:375.55pt;z-index:-1677672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63.3pt;margin-top:416.85pt;z-index:-1677672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63.3pt;margin-top:473.9pt;z-index:-1677672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63.3pt;margin-top:515.2pt;z-index:-1677671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63.3pt;margin-top:556.45pt;z-index:-1677671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63.3pt;margin-top:597.75pt;z-index:-1677670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63.3pt;margin-top:639.05pt;z-index:-1677670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63.3pt;margin-top:990.35pt;z-index:-1677670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76.3pt;margin-top:160.4pt;z-index:-1677669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64.3pt;margin-top:671.55pt;z-index:-1677669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64.3pt;margin-top:687.3pt;z-index:-167766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64.3pt;margin-top:703.1pt;z-index:-167766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64.3pt;margin-top:718.85pt;z-index:-167766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64.3pt;margin-top:747.4pt;z-index:-1677667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64.3pt;margin-top:763.15pt;z-index:-1677667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64.3pt;margin-top:791.65pt;z-index:-1677666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64.3pt;margin-top:820.2pt;z-index:-1677666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64.3pt;margin-top:848.7pt;z-index:-1677666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64.3pt;margin-top:877.25pt;z-index:-1677665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64.3pt;margin-top:918.5pt;z-index:-1677665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</w:p>
    <w:p>
      <w:pPr>
        <w:pStyle w:val="Normal"/>
        <w:framePr w:w="796" w:hAnchor="page" w:vAnchor="page" w:x="3553" w:y="149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Date:</w:t>
      </w:r>
    </w:p>
    <w:p>
      <w:pPr>
        <w:pStyle w:val="Normal"/>
        <w:framePr w:w="1325" w:hAnchor="page" w:vAnchor="page" w:x="4934" w:y="149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05/15/2026</w:t>
      </w:r>
    </w:p>
    <w:p>
      <w:pPr>
        <w:pStyle w:val="Normal"/>
        <w:framePr w:w="1452" w:hAnchor="page" w:vAnchor="page" w:x="3553" w:y="1459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Name/Title:</w:t>
      </w:r>
    </w:p>
    <w:p>
      <w:pPr>
        <w:pStyle w:val="Normal"/>
        <w:framePr w:w="1701" w:hAnchor="page" w:vAnchor="page" w:x="4934" w:y="1459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Vice President</w:t>
      </w:r>
    </w:p>
    <w:p>
      <w:pPr>
        <w:pStyle w:val="Normal"/>
        <w:framePr w:w="1307" w:hAnchor="page" w:vAnchor="page" w:x="3553" w:y="141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Signature:</w:t>
      </w:r>
    </w:p>
    <w:p>
      <w:pPr>
        <w:pStyle w:val="Normal"/>
        <w:framePr w:w="1331" w:hAnchor="page" w:vAnchor="page" w:x="4934" w:y="141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Ellen York</w:t>
      </w:r>
    </w:p>
    <w:p>
      <w:pPr>
        <w:pStyle w:val="Normal"/>
        <w:framePr w:w="939" w:hAnchor="page" w:vAnchor="page" w:x="6195" w:y="13567"/>
        <w:widowControl w:val="off"/>
        <w:autoSpaceDE w:val="off"/>
        <w:autoSpaceDN w:val="off"/>
        <w:spacing w:before="0" w:after="0" w:line="37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  <w:t>Inc.</w:t>
      </w:r>
    </w:p>
    <w:p>
      <w:pPr>
        <w:pStyle w:val="Normal"/>
        <w:framePr w:w="6603" w:hAnchor="page" w:vAnchor="page" w:x="6195" w:y="13177"/>
        <w:widowControl w:val="off"/>
        <w:autoSpaceDE w:val="off"/>
        <w:autoSpaceDN w:val="off"/>
        <w:spacing w:before="0" w:after="0" w:line="37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  <w:t>T.  Rowe  Price  Investment  Management,</w:t>
      </w:r>
    </w:p>
    <w:p>
      <w:pPr>
        <w:pStyle w:val="Normal"/>
        <w:framePr w:w="4030" w:hAnchor="page" w:vAnchor="page" w:x="1871" w:y="125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statement is true, complete and correct. </w:t>
      </w:r>
    </w:p>
    <w:p>
      <w:pPr>
        <w:pStyle w:val="Normal"/>
        <w:framePr w:w="2945" w:hAnchor="page" w:vAnchor="page" w:x="1871" w:y="122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After reasonable inquiry</w:t>
      </w:r>
    </w:p>
    <w:p>
      <w:pPr>
        <w:pStyle w:val="Normal"/>
        <w:framePr w:w="2727" w:hAnchor="page" w:vAnchor="page" w:x="4004" w:y="122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and to the best of my</w:t>
      </w:r>
    </w:p>
    <w:p>
      <w:pPr>
        <w:pStyle w:val="Normal"/>
        <w:framePr w:w="3639" w:hAnchor="page" w:vAnchor="page" w:x="5939" w:y="122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knowledge and belief, I certify</w:t>
      </w:r>
    </w:p>
    <w:p>
      <w:pPr>
        <w:pStyle w:val="Normal"/>
        <w:framePr w:w="3762" w:hAnchor="page" w:vAnchor="page" w:x="8703" w:y="122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that the information set forth in this</w:t>
      </w:r>
    </w:p>
    <w:p>
      <w:pPr>
        <w:pStyle w:val="Normal"/>
        <w:framePr w:w="1875" w:hAnchor="page" w:vAnchor="page" w:x="326" w:y="1196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SIGNATURE</w:t>
      </w:r>
    </w:p>
    <w:p>
      <w:pPr>
        <w:pStyle w:val="Normal"/>
        <w:framePr w:w="6472" w:hAnchor="page" w:vAnchor="page" w:x="1286" w:y="1134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securities referred to, which beneficial ownership is expressly</w:t>
      </w:r>
    </w:p>
    <w:p>
      <w:pPr>
        <w:pStyle w:val="Normal"/>
        <w:framePr w:w="994" w:hAnchor="page" w:vAnchor="page" w:x="6625" w:y="1134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denied.</w:t>
      </w:r>
    </w:p>
    <w:p>
      <w:pPr>
        <w:pStyle w:val="Normal"/>
        <w:framePr w:w="11986" w:hAnchor="page" w:vAnchor="page" w:x="1286" w:y="1109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of Schedule 13G shall not be construed as an admission that Price Investment Management is the beneficial owner of the </w:t>
      </w:r>
    </w:p>
    <w:p>
      <w:pPr>
        <w:pStyle w:val="Normal"/>
        <w:framePr w:w="8883" w:hAnchor="page" w:vAnchor="page" w:x="1286" w:y="1083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nomination under ?? 240.14a-11. T. Rowe Price Investment Management, Inc. hereby</w:t>
      </w:r>
    </w:p>
    <w:p>
      <w:pPr>
        <w:pStyle w:val="Normal"/>
        <w:framePr w:w="3703" w:hAnchor="page" w:vAnchor="page" w:x="8817" w:y="1083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declares and affirms that the filing </w:t>
      </w:r>
    </w:p>
    <w:p>
      <w:pPr>
        <w:pStyle w:val="Normal"/>
        <w:framePr w:w="3532" w:hAnchor="page" w:vAnchor="page" w:x="1286" w:y="105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with or as a participant in any</w:t>
      </w:r>
    </w:p>
    <w:p>
      <w:pPr>
        <w:pStyle w:val="Normal"/>
        <w:framePr w:w="7289" w:hAnchor="page" w:vAnchor="page" w:x="3953" w:y="105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transaction having that purpose or effect, other than activities solely</w:t>
      </w:r>
    </w:p>
    <w:p>
      <w:pPr>
        <w:pStyle w:val="Normal"/>
        <w:framePr w:w="2367" w:hAnchor="page" w:vAnchor="page" w:x="10035" w:y="105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in connection with a </w:t>
      </w:r>
    </w:p>
    <w:p>
      <w:pPr>
        <w:pStyle w:val="Normal"/>
        <w:framePr w:w="11979" w:hAnchor="page" w:vAnchor="page" w:x="1286" w:y="103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changing or influencing the control of the issuer of the securities and were not acquired and are not held in connection </w:t>
      </w:r>
    </w:p>
    <w:p>
      <w:pPr>
        <w:pStyle w:val="Normal"/>
        <w:framePr w:w="2852" w:hAnchor="page" w:vAnchor="page" w:x="1286" w:y="1007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are held in the ordinary</w:t>
      </w:r>
    </w:p>
    <w:p>
      <w:pPr>
        <w:pStyle w:val="Normal"/>
        <w:framePr w:w="9728" w:hAnchor="page" w:vAnchor="page" w:x="3334" w:y="1007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course of business and were not acquired and are not held for the purpose of or with the effect of </w:t>
      </w:r>
    </w:p>
    <w:p>
      <w:pPr>
        <w:pStyle w:val="Normal"/>
        <w:framePr w:w="3469" w:hAnchor="page" w:vAnchor="page" w:x="1286" w:y="98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By signing below I certify</w:t>
      </w:r>
    </w:p>
    <w:p>
      <w:pPr>
        <w:pStyle w:val="Normal"/>
        <w:framePr w:w="2759" w:hAnchor="page" w:vAnchor="page" w:x="3571" w:y="98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that, to the best of my</w:t>
      </w:r>
    </w:p>
    <w:p>
      <w:pPr>
        <w:pStyle w:val="Normal"/>
        <w:framePr w:w="7308" w:hAnchor="page" w:vAnchor="page" w:x="5535" w:y="98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knowledge and belief, the securities referred to above were acquired and </w:t>
      </w:r>
    </w:p>
    <w:p>
      <w:pPr>
        <w:pStyle w:val="Normal"/>
        <w:framePr w:w="2684" w:hAnchor="page" w:vAnchor="page" w:x="398" w:y="950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10.  Certifications:</w:t>
      </w:r>
    </w:p>
    <w:p>
      <w:pPr>
        <w:pStyle w:val="Normal"/>
        <w:framePr w:w="1701" w:hAnchor="page" w:vAnchor="page" w:x="1286" w:y="888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4304" w:hAnchor="page" w:vAnchor="page" w:x="452" w:y="857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9.   Notice of Dissolution of Group.</w:t>
      </w:r>
    </w:p>
    <w:p>
      <w:pPr>
        <w:pStyle w:val="Normal"/>
        <w:framePr w:w="1701" w:hAnchor="page" w:vAnchor="page" w:x="1286" w:y="825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7110" w:hAnchor="page" w:vAnchor="page" w:x="452" w:y="79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8.   Identification and Classification of Members of the Group.</w:t>
      </w:r>
    </w:p>
    <w:p>
      <w:pPr>
        <w:pStyle w:val="Normal"/>
        <w:framePr w:w="1701" w:hAnchor="page" w:vAnchor="page" w:x="1286" w:y="762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4060" w:hAnchor="page" w:vAnchor="page" w:x="1286" w:y="73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Holding Company or Control Person.</w:t>
      </w:r>
    </w:p>
    <w:p>
      <w:pPr>
        <w:pStyle w:val="Normal"/>
        <w:framePr w:w="955" w:hAnchor="page" w:vAnchor="page" w:x="452" w:y="717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7.</w:t>
      </w:r>
    </w:p>
    <w:p>
      <w:pPr>
        <w:pStyle w:val="Normal"/>
        <w:framePr w:w="11687" w:hAnchor="page" w:vAnchor="page" w:x="1286" w:y="70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Identification and Classification of the Subsidiary Which Acquired the Security Being Reported on by the Parent</w:t>
      </w:r>
    </w:p>
    <w:p>
      <w:pPr>
        <w:pStyle w:val="Normal"/>
        <w:framePr w:w="1701" w:hAnchor="page" w:vAnchor="page" w:x="1286" w:y="673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7666" w:hAnchor="page" w:vAnchor="page" w:x="452" w:y="64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6.   Ownership of more than 5 Percent on Behalf of Another Person.</w:t>
      </w:r>
    </w:p>
    <w:p>
      <w:pPr>
        <w:pStyle w:val="Normal"/>
        <w:framePr w:w="6135" w:hAnchor="page" w:vAnchor="page" w:x="1526" w:y="61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Checkbox checked    Ownership of 5 percent or less of a class</w:t>
      </w:r>
    </w:p>
    <w:p>
      <w:pPr>
        <w:pStyle w:val="Normal"/>
        <w:framePr w:w="5439" w:hAnchor="page" w:vAnchor="page" w:x="452" w:y="579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5.   Ownership of 5 Percent or Less of a Class.</w:t>
      </w:r>
    </w:p>
    <w:p>
      <w:pPr>
        <w:pStyle w:val="Normal"/>
        <w:framePr w:w="361" w:hAnchor="page" w:vAnchor="page" w:x="1286" w:y="522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6234" w:hAnchor="page" w:vAnchor="page" w:x="1286" w:y="47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(iv) Shared power to dispose or to direct the disposition of: </w:t>
      </w:r>
    </w:p>
    <w:p>
      <w:pPr>
        <w:pStyle w:val="Normal"/>
        <w:framePr w:w="1193" w:hAnchor="page" w:vAnchor="page" w:x="1286" w:y="414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16734474</w:t>
      </w:r>
    </w:p>
    <w:p>
      <w:pPr>
        <w:pStyle w:val="Normal"/>
        <w:framePr w:w="5947" w:hAnchor="page" w:vAnchor="page" w:x="1286" w:y="363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(iii) Sole power to dispose or to direct the disposition of: </w:t>
      </w:r>
    </w:p>
    <w:p>
      <w:pPr>
        <w:pStyle w:val="Normal"/>
        <w:framePr w:w="361" w:hAnchor="page" w:vAnchor="page" w:x="1286" w:y="306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4932" w:hAnchor="page" w:vAnchor="page" w:x="1286" w:y="25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(ii) Shared power to vote or to direct the vote: </w:t>
      </w:r>
    </w:p>
    <w:p>
      <w:pPr>
        <w:pStyle w:val="Normal"/>
        <w:framePr w:w="1193" w:hAnchor="page" w:vAnchor="page" w:x="1286" w:y="19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16680501</w:t>
      </w:r>
    </w:p>
    <w:p>
      <w:pPr>
        <w:pStyle w:val="Normal"/>
        <w:framePr w:w="4567" w:hAnchor="page" w:vAnchor="page" w:x="1286" w:y="146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(i) Sole power to vote or to direct the vote: </w:t>
      </w:r>
    </w:p>
    <w:p>
      <w:pPr>
        <w:pStyle w:val="Normal"/>
        <w:framePr w:w="506" w:hAnchor="page" w:vAnchor="page" w:x="656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4905" w:hAnchor="page" w:vAnchor="page" w:x="1286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Number of shares as to which the person has: </w:t>
      </w:r>
    </w:p>
    <w:p>
      <w:pPr>
        <w:pStyle w:val="Normal"/>
        <w:framePr w:w="915" w:hAnchor="page" w:vAnchor="page" w:x="1286" w:y="5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4.2  % </w:t>
      </w:r>
    </w:p>
    <w:p>
      <w:pPr>
        <w:pStyle w:val="Normal"/>
        <w:framePr w:w="532" w:hAnchor="page" w:vAnchor="page" w:x="643" w:y="4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1947" w:hAnchor="page" w:vAnchor="page" w:x="1286" w:y="7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class: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7pt;margin-top:1pt;z-index:-16776648;width:598pt;height:775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63.3pt;margin-top:28pt;z-index:-16776644;width:531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63.3pt;margin-top:97.85pt;z-index:-1677664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63.3pt;margin-top:151.9pt;z-index:-1677663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63.3pt;margin-top:205.9pt;z-index:-1677663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63.3pt;margin-top:259.95pt;z-index:-1677662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63.3pt;margin-top:304.25pt;z-index:-1677662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63.3pt;margin-top:335.8pt;z-index:-1677662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63.3pt;margin-top:380.05pt;z-index:-1677661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63.3pt;margin-top:411.6pt;z-index:-1677661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63.3pt;margin-top:443.1pt;z-index:-1677660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63.3pt;margin-top:489.65pt;z-index:-16776604;width:533.45pt;height:91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92.55pt;margin-top:612.75pt;z-index:-16776600;width:504.1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08.75pt;margin-top:657.8pt;z-index:-16776596;width:285.75pt;height:41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64.3pt;margin-top:305.25pt;z-index:-1677659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</w:p>
    <w:sectPr>
      <w:pgSz w:w="12240" w:h="20160"/>
      <w:pgMar w:top="400" w:right="400" w:bottom="400" w:left="400" w:header="720" w:footer="720"/>
      <w:pgNumType w:start="3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caef09bc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styles.xml" Type="http://schemas.openxmlformats.org/officeDocument/2006/relationships/styles"/><Relationship Id="rId158" Target="fontTable.xml" Type="http://schemas.openxmlformats.org/officeDocument/2006/relationships/fontTable"/><Relationship Id="rId159" Target="settings.xml" Type="http://schemas.openxmlformats.org/officeDocument/2006/relationships/settings"/><Relationship Id="rId16" Target="media/image16.png" Type="http://schemas.openxmlformats.org/officeDocument/2006/relationships/image"/><Relationship Id="rId160" Target="webSettings.xml" Type="http://schemas.openxmlformats.org/officeDocument/2006/relationships/webSettings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3</Pages>
  <Words>830</Words>
  <Characters>4348</Characters>
  <Application>e-iceblue</Application>
  <DocSecurity>0</DocSecurity>
  <Lines>177</Lines>
  <Paragraphs>177</Paragraphs>
  <ScaleCrop>false</ScaleCrop>
  <Company>e-iceblue</Company>
  <LinksUpToDate>false</LinksUpToDate>
  <CharactersWithSpaces>5109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2026-05-15T14:42:37Z</dcterms:created>
  <dc:creator>root</dc:creator>
  <cp:lastModifiedBy>root</cp:lastModifiedBy>
  <dcterms:modified xsi:type="dcterms:W3CDTF">2026-05-15T14:42:37Z</dcterms:modified>
  <cp:revision>1</cp:revision>
</cp:coreProperties>
</file>