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jc w:val="center"/>
        <w:spacing w:after="0" w:line="205"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6" w:lineRule="exact"/>
        <w:rPr>
          <w:sz w:val="24"/>
          <w:szCs w:val="24"/>
          <w:color w:val="auto"/>
        </w:rPr>
      </w:pPr>
    </w:p>
    <w:p>
      <w:pPr>
        <w:ind w:left="178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105"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For the quarterly period ended June 30, 2019</w:t>
      </w:r>
    </w:p>
    <w:p>
      <w:pPr>
        <w:spacing w:after="0" w:line="46" w:lineRule="exact"/>
        <w:rPr>
          <w:sz w:val="24"/>
          <w:szCs w:val="24"/>
          <w:color w:val="auto"/>
        </w:rPr>
      </w:pPr>
    </w:p>
    <w:p>
      <w:pPr>
        <w:ind w:left="5640"/>
        <w:spacing w:after="0"/>
        <w:rPr>
          <w:sz w:val="20"/>
          <w:szCs w:val="20"/>
          <w:color w:val="auto"/>
        </w:rPr>
      </w:pPr>
      <w:r>
        <w:rPr>
          <w:rFonts w:ascii="Arial" w:cs="Arial" w:eastAsia="Arial" w:hAnsi="Arial"/>
          <w:sz w:val="16"/>
          <w:szCs w:val="16"/>
          <w:color w:val="auto"/>
        </w:rPr>
        <w:t>or</w:t>
      </w:r>
    </w:p>
    <w:p>
      <w:pPr>
        <w:spacing w:after="0" w:line="50" w:lineRule="exact"/>
        <w:rPr>
          <w:sz w:val="24"/>
          <w:szCs w:val="24"/>
          <w:color w:val="auto"/>
        </w:rPr>
      </w:pPr>
    </w:p>
    <w:p>
      <w:pPr>
        <w:ind w:left="178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78"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 xml:space="preserve">For the transition period from </w:t>
      </w:r>
      <w:r>
        <w:rPr>
          <w:rFonts w:ascii="Arial" w:cs="Arial" w:eastAsia="Arial" w:hAnsi="Arial"/>
          <w:sz w:val="16"/>
          <w:szCs w:val="16"/>
          <w:color w:val="FFFFFF"/>
        </w:rPr>
        <w:t>_____</w:t>
      </w:r>
      <w:r>
        <w:rPr>
          <w:rFonts w:ascii="Arial" w:cs="Arial" w:eastAsia="Arial" w:hAnsi="Arial"/>
          <w:sz w:val="16"/>
          <w:szCs w:val="16"/>
          <w:color w:val="auto"/>
        </w:rPr>
        <w:t xml:space="preserve"> to </w:t>
      </w:r>
      <w:r>
        <w:rPr>
          <w:rFonts w:ascii="Arial" w:cs="Arial" w:eastAsia="Arial" w:hAnsi="Arial"/>
          <w:sz w:val="16"/>
          <w:szCs w:val="16"/>
          <w:color w:val="FFFFFF"/>
        </w:rPr>
        <w:t>_____</w:t>
      </w:r>
      <w:r>
        <w:rPr>
          <w:rFonts w:ascii="Arial" w:cs="Arial" w:eastAsia="Arial" w:hAnsi="Arial"/>
          <w:sz w:val="16"/>
          <w:szCs w:val="16"/>
          <w:color w:val="auto"/>
        </w:rPr>
        <w:t xml:space="preserve"> .</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001-37983</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0" w:lineRule="exact"/>
        <w:rPr>
          <w:sz w:val="24"/>
          <w:szCs w:val="24"/>
          <w:color w:val="auto"/>
        </w:rPr>
      </w:pPr>
    </w:p>
    <w:p>
      <w:pPr>
        <w:spacing w:after="0" w:line="246" w:lineRule="exact"/>
        <w:rPr>
          <w:sz w:val="24"/>
          <w:szCs w:val="24"/>
          <w:color w:val="auto"/>
        </w:rPr>
      </w:pPr>
    </w:p>
    <w:tbl>
      <w:tblPr>
        <w:tblLayout w:type="fixed"/>
        <w:tblInd w:w="1240" w:type="dxa"/>
        <w:tblCellMar>
          <w:top w:w="0" w:type="dxa"/>
          <w:left w:w="0" w:type="dxa"/>
          <w:bottom w:w="0" w:type="dxa"/>
          <w:right w:w="0" w:type="dxa"/>
        </w:tblCellMar>
      </w:tblPr>
      <w:tr>
        <w:trPr>
          <w:trHeight w:val="215"/>
        </w:trPr>
        <w:tc>
          <w:tcPr>
            <w:tcW w:w="6160" w:type="dxa"/>
            <w:vAlign w:val="bottom"/>
          </w:tcPr>
          <w:p>
            <w:pPr>
              <w:jc w:val="center"/>
              <w:ind w:right="2826"/>
              <w:spacing w:after="0"/>
              <w:rPr>
                <w:sz w:val="20"/>
                <w:szCs w:val="20"/>
                <w:color w:val="auto"/>
              </w:rPr>
            </w:pPr>
            <w:r>
              <w:rPr>
                <w:rFonts w:ascii="Arial" w:cs="Arial" w:eastAsia="Arial" w:hAnsi="Arial"/>
                <w:sz w:val="16"/>
                <w:szCs w:val="16"/>
                <w:b w:val="1"/>
                <w:bCs w:val="1"/>
                <w:color w:val="auto"/>
              </w:rPr>
              <w:t>United Kingdom</w:t>
            </w:r>
          </w:p>
        </w:tc>
        <w:tc>
          <w:tcPr>
            <w:tcW w:w="2140" w:type="dxa"/>
            <w:vAlign w:val="bottom"/>
          </w:tcPr>
          <w:p>
            <w:pPr>
              <w:jc w:val="right"/>
              <w:ind w:right="468"/>
              <w:spacing w:after="0"/>
              <w:rPr>
                <w:sz w:val="20"/>
                <w:szCs w:val="20"/>
                <w:color w:val="auto"/>
              </w:rPr>
            </w:pPr>
            <w:r>
              <w:rPr>
                <w:rFonts w:ascii="Arial" w:cs="Arial" w:eastAsia="Arial" w:hAnsi="Arial"/>
                <w:sz w:val="16"/>
                <w:szCs w:val="16"/>
                <w:b w:val="1"/>
                <w:bCs w:val="1"/>
                <w:color w:val="auto"/>
              </w:rPr>
              <w:t>98-1283037</w:t>
            </w:r>
          </w:p>
        </w:tc>
      </w:tr>
      <w:tr>
        <w:trPr>
          <w:trHeight w:val="193"/>
        </w:trPr>
        <w:tc>
          <w:tcPr>
            <w:tcW w:w="6160" w:type="dxa"/>
            <w:vAlign w:val="bottom"/>
          </w:tcPr>
          <w:p>
            <w:pPr>
              <w:jc w:val="center"/>
              <w:ind w:right="2826"/>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2140" w:type="dxa"/>
            <w:vAlign w:val="bottom"/>
          </w:tcPr>
          <w:p>
            <w:pPr>
              <w:jc w:val="center"/>
              <w:ind w:left="128"/>
              <w:spacing w:after="0"/>
              <w:rPr>
                <w:sz w:val="20"/>
                <w:szCs w:val="20"/>
                <w:color w:val="auto"/>
              </w:rPr>
            </w:pPr>
            <w:r>
              <w:rPr>
                <w:rFonts w:ascii="Arial" w:cs="Arial" w:eastAsia="Arial" w:hAnsi="Arial"/>
                <w:sz w:val="13"/>
                <w:szCs w:val="13"/>
                <w:color w:val="auto"/>
                <w:w w:val="96"/>
              </w:rPr>
              <w:t>(I.R.S. Employer Identification No.)</w:t>
            </w:r>
          </w:p>
        </w:tc>
      </w:tr>
      <w:tr>
        <w:trPr>
          <w:trHeight w:val="469"/>
        </w:trPr>
        <w:tc>
          <w:tcPr>
            <w:tcW w:w="6160" w:type="dxa"/>
            <w:vAlign w:val="bottom"/>
          </w:tcPr>
          <w:p>
            <w:pPr>
              <w:jc w:val="center"/>
              <w:ind w:right="2806"/>
              <w:spacing w:after="0"/>
              <w:rPr>
                <w:sz w:val="20"/>
                <w:szCs w:val="20"/>
                <w:color w:val="auto"/>
              </w:rPr>
            </w:pPr>
            <w:r>
              <w:rPr>
                <w:rFonts w:ascii="Arial" w:cs="Arial" w:eastAsia="Arial" w:hAnsi="Arial"/>
                <w:sz w:val="16"/>
                <w:szCs w:val="16"/>
                <w:b w:val="1"/>
                <w:bCs w:val="1"/>
                <w:color w:val="auto"/>
              </w:rPr>
              <w:t>One St. Paul’s Churchyard</w:t>
            </w:r>
          </w:p>
        </w:tc>
        <w:tc>
          <w:tcPr>
            <w:tcW w:w="2140" w:type="dxa"/>
            <w:vAlign w:val="bottom"/>
          </w:tcPr>
          <w:p>
            <w:pPr>
              <w:spacing w:after="0"/>
              <w:rPr>
                <w:sz w:val="24"/>
                <w:szCs w:val="24"/>
                <w:color w:val="auto"/>
              </w:rPr>
            </w:pPr>
          </w:p>
        </w:tc>
      </w:tr>
      <w:tr>
        <w:trPr>
          <w:trHeight w:val="270"/>
        </w:trPr>
        <w:tc>
          <w:tcPr>
            <w:tcW w:w="6160" w:type="dxa"/>
            <w:vAlign w:val="bottom"/>
          </w:tcPr>
          <w:p>
            <w:pPr>
              <w:jc w:val="center"/>
              <w:ind w:right="2826"/>
              <w:spacing w:after="0"/>
              <w:rPr>
                <w:sz w:val="20"/>
                <w:szCs w:val="20"/>
                <w:color w:val="auto"/>
              </w:rPr>
            </w:pPr>
            <w:r>
              <w:rPr>
                <w:rFonts w:ascii="Arial" w:cs="Arial" w:eastAsia="Arial" w:hAnsi="Arial"/>
                <w:sz w:val="16"/>
                <w:szCs w:val="16"/>
                <w:b w:val="1"/>
                <w:bCs w:val="1"/>
                <w:color w:val="auto"/>
                <w:w w:val="98"/>
              </w:rPr>
              <w:t>London</w:t>
            </w:r>
          </w:p>
        </w:tc>
        <w:tc>
          <w:tcPr>
            <w:tcW w:w="2140" w:type="dxa"/>
            <w:vAlign w:val="bottom"/>
          </w:tcPr>
          <w:p>
            <w:pPr>
              <w:spacing w:after="0"/>
              <w:rPr>
                <w:sz w:val="23"/>
                <w:szCs w:val="23"/>
                <w:color w:val="auto"/>
              </w:rPr>
            </w:pPr>
          </w:p>
        </w:tc>
      </w:tr>
      <w:tr>
        <w:trPr>
          <w:trHeight w:val="270"/>
        </w:trPr>
        <w:tc>
          <w:tcPr>
            <w:tcW w:w="6160" w:type="dxa"/>
            <w:vAlign w:val="bottom"/>
          </w:tcPr>
          <w:p>
            <w:pPr>
              <w:jc w:val="center"/>
              <w:ind w:right="2826"/>
              <w:spacing w:after="0"/>
              <w:rPr>
                <w:sz w:val="20"/>
                <w:szCs w:val="20"/>
                <w:color w:val="auto"/>
              </w:rPr>
            </w:pPr>
            <w:r>
              <w:rPr>
                <w:rFonts w:ascii="Arial" w:cs="Arial" w:eastAsia="Arial" w:hAnsi="Arial"/>
                <w:sz w:val="16"/>
                <w:szCs w:val="16"/>
                <w:b w:val="1"/>
                <w:bCs w:val="1"/>
                <w:color w:val="auto"/>
              </w:rPr>
              <w:t>United Kingdom</w:t>
            </w:r>
          </w:p>
        </w:tc>
        <w:tc>
          <w:tcPr>
            <w:tcW w:w="2140" w:type="dxa"/>
            <w:vAlign w:val="bottom"/>
          </w:tcPr>
          <w:p>
            <w:pPr>
              <w:jc w:val="center"/>
              <w:ind w:left="108"/>
              <w:spacing w:after="0"/>
              <w:rPr>
                <w:sz w:val="20"/>
                <w:szCs w:val="20"/>
                <w:color w:val="auto"/>
              </w:rPr>
            </w:pPr>
            <w:r>
              <w:rPr>
                <w:rFonts w:ascii="Arial" w:cs="Arial" w:eastAsia="Arial" w:hAnsi="Arial"/>
                <w:sz w:val="16"/>
                <w:szCs w:val="16"/>
                <w:b w:val="1"/>
                <w:bCs w:val="1"/>
                <w:color w:val="auto"/>
                <w:w w:val="99"/>
              </w:rPr>
              <w:t>EC4M 8AP</w:t>
            </w:r>
          </w:p>
        </w:tc>
      </w:tr>
      <w:tr>
        <w:trPr>
          <w:trHeight w:val="193"/>
        </w:trPr>
        <w:tc>
          <w:tcPr>
            <w:tcW w:w="6160" w:type="dxa"/>
            <w:vAlign w:val="bottom"/>
          </w:tcPr>
          <w:p>
            <w:pPr>
              <w:jc w:val="center"/>
              <w:ind w:right="2826"/>
              <w:spacing w:after="0"/>
              <w:rPr>
                <w:sz w:val="20"/>
                <w:szCs w:val="20"/>
                <w:color w:val="auto"/>
              </w:rPr>
            </w:pPr>
            <w:r>
              <w:rPr>
                <w:rFonts w:ascii="Arial" w:cs="Arial" w:eastAsia="Arial" w:hAnsi="Arial"/>
                <w:sz w:val="13"/>
                <w:szCs w:val="13"/>
                <w:color w:val="auto"/>
                <w:w w:val="96"/>
              </w:rPr>
              <w:t>(Address of principal executive offices)</w:t>
            </w:r>
          </w:p>
        </w:tc>
        <w:tc>
          <w:tcPr>
            <w:tcW w:w="2140" w:type="dxa"/>
            <w:vAlign w:val="bottom"/>
          </w:tcPr>
          <w:p>
            <w:pPr>
              <w:jc w:val="center"/>
              <w:ind w:left="108"/>
              <w:spacing w:after="0"/>
              <w:rPr>
                <w:sz w:val="20"/>
                <w:szCs w:val="20"/>
                <w:color w:val="auto"/>
              </w:rPr>
            </w:pPr>
            <w:r>
              <w:rPr>
                <w:rFonts w:ascii="Arial" w:cs="Arial" w:eastAsia="Arial" w:hAnsi="Arial"/>
                <w:sz w:val="13"/>
                <w:szCs w:val="13"/>
                <w:color w:val="auto"/>
                <w:w w:val="97"/>
              </w:rPr>
              <w:t>(Zip Code)</w:t>
            </w:r>
          </w:p>
        </w:tc>
      </w:tr>
      <w:tr>
        <w:trPr>
          <w:trHeight w:val="253"/>
        </w:trPr>
        <w:tc>
          <w:tcPr>
            <w:tcW w:w="6160" w:type="dxa"/>
            <w:vAlign w:val="bottom"/>
          </w:tcPr>
          <w:p>
            <w:pPr>
              <w:jc w:val="right"/>
              <w:ind w:right="946"/>
              <w:spacing w:after="0"/>
              <w:rPr>
                <w:sz w:val="20"/>
                <w:szCs w:val="20"/>
                <w:color w:val="auto"/>
              </w:rPr>
            </w:pPr>
            <w:r>
              <w:rPr>
                <w:rFonts w:ascii="Arial" w:cs="Arial" w:eastAsia="Arial" w:hAnsi="Arial"/>
                <w:sz w:val="16"/>
                <w:szCs w:val="16"/>
                <w:b w:val="1"/>
                <w:bCs w:val="1"/>
                <w:color w:val="auto"/>
              </w:rPr>
              <w:t>+44 203-429-3950</w:t>
            </w:r>
          </w:p>
        </w:tc>
        <w:tc>
          <w:tcPr>
            <w:tcW w:w="2140" w:type="dxa"/>
            <w:vAlign w:val="bottom"/>
          </w:tcPr>
          <w:p>
            <w:pPr>
              <w:spacing w:after="0"/>
              <w:rPr>
                <w:sz w:val="22"/>
                <w:szCs w:val="22"/>
                <w:color w:val="auto"/>
              </w:rPr>
            </w:pPr>
          </w:p>
        </w:tc>
      </w:tr>
      <w:tr>
        <w:trPr>
          <w:trHeight w:val="146"/>
        </w:trPr>
        <w:tc>
          <w:tcPr>
            <w:tcW w:w="6160" w:type="dxa"/>
            <w:vAlign w:val="bottom"/>
          </w:tcPr>
          <w:p>
            <w:pPr>
              <w:jc w:val="center"/>
              <w:ind w:left="2726"/>
              <w:spacing w:after="0" w:line="146" w:lineRule="exact"/>
              <w:rPr>
                <w:sz w:val="20"/>
                <w:szCs w:val="20"/>
                <w:color w:val="auto"/>
              </w:rPr>
            </w:pPr>
            <w:r>
              <w:rPr>
                <w:rFonts w:ascii="Arial" w:cs="Arial" w:eastAsia="Arial" w:hAnsi="Arial"/>
                <w:sz w:val="13"/>
                <w:szCs w:val="13"/>
                <w:color w:val="auto"/>
                <w:w w:val="96"/>
              </w:rPr>
              <w:t>(Registrant’s telephone number, including area code)</w:t>
            </w:r>
          </w:p>
        </w:tc>
        <w:tc>
          <w:tcPr>
            <w:tcW w:w="2140" w:type="dxa"/>
            <w:vAlign w:val="bottom"/>
          </w:tcPr>
          <w:p>
            <w:pPr>
              <w:spacing w:after="0"/>
              <w:rPr>
                <w:sz w:val="12"/>
                <w:szCs w:val="12"/>
                <w:color w:val="auto"/>
              </w:rPr>
            </w:pPr>
          </w:p>
        </w:tc>
      </w:tr>
    </w:tbl>
    <w:p>
      <w:pPr>
        <w:ind w:left="3560"/>
        <w:spacing w:after="0"/>
        <w:rPr>
          <w:sz w:val="20"/>
          <w:szCs w:val="20"/>
          <w:color w:val="auto"/>
        </w:rPr>
      </w:pPr>
      <w:r>
        <w:rPr>
          <w:rFonts w:ascii="Arial" w:cs="Arial" w:eastAsia="Arial" w:hAnsi="Arial"/>
          <w:sz w:val="14"/>
          <w:szCs w:val="14"/>
          <w:color w:val="auto"/>
        </w:rPr>
        <w:t>______________________________________________________</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771" w:right="239" w:bottom="1440" w:gutter="0" w:footer="0" w:header="0"/>
        </w:sectPr>
      </w:pPr>
    </w:p>
    <w:p>
      <w:pPr>
        <w:spacing w:after="0" w:line="55"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520" w:space="720"/>
            <w:col w:w="1600" w:space="720"/>
            <w:col w:w="3860"/>
          </w:cols>
          <w:pgMar w:left="240" w:top="771" w:right="23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37" w:lineRule="exact"/>
        <w:rPr>
          <w:sz w:val="24"/>
          <w:szCs w:val="24"/>
          <w:color w:val="auto"/>
        </w:rPr>
      </w:pPr>
    </w:p>
    <w:p>
      <w:pPr>
        <w:sectPr>
          <w:pgSz w:w="11900" w:h="16838" w:orient="portrait"/>
          <w:cols w:equalWidth="0" w:num="3">
            <w:col w:w="4940" w:space="720"/>
            <w:col w:w="1920" w:space="720"/>
            <w:col w:w="3120"/>
          </w:cols>
          <w:pgMar w:left="240" w:top="771"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8" w:lineRule="exact"/>
        <w:rPr>
          <w:sz w:val="24"/>
          <w:szCs w:val="24"/>
          <w:color w:val="auto"/>
        </w:rPr>
      </w:pPr>
    </w:p>
    <w:p>
      <w:pPr>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ind w:right="20"/>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ind w:right="2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52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52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2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252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1" w:lineRule="exact"/>
        <w:rPr>
          <w:sz w:val="24"/>
          <w:szCs w:val="24"/>
          <w:color w:val="auto"/>
        </w:rPr>
      </w:pPr>
    </w:p>
    <w:p>
      <w:pPr>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right="338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3800" w:type="dxa"/>
            <w:vAlign w:val="bottom"/>
            <w:gridSpan w:val="2"/>
          </w:tcPr>
          <w:p>
            <w:pPr>
              <w:jc w:val="center"/>
              <w:ind w:right="3420"/>
              <w:spacing w:after="0"/>
              <w:rPr>
                <w:sz w:val="20"/>
                <w:szCs w:val="20"/>
                <w:color w:val="auto"/>
              </w:rPr>
            </w:pPr>
            <w:r>
              <w:rPr>
                <w:rFonts w:ascii="Arial" w:cs="Arial" w:eastAsia="Arial" w:hAnsi="Arial"/>
                <w:sz w:val="14"/>
                <w:szCs w:val="14"/>
                <w:b w:val="1"/>
                <w:bCs w:val="1"/>
                <w:color w:val="auto"/>
              </w:rPr>
              <w:t>Class</w:t>
            </w:r>
          </w:p>
        </w:tc>
        <w:tc>
          <w:tcPr>
            <w:tcW w:w="552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rPr>
              <w:t>Outstanding at August 5, 2019</w:t>
            </w:r>
          </w:p>
        </w:tc>
      </w:tr>
      <w:tr>
        <w:trPr>
          <w:trHeight w:val="20"/>
        </w:trPr>
        <w:tc>
          <w:tcPr>
            <w:tcW w:w="2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5"/>
        </w:trPr>
        <w:tc>
          <w:tcPr>
            <w:tcW w:w="59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Ordinary shares, $1.00 par value per share</w:t>
            </w:r>
          </w:p>
        </w:tc>
        <w:tc>
          <w:tcPr>
            <w:tcW w:w="4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446,481,753</w:t>
            </w:r>
          </w:p>
        </w:tc>
        <w:tc>
          <w:tcPr>
            <w:tcW w:w="1300" w:type="dxa"/>
            <w:vAlign w:val="bottom"/>
          </w:tcPr>
          <w:p>
            <w:pPr>
              <w:spacing w:after="0"/>
              <w:rPr>
                <w:sz w:val="19"/>
                <w:szCs w:val="19"/>
                <w:color w:val="auto"/>
              </w:rPr>
            </w:pPr>
          </w:p>
        </w:tc>
      </w:tr>
      <w:tr>
        <w:trPr>
          <w:trHeight w:val="201"/>
        </w:trPr>
        <w:tc>
          <w:tcPr>
            <w:tcW w:w="2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15"/>
        </w:trPr>
        <w:tc>
          <w:tcPr>
            <w:tcW w:w="2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771"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6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60" w:type="dxa"/>
            <w:vAlign w:val="bottom"/>
            <w:gridSpan w:val="4"/>
          </w:tcPr>
          <w:p>
            <w:pPr>
              <w:ind w:left="2180"/>
              <w:spacing w:after="0"/>
              <w:rPr>
                <w:sz w:val="20"/>
                <w:szCs w:val="20"/>
                <w:color w:val="auto"/>
              </w:rPr>
            </w:pPr>
            <w:r>
              <w:rPr>
                <w:rFonts w:ascii="Arial" w:cs="Arial" w:eastAsia="Arial" w:hAnsi="Arial"/>
                <w:sz w:val="14"/>
                <w:szCs w:val="14"/>
                <w:b w:val="1"/>
                <w:bCs w:val="1"/>
                <w:color w:val="auto"/>
              </w:rPr>
              <w:t>Page</w:t>
            </w:r>
          </w:p>
        </w:tc>
      </w:tr>
      <w:tr>
        <w:trPr>
          <w:trHeight w:val="182"/>
        </w:trPr>
        <w:tc>
          <w:tcPr>
            <w:tcW w:w="8860" w:type="dxa"/>
            <w:vAlign w:val="bottom"/>
            <w:gridSpan w:val="31"/>
            <w:shd w:val="clear" w:color="auto" w:fill="CCEEFF"/>
          </w:tcPr>
          <w:p>
            <w:pPr>
              <w:ind w:left="40"/>
              <w:spacing w:after="0"/>
              <w:rPr>
                <w:rFonts w:ascii="Arial" w:cs="Arial" w:eastAsia="Arial" w:hAnsi="Arial"/>
                <w:sz w:val="14"/>
                <w:szCs w:val="14"/>
                <w:color w:val="0000EE"/>
              </w:rPr>
            </w:pPr>
            <w:hyperlink w:anchor="page5">
              <w:r>
                <w:rPr>
                  <w:rFonts w:ascii="Arial" w:cs="Arial" w:eastAsia="Arial" w:hAnsi="Arial"/>
                  <w:sz w:val="14"/>
                  <w:szCs w:val="14"/>
                  <w:color w:val="0000EE"/>
                </w:rPr>
                <w:t>PART I — Financial Information</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9"/>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Item 1. Financial Statements (Unaudited)</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60" w:type="dxa"/>
            <w:vAlign w:val="bottom"/>
            <w:gridSpan w:val="20"/>
            <w:shd w:val="clear" w:color="auto" w:fill="CCEEFF"/>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Condensed Consolidated Statements of Income</w:t>
              </w:r>
            </w:hyperlink>
          </w:p>
        </w:tc>
        <w:tc>
          <w:tcPr>
            <w:tcW w:w="5200" w:type="dxa"/>
            <w:vAlign w:val="bottom"/>
            <w:gridSpan w:val="8"/>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8"/>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Comprehensive Income</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8"/>
            <w:shd w:val="clear" w:color="auto" w:fill="CCEEFF"/>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Condensed Consolidated Balance Sheets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8"/>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Condensed Consolidated Statements of Cash Flows</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60" w:type="dxa"/>
            <w:vAlign w:val="bottom"/>
            <w:gridSpan w:val="26"/>
            <w:shd w:val="clear" w:color="auto" w:fill="CCEEFF"/>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Condensed Consolidated Statements of Changes in Stockholders’ Equity</w:t>
              </w:r>
            </w:hyperlink>
          </w:p>
        </w:tc>
        <w:tc>
          <w:tcPr>
            <w:tcW w:w="3600" w:type="dxa"/>
            <w:vAlign w:val="bottom"/>
            <w:gridSpan w:val="2"/>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60" w:type="dxa"/>
            <w:vAlign w:val="bottom"/>
            <w:gridSpan w:val="26"/>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Condensed Consolidated Financial Statements</w:t>
              </w:r>
            </w:hyperlink>
          </w:p>
        </w:tc>
        <w:tc>
          <w:tcPr>
            <w:tcW w:w="3600" w:type="dxa"/>
            <w:vAlign w:val="bottom"/>
            <w:gridSpan w:val="2"/>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140" w:type="dxa"/>
            <w:vAlign w:val="bottom"/>
            <w:gridSpan w:val="28"/>
            <w:shd w:val="clear" w:color="auto" w:fill="CCEEFF"/>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Item 2. Management’s Discussion and Analysis of Financial Condition and Results of Operations</w:t>
              </w:r>
            </w:hyperlink>
          </w:p>
        </w:tc>
        <w:tc>
          <w:tcPr>
            <w:tcW w:w="2440" w:type="dxa"/>
            <w:vAlign w:val="bottom"/>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37">
              <w:r>
                <w:rPr>
                  <w:rFonts w:ascii="Arial" w:cs="Arial" w:eastAsia="Arial" w:hAnsi="Arial"/>
                  <w:sz w:val="14"/>
                  <w:szCs w:val="14"/>
                  <w:color w:val="0000EE"/>
                </w:rPr>
                <w:t>37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140" w:type="dxa"/>
            <w:vAlign w:val="bottom"/>
            <w:gridSpan w:val="28"/>
          </w:tcPr>
          <w:p>
            <w:pPr>
              <w:ind w:left="320"/>
              <w:spacing w:after="0"/>
              <w:rPr>
                <w:rFonts w:ascii="Arial" w:cs="Arial" w:eastAsia="Arial" w:hAnsi="Arial"/>
                <w:sz w:val="14"/>
                <w:szCs w:val="14"/>
                <w:color w:val="0000EE"/>
              </w:rPr>
            </w:pPr>
            <w:hyperlink w:anchor="page37">
              <w:r>
                <w:rPr>
                  <w:rFonts w:ascii="Arial" w:cs="Arial" w:eastAsia="Arial" w:hAnsi="Arial"/>
                  <w:sz w:val="14"/>
                  <w:szCs w:val="14"/>
                  <w:color w:val="0000EE"/>
                </w:rPr>
                <w:t>Business Outlook</w:t>
              </w:r>
            </w:hyperlink>
          </w:p>
        </w:tc>
        <w:tc>
          <w:tcPr>
            <w:tcW w:w="2440" w:type="dxa"/>
            <w:vAlign w:val="bottom"/>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37">
              <w:r>
                <w:rPr>
                  <w:rFonts w:ascii="Arial" w:cs="Arial" w:eastAsia="Arial" w:hAnsi="Arial"/>
                  <w:sz w:val="14"/>
                  <w:szCs w:val="14"/>
                  <w:color w:val="0000EE"/>
                </w:rPr>
                <w:t>37</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8"/>
            <w:shd w:val="clear" w:color="auto" w:fill="CCEEFF"/>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Consolidated Results of Operations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39">
              <w:r>
                <w:rPr>
                  <w:rFonts w:ascii="Arial" w:cs="Arial" w:eastAsia="Arial" w:hAnsi="Arial"/>
                  <w:sz w:val="14"/>
                  <w:szCs w:val="14"/>
                  <w:color w:val="0000EE"/>
                </w:rPr>
                <w:t>39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gridSpan w:val="17"/>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Segment Results of Operations</w:t>
              </w:r>
            </w:hyperlink>
          </w:p>
        </w:tc>
        <w:tc>
          <w:tcPr>
            <w:tcW w:w="6000" w:type="dxa"/>
            <w:vAlign w:val="bottom"/>
            <w:gridSpan w:val="11"/>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43">
              <w:r>
                <w:rPr>
                  <w:rFonts w:ascii="Arial" w:cs="Arial" w:eastAsia="Arial" w:hAnsi="Arial"/>
                  <w:sz w:val="14"/>
                  <w:szCs w:val="14"/>
                  <w:color w:val="0000EE"/>
                </w:rPr>
                <w:t>43</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8"/>
            <w:shd w:val="clear" w:color="auto" w:fill="CCEEFF"/>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Inbound Orders and Order Backlog</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4">
              <w:r>
                <w:rPr>
                  <w:rFonts w:ascii="Arial" w:cs="Arial" w:eastAsia="Arial" w:hAnsi="Arial"/>
                  <w:sz w:val="14"/>
                  <w:szCs w:val="14"/>
                  <w:color w:val="0000EE"/>
                </w:rPr>
                <w:t>54</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16"/>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Liquidity and Capital Resources</w:t>
              </w:r>
            </w:hyperlink>
          </w:p>
        </w:tc>
        <w:tc>
          <w:tcPr>
            <w:tcW w:w="6020" w:type="dxa"/>
            <w:vAlign w:val="bottom"/>
            <w:gridSpan w:val="12"/>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55">
              <w:r>
                <w:rPr>
                  <w:rFonts w:ascii="Arial" w:cs="Arial" w:eastAsia="Arial" w:hAnsi="Arial"/>
                  <w:sz w:val="14"/>
                  <w:szCs w:val="14"/>
                  <w:color w:val="0000EE"/>
                </w:rPr>
                <w:t>55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8"/>
            <w:shd w:val="clear" w:color="auto" w:fill="CCEEFF"/>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Critical Accounting Estimates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6">
              <w:r>
                <w:rPr>
                  <w:rFonts w:ascii="Arial" w:cs="Arial" w:eastAsia="Arial" w:hAnsi="Arial"/>
                  <w:sz w:val="14"/>
                  <w:szCs w:val="14"/>
                  <w:color w:val="0000EE"/>
                </w:rPr>
                <w:t>56</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12"/>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Other Matters</w:t>
              </w:r>
            </w:hyperlink>
          </w:p>
        </w:tc>
        <w:tc>
          <w:tcPr>
            <w:tcW w:w="6400" w:type="dxa"/>
            <w:vAlign w:val="bottom"/>
            <w:gridSpan w:val="16"/>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57">
              <w:r>
                <w:rPr>
                  <w:rFonts w:ascii="Arial" w:cs="Arial" w:eastAsia="Arial" w:hAnsi="Arial"/>
                  <w:sz w:val="14"/>
                  <w:szCs w:val="14"/>
                  <w:color w:val="0000EE"/>
                </w:rPr>
                <w:t>57</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9"/>
            <w:shd w:val="clear" w:color="auto" w:fill="CCEEFF"/>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Item 3. Quantitative and Qualitative Disclosures About Market Risk</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7">
              <w:r>
                <w:rPr>
                  <w:rFonts w:ascii="Arial" w:cs="Arial" w:eastAsia="Arial" w:hAnsi="Arial"/>
                  <w:sz w:val="14"/>
                  <w:szCs w:val="14"/>
                  <w:color w:val="0000EE"/>
                </w:rPr>
                <w:t>57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40" w:type="dxa"/>
            <w:vAlign w:val="bottom"/>
            <w:gridSpan w:val="24"/>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Item 4. Controls and Procedures</w:t>
              </w:r>
            </w:hyperlink>
          </w:p>
        </w:tc>
        <w:tc>
          <w:tcPr>
            <w:tcW w:w="4340" w:type="dxa"/>
            <w:vAlign w:val="bottom"/>
            <w:gridSpan w:val="5"/>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860" w:type="dxa"/>
            <w:vAlign w:val="bottom"/>
            <w:gridSpan w:val="31"/>
            <w:shd w:val="clear" w:color="auto" w:fill="CCEEFF"/>
          </w:tcPr>
          <w:p>
            <w:pPr>
              <w:ind w:left="40"/>
              <w:spacing w:after="0"/>
              <w:rPr>
                <w:rFonts w:ascii="Arial" w:cs="Arial" w:eastAsia="Arial" w:hAnsi="Arial"/>
                <w:sz w:val="14"/>
                <w:szCs w:val="14"/>
                <w:color w:val="0000EE"/>
              </w:rPr>
            </w:pPr>
            <w:hyperlink w:anchor="page59">
              <w:r>
                <w:rPr>
                  <w:rFonts w:ascii="Arial" w:cs="Arial" w:eastAsia="Arial" w:hAnsi="Arial"/>
                  <w:sz w:val="14"/>
                  <w:szCs w:val="14"/>
                  <w:color w:val="0000EE"/>
                </w:rPr>
                <w:t>PART II — Other Information</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9"/>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1. Legal Proceedings</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5"/>
            <w:shd w:val="clear" w:color="auto" w:fill="CCEEFF"/>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1A. Risk Factors</w:t>
              </w:r>
            </w:hyperlink>
          </w:p>
        </w:tc>
        <w:tc>
          <w:tcPr>
            <w:tcW w:w="7200" w:type="dxa"/>
            <w:vAlign w:val="bottom"/>
            <w:gridSpan w:val="24"/>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9"/>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2. Unregistered Sales of Equity Securities and Use of Proceeds</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520" w:type="dxa"/>
            <w:vAlign w:val="bottom"/>
            <w:gridSpan w:val="16"/>
            <w:shd w:val="clear" w:color="auto" w:fill="CCEEFF"/>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3. Defaults Upon Senior Securities</w:t>
              </w:r>
            </w:hyperlink>
          </w:p>
        </w:tc>
        <w:tc>
          <w:tcPr>
            <w:tcW w:w="6060" w:type="dxa"/>
            <w:vAlign w:val="bottom"/>
            <w:gridSpan w:val="13"/>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16"/>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4. Mine Safety Disclosures</w:t>
              </w:r>
            </w:hyperlink>
          </w:p>
        </w:tc>
        <w:tc>
          <w:tcPr>
            <w:tcW w:w="6060" w:type="dxa"/>
            <w:vAlign w:val="bottom"/>
            <w:gridSpan w:val="13"/>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gridSpan w:val="8"/>
            <w:shd w:val="clear" w:color="auto" w:fill="CCEEFF"/>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5. Other Information</w:t>
              </w:r>
            </w:hyperlink>
          </w:p>
        </w:tc>
        <w:tc>
          <w:tcPr>
            <w:tcW w:w="6980" w:type="dxa"/>
            <w:vAlign w:val="bottom"/>
            <w:gridSpan w:val="21"/>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8"/>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Item 6. Exhibits</w:t>
              </w:r>
            </w:hyperlink>
          </w:p>
        </w:tc>
        <w:tc>
          <w:tcPr>
            <w:tcW w:w="6980" w:type="dxa"/>
            <w:vAlign w:val="bottom"/>
            <w:gridSpan w:val="21"/>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9"/>
            <w:shd w:val="clear" w:color="auto" w:fill="CCEEFF"/>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Signature</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61">
              <w:r>
                <w:rPr>
                  <w:rFonts w:ascii="Arial" w:cs="Arial" w:eastAsia="Arial" w:hAnsi="Arial"/>
                  <w:sz w:val="14"/>
                  <w:szCs w:val="14"/>
                  <w:color w:val="0000EE"/>
                </w:rPr>
                <w:t>61</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 as well as the following:</w:t>
      </w:r>
    </w:p>
    <w:p>
      <w:pPr>
        <w:spacing w:after="0" w:line="1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71" w:lineRule="exact"/>
        <w:rPr>
          <w:rFonts w:ascii="Arial" w:cs="Arial" w:eastAsia="Arial" w:hAnsi="Arial"/>
          <w:sz w:val="18"/>
          <w:szCs w:val="18"/>
          <w:color w:val="auto"/>
        </w:rPr>
      </w:pPr>
    </w:p>
    <w:p>
      <w:pPr>
        <w:ind w:left="340" w:right="140" w:hanging="332"/>
        <w:spacing w:after="0" w:line="26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142" w:lineRule="exact"/>
        <w:rPr>
          <w:rFonts w:ascii="Arial" w:cs="Arial" w:eastAsia="Arial" w:hAnsi="Arial"/>
          <w:sz w:val="18"/>
          <w:szCs w:val="18"/>
          <w:color w:val="auto"/>
        </w:rPr>
      </w:pPr>
    </w:p>
    <w:p>
      <w:pPr>
        <w:ind w:left="340" w:right="640" w:hanging="332"/>
        <w:spacing w:after="0" w:line="26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capital asset construction projects that may affect revenues;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71" w:lineRule="exact"/>
        <w:rPr>
          <w:rFonts w:ascii="Arial" w:cs="Arial" w:eastAsia="Arial" w:hAnsi="Arial"/>
          <w:sz w:val="18"/>
          <w:szCs w:val="18"/>
          <w:color w:val="auto"/>
        </w:rPr>
      </w:pPr>
    </w:p>
    <w:p>
      <w:pPr>
        <w:ind w:left="340" w:right="320" w:hanging="332"/>
        <w:spacing w:after="0" w:line="26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existing or future environmental regulations, that may increase our costs, limit the demand for our products and services or restrict our operations;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71" w:lineRule="exact"/>
        <w:rPr>
          <w:rFonts w:ascii="Arial" w:cs="Arial" w:eastAsia="Arial" w:hAnsi="Arial"/>
          <w:sz w:val="18"/>
          <w:szCs w:val="18"/>
          <w:color w:val="auto"/>
        </w:rPr>
      </w:pPr>
    </w:p>
    <w:p>
      <w:pPr>
        <w:ind w:left="340" w:right="280" w:hanging="332"/>
        <w:spacing w:after="0" w:line="26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United Kingdom’s proposed withdrawal from the European Union;</w:t>
      </w:r>
    </w:p>
    <w:p>
      <w:pPr>
        <w:spacing w:after="0" w:line="171" w:lineRule="exact"/>
        <w:rPr>
          <w:rFonts w:ascii="Arial" w:cs="Arial" w:eastAsia="Arial" w:hAnsi="Arial"/>
          <w:sz w:val="18"/>
          <w:szCs w:val="18"/>
          <w:color w:val="auto"/>
        </w:rPr>
      </w:pPr>
    </w:p>
    <w:p>
      <w:pPr>
        <w:jc w:val="both"/>
        <w:ind w:left="340" w:right="100" w:hanging="332"/>
        <w:spacing w:after="0" w:line="25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4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76" w:right="259" w:bottom="1440" w:gutter="0" w:footer="0" w:header="0"/>
        </w:sectPr>
      </w:pPr>
    </w:p>
    <w:bookmarkStart w:id="3" w:name="page4"/>
    <w:bookmarkEnd w:id="3"/>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merger-related costs;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acquisition and divestiture activities;</w:t>
      </w:r>
    </w:p>
    <w:p>
      <w:pPr>
        <w:spacing w:after="0" w:line="171" w:lineRule="exact"/>
        <w:rPr>
          <w:rFonts w:ascii="Arial" w:cs="Arial" w:eastAsia="Arial" w:hAnsi="Arial"/>
          <w:sz w:val="18"/>
          <w:szCs w:val="18"/>
          <w:color w:val="auto"/>
        </w:rPr>
      </w:pPr>
    </w:p>
    <w:p>
      <w:pPr>
        <w:ind w:left="340" w:right="380" w:hanging="332"/>
        <w:spacing w:after="0" w:line="26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 including related to cyber attacks, and actual or perceived failure to comply with data security and privacy obligations;</w:t>
      </w:r>
    </w:p>
    <w:p>
      <w:pPr>
        <w:spacing w:after="0" w:line="142"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4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tax liabilities, changes in U.S. federal or international tax laws, or interpretations to which they are subject;</w:t>
      </w:r>
    </w:p>
    <w:p>
      <w:pPr>
        <w:spacing w:after="0" w:line="171" w:lineRule="exact"/>
        <w:rPr>
          <w:rFonts w:ascii="Arial" w:cs="Arial" w:eastAsia="Arial" w:hAnsi="Arial"/>
          <w:sz w:val="18"/>
          <w:szCs w:val="18"/>
          <w:color w:val="auto"/>
        </w:rPr>
      </w:pPr>
    </w:p>
    <w:p>
      <w:pPr>
        <w:ind w:left="340" w:right="360" w:hanging="332"/>
        <w:spacing w:after="0" w:line="26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remedial measures to address our material weaknesses could be insufficient or additional issues relating to disclosure controls and procedures or internal control over financial reporting could be identified; and</w:t>
      </w:r>
    </w:p>
    <w:p>
      <w:pPr>
        <w:spacing w:after="0" w:line="142" w:lineRule="exact"/>
        <w:rPr>
          <w:rFonts w:ascii="Arial" w:cs="Arial" w:eastAsia="Arial" w:hAnsi="Arial"/>
          <w:sz w:val="18"/>
          <w:szCs w:val="18"/>
          <w:color w:val="auto"/>
        </w:rPr>
      </w:pPr>
    </w:p>
    <w:p>
      <w:pPr>
        <w:ind w:left="340" w:right="400" w:hanging="332"/>
        <w:spacing w:after="0" w:line="26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U.S. Securities and Exchange Commission and in our filings with the Autorité des marchés financiers or the U.K. Financial Conduct Authority.</w:t>
      </w:r>
    </w:p>
    <w:p>
      <w:pPr>
        <w:spacing w:after="0" w:line="14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9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8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24"/>
                <w:szCs w:val="24"/>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2,548.8</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2,066.0</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4,599.9</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4,340.0</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1,643.4</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Lease revenue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2,960.9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6,086.1</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1,949.9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1,801.3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3,594.1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3,628.2</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771.6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1,250.1</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Cost of lease revenue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68.5</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584.5</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94.7</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3,120.6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2,777.6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5,663.5</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from equity affiliates (Note 10)</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54.2</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net interest expense and income taxes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453.8</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315.5</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 (Note 17)</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114.0</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per share attributable to TechnipFMC plc (Note 7)</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0.43</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0.43</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Weighted average shares outstanding (Note 7)</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447.5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461.4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462.8</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464.2</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8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24"/>
                <w:szCs w:val="24"/>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w:t>
            </w: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7"/>
                <w:szCs w:val="17"/>
                <w:color w:val="auto"/>
                <w:vertAlign w:val="superscript"/>
              </w:rPr>
              <w:t>(a)</w:t>
            </w: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(140.1)</w:t>
            </w:r>
          </w:p>
        </w:tc>
      </w:tr>
      <w:tr>
        <w:trPr>
          <w:trHeight w:val="284"/>
        </w:trPr>
        <w:tc>
          <w:tcPr>
            <w:tcW w:w="5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Net gains (losses) on hedging instruments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 (losses) arising during the period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gains (losses) on hedging instruments</w:t>
            </w:r>
            <w:r>
              <w:rPr>
                <w:rFonts w:ascii="Arial" w:cs="Arial" w:eastAsia="Arial" w:hAnsi="Arial"/>
                <w:sz w:val="17"/>
                <w:szCs w:val="17"/>
                <w:b w:val="1"/>
                <w:bCs w:val="1"/>
                <w:color w:val="auto"/>
                <w:vertAlign w:val="superscript"/>
              </w:rPr>
              <w:t>(b)</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Net gains arising during the period</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amortization of prior service cost included in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7"/>
                <w:szCs w:val="17"/>
                <w:b w:val="1"/>
                <w:bCs w:val="1"/>
                <w:color w:val="auto"/>
                <w:vertAlign w:val="superscript"/>
              </w:rPr>
              <w:t>(c)</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r>
      <w:tr>
        <w:trPr>
          <w:trHeight w:val="25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(loss), net of tax</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(175.4)</w:t>
            </w:r>
          </w:p>
        </w:tc>
      </w:tr>
      <w:tr>
        <w:trPr>
          <w:trHeight w:val="24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26.1</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income attributable to noncontrolling interest</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180" w:hanging="332"/>
        <w:spacing w:after="0" w:line="258"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nil and $(0.5) for the three months ended June 30, 2019 and 2018, respectively, and nil and $(0.5) for the six months ended June 30, 2019 and 2018, respectively.</w:t>
      </w:r>
    </w:p>
    <w:p>
      <w:pPr>
        <w:spacing w:after="0" w:line="32" w:lineRule="exact"/>
        <w:rPr>
          <w:rFonts w:ascii="Arial" w:cs="Arial" w:eastAsia="Arial" w:hAnsi="Arial"/>
          <w:sz w:val="14"/>
          <w:szCs w:val="14"/>
          <w:color w:val="auto"/>
        </w:rPr>
      </w:pPr>
    </w:p>
    <w:p>
      <w:pPr>
        <w:ind w:left="340" w:right="60" w:hanging="332"/>
        <w:spacing w:after="0" w:line="258"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$(0.4) and $12.1 for the three months ended June 30, 2019 and 2018, respectively. and $(0.3) and $8.9 for the six months ended June 30, 2019 and 2018, respectively.</w:t>
      </w:r>
    </w:p>
    <w:p>
      <w:pPr>
        <w:spacing w:after="0" w:line="32" w:lineRule="exact"/>
        <w:rPr>
          <w:rFonts w:ascii="Arial" w:cs="Arial" w:eastAsia="Arial" w:hAnsi="Arial"/>
          <w:sz w:val="14"/>
          <w:szCs w:val="14"/>
          <w:color w:val="auto"/>
        </w:rPr>
      </w:pPr>
    </w:p>
    <w:p>
      <w:pPr>
        <w:ind w:left="340" w:right="140" w:hanging="332"/>
        <w:spacing w:after="0" w:line="258"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$0.7 and $(0.4) for the three months ended June 30, 2019 and 2018, respectively, and $0.6 and $(0.2) for the six months ended June 30, 2019 and 2018,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w:t>
            </w:r>
          </w:p>
        </w:tc>
        <w:tc>
          <w:tcPr>
            <w:tcW w:w="200" w:type="dxa"/>
            <w:vAlign w:val="bottom"/>
          </w:tcPr>
          <w:p>
            <w:pPr>
              <w:spacing w:after="0"/>
              <w:rPr>
                <w:sz w:val="10"/>
                <w:szCs w:val="10"/>
                <w:color w:val="auto"/>
              </w:rPr>
            </w:pPr>
          </w:p>
        </w:tc>
        <w:tc>
          <w:tcPr>
            <w:tcW w:w="1160" w:type="dxa"/>
            <w:vAlign w:val="bottom"/>
          </w:tcPr>
          <w:p>
            <w:pPr>
              <w:jc w:val="right"/>
              <w:ind w:right="286"/>
              <w:spacing w:after="0"/>
              <w:rPr>
                <w:sz w:val="20"/>
                <w:szCs w:val="20"/>
                <w:color w:val="auto"/>
              </w:rPr>
            </w:pPr>
            <w:r>
              <w:rPr>
                <w:rFonts w:ascii="Arial" w:cs="Arial" w:eastAsia="Arial" w:hAnsi="Arial"/>
                <w:sz w:val="11"/>
                <w:szCs w:val="11"/>
                <w:b w:val="1"/>
                <w:bCs w:val="1"/>
                <w:color w:val="auto"/>
              </w:rPr>
              <w:t>December 31,</w:t>
            </w:r>
          </w:p>
        </w:tc>
      </w:tr>
      <w:tr>
        <w:trPr>
          <w:trHeight w:val="142"/>
        </w:trPr>
        <w:tc>
          <w:tcPr>
            <w:tcW w:w="8580" w:type="dxa"/>
            <w:vAlign w:val="bottom"/>
          </w:tcPr>
          <w:p>
            <w:pPr>
              <w:ind w:left="40"/>
              <w:spacing w:after="0"/>
              <w:rPr>
                <w:sz w:val="20"/>
                <w:szCs w:val="20"/>
                <w:color w:val="auto"/>
              </w:rPr>
            </w:pPr>
            <w:r>
              <w:rPr>
                <w:rFonts w:ascii="Arial" w:cs="Arial" w:eastAsia="Arial" w:hAnsi="Arial"/>
                <w:sz w:val="11"/>
                <w:szCs w:val="11"/>
                <w:b w:val="1"/>
                <w:bCs w:val="1"/>
                <w:color w:val="auto"/>
              </w:rPr>
              <w:t>(In millions, except par value data)</w:t>
            </w:r>
          </w:p>
        </w:tc>
        <w:tc>
          <w:tcPr>
            <w:tcW w:w="260" w:type="dxa"/>
            <w:vAlign w:val="bottom"/>
          </w:tcPr>
          <w:p>
            <w:pPr>
              <w:spacing w:after="0"/>
              <w:rPr>
                <w:sz w:val="12"/>
                <w:szCs w:val="12"/>
                <w:color w:val="auto"/>
              </w:rPr>
            </w:pPr>
          </w:p>
        </w:tc>
        <w:tc>
          <w:tcPr>
            <w:tcW w:w="1120" w:type="dxa"/>
            <w:vAlign w:val="bottom"/>
          </w:tcPr>
          <w:p>
            <w:pPr>
              <w:jc w:val="right"/>
              <w:ind w:right="52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506"/>
              <w:spacing w:after="0"/>
              <w:rPr>
                <w:sz w:val="20"/>
                <w:szCs w:val="20"/>
                <w:color w:val="auto"/>
              </w:rPr>
            </w:pPr>
            <w:r>
              <w:rPr>
                <w:rFonts w:ascii="Arial" w:cs="Arial" w:eastAsia="Arial" w:hAnsi="Arial"/>
                <w:sz w:val="11"/>
                <w:szCs w:val="11"/>
                <w:b w:val="1"/>
                <w:bCs w:val="1"/>
                <w:color w:val="auto"/>
              </w:rPr>
              <w:t>2018</w:t>
            </w: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i w:val="1"/>
                <w:i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Cash and cash equivalents</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4,621.3</w:t>
            </w:r>
          </w:p>
        </w:tc>
        <w:tc>
          <w:tcPr>
            <w:tcW w:w="100" w:type="dxa"/>
            <w:vAlign w:val="bottom"/>
          </w:tcPr>
          <w:p>
            <w:pPr>
              <w:spacing w:after="0"/>
              <w:rPr>
                <w:sz w:val="21"/>
                <w:szCs w:val="21"/>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5,540.0</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Trade receivables, net of allowances of $121.9 in 2019 and $119.6 in 2018</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2,469.7</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Contract assets</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1,612.4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1,295.0</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Inventories, net (Note 8)</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1,251.2</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Derivative financial instruments (Note 18)</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73.2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95.7</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Income taxes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284.3</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Advances paid to suppliers</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177.5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189.7</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Other current assets (Note 9)</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655.6</w:t>
            </w:r>
          </w:p>
        </w:tc>
      </w:tr>
      <w:tr>
        <w:trPr>
          <w:trHeight w:val="228"/>
        </w:trPr>
        <w:tc>
          <w:tcPr>
            <w:tcW w:w="8580" w:type="dxa"/>
            <w:vAlign w:val="bottom"/>
          </w:tcPr>
          <w:p>
            <w:pPr>
              <w:ind w:left="500"/>
              <w:spacing w:after="0"/>
              <w:rPr>
                <w:sz w:val="20"/>
                <w:szCs w:val="20"/>
                <w:color w:val="auto"/>
              </w:rPr>
            </w:pPr>
            <w:r>
              <w:rPr>
                <w:rFonts w:ascii="Arial" w:cs="Arial" w:eastAsia="Arial" w:hAnsi="Arial"/>
                <w:sz w:val="11"/>
                <w:szCs w:val="11"/>
                <w:color w:val="auto"/>
              </w:rPr>
              <w:t>Total current assets</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11,303.8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11,781.2</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Investments in equity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394.5</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Property, plant and equipment, net of accumulated depreciation of $2,098.8 in 2019 and $2,068.5 in 2018</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3,345.0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3,259.8</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Operating lease right-of-use assets (Note 4)</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Goodwill</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7,609.2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7,607.6</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Intangible assets, net of accumulated amortization of $715.3 in 2019 and $658.1 in 2018</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1,176.7</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Deferred income taxes</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373.8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232.4</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Derivative financial instruments (Note 18)</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Other assets</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334.6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314.0</w:t>
            </w: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2"/>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assets</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25,512.7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24,784.5</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4"/>
        </w:trPr>
        <w:tc>
          <w:tcPr>
            <w:tcW w:w="8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i w:val="1"/>
                <w:i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Short-term debt and current portion of long-term debt (Note 12)</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80.7</w:t>
            </w:r>
          </w:p>
        </w:tc>
        <w:tc>
          <w:tcPr>
            <w:tcW w:w="100" w:type="dxa"/>
            <w:vAlign w:val="bottom"/>
          </w:tcPr>
          <w:p>
            <w:pPr>
              <w:spacing w:after="0"/>
              <w:rPr>
                <w:sz w:val="21"/>
                <w:szCs w:val="21"/>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67.4</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Operating lease liabilities (Note 4)</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Accounts payable, trade</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2,488.7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2,600.3</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Contract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4,085.1</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Accrued payroll</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346.6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394.7</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Derivative financial instruments (Note 18)</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138.4</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Income taxes payable</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112.0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81.9</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Other current liabilities (Note 9)</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1,796.5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1,771.6</w:t>
            </w:r>
          </w:p>
        </w:tc>
      </w:tr>
      <w:tr>
        <w:trPr>
          <w:trHeight w:val="228"/>
        </w:trPr>
        <w:tc>
          <w:tcPr>
            <w:tcW w:w="8580" w:type="dxa"/>
            <w:vAlign w:val="bottom"/>
          </w:tcPr>
          <w:p>
            <w:pPr>
              <w:ind w:left="500"/>
              <w:spacing w:after="0"/>
              <w:rPr>
                <w:sz w:val="20"/>
                <w:szCs w:val="20"/>
                <w:color w:val="auto"/>
              </w:rPr>
            </w:pPr>
            <w:r>
              <w:rPr>
                <w:rFonts w:ascii="Arial" w:cs="Arial" w:eastAsia="Arial" w:hAnsi="Arial"/>
                <w:sz w:val="11"/>
                <w:szCs w:val="11"/>
                <w:color w:val="auto"/>
              </w:rPr>
              <w:t>Total current liabilities</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9,576.8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9,139.4</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Long-term debt, less current portion (Note 12)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4,124.3</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Operating lease liabilities (Note 4)</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774.8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209.2</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Accrued pension and other post-retirement benefits, less current portion</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283.1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298.9</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Derivative financial instruments (Note 18)</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44.9</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Other liabilities</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460.2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540.4</w:t>
            </w: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14,357.1</w:t>
            </w:r>
          </w:p>
        </w:tc>
      </w:tr>
      <w:tr>
        <w:trPr>
          <w:trHeight w:val="228"/>
        </w:trPr>
        <w:tc>
          <w:tcPr>
            <w:tcW w:w="8580" w:type="dxa"/>
            <w:vAlign w:val="bottom"/>
          </w:tcPr>
          <w:p>
            <w:pPr>
              <w:ind w:left="280"/>
              <w:spacing w:after="0"/>
              <w:rPr>
                <w:sz w:val="20"/>
                <w:szCs w:val="20"/>
                <w:color w:val="auto"/>
              </w:rPr>
            </w:pPr>
            <w:r>
              <w:rPr>
                <w:rFonts w:ascii="Arial" w:cs="Arial" w:eastAsia="Arial" w:hAnsi="Arial"/>
                <w:sz w:val="11"/>
                <w:szCs w:val="11"/>
                <w:color w:val="auto"/>
              </w:rPr>
              <w:t>Commitments and contingent liabilities (Note 16)</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i w:val="1"/>
                <w:iCs w:val="1"/>
                <w:color w:val="auto"/>
              </w:rPr>
              <w:t>Mezzanine equity</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r>
      <w:tr>
        <w:trPr>
          <w:trHeight w:val="228"/>
        </w:trPr>
        <w:tc>
          <w:tcPr>
            <w:tcW w:w="8580" w:type="dxa"/>
            <w:vAlign w:val="bottom"/>
          </w:tcPr>
          <w:p>
            <w:pPr>
              <w:ind w:left="280"/>
              <w:spacing w:after="0"/>
              <w:rPr>
                <w:sz w:val="20"/>
                <w:szCs w:val="20"/>
                <w:color w:val="auto"/>
              </w:rPr>
            </w:pPr>
            <w:r>
              <w:rPr>
                <w:rFonts w:ascii="Arial" w:cs="Arial" w:eastAsia="Arial" w:hAnsi="Arial"/>
                <w:sz w:val="11"/>
                <w:szCs w:val="11"/>
                <w:color w:val="auto"/>
              </w:rPr>
              <w:t>Redeemable noncontrolling interest (Note 19)</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38.5</w:t>
            </w: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i w:val="1"/>
                <w:iCs w:val="1"/>
                <w:color w:val="auto"/>
              </w:rPr>
              <w:t>Stockholders’ equity (Note 13)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145"/>
        </w:trPr>
        <w:tc>
          <w:tcPr>
            <w:tcW w:w="8580" w:type="dxa"/>
            <w:vAlign w:val="bottom"/>
          </w:tcPr>
          <w:p>
            <w:pPr>
              <w:ind w:left="280"/>
              <w:spacing w:after="0"/>
              <w:rPr>
                <w:sz w:val="20"/>
                <w:szCs w:val="20"/>
                <w:color w:val="auto"/>
              </w:rPr>
            </w:pPr>
            <w:r>
              <w:rPr>
                <w:rFonts w:ascii="Arial" w:cs="Arial" w:eastAsia="Arial" w:hAnsi="Arial"/>
                <w:sz w:val="11"/>
                <w:szCs w:val="11"/>
                <w:color w:val="auto"/>
                <w:w w:val="98"/>
              </w:rPr>
              <w:t>Ordinary shares, $1.00 par value; 618.3 shares and 618.3 shares authorized in 2019 and 2018, respectively; 446.5 shares and 450.5 shares issued and outstanding in 2019</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0"/>
        </w:trPr>
        <w:tc>
          <w:tcPr>
            <w:tcW w:w="8580" w:type="dxa"/>
            <w:vAlign w:val="bottom"/>
          </w:tcPr>
          <w:p>
            <w:pPr>
              <w:ind w:left="280"/>
              <w:spacing w:after="0"/>
              <w:rPr>
                <w:sz w:val="20"/>
                <w:szCs w:val="20"/>
                <w:color w:val="auto"/>
              </w:rPr>
            </w:pPr>
            <w:r>
              <w:rPr>
                <w:rFonts w:ascii="Arial" w:cs="Arial" w:eastAsia="Arial" w:hAnsi="Arial"/>
                <w:sz w:val="11"/>
                <w:szCs w:val="11"/>
                <w:color w:val="auto"/>
              </w:rPr>
              <w:t>and 2018, respectively; 4.0 and 14.8 shares canceled in 2019 and 2018, respectively</w:t>
            </w:r>
          </w:p>
        </w:tc>
        <w:tc>
          <w:tcPr>
            <w:tcW w:w="260" w:type="dxa"/>
            <w:vAlign w:val="bottom"/>
          </w:tcPr>
          <w:p>
            <w:pPr>
              <w:spacing w:after="0"/>
              <w:rPr>
                <w:sz w:val="11"/>
                <w:szCs w:val="1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446.5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450.5</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Ordinary shares held in employee benefit trust, at cost; nil and 0.1 shares in 2019 and 2018,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Capital in excess of par value of ordinary shares</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10,152.4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10,197.0</w:t>
            </w:r>
          </w:p>
        </w:tc>
      </w:tr>
      <w:tr>
        <w:trPr>
          <w:trHeight w:val="22"/>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1,072.2</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Accumulated other comprehensive loss</w:t>
            </w:r>
          </w:p>
        </w:tc>
        <w:tc>
          <w:tcPr>
            <w:tcW w:w="26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(1,348.3)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(1,359.7)</w:t>
            </w: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TechnipFMC plc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10,334.6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10,357.6</w:t>
            </w:r>
          </w:p>
        </w:tc>
      </w:tr>
      <w:tr>
        <w:trPr>
          <w:trHeight w:val="248"/>
        </w:trPr>
        <w:tc>
          <w:tcPr>
            <w:tcW w:w="8580" w:type="dxa"/>
            <w:vAlign w:val="bottom"/>
          </w:tcPr>
          <w:p>
            <w:pPr>
              <w:ind w:left="280"/>
              <w:spacing w:after="0"/>
              <w:rPr>
                <w:sz w:val="20"/>
                <w:szCs w:val="20"/>
                <w:color w:val="auto"/>
              </w:rPr>
            </w:pPr>
            <w:r>
              <w:rPr>
                <w:rFonts w:ascii="Arial" w:cs="Arial" w:eastAsia="Arial" w:hAnsi="Arial"/>
                <w:sz w:val="11"/>
                <w:szCs w:val="11"/>
                <w:color w:val="auto"/>
              </w:rPr>
              <w:t>Noncontrolling interests</w:t>
            </w:r>
          </w:p>
        </w:tc>
        <w:tc>
          <w:tcPr>
            <w:tcW w:w="26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31.3</w:t>
            </w: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equity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10,388.9</w:t>
            </w:r>
          </w:p>
        </w:tc>
      </w:tr>
      <w:tr>
        <w:trPr>
          <w:trHeight w:val="205"/>
        </w:trPr>
        <w:tc>
          <w:tcPr>
            <w:tcW w:w="8580" w:type="dxa"/>
            <w:vAlign w:val="bottom"/>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25,512.7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1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24,784.5</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420"/>
          </w:cols>
          <w:pgMar w:left="240" w:top="846" w:right="239" w:bottom="26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846" w:right="239" w:bottom="26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8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201.5</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Adjustments to reconcile net income to cash provided (required)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179.6</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Impairments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benefit plan and share-based compensation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Deferred income tax provision (benefit), net</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 on derivative instruments and foreign exchange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Income from equity affiliates, net of dividends received</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and contract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trade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(912.1)</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308.1</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 (receivable), net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Other current assets and liabilities, net</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(240.6)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208.3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assets and liabilities, net</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(179.2)</w:t>
            </w:r>
          </w:p>
        </w:tc>
      </w:tr>
      <w:tr>
        <w:trPr>
          <w:trHeight w:val="24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(485.2)</w:t>
            </w:r>
          </w:p>
        </w:tc>
      </w:tr>
      <w:tr>
        <w:trPr>
          <w:trHeight w:val="283"/>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Payment to acquire debt securities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debt securities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(103.4)</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divested from deconsolidation</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Proceeds from sale of assets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4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required by investing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(235.7)</w:t>
            </w:r>
          </w:p>
        </w:tc>
      </w:tr>
      <w:tr>
        <w:trPr>
          <w:trHeight w:val="283"/>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Cash required by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decrease in short-term debt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Net (decrease) increase in commercial paper</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(479.5)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83.7</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Purchase of ordinary shares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(226.3)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Settlements of mandatorily redeemable financial liability</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4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required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(828.5)</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(405.9)</w:t>
            </w:r>
          </w:p>
        </w:tc>
      </w:tr>
      <w:tr>
        <w:trPr>
          <w:trHeight w:val="25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r>
      <w:tr>
        <w:trPr>
          <w:trHeight w:val="250"/>
        </w:trPr>
        <w:tc>
          <w:tcPr>
            <w:tcW w:w="8580" w:type="dxa"/>
            <w:vAlign w:val="bottom"/>
          </w:tcPr>
          <w:p>
            <w:pPr>
              <w:ind w:left="280"/>
              <w:spacing w:after="0"/>
              <w:rPr>
                <w:sz w:val="20"/>
                <w:szCs w:val="20"/>
                <w:color w:val="auto"/>
              </w:rPr>
            </w:pPr>
            <w:r>
              <w:rPr>
                <w:rFonts w:ascii="Arial" w:cs="Arial" w:eastAsia="Arial" w:hAnsi="Arial"/>
                <w:sz w:val="14"/>
                <w:szCs w:val="14"/>
                <w:color w:val="auto"/>
              </w:rPr>
              <w:t>Decrease in cash and cash equivalents</w:t>
            </w:r>
          </w:p>
        </w:tc>
        <w:tc>
          <w:tcPr>
            <w:tcW w:w="32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(918.7)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(1,182.0)</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5,540.0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6,737.4</w:t>
            </w:r>
          </w:p>
        </w:tc>
      </w:tr>
      <w:tr>
        <w:trPr>
          <w:trHeight w:val="243"/>
        </w:trPr>
        <w:tc>
          <w:tcPr>
            <w:tcW w:w="858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4,621.3</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5,555.4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center"/>
        <w:ind w:right="20"/>
        <w:spacing w:after="0" w:line="269"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THREE MONTHS ENDED JUNE 30, 2019 AND 2018</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Ordinary</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35"/>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Shares Held in</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Treasury and</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Employee</w:t>
            </w:r>
          </w:p>
        </w:tc>
        <w:tc>
          <w:tcPr>
            <w:tcW w:w="12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Total</w:t>
            </w:r>
          </w:p>
        </w:tc>
      </w:tr>
      <w:tr>
        <w:trPr>
          <w:trHeight w:val="135"/>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9"/>
              </w:rPr>
              <w:t>Ordinary</w:t>
            </w:r>
          </w:p>
        </w:tc>
        <w:tc>
          <w:tcPr>
            <w:tcW w:w="16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Benefit</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Value of</w:t>
            </w:r>
          </w:p>
        </w:tc>
        <w:tc>
          <w:tcPr>
            <w:tcW w:w="14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4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5"/>
              </w:rPr>
              <w:t>Stockholders’</w:t>
            </w:r>
          </w:p>
        </w:tc>
      </w:tr>
      <w:tr>
        <w:trPr>
          <w:trHeight w:val="178"/>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Shares</w:t>
            </w:r>
          </w:p>
        </w:tc>
        <w:tc>
          <w:tcPr>
            <w:tcW w:w="16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Trust</w:t>
            </w:r>
          </w:p>
        </w:tc>
        <w:tc>
          <w:tcPr>
            <w:tcW w:w="12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Ordinary Shares</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Equity</w:t>
            </w:r>
          </w:p>
        </w:tc>
      </w:tr>
      <w:tr>
        <w:trPr>
          <w:trHeight w:val="257"/>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2018</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462.2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10,429.3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3,327.5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(991.9)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13,239.8</w:t>
            </w:r>
          </w:p>
        </w:tc>
      </w:tr>
      <w:tr>
        <w:trPr>
          <w:trHeight w:val="262"/>
        </w:trPr>
        <w:tc>
          <w:tcPr>
            <w:tcW w:w="222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110.1</w:t>
            </w:r>
          </w:p>
        </w:tc>
      </w:tr>
      <w:tr>
        <w:trPr>
          <w:trHeight w:val="278"/>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comprehensive loss</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(188.8)</w:t>
            </w:r>
          </w:p>
        </w:tc>
      </w:tr>
      <w:tr>
        <w:trPr>
          <w:trHeight w:val="262"/>
        </w:trPr>
        <w:tc>
          <w:tcPr>
            <w:tcW w:w="2220" w:type="dxa"/>
            <w:vAlign w:val="bottom"/>
          </w:tcPr>
          <w:p>
            <w:pPr>
              <w:ind w:left="160"/>
              <w:spacing w:after="0"/>
              <w:rPr>
                <w:sz w:val="20"/>
                <w:szCs w:val="20"/>
                <w:color w:val="auto"/>
              </w:rPr>
            </w:pPr>
            <w:r>
              <w:rPr>
                <w:rFonts w:ascii="Arial" w:cs="Arial" w:eastAsia="Arial" w:hAnsi="Arial"/>
                <w:sz w:val="13"/>
                <w:szCs w:val="13"/>
                <w:color w:val="auto"/>
              </w:rPr>
              <w:t>Cancellation of treasury shares</w:t>
            </w:r>
          </w:p>
        </w:tc>
        <w:tc>
          <w:tcPr>
            <w:tcW w:w="18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(106.0)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(149.4)</w:t>
            </w:r>
          </w:p>
        </w:tc>
      </w:tr>
      <w:tr>
        <w:trPr>
          <w:trHeight w:val="278"/>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Issuance of ordinary shares</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r>
      <w:tr>
        <w:trPr>
          <w:trHeight w:val="156"/>
        </w:trPr>
        <w:tc>
          <w:tcPr>
            <w:tcW w:w="2220" w:type="dxa"/>
            <w:vAlign w:val="bottom"/>
          </w:tcPr>
          <w:p>
            <w:pPr>
              <w:ind w:left="160"/>
              <w:spacing w:after="0"/>
              <w:rPr>
                <w:sz w:val="20"/>
                <w:szCs w:val="20"/>
                <w:color w:val="auto"/>
              </w:rPr>
            </w:pPr>
            <w:r>
              <w:rPr>
                <w:rFonts w:ascii="Arial" w:cs="Arial" w:eastAsia="Arial" w:hAnsi="Arial"/>
                <w:sz w:val="13"/>
                <w:szCs w:val="13"/>
                <w:color w:val="auto"/>
              </w:rPr>
              <w:t>Net sales of ordinary shares for</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2220" w:type="dxa"/>
            <w:vAlign w:val="bottom"/>
          </w:tcPr>
          <w:p>
            <w:pPr>
              <w:ind w:left="160"/>
              <w:spacing w:after="0"/>
              <w:rPr>
                <w:sz w:val="20"/>
                <w:szCs w:val="20"/>
                <w:color w:val="auto"/>
              </w:rPr>
            </w:pPr>
            <w:r>
              <w:rPr>
                <w:rFonts w:ascii="Arial" w:cs="Arial" w:eastAsia="Arial" w:hAnsi="Arial"/>
                <w:sz w:val="13"/>
                <w:szCs w:val="13"/>
                <w:color w:val="auto"/>
              </w:rPr>
              <w:t>employee benefit trust</w:t>
            </w:r>
          </w:p>
        </w:tc>
        <w:tc>
          <w:tcPr>
            <w:tcW w:w="18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0" w:type="dxa"/>
            <w:vAlign w:val="bottom"/>
          </w:tcPr>
          <w:p>
            <w:pPr>
              <w:jc w:val="right"/>
              <w:ind w:right="7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0.1</w:t>
            </w:r>
          </w:p>
        </w:tc>
      </w:tr>
      <w:tr>
        <w:trPr>
          <w:trHeight w:val="164"/>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9"/>
              </w:rPr>
              <w:t>Cash dividends declared ($0.13 per</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r>
      <w:tr>
        <w:trPr>
          <w:trHeight w:val="262"/>
        </w:trPr>
        <w:tc>
          <w:tcPr>
            <w:tcW w:w="2220" w:type="dxa"/>
            <w:vAlign w:val="bottom"/>
          </w:tcPr>
          <w:p>
            <w:pPr>
              <w:ind w:left="160"/>
              <w:spacing w:after="0"/>
              <w:rPr>
                <w:sz w:val="20"/>
                <w:szCs w:val="20"/>
                <w:color w:val="auto"/>
              </w:rPr>
            </w:pPr>
            <w:r>
              <w:rPr>
                <w:rFonts w:ascii="Arial" w:cs="Arial" w:eastAsia="Arial" w:hAnsi="Arial"/>
                <w:sz w:val="13"/>
                <w:szCs w:val="13"/>
                <w:color w:val="auto"/>
              </w:rPr>
              <w:t>Share-based compensation</w:t>
            </w:r>
          </w:p>
        </w:tc>
        <w:tc>
          <w:tcPr>
            <w:tcW w:w="18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12.9</w:t>
            </w:r>
          </w:p>
        </w:tc>
      </w:tr>
      <w:tr>
        <w:trPr>
          <w:trHeight w:val="278"/>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r>
      <w:tr>
        <w:trPr>
          <w:trHeight w:val="275"/>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Balance as of June 30, 2018</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457.5</w:t>
            </w:r>
          </w:p>
        </w:tc>
        <w:tc>
          <w:tcPr>
            <w:tcW w:w="1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10,335.5</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3,334.5</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(1,180.1)</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22.4</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12,965.9</w:t>
            </w:r>
          </w:p>
        </w:tc>
      </w:tr>
      <w:tr>
        <w:trPr>
          <w:trHeight w:val="252"/>
        </w:trPr>
        <w:tc>
          <w:tcPr>
            <w:tcW w:w="2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2"/>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2019</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448.3</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10,169.5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1,047.9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(1,323.0)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10,373.6</w:t>
            </w:r>
          </w:p>
        </w:tc>
      </w:tr>
      <w:tr>
        <w:trPr>
          <w:trHeight w:val="278"/>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113.7</w:t>
            </w:r>
          </w:p>
        </w:tc>
      </w:tr>
      <w:tr>
        <w:trPr>
          <w:trHeight w:val="262"/>
        </w:trPr>
        <w:tc>
          <w:tcPr>
            <w:tcW w:w="2220" w:type="dxa"/>
            <w:vAlign w:val="bottom"/>
          </w:tcPr>
          <w:p>
            <w:pPr>
              <w:ind w:left="160"/>
              <w:spacing w:after="0"/>
              <w:rPr>
                <w:sz w:val="20"/>
                <w:szCs w:val="20"/>
                <w:color w:val="auto"/>
              </w:rPr>
            </w:pPr>
            <w:r>
              <w:rPr>
                <w:rFonts w:ascii="Arial" w:cs="Arial" w:eastAsia="Arial" w:hAnsi="Arial"/>
                <w:sz w:val="13"/>
                <w:szCs w:val="13"/>
                <w:color w:val="auto"/>
                <w:w w:val="99"/>
              </w:rPr>
              <w:t>Other comprehensive income (loss)</w:t>
            </w:r>
          </w:p>
        </w:tc>
        <w:tc>
          <w:tcPr>
            <w:tcW w:w="18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(24.7)</w:t>
            </w:r>
          </w:p>
        </w:tc>
      </w:tr>
      <w:tr>
        <w:trPr>
          <w:trHeight w:val="278"/>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r>
      <w:tr>
        <w:trPr>
          <w:trHeight w:val="156"/>
        </w:trPr>
        <w:tc>
          <w:tcPr>
            <w:tcW w:w="2220" w:type="dxa"/>
            <w:vAlign w:val="bottom"/>
          </w:tcPr>
          <w:p>
            <w:pPr>
              <w:ind w:left="160"/>
              <w:spacing w:after="0"/>
              <w:rPr>
                <w:sz w:val="20"/>
                <w:szCs w:val="20"/>
                <w:color w:val="auto"/>
              </w:rPr>
            </w:pPr>
            <w:r>
              <w:rPr>
                <w:rFonts w:ascii="Arial" w:cs="Arial" w:eastAsia="Arial" w:hAnsi="Arial"/>
                <w:sz w:val="13"/>
                <w:szCs w:val="13"/>
                <w:color w:val="auto"/>
                <w:w w:val="99"/>
              </w:rPr>
              <w:t>Cash dividends declared ($0.13 per</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2220" w:type="dxa"/>
            <w:vAlign w:val="bottom"/>
          </w:tcPr>
          <w:p>
            <w:pPr>
              <w:ind w:left="160"/>
              <w:spacing w:after="0"/>
              <w:rPr>
                <w:sz w:val="20"/>
                <w:szCs w:val="20"/>
                <w:color w:val="auto"/>
              </w:rPr>
            </w:pPr>
            <w:r>
              <w:rPr>
                <w:rFonts w:ascii="Arial" w:cs="Arial" w:eastAsia="Arial" w:hAnsi="Arial"/>
                <w:sz w:val="13"/>
                <w:szCs w:val="13"/>
                <w:color w:val="auto"/>
              </w:rPr>
              <w:t>share)</w:t>
            </w:r>
          </w:p>
        </w:tc>
        <w:tc>
          <w:tcPr>
            <w:tcW w:w="18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(58.1)</w:t>
            </w:r>
          </w:p>
        </w:tc>
      </w:tr>
      <w:tr>
        <w:trPr>
          <w:trHeight w:val="278"/>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w:t>
            </w:r>
          </w:p>
        </w:tc>
      </w:tr>
      <w:tr>
        <w:trPr>
          <w:trHeight w:val="264"/>
        </w:trPr>
        <w:tc>
          <w:tcPr>
            <w:tcW w:w="22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r>
      <w:tr>
        <w:trPr>
          <w:trHeight w:val="242"/>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2019</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10,152.4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10,380.4</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400" w:top="576" w:right="379" w:bottom="1440" w:gutter="0" w:footer="0" w:header="0"/>
        </w:sectPr>
      </w:pPr>
    </w:p>
    <w:bookmarkStart w:id="9" w:name="page10"/>
    <w:bookmarkEnd w:id="9"/>
    <w:p>
      <w:pPr>
        <w:jc w:val="center"/>
        <w:spacing w:after="0" w:line="269"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SIX MONTHS ENDED JUNE 30, 2019 AND 2018</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Ordinary</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Shares Held in</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Treasury and</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Employee</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1"/>
                <w:szCs w:val="11"/>
                <w:color w:val="auto"/>
              </w:rPr>
            </w:pPr>
          </w:p>
        </w:tc>
        <w:tc>
          <w:tcPr>
            <w:tcW w:w="10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Ordinary</w:t>
            </w:r>
          </w:p>
        </w:tc>
        <w:tc>
          <w:tcPr>
            <w:tcW w:w="14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Benefit</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40" w:type="dxa"/>
            <w:vAlign w:val="bottom"/>
          </w:tcPr>
          <w:p>
            <w:pPr>
              <w:spacing w:after="0"/>
              <w:rPr>
                <w:sz w:val="11"/>
                <w:szCs w:val="11"/>
                <w:color w:val="auto"/>
              </w:rPr>
            </w:pPr>
          </w:p>
        </w:tc>
        <w:tc>
          <w:tcPr>
            <w:tcW w:w="10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8"/>
        </w:trPr>
        <w:tc>
          <w:tcPr>
            <w:tcW w:w="232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Trust</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Ordinary Shares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tcPr>
          <w:p>
            <w:pPr>
              <w:spacing w:after="0"/>
              <w:rPr>
                <w:sz w:val="15"/>
                <w:szCs w:val="15"/>
                <w:color w:val="auto"/>
              </w:rPr>
            </w:pPr>
          </w:p>
        </w:tc>
        <w:tc>
          <w:tcPr>
            <w:tcW w:w="106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7"/>
        </w:trPr>
        <w:tc>
          <w:tcPr>
            <w:tcW w:w="2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December 31, 2017</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10,483.3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3,406.0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13,367.4</w:t>
            </w:r>
          </w:p>
        </w:tc>
        <w:tc>
          <w:tcPr>
            <w:tcW w:w="0" w:type="dxa"/>
            <w:vAlign w:val="bottom"/>
          </w:tcPr>
          <w:p>
            <w:pPr>
              <w:spacing w:after="0"/>
              <w:rPr>
                <w:sz w:val="1"/>
                <w:szCs w:val="1"/>
                <w:color w:val="auto"/>
              </w:rPr>
            </w:pPr>
          </w:p>
        </w:tc>
      </w:tr>
      <w:tr>
        <w:trPr>
          <w:trHeight w:val="156"/>
        </w:trPr>
        <w:tc>
          <w:tcPr>
            <w:tcW w:w="2320" w:type="dxa"/>
            <w:vAlign w:val="bottom"/>
          </w:tcPr>
          <w:p>
            <w:pPr>
              <w:ind w:left="160"/>
              <w:spacing w:after="0"/>
              <w:rPr>
                <w:sz w:val="20"/>
                <w:szCs w:val="20"/>
                <w:color w:val="auto"/>
              </w:rPr>
            </w:pPr>
            <w:r>
              <w:rPr>
                <w:rFonts w:ascii="Arial" w:cs="Arial" w:eastAsia="Arial" w:hAnsi="Arial"/>
                <w:sz w:val="13"/>
                <w:szCs w:val="13"/>
                <w:color w:val="auto"/>
              </w:rPr>
              <w:t>Adoption of accounting standards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160"/>
              <w:spacing w:after="0"/>
              <w:rPr>
                <w:sz w:val="20"/>
                <w:szCs w:val="20"/>
                <w:color w:val="auto"/>
              </w:rPr>
            </w:pPr>
            <w:r>
              <w:rPr>
                <w:rFonts w:ascii="Arial" w:cs="Arial" w:eastAsia="Arial" w:hAnsi="Arial"/>
                <w:sz w:val="13"/>
                <w:szCs w:val="13"/>
                <w:color w:val="auto"/>
              </w:rPr>
              <w:t>(Note 5)</w:t>
            </w:r>
          </w:p>
        </w:tc>
        <w:tc>
          <w:tcPr>
            <w:tcW w:w="1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201.5</w:t>
            </w:r>
          </w:p>
        </w:tc>
        <w:tc>
          <w:tcPr>
            <w:tcW w:w="0" w:type="dxa"/>
            <w:vAlign w:val="bottom"/>
          </w:tcPr>
          <w:p>
            <w:pPr>
              <w:spacing w:after="0"/>
              <w:rPr>
                <w:sz w:val="1"/>
                <w:szCs w:val="1"/>
                <w:color w:val="auto"/>
              </w:rPr>
            </w:pPr>
          </w:p>
        </w:tc>
      </w:tr>
      <w:tr>
        <w:trPr>
          <w:trHeight w:val="97"/>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160"/>
              <w:spacing w:after="0"/>
              <w:rPr>
                <w:sz w:val="20"/>
                <w:szCs w:val="20"/>
                <w:color w:val="auto"/>
              </w:rPr>
            </w:pPr>
            <w:r>
              <w:rPr>
                <w:rFonts w:ascii="Arial" w:cs="Arial" w:eastAsia="Arial" w:hAnsi="Arial"/>
                <w:sz w:val="13"/>
                <w:szCs w:val="13"/>
                <w:color w:val="auto"/>
              </w:rPr>
              <w:t>Other comprehensive income (loss)</w:t>
            </w:r>
          </w:p>
        </w:tc>
        <w:tc>
          <w:tcPr>
            <w:tcW w:w="18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(176.4)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(175.4)</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(173.7)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0" w:type="dxa"/>
            <w:vAlign w:val="bottom"/>
          </w:tcPr>
          <w:p>
            <w:pPr>
              <w:spacing w:after="0"/>
              <w:rPr>
                <w:sz w:val="1"/>
                <w:szCs w:val="1"/>
                <w:color w:val="auto"/>
              </w:rPr>
            </w:pPr>
          </w:p>
        </w:tc>
      </w:tr>
      <w:tr>
        <w:trPr>
          <w:trHeight w:val="97"/>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160"/>
              <w:spacing w:after="0"/>
              <w:rPr>
                <w:sz w:val="20"/>
                <w:szCs w:val="20"/>
                <w:color w:val="auto"/>
              </w:rPr>
            </w:pPr>
            <w:r>
              <w:rPr>
                <w:rFonts w:ascii="Arial" w:cs="Arial" w:eastAsia="Arial" w:hAnsi="Arial"/>
                <w:sz w:val="13"/>
                <w:szCs w:val="13"/>
                <w:color w:val="auto"/>
              </w:rPr>
              <w:t>Issuance of ordinary shares</w:t>
            </w:r>
          </w:p>
        </w:tc>
        <w:tc>
          <w:tcPr>
            <w:tcW w:w="180" w:type="dxa"/>
            <w:vAlign w:val="bottom"/>
          </w:tcPr>
          <w:p>
            <w:pPr>
              <w:spacing w:after="0"/>
              <w:rPr>
                <w:sz w:val="15"/>
                <w:szCs w:val="15"/>
                <w:color w:val="auto"/>
              </w:rPr>
            </w:pP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sales of ordinary shares for</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employee benefit trust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6"/>
        </w:trPr>
        <w:tc>
          <w:tcPr>
            <w:tcW w:w="2320" w:type="dxa"/>
            <w:vAlign w:val="bottom"/>
          </w:tcPr>
          <w:p>
            <w:pPr>
              <w:ind w:left="160"/>
              <w:spacing w:after="0"/>
              <w:rPr>
                <w:sz w:val="20"/>
                <w:szCs w:val="20"/>
                <w:color w:val="auto"/>
              </w:rPr>
            </w:pPr>
            <w:r>
              <w:rPr>
                <w:rFonts w:ascii="Arial" w:cs="Arial" w:eastAsia="Arial" w:hAnsi="Arial"/>
                <w:sz w:val="13"/>
                <w:szCs w:val="13"/>
                <w:color w:val="auto"/>
              </w:rPr>
              <w:t>Cash dividends declared ($0.26 per</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160"/>
              <w:spacing w:after="0"/>
              <w:rPr>
                <w:sz w:val="20"/>
                <w:szCs w:val="20"/>
                <w:color w:val="auto"/>
              </w:rPr>
            </w:pPr>
            <w:r>
              <w:rPr>
                <w:rFonts w:ascii="Arial" w:cs="Arial" w:eastAsia="Arial" w:hAnsi="Arial"/>
                <w:sz w:val="13"/>
                <w:szCs w:val="13"/>
                <w:color w:val="auto"/>
              </w:rPr>
              <w:t>share)</w:t>
            </w:r>
          </w:p>
        </w:tc>
        <w:tc>
          <w:tcPr>
            <w:tcW w:w="1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(120.2)</w:t>
            </w: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97"/>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16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vMerge w:val="restart"/>
          </w:tcPr>
          <w:p>
            <w:pPr>
              <w:jc w:val="right"/>
              <w:ind w:right="1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91"/>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June 30, 2018</w:t>
            </w: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10,335.5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12,965.9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December 31, 2018</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10,197.0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10,388.9</w:t>
            </w:r>
          </w:p>
        </w:tc>
        <w:tc>
          <w:tcPr>
            <w:tcW w:w="0" w:type="dxa"/>
            <w:vAlign w:val="bottom"/>
          </w:tcPr>
          <w:p>
            <w:pPr>
              <w:spacing w:after="0"/>
              <w:rPr>
                <w:sz w:val="1"/>
                <w:szCs w:val="1"/>
                <w:color w:val="auto"/>
              </w:rPr>
            </w:pPr>
          </w:p>
        </w:tc>
      </w:tr>
      <w:tr>
        <w:trPr>
          <w:trHeight w:val="156"/>
        </w:trPr>
        <w:tc>
          <w:tcPr>
            <w:tcW w:w="2320" w:type="dxa"/>
            <w:vAlign w:val="bottom"/>
          </w:tcPr>
          <w:p>
            <w:pPr>
              <w:ind w:left="160"/>
              <w:spacing w:after="0"/>
              <w:rPr>
                <w:sz w:val="20"/>
                <w:szCs w:val="20"/>
                <w:color w:val="auto"/>
              </w:rPr>
            </w:pPr>
            <w:r>
              <w:rPr>
                <w:rFonts w:ascii="Arial" w:cs="Arial" w:eastAsia="Arial" w:hAnsi="Arial"/>
                <w:sz w:val="13"/>
                <w:szCs w:val="13"/>
                <w:color w:val="auto"/>
              </w:rPr>
              <w:t>Adoption of accounting standards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160"/>
              <w:spacing w:after="0"/>
              <w:rPr>
                <w:sz w:val="20"/>
                <w:szCs w:val="20"/>
                <w:color w:val="auto"/>
              </w:rPr>
            </w:pPr>
            <w:r>
              <w:rPr>
                <w:rFonts w:ascii="Arial" w:cs="Arial" w:eastAsia="Arial" w:hAnsi="Arial"/>
                <w:sz w:val="13"/>
                <w:szCs w:val="13"/>
                <w:color w:val="auto"/>
              </w:rPr>
              <w:t>(Note 4)</w:t>
            </w:r>
          </w:p>
        </w:tc>
        <w:tc>
          <w:tcPr>
            <w:tcW w:w="1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133.5</w:t>
            </w:r>
          </w:p>
        </w:tc>
        <w:tc>
          <w:tcPr>
            <w:tcW w:w="0" w:type="dxa"/>
            <w:vAlign w:val="bottom"/>
          </w:tcPr>
          <w:p>
            <w:pPr>
              <w:spacing w:after="0"/>
              <w:rPr>
                <w:sz w:val="1"/>
                <w:szCs w:val="1"/>
                <w:color w:val="auto"/>
              </w:rPr>
            </w:pPr>
          </w:p>
        </w:tc>
      </w:tr>
      <w:tr>
        <w:trPr>
          <w:trHeight w:val="97"/>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160"/>
              <w:spacing w:after="0"/>
              <w:rPr>
                <w:sz w:val="20"/>
                <w:szCs w:val="20"/>
                <w:color w:val="auto"/>
              </w:rPr>
            </w:pPr>
            <w:r>
              <w:rPr>
                <w:rFonts w:ascii="Arial" w:cs="Arial" w:eastAsia="Arial" w:hAnsi="Arial"/>
                <w:sz w:val="13"/>
                <w:szCs w:val="13"/>
                <w:color w:val="auto"/>
              </w:rPr>
              <w:t>Other comprehensive income</w:t>
            </w:r>
          </w:p>
        </w:tc>
        <w:tc>
          <w:tcPr>
            <w:tcW w:w="18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0" w:type="dxa"/>
            <w:vAlign w:val="bottom"/>
          </w:tcPr>
          <w:p>
            <w:pPr>
              <w:spacing w:after="0"/>
              <w:rPr>
                <w:sz w:val="1"/>
                <w:szCs w:val="1"/>
                <w:color w:val="auto"/>
              </w:rPr>
            </w:pPr>
          </w:p>
        </w:tc>
      </w:tr>
      <w:tr>
        <w:trPr>
          <w:trHeight w:val="97"/>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320" w:type="dxa"/>
            <w:vAlign w:val="bottom"/>
          </w:tcPr>
          <w:p>
            <w:pPr>
              <w:ind w:left="160"/>
              <w:spacing w:after="0"/>
              <w:rPr>
                <w:sz w:val="20"/>
                <w:szCs w:val="20"/>
                <w:color w:val="auto"/>
              </w:rPr>
            </w:pPr>
            <w:r>
              <w:rPr>
                <w:rFonts w:ascii="Arial" w:cs="Arial" w:eastAsia="Arial" w:hAnsi="Arial"/>
                <w:sz w:val="13"/>
                <w:szCs w:val="13"/>
                <w:color w:val="auto"/>
              </w:rPr>
              <w:t>Net sales of ordinary shares for</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160"/>
              <w:spacing w:after="0"/>
              <w:rPr>
                <w:sz w:val="20"/>
                <w:szCs w:val="20"/>
                <w:color w:val="auto"/>
              </w:rPr>
            </w:pPr>
            <w:r>
              <w:rPr>
                <w:rFonts w:ascii="Arial" w:cs="Arial" w:eastAsia="Arial" w:hAnsi="Arial"/>
                <w:sz w:val="13"/>
                <w:szCs w:val="13"/>
                <w:color w:val="auto"/>
              </w:rPr>
              <w:t>employee benefit trust</w:t>
            </w:r>
          </w:p>
        </w:tc>
        <w:tc>
          <w:tcPr>
            <w:tcW w:w="1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Cash dividends declared ($0.26 per</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0" w:type="dxa"/>
            <w:vAlign w:val="bottom"/>
          </w:tcPr>
          <w:p>
            <w:pPr>
              <w:spacing w:after="0"/>
              <w:rPr>
                <w:sz w:val="1"/>
                <w:szCs w:val="1"/>
                <w:color w:val="auto"/>
              </w:rPr>
            </w:pPr>
          </w:p>
        </w:tc>
      </w:tr>
      <w:tr>
        <w:trPr>
          <w:trHeight w:val="173"/>
        </w:trPr>
        <w:tc>
          <w:tcPr>
            <w:tcW w:w="2320" w:type="dxa"/>
            <w:vAlign w:val="bottom"/>
          </w:tcPr>
          <w:p>
            <w:pPr>
              <w:ind w:left="160"/>
              <w:spacing w:after="0"/>
              <w:rPr>
                <w:sz w:val="20"/>
                <w:szCs w:val="20"/>
                <w:color w:val="auto"/>
              </w:rPr>
            </w:pPr>
            <w:r>
              <w:rPr>
                <w:rFonts w:ascii="Arial" w:cs="Arial" w:eastAsia="Arial" w:hAnsi="Arial"/>
                <w:sz w:val="13"/>
                <w:szCs w:val="13"/>
                <w:color w:val="auto"/>
              </w:rPr>
              <w:t>Share-based compensation</w:t>
            </w:r>
          </w:p>
        </w:tc>
        <w:tc>
          <w:tcPr>
            <w:tcW w:w="18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41.5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97"/>
        </w:trPr>
        <w:tc>
          <w:tcPr>
            <w:tcW w:w="23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320" w:type="dxa"/>
            <w:vAlign w:val="bottom"/>
          </w:tcPr>
          <w:p>
            <w:pPr>
              <w:ind w:left="40"/>
              <w:spacing w:after="0"/>
              <w:rPr>
                <w:sz w:val="20"/>
                <w:szCs w:val="20"/>
                <w:color w:val="auto"/>
              </w:rPr>
            </w:pPr>
            <w:r>
              <w:rPr>
                <w:rFonts w:ascii="Arial" w:cs="Arial" w:eastAsia="Arial" w:hAnsi="Arial"/>
                <w:sz w:val="13"/>
                <w:szCs w:val="13"/>
                <w:b w:val="1"/>
                <w:bCs w:val="1"/>
                <w:color w:val="auto"/>
              </w:rPr>
              <w:t>Balance as of June 30, 2019</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446.5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10,152.4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1,084.0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(1,348.3)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10,380.4</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420" w:top="576" w:right="41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SUMMARY OF SIGNIFICANT ACCOUNTING POLICIES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or the “Company”)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2018.</w:t>
      </w:r>
    </w:p>
    <w:p>
      <w:pPr>
        <w:spacing w:after="0" w:line="15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Certain prior-year amounts have been reclassified to conform to the current year’s presentation.</w:t>
      </w:r>
    </w:p>
    <w:p>
      <w:pPr>
        <w:spacing w:after="0" w:line="25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Revision of Prior Period Financial Statements - </w:t>
      </w:r>
      <w:r>
        <w:rPr>
          <w:rFonts w:ascii="Arial" w:cs="Arial" w:eastAsia="Arial" w:hAnsi="Arial"/>
          <w:sz w:val="18"/>
          <w:szCs w:val="18"/>
          <w:color w:val="auto"/>
        </w:rPr>
        <w:t>In connection with the preparation of the condensed consolidated financial statements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2019, we identified errors in our previously issued financial statements related to the classification between service revenue, product revenue and the related cost of sales. The correction had no effect on the reported total revenues, consolidated net income (loss) or stockholders’ equity for any periods previously presented.</w:t>
      </w:r>
    </w:p>
    <w:p>
      <w:pPr>
        <w:spacing w:after="0" w:line="4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accordance with Staff Accounting Bulletin (“SAB</w:t>
      </w:r>
      <w:r>
        <w:rPr>
          <w:rFonts w:ascii="Arial" w:cs="Arial" w:eastAsia="Arial" w:hAnsi="Arial"/>
          <w:sz w:val="18"/>
          <w:szCs w:val="18"/>
          <w:i w:val="1"/>
          <w:iCs w:val="1"/>
          <w:color w:val="auto"/>
        </w:rPr>
        <w:t>”) No. 99, Materiality, and SAB No. 108, Considering the Effects of Prior Year Misstatements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when Quantifying Misstatements in Current Year Financial Statements</w:t>
      </w:r>
      <w:r>
        <w:rPr>
          <w:rFonts w:ascii="Arial" w:cs="Arial" w:eastAsia="Arial" w:hAnsi="Arial"/>
          <w:sz w:val="18"/>
          <w:szCs w:val="18"/>
          <w:color w:val="auto"/>
        </w:rPr>
        <w:t>, we evaluated the errors and, based on an analysis of quantitative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qualitative factors, determined that the related impact was not material to our consolidated financial statements for any prior annual or interim period. Therefore, amendments of previously filed reports are not required.</w:t>
      </w:r>
    </w:p>
    <w:p>
      <w:pPr>
        <w:spacing w:after="0" w:line="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In accordance with Accounting Standards Codification (“ASC”)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we corrected the errors for the three and six months ended June 30, 2018 by revising the condensed consolidated financial statements appearing herein. Periods not presented herein will be revised, as applicable, in future filings.</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76" w:right="299" w:bottom="1440" w:gutter="0" w:footer="0" w:header="0"/>
        </w:sectPr>
      </w:pPr>
    </w:p>
    <w:bookmarkStart w:id="11" w:name="page12"/>
    <w:bookmarkEnd w:id="11"/>
    <w:p>
      <w:pPr>
        <w:ind w:right="460"/>
        <w:spacing w:after="0" w:line="262" w:lineRule="auto"/>
        <w:rPr>
          <w:sz w:val="20"/>
          <w:szCs w:val="20"/>
          <w:color w:val="auto"/>
        </w:rPr>
      </w:pPr>
      <w:r>
        <w:rPr>
          <w:rFonts w:ascii="Arial" w:cs="Arial" w:eastAsia="Arial" w:hAnsi="Arial"/>
          <w:sz w:val="18"/>
          <w:szCs w:val="18"/>
          <w:color w:val="auto"/>
        </w:rPr>
        <w:t>The effects of the revision on our condensed consolidated statements of income for the three and six months ended June 30, 2018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76"/>
        </w:trPr>
        <w:tc>
          <w:tcPr>
            <w:tcW w:w="4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75"/>
        </w:trPr>
        <w:tc>
          <w:tcPr>
            <w:tcW w:w="40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Previously</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6"/>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Pr>
          <w:p>
            <w:pPr>
              <w:spacing w:after="0"/>
              <w:rPr>
                <w:sz w:val="17"/>
                <w:szCs w:val="17"/>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Reported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17"/>
                <w:szCs w:val="17"/>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Revised</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2,243.9</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(177.9)</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2,066.0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4,671.3</w:t>
            </w: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(331.3)</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4,340.0</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663.7</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177.9</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841.6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1,312.1</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1,643.4</w:t>
            </w:r>
          </w:p>
        </w:tc>
      </w:tr>
      <w:tr>
        <w:trPr>
          <w:trHeight w:val="24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20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2,960.9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6,086.1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6,086.1</w:t>
            </w:r>
          </w:p>
        </w:tc>
      </w:tr>
      <w:tr>
        <w:trPr>
          <w:trHeight w:val="290"/>
        </w:trPr>
        <w:tc>
          <w:tcPr>
            <w:tcW w:w="4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i w:val="1"/>
                <w:iCs w:val="1"/>
                <w:color w:val="auto"/>
              </w:rPr>
              <w:t>Costs and expenses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service revenue</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1,846.9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3,628.2</w:t>
            </w: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Cost of product revenue</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544.1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1,250.1</w:t>
            </w: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2,777.6</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5,663.5</w:t>
            </w:r>
          </w:p>
        </w:tc>
      </w:tr>
      <w:tr>
        <w:trPr>
          <w:trHeight w:val="297"/>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84"/>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per share attributable to TechnipFMC plc (Note 7)</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0.43</w:t>
            </w: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0.43</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0.43</w:t>
            </w:r>
          </w:p>
        </w:tc>
      </w:tr>
      <w:tr>
        <w:trPr>
          <w:trHeight w:val="284"/>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Weighted average shares outstanding (Note 7)</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461.4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462.8</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464.2</w:t>
            </w:r>
          </w:p>
        </w:tc>
      </w:tr>
    </w:tbl>
    <w:p>
      <w:pPr>
        <w:spacing w:after="0" w:line="278"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The majority of our leases are operating leases. We account for leases in accordance with ASC Topic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on January 1, 2019 using the modified retrospective method. Refer to Note 4 for further discussion of the adoption, including the impact on our 2019 financial statements.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COMBINATION TRANSACTIONS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February 2018, we signed an agreement with the Island Offshore Group to acquire a 51% stake in Island Offshore’s wholly-owned subsidiary, Island Offshore Subsea AS. Island Offshore Subsea AS provides riserless light well intervention (“RLWI”) project management and engineering services for plug and abandonment (“P&amp;A”), riserless coiled tubing, and well completion operations. In connection with the acquisition of the controlling interest, TechnipFMC and Island Offshore entered into a strategic cooperation agreement to deliver RLWI services on a global basis, which also include TechnipFMC’s RLWI capabilities. Island Offshore Subsea AS has been rebranded to TIOS and is now the operating unit for TechnipFMC’s RLWI activities worldwide. The acquisition was completed for total cash consideration of $42.4 million. As a result of the acquisition, we recorded redeemable financial liability equal to the fair value of a written put option and we increased goodwill by $85.0 million.</w:t>
      </w:r>
    </w:p>
    <w:p>
      <w:pPr>
        <w:spacing w:after="0" w:line="15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Additional acquisitions during the six months ended June 30, 2018 totaled $61.0 million in consideration paid. There were no acquisitions during the six months ended June 30,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Effective January 1, 2019, we adopted (1) Accounting Standards Update (“ASU”) No. </w:t>
      </w:r>
      <w:r>
        <w:rPr>
          <w:rFonts w:ascii="Arial" w:cs="Arial" w:eastAsia="Arial" w:hAnsi="Arial"/>
          <w:sz w:val="18"/>
          <w:szCs w:val="18"/>
          <w:i w:val="1"/>
          <w:iCs w:val="1"/>
          <w:color w:val="auto"/>
        </w:rPr>
        <w:t>“2016-02, Leases (Topic 842).”</w:t>
      </w:r>
      <w:r>
        <w:rPr>
          <w:rFonts w:ascii="Arial" w:cs="Arial" w:eastAsia="Arial" w:hAnsi="Arial"/>
          <w:sz w:val="18"/>
          <w:szCs w:val="18"/>
          <w:color w:val="auto"/>
        </w:rPr>
        <w:t xml:space="preserve">, (2) ASU 2018-01, </w:t>
      </w:r>
      <w:r>
        <w:rPr>
          <w:rFonts w:ascii="Arial" w:cs="Arial" w:eastAsia="Arial" w:hAnsi="Arial"/>
          <w:sz w:val="18"/>
          <w:szCs w:val="18"/>
          <w:i w:val="1"/>
          <w:iCs w:val="1"/>
          <w:color w:val="auto"/>
        </w:rPr>
        <w:t xml:space="preserve">“Leases (Topic 842): Land Easement Practical Expedient for Transition to Topic 842.” (3) </w:t>
      </w:r>
      <w:r>
        <w:rPr>
          <w:rFonts w:ascii="Arial" w:cs="Arial" w:eastAsia="Arial" w:hAnsi="Arial"/>
          <w:sz w:val="18"/>
          <w:szCs w:val="18"/>
          <w:color w:val="auto"/>
        </w:rPr>
        <w:t>ASU 2018-10,</w:t>
      </w:r>
      <w:r>
        <w:rPr>
          <w:rFonts w:ascii="Arial" w:cs="Arial" w:eastAsia="Arial" w:hAnsi="Arial"/>
          <w:sz w:val="18"/>
          <w:szCs w:val="18"/>
          <w:i w:val="1"/>
          <w:iCs w:val="1"/>
          <w:color w:val="auto"/>
        </w:rPr>
        <w:t xml:space="preserve"> “Codification Improvements to Topic 842, Lease.”</w:t>
      </w:r>
      <w:r>
        <w:rPr>
          <w:rFonts w:ascii="Arial" w:cs="Arial" w:eastAsia="Arial" w:hAnsi="Arial"/>
          <w:sz w:val="18"/>
          <w:szCs w:val="18"/>
          <w:color w:val="auto"/>
        </w:rPr>
        <w:t>, (4) ASU 2018-20,</w:t>
      </w:r>
      <w:r>
        <w:rPr>
          <w:rFonts w:ascii="Arial" w:cs="Arial" w:eastAsia="Arial" w:hAnsi="Arial"/>
          <w:sz w:val="18"/>
          <w:szCs w:val="18"/>
          <w:i w:val="1"/>
          <w:iCs w:val="1"/>
          <w:color w:val="auto"/>
        </w:rPr>
        <w:t xml:space="preserve"> “Narrow-scope Improvements for Lessors.”</w:t>
      </w:r>
      <w:r>
        <w:rPr>
          <w:rFonts w:ascii="Arial" w:cs="Arial" w:eastAsia="Arial" w:hAnsi="Arial"/>
          <w:sz w:val="18"/>
          <w:szCs w:val="18"/>
          <w:color w:val="auto"/>
        </w:rPr>
        <w:t>, (5) ASU 2018-11,</w:t>
      </w:r>
      <w:r>
        <w:rPr>
          <w:rFonts w:ascii="Arial" w:cs="Arial" w:eastAsia="Arial" w:hAnsi="Arial"/>
          <w:sz w:val="18"/>
          <w:szCs w:val="18"/>
          <w:i w:val="1"/>
          <w:iCs w:val="1"/>
          <w:color w:val="auto"/>
        </w:rPr>
        <w:t xml:space="preserve"> “Leases (Topic 842): Targeted Improvements.”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 ASU No. 2019-01, </w:t>
      </w:r>
      <w:r>
        <w:rPr>
          <w:rFonts w:ascii="Arial" w:cs="Arial" w:eastAsia="Arial" w:hAnsi="Arial"/>
          <w:sz w:val="18"/>
          <w:szCs w:val="18"/>
          <w:i w:val="1"/>
          <w:iCs w:val="1"/>
          <w:color w:val="auto"/>
        </w:rPr>
        <w:t>“Leases</w:t>
      </w:r>
    </w:p>
    <w:p>
      <w:pPr>
        <w:sectPr>
          <w:pgSz w:w="11900" w:h="16838" w:orient="portrait"/>
          <w:cols w:equalWidth="0" w:num="1">
            <w:col w:w="11420"/>
          </w:cols>
          <w:pgMar w:left="240" w:top="679" w:right="2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679" w:right="239" w:bottom="1440" w:gutter="0" w:footer="0" w:header="0"/>
          <w:type w:val="continuous"/>
        </w:sectPr>
      </w:pPr>
    </w:p>
    <w:bookmarkStart w:id="12" w:name="page13"/>
    <w:bookmarkEnd w:id="12"/>
    <w:p>
      <w:pPr>
        <w:ind w:right="300"/>
        <w:spacing w:after="0" w:line="282" w:lineRule="auto"/>
        <w:rPr>
          <w:sz w:val="20"/>
          <w:szCs w:val="20"/>
          <w:color w:val="auto"/>
        </w:rPr>
      </w:pPr>
      <w:r>
        <w:rPr>
          <w:rFonts w:ascii="Arial" w:cs="Arial" w:eastAsia="Arial" w:hAnsi="Arial"/>
          <w:sz w:val="18"/>
          <w:szCs w:val="18"/>
          <w:i w:val="1"/>
          <w:iCs w:val="1"/>
          <w:color w:val="auto"/>
        </w:rPr>
        <w:t>(Topic 842) —Codification Improvements.”</w:t>
      </w:r>
      <w:r>
        <w:rPr>
          <w:rFonts w:ascii="Arial" w:cs="Arial" w:eastAsia="Arial" w:hAnsi="Arial"/>
          <w:sz w:val="18"/>
          <w:szCs w:val="18"/>
          <w:color w:val="auto"/>
        </w:rPr>
        <w:t>. These updates require lessees to recognize a right-of-use (“ROU”) asset and a lease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virtually all of their leases. See Note 4 to our condensed consolidated financial statements of this Quarterly Report for more information.</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Effective January 1, 2019, we adopted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For cash flow and net investment hedges as of the adoption date, the guidance requires a modified retrospective approach. The amended presentation and disclosure guidance is required to be adopted prospectively. The adoption of this update did not have an impact on our consolidated financial statements.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Effective January 1, 2019, we adopted ASU No. 2018-02, </w:t>
      </w:r>
      <w:r>
        <w:rPr>
          <w:rFonts w:ascii="Arial" w:cs="Arial" w:eastAsia="Arial" w:hAnsi="Arial"/>
          <w:sz w:val="18"/>
          <w:szCs w:val="18"/>
          <w:i w:val="1"/>
          <w:iCs w:val="1"/>
          <w:color w:val="auto"/>
        </w:rPr>
        <w:t>“Income Statement-Reporting Comprehensive Income (Topic 220): Reclassification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Tax Effects from Accumulated Other Comprehensive Income (AOCI).” </w:t>
      </w:r>
      <w:r>
        <w:rPr>
          <w:rFonts w:ascii="Arial" w:cs="Arial" w:eastAsia="Arial" w:hAnsi="Arial"/>
          <w:sz w:val="18"/>
          <w:szCs w:val="18"/>
          <w:color w:val="auto"/>
        </w:rPr>
        <w:t>This update provides an option to reclassify stranded tax</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effects with AOCI to retained earnings in each period in which the effect of the change in the U.S. federal corporate tax rate in the Tax Cuts and Jobs Act (or portion thereof) is recorded. The ASU requires financial statement disclosures that indicate a description of the accounting policy for releasing income tax effects from AOCI; whether there is an election to reclassify the stranded income tax effects from the Tax Cuts and Jobs Act and information about the other income tax effects are reclassified. These amendments affect any organization that is required to apply the provisions of Topic 220, </w:t>
      </w:r>
      <w:r>
        <w:rPr>
          <w:rFonts w:ascii="Arial" w:cs="Arial" w:eastAsia="Arial" w:hAnsi="Arial"/>
          <w:sz w:val="18"/>
          <w:szCs w:val="18"/>
          <w:i w:val="1"/>
          <w:iCs w:val="1"/>
          <w:color w:val="auto"/>
        </w:rPr>
        <w:t>Income Statement-Reporting Comprehensive Income</w:t>
      </w:r>
      <w:r>
        <w:rPr>
          <w:rFonts w:ascii="Arial" w:cs="Arial" w:eastAsia="Arial" w:hAnsi="Arial"/>
          <w:sz w:val="18"/>
          <w:szCs w:val="18"/>
          <w:color w:val="auto"/>
        </w:rPr>
        <w:t>, and has items of other comprehensive income for which the related tax effects are presented in other comprehensive income as required by GAAP. The adoption of this update did not have an impact on our consolidated financial statements.</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Effective January 1, 2019, we adopted ASU No.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This update expands the scope of Topic 718 to include all share-based payment transactions for acquiring</w:t>
      </w:r>
      <w:r>
        <w:rPr>
          <w:rFonts w:ascii="Arial" w:cs="Arial" w:eastAsia="Arial" w:hAnsi="Arial"/>
          <w:sz w:val="18"/>
          <w:szCs w:val="18"/>
          <w:i w:val="1"/>
          <w:iCs w:val="1"/>
          <w:color w:val="auto"/>
        </w:rPr>
        <w:t xml:space="preserve"> </w:t>
      </w:r>
      <w:r>
        <w:rPr>
          <w:rFonts w:ascii="Arial" w:cs="Arial" w:eastAsia="Arial" w:hAnsi="Arial"/>
          <w:sz w:val="18"/>
          <w:szCs w:val="18"/>
          <w:color w:val="auto"/>
        </w:rPr>
        <w:t>goods and services from nonemployees. The amendments in this update specify that Topic 718 applies to all share-based payment transactions in which the grantor acquires goods and services to be used or consumed in its own operations by issuing share-based payment awards. The amendments in this update also clarify that Topic 718 does not apply to share-based payments used to effectively provide (1) financing to the issuer or (2) awards granted in conjunction with selling goods or services to customers as part of a contract accounted for under ASC Topic 606. The adoption of this update did not have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update introduces a new model for recognizing credit losses on financial instruments based on an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losses. The updated guidance applies to (1) loans, accounts receivable, trade receivables and other financial assets measured at amortized cost, (2) loan commitments and other off-balance sheet credit exposures, (iii) debt securities and other financial assets measured at fair value through other comprehensive income and (iv) beneficial interests in securitized financial assets. In May 2019, the FASB issued a new update ASU No.2019-05, that eases transition to the credit losses standard by providing the option to measure certain types of assets at fair value, allowing an option for preparers to irrevocably elect the fair value option for eligible financial assets measured at amortized cost basis on an instrument-by-instrument basis. The amendments in this ASU are effective for us on January 1, 2020 and are required to be adopted on a modified retrospective basis. Early adoption is not permitted. We are currently evaluating the impact of this ASU on our consolidated financial statements.</w:t>
      </w:r>
    </w:p>
    <w:p>
      <w:pPr>
        <w:spacing w:after="0" w:line="13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November 2018, the FASB also issued ASU No. 2018-19,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The update amends the transition requirements and scope of the credit losses standard issued in 2016. This update clarifies that receivables arising from operating leases are not within the scope of the credit losses standard, but rather, should be accounted for in accordance with the leases standard. The amendments in this ASU are effective for us on January 1, 2020 and are required to be adopted on a modified retrospective basis. Early adoption is not permitted. We are currently evaluating the impact of this ASU on our consolidated financial statements.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0" w:right="279" w:bottom="1440" w:gutter="0" w:footer="0" w:header="0"/>
        </w:sectPr>
      </w:pPr>
    </w:p>
    <w:bookmarkStart w:id="13" w:name="page14"/>
    <w:bookmarkEnd w:id="13"/>
    <w:p>
      <w:pPr>
        <w:ind w:right="60"/>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This update modifies the disclosure requirement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ASU are effective for us January 1, 2020. Early adoption is permitted. The amendments on changes in unrealized gains and losses, the range and weighted average of significant unobservable inputs used to develop Level 3 fair value measurements, and the narrative description of measurement uncertainty should be applied prospectively. All other amendments should be applied retrospectively. We are currently evaluating the impact of this ASU on our consolidated financial statements.</w:t>
      </w:r>
    </w:p>
    <w:p>
      <w:pPr>
        <w:spacing w:after="0" w:line="1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ASU are effective for us January 1, 2021. Early adoption is permitted. The amendments in this update are required to be adopted retrospectively. We are currently evaluating the impact of this ASU on our consolidated financial statements.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(a consensus of the FASB Emerging Issues Task Force).” </w:t>
      </w:r>
      <w:r>
        <w:rPr>
          <w:rFonts w:ascii="Arial" w:cs="Arial" w:eastAsia="Arial" w:hAnsi="Arial"/>
          <w:sz w:val="18"/>
          <w:szCs w:val="18"/>
          <w:color w:val="auto"/>
        </w:rPr>
        <w:t>This update requires that the implementation costs incurred in a cloud computing arrangement that is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deferred if they would be capitalized based on the requirements for capitalizing implementation costs incurred to develop or obtain internal-use software. The amendments in this ASU are effective for us January 1, 2020. Early adoption is permitted. The amendments in this update are required to be adopted either retrospectively or prospectively. We are currently evaluating the impact of this ASU on our consolidated financial statements.</w:t>
      </w:r>
    </w:p>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Topic 606.” </w:t>
      </w:r>
      <w:r>
        <w:rPr>
          <w:rFonts w:ascii="Arial" w:cs="Arial" w:eastAsia="Arial" w:hAnsi="Arial"/>
          <w:sz w:val="18"/>
          <w:szCs w:val="18"/>
          <w:color w:val="auto"/>
        </w:rPr>
        <w:t>This update clarifies the interaction between the guidance for certain collaborative arrangements and the 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accounting and reporting standard. The amendments in this ASU are effective for us January 1, 2020. Early adoption is permitted. The amendments in this update are required to be adopted retrospectively to the date of initial application of Topic 606. An entity should recognize the cumulative effect of initially applying the amendments as an adjustment to the opening balance of retained earnings of the later of the earliest annual period presented and the annual period that includes the date of the entity’s initial application of Topic 606. We are currently evaluating the impact of this ASU on our consolidated financial statements.</w:t>
      </w:r>
    </w:p>
    <w:p>
      <w:pPr>
        <w:spacing w:after="0" w:line="1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In April 2019, the FASB issued ASU No. 2019-04, </w:t>
      </w:r>
      <w:r>
        <w:rPr>
          <w:rFonts w:ascii="Arial" w:cs="Arial" w:eastAsia="Arial" w:hAnsi="Arial"/>
          <w:sz w:val="18"/>
          <w:szCs w:val="18"/>
          <w:i w:val="1"/>
          <w:iCs w:val="1"/>
          <w:color w:val="auto"/>
        </w:rPr>
        <w:t>“Codification Improvements to Topic 326, Financial Instruments - Credit Losses,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and Topic 825, Financial Instruments</w:t>
      </w:r>
      <w:r>
        <w:rPr>
          <w:rFonts w:ascii="Arial" w:cs="Arial" w:eastAsia="Arial" w:hAnsi="Arial"/>
          <w:sz w:val="18"/>
          <w:szCs w:val="18"/>
          <w:color w:val="auto"/>
        </w:rPr>
        <w:t>.” The update clarifies and improves areas of guidance related to the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issued standards including (1) ASU No. 2016-01, </w:t>
      </w:r>
      <w:r>
        <w:rPr>
          <w:rFonts w:ascii="Arial" w:cs="Arial" w:eastAsia="Arial" w:hAnsi="Arial"/>
          <w:sz w:val="18"/>
          <w:szCs w:val="18"/>
          <w:i w:val="1"/>
          <w:iCs w:val="1"/>
          <w:color w:val="auto"/>
        </w:rPr>
        <w:t>“Financial Instruments—Overall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Liabilities.”</w:t>
      </w:r>
      <w:r>
        <w:rPr>
          <w:rFonts w:ascii="Arial" w:cs="Arial" w:eastAsia="Arial" w:hAnsi="Arial"/>
          <w:sz w:val="18"/>
          <w:szCs w:val="18"/>
          <w:color w:val="auto"/>
        </w:rPr>
        <w:t>, (2) ASU No. 2016-13,</w:t>
      </w:r>
      <w:r>
        <w:rPr>
          <w:rFonts w:ascii="Arial" w:cs="Arial" w:eastAsia="Arial" w:hAnsi="Arial"/>
          <w:sz w:val="18"/>
          <w:szCs w:val="18"/>
          <w:i w:val="1"/>
          <w:iCs w:val="1"/>
          <w:color w:val="auto"/>
        </w:rPr>
        <w:t xml:space="preserve"> “Financial Instruments—Credit Losses (Topic 326): Measurement of Credit Losses on Financial Instruments.”</w:t>
      </w:r>
      <w:r>
        <w:rPr>
          <w:rFonts w:ascii="Arial" w:cs="Arial" w:eastAsia="Arial" w:hAnsi="Arial"/>
          <w:sz w:val="18"/>
          <w:szCs w:val="18"/>
          <w:color w:val="auto"/>
        </w:rPr>
        <w:t>, and (3) ASU No. 2017-12,</w:t>
      </w:r>
      <w:r>
        <w:rPr>
          <w:rFonts w:ascii="Arial" w:cs="Arial" w:eastAsia="Arial" w:hAnsi="Arial"/>
          <w:sz w:val="18"/>
          <w:szCs w:val="18"/>
          <w:i w:val="1"/>
          <w:iCs w:val="1"/>
          <w:color w:val="auto"/>
        </w:rPr>
        <w:t xml:space="preserve"> “Derivatives and Hedging (Topic 815): Targeted Improvements to Accounting for Hedging Activities.” </w:t>
      </w:r>
      <w:r>
        <w:rPr>
          <w:rFonts w:ascii="Arial" w:cs="Arial" w:eastAsia="Arial" w:hAnsi="Arial"/>
          <w:sz w:val="18"/>
          <w:szCs w:val="18"/>
          <w:color w:val="auto"/>
        </w:rPr>
        <w:t>Early adoption is permitted. The amendments in this update to ASU No. 2016-01 and No. 2016-13 are required to be adopted on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retrospective basis. The amendments in this update to ASU No. 2017-12 are required to be adopted either retrospectively or prospectively. This new update will be effective on January 1, 2020. We are currently evaluating the impact of this ASU on our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February 2016, the FASB issued ASU 2016-02, Leases (Topic 842). Lessees are required to recognize a right-of-use (“ROU”) asset and a lease liability for all outstanding leases excluding short-term leases. The liability is equal to the present value of the remaining lease payments. The ROU asset is based on the liability, subject to certain adjustments (e.g., initial direct costs, payments made by the lessee prior to lease commencement and any lessor incentives). For income statement purposes, lessees are required to classify leases as either operating or finance leases. Operating leases result in straight-line expense while finance leases result in a front-loaded expense pattern. Lessor accounting is largely unchanged but has been updated to align with certain changes to the lessee model and the new revenue recognition standard.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line="252" w:lineRule="auto"/>
        <w:rPr>
          <w:sz w:val="20"/>
          <w:szCs w:val="20"/>
          <w:color w:val="auto"/>
        </w:rPr>
      </w:pPr>
      <w:r>
        <w:rPr>
          <w:rFonts w:ascii="Arial" w:cs="Arial" w:eastAsia="Arial" w:hAnsi="Arial"/>
          <w:sz w:val="18"/>
          <w:szCs w:val="18"/>
          <w:color w:val="auto"/>
        </w:rPr>
        <w:t>Topic 842 was subsequently amended to provide practical expedient for transition and targeted improvements to the new lease standard. The FASB issued in March 2019, ASU 2019-01, “Leases (Topic 842): Codification Improvements” to clarify certain transition disclosure requirements. The Company adopted the new lease standard as of January 1, 2019, using a modified retrospective transition method and applying the new standard to all leases through a cumulative-effect adjustment to beginning retained earnings in the period of adoption. In our first annual period after adoption, the year ending December 31, 2019, the comparative periods will not be restated and will be presented under legacy lease accounting guidance in effect for those periods, Topic 840.</w:t>
      </w:r>
    </w:p>
    <w:p>
      <w:pPr>
        <w:spacing w:after="0" w:line="15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new standard provides a number of practical expedients specific to transition. We have elected the “package of practical expedients”, which permits us not to reassess (1) whether any expired or existing arrangements are or contain leases, (2) the lease classification for any expired or existing leases, and (3) any initial direct costs for any existing leases as of the effective date.</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new standard also provides practical expedients for an entity’s ongoing accounting, including a practical expedient which allows lessees and lessors to elect to not separate lease and non-lease components. We have elected the practical expedient available for lessees to not separate lease and non-lease components for all asset classes other than vessels, which typically include significant non-lease components. We have elected the practical expedient available for lessors to not separate lease and non-lease components for vessels. The Company also elected not to recognize right of use assets and lease liabilities on the balance sheet for short-term leases, which have a lease term of 12 months or less and do not include an option to purchase the underlying asset that the Company is reasonably certain to exercise. Lease cost of short-term leases are recognized on a straight-line basis over the lease term and disclosed within our financial statements. We believe short-term lease commitments are not materially different than the short-term lease cost for the period.</w:t>
      </w:r>
    </w:p>
    <w:p>
      <w:pPr>
        <w:spacing w:after="0" w:line="15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Adoption of the new lease accounting guidance had a material impact on our consolidated balance sheets but did not have a material impact on our consolidated income statements. We recognized on January 1, 2019, (1) a lease liability of approximately $1,189.6 million which represents the present value of the remaining lease payments, discounted using the Company’s applicable weighted average incremental borrowing rates, and (2) an ROU asset of approximately $1,115.5 million which represents the lease liability of $1,189.6 million adjusted for accrued and prepaid rent, lease incentives, and other balances. The impact was recorded as an adjustment to increase retained earnings by approximately $1.8 million.</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adoption of the new lease standard, we corrected our balance sheet as of January 1, 2016 to include an additional $42.0 million of liabilities of which $5.0 million and $37.0 million was other current liabilities and other liabilities, respectively, with a corresponding decrease in retained earnings to reflect additional rent expense which was not historically recorded prior to fiscal 2016. Accordingly, the revised other current liabilities, other liabilities retained earnings balances as of January 1, 2016 were $1,044.4 million, $131.3 million, and $3,231.4 million, respectively. These historical errors are not material to any prior interim or annual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Lessee Arrangements</w:t>
      </w:r>
    </w:p>
    <w:p>
      <w:pPr>
        <w:spacing w:after="0" w:line="18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lease real estate, including land, buildings and warehouses, machinery/equipment, vessels, vehicles, and various types of manufacturing and data processing equipment, from a lessee perspective. Leases of real estate generally provide for payment of property taxes, insurance, and repairs by us. Substantially all our leases are classified as operating leases.</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determine if an arrangement is a lease at inception by assessing whether an identified asset exists and if we have the right to control the use of the identified asset. Operating leases are included in Operating lease right-of-use assets, Operating lease liabilities (current), and Operating lease liabilities (non-current) on our consolidated balance sheets.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the remaining lease payments over the lease term. With the exception of rare cases in which the implicit rate is readily determinable, we use our incremental borrowing rate based on the information available at the commencement date in determining the present value of lease payments. The Operating lease right-of-use assets also includes any lease prepayments made and excludes lease incentives we received from the lessor. Lease cost for lease payments is recognized on a straight-line basis over the lease term. Several of our leases provide for certain guarantees of residual value. We estimate and include in the determination of lease payments any amount probable of being owed under these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98" w:right="259" w:bottom="1440" w:gutter="0" w:footer="0" w:header="0"/>
        </w:sectPr>
      </w:pPr>
    </w:p>
    <w:bookmarkStart w:id="15" w:name="page16"/>
    <w:bookmarkEnd w:id="15"/>
    <w:p>
      <w:pPr>
        <w:ind w:right="60"/>
        <w:spacing w:after="0" w:line="262" w:lineRule="auto"/>
        <w:rPr>
          <w:sz w:val="20"/>
          <w:szCs w:val="20"/>
          <w:color w:val="auto"/>
        </w:rPr>
      </w:pPr>
      <w:r>
        <w:rPr>
          <w:rFonts w:ascii="Arial" w:cs="Arial" w:eastAsia="Arial" w:hAnsi="Arial"/>
          <w:sz w:val="18"/>
          <w:szCs w:val="18"/>
          <w:color w:val="auto"/>
        </w:rPr>
        <w:t>residual value guarantees. At the date of adoption and June 30, 2019, we determined that there were no residual value guarantees which were probable of being owed. Our leases do not contain any material restrictive covenants.</w:t>
      </w:r>
    </w:p>
    <w:p>
      <w:pPr>
        <w:spacing w:after="0" w:line="14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Lease terms within our lessee arrangements may include options to extend/renew or terminate the lease and/or purchase the underlying asset when it is reasonably certain that we will exercise that option. The Company applies a portfolio approach by asset class to determine lease term renewals. The leases within these portfolios are categorized by asset class and have initial lease terms that vary depending on the asset class. The renewal terms range from 60 days to 5 years for asset classes such as temporary residential housing, forklifts, vehicles, vessels, office and IT equipment, and tool rentals, and up to 15 years or more for commercial real estate. Short-term leases with an initial term of 12 months or less that do not include a purchase option are not recorded on the balance sheet. Lease costs for short-term leases are recognized on a straight-line basis over the lease term and amounts related to short-term leases are disclosed within our financial statements.</w:t>
      </w:r>
    </w:p>
    <w:p>
      <w:pPr>
        <w:spacing w:after="0" w:line="15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has variable lease payments, including adjustments to lease payments based on an index or rate (such as the Consumer Price Index), fair value adjustments to lease payments, and common area maintenance, real estate taxes, and insurance payments in triple-net real estate leases. Variable lease payments that depend on an index or a rate (such as the Consumer Price Index or a market interest rate) are included when measuring consideration within our lease arrangements using the payments’ base rate or index. Variable payments that do not depend on an index or rate are recognized in profit or loss and are disclosed as ‘variable lease cost’ in the period they are incurred.</w:t>
      </w:r>
    </w:p>
    <w:p>
      <w:pPr>
        <w:spacing w:after="0" w:line="15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adopted the practical expedient to not separate lease and non-lease components for all asset classes except for vessels, which have significant non-lease components.</w:t>
      </w:r>
    </w:p>
    <w:p>
      <w:pPr>
        <w:spacing w:after="0" w:line="14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Company currently subleases certain of its leased real estate and vessels to third parties. It is expected that most subleases will be classified as operating leases by the sublessor under GAAP.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net lease cost for the three and six months ended June 30,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780" w:type="dxa"/>
            <w:vAlign w:val="bottom"/>
          </w:tcPr>
          <w:p>
            <w:pPr>
              <w:jc w:val="right"/>
              <w:ind w:right="32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4"/>
                <w:szCs w:val="2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4"/>
                <w:szCs w:val="24"/>
                <w:color w:val="auto"/>
              </w:rPr>
            </w:pPr>
          </w:p>
        </w:tc>
        <w:tc>
          <w:tcPr>
            <w:tcW w:w="1780" w:type="dxa"/>
            <w:vAlign w:val="bottom"/>
          </w:tcPr>
          <w:p>
            <w:pPr>
              <w:jc w:val="right"/>
              <w:ind w:right="488"/>
              <w:spacing w:after="0"/>
              <w:rPr>
                <w:sz w:val="20"/>
                <w:szCs w:val="20"/>
                <w:color w:val="auto"/>
              </w:rPr>
            </w:pPr>
            <w:r>
              <w:rPr>
                <w:rFonts w:ascii="Arial" w:cs="Arial" w:eastAsia="Arial" w:hAnsi="Arial"/>
                <w:sz w:val="14"/>
                <w:szCs w:val="14"/>
                <w:b w:val="1"/>
                <w:bCs w:val="1"/>
                <w:color w:val="auto"/>
              </w:rPr>
              <w:t>June 30, 2019</w:t>
            </w:r>
          </w:p>
        </w:tc>
      </w:tr>
      <w:tr>
        <w:trPr>
          <w:trHeight w:val="256"/>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lease cost including variable costs</w:t>
            </w: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183.4</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Short-term lease costs</w:t>
            </w:r>
          </w:p>
        </w:tc>
        <w:tc>
          <w:tcPr>
            <w:tcW w:w="220" w:type="dxa"/>
            <w:vAlign w:val="bottom"/>
          </w:tcPr>
          <w:p>
            <w:pPr>
              <w:spacing w:after="0"/>
              <w:rPr>
                <w:sz w:val="22"/>
                <w:szCs w:val="22"/>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sublease income</w:t>
            </w:r>
          </w:p>
        </w:tc>
        <w:tc>
          <w:tcPr>
            <w:tcW w:w="22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37"/>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Net lease cost</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194.3</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six months ended June 30, 2019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26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June 30, 2019</w:t>
            </w:r>
          </w:p>
        </w:tc>
      </w:t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10"/>
        </w:trPr>
        <w:tc>
          <w:tcPr>
            <w:tcW w:w="9480" w:type="dxa"/>
            <w:vAlign w:val="bottom"/>
          </w:tcPr>
          <w:p>
            <w:pPr>
              <w:ind w:left="40"/>
              <w:spacing w:after="0"/>
              <w:rPr>
                <w:sz w:val="20"/>
                <w:szCs w:val="20"/>
                <w:color w:val="auto"/>
              </w:rPr>
            </w:pPr>
            <w:r>
              <w:rPr>
                <w:rFonts w:ascii="Arial" w:cs="Arial" w:eastAsia="Arial" w:hAnsi="Arial"/>
                <w:sz w:val="14"/>
                <w:szCs w:val="14"/>
                <w:color w:val="auto"/>
              </w:rPr>
              <w:t>Operating cash flows from operating leases</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181.7</w:t>
            </w:r>
          </w:p>
        </w:tc>
      </w:tr>
      <w:tr>
        <w:trPr>
          <w:trHeight w:val="330"/>
        </w:trPr>
        <w:tc>
          <w:tcPr>
            <w:tcW w:w="9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10"/>
        </w:trPr>
        <w:tc>
          <w:tcPr>
            <w:tcW w:w="9480" w:type="dxa"/>
            <w:vAlign w:val="bottom"/>
          </w:tcPr>
          <w:p>
            <w:pPr>
              <w:ind w:left="40"/>
              <w:spacing w:after="0"/>
              <w:rPr>
                <w:sz w:val="20"/>
                <w:szCs w:val="20"/>
                <w:color w:val="auto"/>
              </w:rPr>
            </w:pPr>
            <w:r>
              <w:rPr>
                <w:rFonts w:ascii="Arial" w:cs="Arial" w:eastAsia="Arial" w:hAnsi="Arial"/>
                <w:sz w:val="14"/>
                <w:szCs w:val="14"/>
                <w:b w:val="1"/>
                <w:bCs w:val="1"/>
                <w:color w:val="auto"/>
              </w:rPr>
              <w:t>Right-of-use assets obtained in exchange for lease liabilities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Supplemental balance sheet information related to leases as of June 30, 2019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lease term and discount rate)</w:t>
            </w:r>
          </w:p>
        </w:tc>
        <w:tc>
          <w:tcPr>
            <w:tcW w:w="1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June 30, 2019</w:t>
            </w:r>
          </w:p>
        </w:tc>
      </w:t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remaining lease term</w:t>
            </w:r>
          </w:p>
        </w:tc>
        <w:tc>
          <w:tcPr>
            <w:tcW w:w="1640" w:type="dxa"/>
            <w:vAlign w:val="bottom"/>
            <w:shd w:val="clear" w:color="auto" w:fill="CCEEFF"/>
          </w:tcPr>
          <w:p>
            <w:pPr>
              <w:spacing w:after="0"/>
              <w:rPr>
                <w:sz w:val="23"/>
                <w:szCs w:val="23"/>
                <w:color w:val="auto"/>
              </w:rPr>
            </w:pPr>
          </w:p>
        </w:tc>
      </w:tr>
      <w:tr>
        <w:trPr>
          <w:trHeight w:val="210"/>
        </w:trPr>
        <w:tc>
          <w:tcPr>
            <w:tcW w:w="9780" w:type="dxa"/>
            <w:vAlign w:val="bottom"/>
          </w:tcPr>
          <w:p>
            <w:pPr>
              <w:ind w:left="40"/>
              <w:spacing w:after="0"/>
              <w:rPr>
                <w:sz w:val="20"/>
                <w:szCs w:val="20"/>
                <w:color w:val="auto"/>
              </w:rPr>
            </w:pPr>
            <w:r>
              <w:rPr>
                <w:rFonts w:ascii="Arial" w:cs="Arial" w:eastAsia="Arial" w:hAnsi="Arial"/>
                <w:sz w:val="14"/>
                <w:szCs w:val="14"/>
                <w:color w:val="auto"/>
              </w:rPr>
              <w:t>Operating leases</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7.1 years</w:t>
            </w:r>
          </w:p>
        </w:tc>
      </w:tr>
      <w:tr>
        <w:trPr>
          <w:trHeight w:val="330"/>
        </w:trPr>
        <w:tc>
          <w:tcPr>
            <w:tcW w:w="97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4"/>
        </w:trPr>
        <w:tc>
          <w:tcPr>
            <w:tcW w:w="9780" w:type="dxa"/>
            <w:vAlign w:val="bottom"/>
          </w:tcPr>
          <w:p>
            <w:pPr>
              <w:ind w:left="40"/>
              <w:spacing w:after="0"/>
              <w:rPr>
                <w:sz w:val="20"/>
                <w:szCs w:val="20"/>
                <w:color w:val="auto"/>
              </w:rPr>
            </w:pPr>
            <w:r>
              <w:rPr>
                <w:rFonts w:ascii="Arial" w:cs="Arial" w:eastAsia="Arial" w:hAnsi="Arial"/>
                <w:sz w:val="14"/>
                <w:szCs w:val="14"/>
                <w:b w:val="1"/>
                <w:bCs w:val="1"/>
                <w:color w:val="auto"/>
              </w:rPr>
              <w:t>Weighted average discount rate</w:t>
            </w:r>
          </w:p>
        </w:tc>
        <w:tc>
          <w:tcPr>
            <w:tcW w:w="1640" w:type="dxa"/>
            <w:vAlign w:val="bottom"/>
          </w:tcPr>
          <w:p>
            <w:pPr>
              <w:spacing w:after="0"/>
              <w:rPr>
                <w:sz w:val="22"/>
                <w:szCs w:val="22"/>
                <w:color w:val="auto"/>
              </w:rPr>
            </w:pPr>
          </w:p>
        </w:tc>
      </w:tr>
      <w:tr>
        <w:trPr>
          <w:trHeight w:val="222"/>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378"/>
        </w:trPr>
        <w:tc>
          <w:tcPr>
            <w:tcW w:w="9780" w:type="dxa"/>
            <w:vAlign w:val="bottom"/>
          </w:tcPr>
          <w:p>
            <w:pPr>
              <w:spacing w:after="0"/>
              <w:rPr>
                <w:sz w:val="20"/>
                <w:szCs w:val="20"/>
                <w:color w:val="auto"/>
              </w:rPr>
            </w:pPr>
            <w:r>
              <w:rPr>
                <w:rFonts w:ascii="Arial" w:cs="Arial" w:eastAsia="Arial" w:hAnsi="Arial"/>
                <w:sz w:val="18"/>
                <w:szCs w:val="18"/>
                <w:color w:val="auto"/>
              </w:rPr>
              <w:t>The following table is a summary of the maturity of lease liabilities under operating leases as of June 30, 2019:</w:t>
            </w:r>
          </w:p>
        </w:tc>
        <w:tc>
          <w:tcPr>
            <w:tcW w:w="1640" w:type="dxa"/>
            <w:vAlign w:val="bottom"/>
          </w:tcPr>
          <w:p>
            <w:pPr>
              <w:spacing w:after="0"/>
              <w:rPr>
                <w:sz w:val="24"/>
                <w:szCs w:val="24"/>
                <w:color w:val="auto"/>
              </w:rPr>
            </w:pPr>
          </w:p>
        </w:tc>
      </w:tr>
    </w:tbl>
    <w:p>
      <w:pPr>
        <w:spacing w:after="0" w:line="149" w:lineRule="exact"/>
        <w:rPr>
          <w:sz w:val="20"/>
          <w:szCs w:val="20"/>
          <w:color w:val="auto"/>
        </w:rPr>
      </w:pPr>
    </w:p>
    <w:p>
      <w:pPr>
        <w:sectPr>
          <w:pgSz w:w="11900" w:h="16838" w:orient="portrait"/>
          <w:cols w:equalWidth="0" w:num="1">
            <w:col w:w="11420"/>
          </w:cols>
          <w:pgMar w:left="240" w:top="598" w:right="239" w:bottom="1440" w:gutter="0" w:footer="0" w:header="0"/>
        </w:sect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2019</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2021</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2023</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lease payments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Less: Imputed interest </w:t>
      </w:r>
      <w:r>
        <w:rPr>
          <w:rFonts w:ascii="Arial" w:cs="Arial" w:eastAsia="Arial" w:hAnsi="Arial"/>
          <w:sz w:val="17"/>
          <w:szCs w:val="17"/>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Total lease liabilities </w:t>
      </w:r>
      <w:r>
        <w:rPr>
          <w:rFonts w:ascii="Arial" w:cs="Arial" w:eastAsia="Arial" w:hAnsi="Arial"/>
          <w:sz w:val="17"/>
          <w:szCs w:val="17"/>
          <w:b w:val="1"/>
          <w:bCs w:val="1"/>
          <w:color w:val="auto"/>
          <w:vertAlign w:val="superscript"/>
        </w:rPr>
        <w:t>(b)</w:t>
      </w:r>
    </w:p>
    <w:p>
      <w:pPr>
        <w:spacing w:after="0" w:line="20" w:lineRule="exact"/>
        <w:rPr>
          <w:sz w:val="20"/>
          <w:szCs w:val="20"/>
          <w:color w:val="auto"/>
        </w:rPr>
      </w:pPr>
      <w:r>
        <w:rPr>
          <w:sz w:val="20"/>
          <w:szCs w:val="20"/>
          <w:color w:val="auto"/>
        </w:rPr>
        <w:br w:type="column"/>
      </w:r>
    </w:p>
    <w:p>
      <w:pPr>
        <w:ind w:left="147"/>
        <w:spacing w:after="0"/>
        <w:rPr>
          <w:sz w:val="20"/>
          <w:szCs w:val="20"/>
          <w:color w:val="auto"/>
        </w:rPr>
      </w:pPr>
      <w:r>
        <w:rPr>
          <w:rFonts w:ascii="Arial" w:cs="Arial" w:eastAsia="Arial" w:hAnsi="Arial"/>
          <w:sz w:val="14"/>
          <w:szCs w:val="14"/>
          <w:b w:val="1"/>
          <w:bCs w:val="1"/>
          <w:color w:val="auto"/>
        </w:rPr>
        <w:t>Operating Leases</w:t>
      </w:r>
    </w:p>
    <w:p>
      <w:pPr>
        <w:spacing w:after="0" w:line="87" w:lineRule="exact"/>
        <w:rPr>
          <w:sz w:val="20"/>
          <w:szCs w:val="20"/>
          <w:color w:val="auto"/>
        </w:rPr>
      </w:pPr>
    </w:p>
    <w:p>
      <w:pPr>
        <w:ind w:left="1107" w:hanging="1107"/>
        <w:spacing w:after="0"/>
        <w:tabs>
          <w:tab w:leader="none" w:pos="1107" w:val="left"/>
        </w:tabs>
        <w:numPr>
          <w:ilvl w:val="0"/>
          <w:numId w:val="4"/>
        </w:numPr>
        <w:rPr>
          <w:rFonts w:ascii="Arial" w:cs="Arial" w:eastAsia="Arial" w:hAnsi="Arial"/>
          <w:sz w:val="14"/>
          <w:szCs w:val="14"/>
          <w:color w:val="auto"/>
        </w:rPr>
      </w:pPr>
      <w:r>
        <w:rPr>
          <w:rFonts w:ascii="Arial" w:cs="Arial" w:eastAsia="Arial" w:hAnsi="Arial"/>
          <w:sz w:val="14"/>
          <w:szCs w:val="14"/>
          <w:color w:val="auto"/>
        </w:rPr>
        <w:t>333.7</w:t>
      </w:r>
    </w:p>
    <w:p>
      <w:pPr>
        <w:spacing w:after="0" w:line="55" w:lineRule="exact"/>
        <w:rPr>
          <w:rFonts w:ascii="Arial" w:cs="Arial" w:eastAsia="Arial" w:hAnsi="Arial"/>
          <w:sz w:val="14"/>
          <w:szCs w:val="14"/>
          <w:color w:val="auto"/>
        </w:rPr>
      </w:pPr>
    </w:p>
    <w:p>
      <w:pPr>
        <w:ind w:left="1107"/>
        <w:spacing w:after="0"/>
        <w:rPr>
          <w:rFonts w:ascii="Arial" w:cs="Arial" w:eastAsia="Arial" w:hAnsi="Arial"/>
          <w:sz w:val="14"/>
          <w:szCs w:val="14"/>
          <w:color w:val="auto"/>
        </w:rPr>
      </w:pPr>
      <w:r>
        <w:rPr>
          <w:rFonts w:ascii="Arial" w:cs="Arial" w:eastAsia="Arial" w:hAnsi="Arial"/>
          <w:sz w:val="14"/>
          <w:szCs w:val="14"/>
          <w:color w:val="auto"/>
        </w:rPr>
        <w:t>249.5</w:t>
      </w:r>
    </w:p>
    <w:p>
      <w:pPr>
        <w:spacing w:after="0" w:line="55" w:lineRule="exact"/>
        <w:rPr>
          <w:rFonts w:ascii="Arial" w:cs="Arial" w:eastAsia="Arial" w:hAnsi="Arial"/>
          <w:sz w:val="14"/>
          <w:szCs w:val="14"/>
          <w:color w:val="auto"/>
        </w:rPr>
      </w:pPr>
    </w:p>
    <w:p>
      <w:pPr>
        <w:ind w:left="1107"/>
        <w:spacing w:after="0"/>
        <w:rPr>
          <w:rFonts w:ascii="Arial" w:cs="Arial" w:eastAsia="Arial" w:hAnsi="Arial"/>
          <w:sz w:val="14"/>
          <w:szCs w:val="14"/>
          <w:color w:val="auto"/>
        </w:rPr>
      </w:pPr>
      <w:r>
        <w:rPr>
          <w:rFonts w:ascii="Arial" w:cs="Arial" w:eastAsia="Arial" w:hAnsi="Arial"/>
          <w:sz w:val="14"/>
          <w:szCs w:val="14"/>
          <w:color w:val="auto"/>
        </w:rPr>
        <w:t>138.3</w:t>
      </w:r>
    </w:p>
    <w:p>
      <w:pPr>
        <w:spacing w:after="0" w:line="55" w:lineRule="exact"/>
        <w:rPr>
          <w:rFonts w:ascii="Arial" w:cs="Arial" w:eastAsia="Arial" w:hAnsi="Arial"/>
          <w:sz w:val="14"/>
          <w:szCs w:val="14"/>
          <w:color w:val="auto"/>
        </w:rPr>
      </w:pPr>
    </w:p>
    <w:p>
      <w:pPr>
        <w:ind w:left="1107"/>
        <w:spacing w:after="0"/>
        <w:rPr>
          <w:rFonts w:ascii="Arial" w:cs="Arial" w:eastAsia="Arial" w:hAnsi="Arial"/>
          <w:sz w:val="14"/>
          <w:szCs w:val="14"/>
          <w:color w:val="auto"/>
        </w:rPr>
      </w:pPr>
      <w:r>
        <w:rPr>
          <w:rFonts w:ascii="Arial" w:cs="Arial" w:eastAsia="Arial" w:hAnsi="Arial"/>
          <w:sz w:val="14"/>
          <w:szCs w:val="14"/>
          <w:color w:val="auto"/>
        </w:rPr>
        <w:t>104.7</w:t>
      </w:r>
    </w:p>
    <w:p>
      <w:pPr>
        <w:spacing w:after="0" w:line="55" w:lineRule="exact"/>
        <w:rPr>
          <w:rFonts w:ascii="Arial" w:cs="Arial" w:eastAsia="Arial" w:hAnsi="Arial"/>
          <w:sz w:val="14"/>
          <w:szCs w:val="14"/>
          <w:color w:val="auto"/>
        </w:rPr>
      </w:pPr>
    </w:p>
    <w:p>
      <w:pPr>
        <w:ind w:left="1187"/>
        <w:spacing w:after="0"/>
        <w:rPr>
          <w:rFonts w:ascii="Arial" w:cs="Arial" w:eastAsia="Arial" w:hAnsi="Arial"/>
          <w:sz w:val="14"/>
          <w:szCs w:val="14"/>
          <w:color w:val="auto"/>
        </w:rPr>
      </w:pPr>
      <w:r>
        <w:rPr>
          <w:rFonts w:ascii="Arial" w:cs="Arial" w:eastAsia="Arial" w:hAnsi="Arial"/>
          <w:sz w:val="14"/>
          <w:szCs w:val="14"/>
          <w:color w:val="auto"/>
        </w:rPr>
        <w:t>82.1</w:t>
      </w:r>
    </w:p>
    <w:p>
      <w:pPr>
        <w:spacing w:after="0" w:line="55" w:lineRule="exact"/>
        <w:rPr>
          <w:rFonts w:ascii="Arial" w:cs="Arial" w:eastAsia="Arial" w:hAnsi="Arial"/>
          <w:sz w:val="14"/>
          <w:szCs w:val="14"/>
          <w:color w:val="auto"/>
        </w:rPr>
      </w:pPr>
    </w:p>
    <w:p>
      <w:pPr>
        <w:ind w:left="1107"/>
        <w:spacing w:after="0"/>
        <w:rPr>
          <w:rFonts w:ascii="Arial" w:cs="Arial" w:eastAsia="Arial" w:hAnsi="Arial"/>
          <w:sz w:val="14"/>
          <w:szCs w:val="14"/>
          <w:color w:val="auto"/>
        </w:rPr>
      </w:pPr>
      <w:r>
        <w:rPr>
          <w:rFonts w:ascii="Arial" w:cs="Arial" w:eastAsia="Arial" w:hAnsi="Arial"/>
          <w:sz w:val="14"/>
          <w:szCs w:val="14"/>
          <w:color w:val="auto"/>
        </w:rPr>
        <w:t>369.5</w:t>
      </w:r>
    </w:p>
    <w:p>
      <w:pPr>
        <w:spacing w:after="0" w:line="6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1,277.8</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232.2</w:t>
      </w:r>
    </w:p>
    <w:p>
      <w:pPr>
        <w:spacing w:after="0" w:line="69" w:lineRule="exact"/>
        <w:rPr>
          <w:sz w:val="20"/>
          <w:szCs w:val="20"/>
          <w:color w:val="auto"/>
        </w:rPr>
      </w:pPr>
    </w:p>
    <w:p>
      <w:pPr>
        <w:ind w:left="987" w:hanging="987"/>
        <w:spacing w:after="0"/>
        <w:tabs>
          <w:tab w:leader="none" w:pos="987" w:val="left"/>
        </w:tabs>
        <w:numPr>
          <w:ilvl w:val="0"/>
          <w:numId w:val="5"/>
        </w:numPr>
        <w:rPr>
          <w:rFonts w:ascii="Arial" w:cs="Arial" w:eastAsia="Arial" w:hAnsi="Arial"/>
          <w:sz w:val="14"/>
          <w:szCs w:val="14"/>
          <w:color w:val="auto"/>
        </w:rPr>
      </w:pPr>
      <w:r>
        <w:rPr>
          <w:rFonts w:ascii="Arial" w:cs="Arial" w:eastAsia="Arial" w:hAnsi="Arial"/>
          <w:sz w:val="14"/>
          <w:szCs w:val="14"/>
          <w:color w:val="auto"/>
        </w:rPr>
        <w:t>1,045.6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12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9133" w:space="720"/>
            <w:col w:w="1567"/>
          </w:cols>
          <w:pgMar w:left="240" w:top="598"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Note: For leases commencing prior to 2019, minimum lease payments exclude payments to landlords for real estate taxes and common area maintenance.</w:t>
      </w:r>
    </w:p>
    <w:p>
      <w:pPr>
        <w:spacing w:after="0" w:line="16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Calculated using the interest rate for each lease.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the current portion of $270.8 million for operating 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rental payments under noncancellable operating leases under ASC Topic 840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2020</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286.1</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192.3</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2022</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123.8</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485.6</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payment</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1,519.7</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income from sub-leases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w:t>
            </w: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minimum operating lease payments</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1,494.1</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As of June 30, 2019, we have an additional operating lease for our future office building in Paris, France, that has not yet commenced for $236.2 million. This operating lease will commence in fiscal year 2021 with a lease term of 10 years.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8"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Lessor Arrangements</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lease real estate including land, buildings and warehouses, machinery/equipment, and vessels from a lessor perspective. We determine if an arrangement is a lease at inception by assessing whether an identified asset exists and if the customer has the right to control the use of the identified asset. We use our implicit rate for our lessor arrangements. We have elected the practical expedient available for lessors to not separate lease and non-lease components for vessels. If the non-lease component is predominant in our contracts, we account for the contracts under the revenue recognition guidance in ASC 606. If the lease component is predominant in our contracts, we account for the contracts under the lease guidance in ASC 842. We estimate the amount we expect to derive from the underlying asset following the end of the lease term based on remaining economic life. Our lessor arrangements generally do not include any residual value guarantees. We recognize lessee payments of lessor costs such as taxes and insurance on a net basis when the lessee pays those costs directly to a third party or when the amount paid by the lessee is not readily determinable.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lease revenue for the three and six months ended June 30,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780" w:type="dxa"/>
            <w:vAlign w:val="bottom"/>
          </w:tcPr>
          <w:p>
            <w:pPr>
              <w:jc w:val="center"/>
              <w:ind w:right="188"/>
              <w:spacing w:after="0"/>
              <w:rPr>
                <w:sz w:val="20"/>
                <w:szCs w:val="20"/>
                <w:color w:val="auto"/>
              </w:rPr>
            </w:pPr>
            <w:r>
              <w:rPr>
                <w:rFonts w:ascii="Arial" w:cs="Arial" w:eastAsia="Arial" w:hAnsi="Arial"/>
                <w:sz w:val="14"/>
                <w:szCs w:val="14"/>
                <w:b w:val="1"/>
                <w:bCs w:val="1"/>
                <w:color w:val="auto"/>
              </w:rPr>
              <w:t>Six Months Ended</w:t>
            </w:r>
          </w:p>
        </w:tc>
      </w:tr>
      <w:tr>
        <w:trPr>
          <w:trHeight w:val="243"/>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1"/>
                <w:szCs w:val="21"/>
                <w:color w:val="auto"/>
              </w:rPr>
            </w:pPr>
          </w:p>
        </w:tc>
        <w:tc>
          <w:tcPr>
            <w:tcW w:w="1780" w:type="dxa"/>
            <w:vAlign w:val="bottom"/>
          </w:tcPr>
          <w:p>
            <w:pPr>
              <w:jc w:val="center"/>
              <w:ind w:right="188"/>
              <w:spacing w:after="0"/>
              <w:rPr>
                <w:sz w:val="20"/>
                <w:szCs w:val="20"/>
                <w:color w:val="auto"/>
              </w:rPr>
            </w:pPr>
            <w:r>
              <w:rPr>
                <w:rFonts w:ascii="Arial" w:cs="Arial" w:eastAsia="Arial" w:hAnsi="Arial"/>
                <w:sz w:val="14"/>
                <w:szCs w:val="14"/>
                <w:b w:val="1"/>
                <w:bCs w:val="1"/>
                <w:color w:val="auto"/>
              </w:rPr>
              <w:t>June 30, 2019</w:t>
            </w:r>
          </w:p>
        </w:tc>
      </w:tr>
      <w:tr>
        <w:trPr>
          <w:trHeight w:val="39"/>
        </w:trPr>
        <w:tc>
          <w:tcPr>
            <w:tcW w:w="72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11"/>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revenue including variable revenue</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115.2</w:t>
            </w:r>
          </w:p>
        </w:tc>
      </w:tr>
      <w:tr>
        <w:trPr>
          <w:trHeight w:val="39"/>
        </w:trPr>
        <w:tc>
          <w:tcPr>
            <w:tcW w:w="7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r>
    </w:tbl>
    <w:p>
      <w:pPr>
        <w:spacing w:after="0" w:line="37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following table is a summary of the maturity analysis of the undiscounted cash flows to be received on an annual basis for each of the first five years, and a total of the amounts for the remaining years.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Operating Leases</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14.2</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20.6</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undiscounted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80.1</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w:t>
      </w:r>
    </w:p>
    <w:p>
      <w:pPr>
        <w:spacing w:after="0" w:line="19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disaggregates revenue by geographic location and contract types. The tables also include a reconciliation of the disaggregated revenue with the reportable segments.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44"/>
        </w:trPr>
        <w:tc>
          <w:tcPr>
            <w:tcW w:w="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Onshore/</w:t>
            </w: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7"/>
                <w:szCs w:val="17"/>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Technologies</w:t>
            </w:r>
          </w:p>
        </w:tc>
        <w:tc>
          <w:tcPr>
            <w:tcW w:w="24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3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459.6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651.2</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705.5</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58.3</w:t>
            </w:r>
          </w:p>
        </w:tc>
        <w:tc>
          <w:tcPr>
            <w:tcW w:w="20" w:type="dxa"/>
            <w:vAlign w:val="bottom"/>
            <w:tcBorders>
              <w:top w:val="single" w:sz="8" w:color="auto"/>
            </w:tcBorders>
            <w:shd w:val="clear" w:color="auto" w:fill="CCEEFF"/>
          </w:tcPr>
          <w:p>
            <w:pPr>
              <w:spacing w:after="0"/>
              <w:rPr>
                <w:sz w:val="22"/>
                <w:szCs w:val="22"/>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America</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196.9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199.9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237.5</w:t>
            </w:r>
          </w:p>
        </w:tc>
        <w:tc>
          <w:tcPr>
            <w:tcW w:w="20" w:type="dxa"/>
            <w:vAlign w:val="bottom"/>
          </w:tcPr>
          <w:p>
            <w:pPr>
              <w:spacing w:after="0"/>
              <w:rPr>
                <w:sz w:val="22"/>
                <w:szCs w:val="22"/>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w:t>
            </w:r>
          </w:p>
        </w:tc>
        <w:tc>
          <w:tcPr>
            <w:tcW w:w="20" w:type="dxa"/>
            <w:vAlign w:val="bottom"/>
            <w:shd w:val="clear" w:color="auto" w:fill="CCEEFF"/>
          </w:tcPr>
          <w:p>
            <w:pPr>
              <w:spacing w:after="0"/>
              <w:rPr>
                <w:sz w:val="24"/>
                <w:szCs w:val="24"/>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Africa</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22"/>
                <w:szCs w:val="22"/>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270.3</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20" w:type="dxa"/>
            <w:vAlign w:val="bottom"/>
            <w:tcBorders>
              <w:bottom w:val="single" w:sz="8" w:color="auto"/>
            </w:tcBorders>
            <w:shd w:val="clear" w:color="auto" w:fill="CCEEFF"/>
          </w:tcPr>
          <w:p>
            <w:pPr>
              <w:spacing w:after="0"/>
              <w:rPr>
                <w:sz w:val="24"/>
                <w:szCs w:val="24"/>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1,488.5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1,505.0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1,184.0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381.2</w:t>
            </w:r>
          </w:p>
        </w:tc>
        <w:tc>
          <w:tcPr>
            <w:tcW w:w="20" w:type="dxa"/>
            <w:vAlign w:val="bottom"/>
            <w:tcBorders>
              <w:bottom w:val="single" w:sz="8" w:color="auto"/>
            </w:tcBorders>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Onshore/</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Surface</w:t>
            </w:r>
          </w:p>
        </w:tc>
      </w:tr>
      <w:tr>
        <w:trPr>
          <w:trHeight w:val="196"/>
        </w:trPr>
        <w:tc>
          <w:tcPr>
            <w:tcW w:w="4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Technologies</w:t>
            </w:r>
          </w:p>
        </w:tc>
        <w:tc>
          <w:tcPr>
            <w:tcW w:w="24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40" w:type="dxa"/>
            <w:vAlign w:val="bottom"/>
          </w:tcPr>
          <w:p>
            <w:pPr>
              <w:spacing w:after="0"/>
              <w:rPr>
                <w:sz w:val="22"/>
                <w:szCs w:val="22"/>
                <w:color w:val="auto"/>
              </w:rPr>
            </w:pPr>
          </w:p>
        </w:tc>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859.2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1,292.8</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115.8</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714.9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1,706.4</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106.5</w:t>
            </w:r>
          </w:p>
        </w:tc>
        <w:tc>
          <w:tcPr>
            <w:tcW w:w="20" w:type="dxa"/>
            <w:vAlign w:val="bottom"/>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America</w:t>
            </w:r>
          </w:p>
        </w:tc>
        <w:tc>
          <w:tcPr>
            <w:tcW w:w="24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718.9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357.3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781.9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445.0</w:t>
            </w:r>
          </w:p>
        </w:tc>
        <w:tc>
          <w:tcPr>
            <w:tcW w:w="20" w:type="dxa"/>
            <w:vAlign w:val="bottom"/>
          </w:tcPr>
          <w:p>
            <w:pPr>
              <w:spacing w:after="0"/>
              <w:rPr>
                <w:sz w:val="22"/>
                <w:szCs w:val="22"/>
                <w:color w:val="auto"/>
              </w:rPr>
            </w:pPr>
          </w:p>
        </w:tc>
      </w:tr>
      <w:tr>
        <w:trPr>
          <w:trHeight w:val="276"/>
        </w:trPr>
        <w:tc>
          <w:tcPr>
            <w:tcW w:w="40" w:type="dxa"/>
            <w:vAlign w:val="bottom"/>
          </w:tcPr>
          <w:p>
            <w:pPr>
              <w:spacing w:after="0"/>
              <w:rPr>
                <w:sz w:val="24"/>
                <w:szCs w:val="24"/>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Africa</w:t>
            </w:r>
          </w:p>
        </w:tc>
        <w:tc>
          <w:tcPr>
            <w:tcW w:w="24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519.6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147.5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20" w:type="dxa"/>
            <w:vAlign w:val="bottom"/>
          </w:tcPr>
          <w:p>
            <w:pPr>
              <w:spacing w:after="0"/>
              <w:rPr>
                <w:sz w:val="22"/>
                <w:szCs w:val="22"/>
                <w:color w:val="auto"/>
              </w:rPr>
            </w:pPr>
          </w:p>
        </w:tc>
      </w:tr>
      <w:tr>
        <w:trPr>
          <w:trHeight w:val="276"/>
        </w:trPr>
        <w:tc>
          <w:tcPr>
            <w:tcW w:w="40" w:type="dxa"/>
            <w:vAlign w:val="bottom"/>
          </w:tcPr>
          <w:p>
            <w:pPr>
              <w:spacing w:after="0"/>
              <w:rPr>
                <w:sz w:val="24"/>
                <w:szCs w:val="24"/>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270.8</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441.1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121.8</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292.4</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98.8</w:t>
            </w: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Total products and services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2,645.9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746.0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2,338.4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2,915.8</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729.2</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tables represent revenue by contract type for each reportable segment for the three and six months ended June 30, 2019 and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44"/>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202"/>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Technologies</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Subsea</w:t>
            </w:r>
            <w:r>
              <w:rPr>
                <w:rFonts w:ascii="Arial" w:cs="Arial" w:eastAsia="Arial" w:hAnsi="Arial"/>
                <w:sz w:val="17"/>
                <w:szCs w:val="17"/>
                <w:b w:val="1"/>
                <w:bCs w:val="1"/>
                <w:color w:val="auto"/>
                <w:vertAlign w:val="superscript"/>
              </w:rPr>
              <w:t>(b)</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970.2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1,505.0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1,342.4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67.1</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518.3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314.1</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1,488.5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1,184.0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381.2</w:t>
            </w:r>
          </w:p>
        </w:tc>
      </w:tr>
      <w:tr>
        <w:trPr>
          <w:trHeight w:val="270"/>
        </w:trPr>
        <w:tc>
          <w:tcPr>
            <w:tcW w:w="3340" w:type="dxa"/>
            <w:vAlign w:val="bottom"/>
          </w:tcPr>
          <w:p>
            <w:pPr>
              <w:ind w:left="40"/>
              <w:spacing w:after="0"/>
              <w:rPr>
                <w:sz w:val="20"/>
                <w:szCs w:val="20"/>
                <w:color w:val="auto"/>
              </w:rPr>
            </w:pPr>
            <w:r>
              <w:rPr>
                <w:rFonts w:ascii="Arial" w:cs="Arial" w:eastAsia="Arial" w:hAnsi="Arial"/>
                <w:sz w:val="14"/>
                <w:szCs w:val="14"/>
                <w:color w:val="auto"/>
              </w:rPr>
              <w:t>Lease</w:t>
            </w:r>
            <w:r>
              <w:rPr>
                <w:rFonts w:ascii="Arial" w:cs="Arial" w:eastAsia="Arial" w:hAnsi="Arial"/>
                <w:sz w:val="17"/>
                <w:szCs w:val="17"/>
                <w:color w:val="auto"/>
                <w:vertAlign w:val="superscript"/>
              </w:rPr>
              <w:t>(a)</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19.9</w:t>
            </w:r>
          </w:p>
        </w:tc>
      </w:tr>
      <w:tr>
        <w:trPr>
          <w:trHeight w:val="237"/>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401.1</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44"/>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202"/>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Technologies</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Subsea</w:t>
            </w:r>
            <w:r>
              <w:rPr>
                <w:rFonts w:ascii="Arial" w:cs="Arial" w:eastAsia="Arial" w:hAnsi="Arial"/>
                <w:sz w:val="17"/>
                <w:szCs w:val="17"/>
                <w:b w:val="1"/>
                <w:bCs w:val="1"/>
                <w:color w:val="auto"/>
                <w:vertAlign w:val="superscript"/>
              </w:rPr>
              <w:t>(b)</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1,615.8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2,840.1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1,309.4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2,915.8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114.8</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602.0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1,029.0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614.4</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2,645.9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2,840.1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746.0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2,338.4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2,915.8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729.2</w:t>
            </w:r>
          </w:p>
        </w:tc>
      </w:tr>
      <w:tr>
        <w:trPr>
          <w:trHeight w:val="270"/>
        </w:trPr>
        <w:tc>
          <w:tcPr>
            <w:tcW w:w="3340" w:type="dxa"/>
            <w:vAlign w:val="bottom"/>
          </w:tcPr>
          <w:p>
            <w:pPr>
              <w:ind w:left="40"/>
              <w:spacing w:after="0"/>
              <w:rPr>
                <w:sz w:val="20"/>
                <w:szCs w:val="20"/>
                <w:color w:val="auto"/>
              </w:rPr>
            </w:pPr>
            <w:r>
              <w:rPr>
                <w:rFonts w:ascii="Arial" w:cs="Arial" w:eastAsia="Arial" w:hAnsi="Arial"/>
                <w:sz w:val="14"/>
                <w:szCs w:val="14"/>
                <w:color w:val="auto"/>
              </w:rPr>
              <w:t>Lease</w:t>
            </w:r>
            <w:r>
              <w:rPr>
                <w:rFonts w:ascii="Arial" w:cs="Arial" w:eastAsia="Arial" w:hAnsi="Arial"/>
                <w:sz w:val="17"/>
                <w:szCs w:val="17"/>
                <w:color w:val="auto"/>
                <w:vertAlign w:val="superscript"/>
              </w:rPr>
              <w:t>(a)</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43.5</w:t>
            </w:r>
          </w:p>
        </w:tc>
      </w:tr>
      <w:tr>
        <w:trPr>
          <w:trHeight w:val="237"/>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2,694.0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772.7</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598" w:right="239" w:bottom="1440" w:gutter="0" w:footer="0" w:header="0"/>
          <w:type w:val="continuous"/>
        </w:sectPr>
      </w:pPr>
    </w:p>
    <w:bookmarkStart w:id="19" w:name="page20"/>
    <w:bookmarkEnd w:id="19"/>
    <w:p>
      <w:pPr>
        <w:ind w:left="340" w:hanging="332"/>
        <w:spacing w:after="0" w:line="25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revenue not subject to ASC Topic 606. See Note 4 to our condensed consolidated financial statements of this Quarterly Report for additional disclosure related to lease revenue.</w:t>
      </w:r>
    </w:p>
    <w:p>
      <w:pPr>
        <w:spacing w:after="0" w:line="140" w:lineRule="exact"/>
        <w:rPr>
          <w:rFonts w:ascii="Arial" w:cs="Arial" w:eastAsia="Arial" w:hAnsi="Arial"/>
          <w:sz w:val="14"/>
          <w:szCs w:val="14"/>
          <w:color w:val="auto"/>
        </w:rPr>
      </w:pPr>
    </w:p>
    <w:p>
      <w:pPr>
        <w:ind w:left="340" w:right="320" w:hanging="332"/>
        <w:spacing w:after="0" w:line="25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revised the condensed consolidated statement of operations to correct the classification of service revenue and product revenue in the amount of $177.9 million and $331.3 million for three and six months ended June 30, 2018, respectively. See Note 1 to our condensed consolidated financial statements of this Quarterly Report for additional disclosure related to the revision.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30"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previously disclosed as costs and estimated earnings in excess of billings on uncompleted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unbilled amounts typically resulting from sales under long-term contracts when revenue is 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3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June 30, 2019 and December 31,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6"/>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assets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317.4</w:t>
            </w:r>
          </w:p>
        </w:tc>
        <w:tc>
          <w:tcPr>
            <w:tcW w:w="14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Contract (liabilities)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(4,354.6)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(4,085.1)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(6.6)</w:t>
            </w:r>
          </w:p>
        </w:tc>
      </w:tr>
      <w:tr>
        <w:trPr>
          <w:trHeight w:val="243"/>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contract assets (liabilities)</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w:t>
            </w: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contract assets from December 31, 2018 to June 30, 2019 was primarily due to the timing of milestones.</w:t>
      </w:r>
    </w:p>
    <w:p>
      <w:pPr>
        <w:spacing w:after="0" w:line="17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increase in our contract liabilities was primarily due to additional cash received, excluding amounts recognized as revenue during the period.</w:t>
      </w:r>
    </w:p>
    <w:p>
      <w:pPr>
        <w:spacing w:after="0" w:line="142"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In order to determine revenue recognized in the period from contract liabilities, we allocate revenue to the individual contract liability balance outstanding at the beginning of the period until the revenue exceeds that balance. Revenue recognized for the three months ended June 30, 2019 and 2018 that were included in the contract liabilities balance at December 31, 2018 and 2017 was $1,147.1 million and $601.4 million, respectively, and $2,014.3 million and $1,437.7 million for the six months ended June 30, 2019 and 2018, respectively.</w:t>
      </w:r>
    </w:p>
    <w:p>
      <w:pPr>
        <w:spacing w:after="0" w:line="15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revenue recognized for the three months ended June 30, 2019 and 2018 from our performance obligations satisfied in previous periods had a favorable impact of $325.7 million and a favorable impact of $136.4 million, respectively, and $493.4 million and $306.8 million for the six months ended June 30, 2019 and 2018, respectively. This primarily relates to changes in the estimated costs to complete certain projects.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June 30, 2019, the aggregate amount of the transaction price allocated to order backlog was $25,781.9 million. The Company expects to recognize revenue on approximately 23.8% of the order backlog through 2019 and 76.2% thereafter.</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603"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details the order backlog for each business segment as of June 30, 2019:</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2,801.0</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3,252.7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4,758.7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8,596.9</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393.6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6,126.8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8,257.2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11,397.9</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SEGMENTS</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report the results of operations in the following segments:</w:t>
      </w:r>
    </w:p>
    <w:p>
      <w:pPr>
        <w:spacing w:after="0" w:line="153" w:lineRule="exact"/>
        <w:rPr>
          <w:sz w:val="20"/>
          <w:szCs w:val="20"/>
          <w:color w:val="auto"/>
        </w:rPr>
      </w:pPr>
    </w:p>
    <w:p>
      <w:pPr>
        <w:ind w:left="340" w:right="320" w:hanging="332"/>
        <w:spacing w:after="0" w:line="28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manufactures and designs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right="180" w:hanging="332"/>
        <w:spacing w:after="0" w:line="282"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designs and builds onshore facilities related to the production, treatment, transformation, and transportation of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designs, manufactures, and installs fixed and floating platforms for the production and processing of oil and gas reserves.</w:t>
      </w:r>
    </w:p>
    <w:p>
      <w:pPr>
        <w:spacing w:after="0" w:line="107" w:lineRule="exact"/>
        <w:rPr>
          <w:rFonts w:ascii="Arial" w:cs="Arial" w:eastAsia="Arial" w:hAnsi="Arial"/>
          <w:sz w:val="18"/>
          <w:szCs w:val="18"/>
          <w:i w:val="1"/>
          <w:iCs w:val="1"/>
          <w:color w:val="auto"/>
        </w:rPr>
      </w:pPr>
    </w:p>
    <w:p>
      <w:pPr>
        <w:ind w:left="340" w:right="80" w:hanging="332"/>
        <w:spacing w:after="0" w:line="266"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designs and manufactures systems and provides services used by oil and gas companies involved in 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Income (loss) from equity method investments is included in computing segment operating profit. The following items have been excluded in computing segment operating profit: corporate staff expense, net interest income (expense) associated with corporate debt facilities, income taxes, and other revenue and other expense, net.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8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1,508.7</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1,217.4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2,694.0</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2,397.6</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2,915.8</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420.5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813.1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772.7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2,960.9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6,086.1</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operating profit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130.3</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374.2</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82.1</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segment operating profit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610.2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586.6</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Corporate items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color w:val="auto"/>
              </w:rPr>
              <w:t>Corporate expense</w:t>
            </w:r>
            <w:r>
              <w:rPr>
                <w:rFonts w:ascii="Arial" w:cs="Arial" w:eastAsia="Arial" w:hAnsi="Arial"/>
                <w:sz w:val="17"/>
                <w:szCs w:val="17"/>
                <w:color w:val="auto"/>
                <w:vertAlign w:val="superscript"/>
              </w:rPr>
              <w:t>(a)</w:t>
            </w: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(138.9)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(132.8)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w:t>
            </w: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corporate items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w:t>
            </w: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w:t>
            </w:r>
            <w:r>
              <w:rPr>
                <w:rFonts w:ascii="Arial" w:cs="Arial" w:eastAsia="Arial" w:hAnsi="Arial"/>
                <w:sz w:val="17"/>
                <w:szCs w:val="17"/>
                <w:b w:val="1"/>
                <w:bCs w:val="1"/>
                <w:color w:val="auto"/>
                <w:vertAlign w:val="superscript"/>
              </w:rPr>
              <w:t>(b)</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315.5</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340" w:right="60" w:hanging="332"/>
        <w:spacing w:after="0" w:line="25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legal reserve, share-based compensation expenses, other employee benefits, certain foreign exchange gains and losses, and merger transaction and integration expenses.</w:t>
      </w:r>
    </w:p>
    <w:p>
      <w:pPr>
        <w:sectPr>
          <w:pgSz w:w="11900" w:h="16838" w:orient="portrait"/>
          <w:cols w:equalWidth="0" w:num="1">
            <w:col w:w="11420"/>
          </w:cols>
          <w:pgMar w:left="240" w:top="598" w:right="239" w:bottom="1440" w:gutter="0" w:footer="0" w:header="0"/>
        </w:sectPr>
      </w:pPr>
    </w:p>
    <w:p>
      <w:pPr>
        <w:spacing w:after="0" w:line="14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72123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39"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Segment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June 30,</w:t>
      </w:r>
    </w:p>
    <w:p>
      <w:pPr>
        <w:spacing w:after="0" w:line="19"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December 31, 2018</w:t>
      </w:r>
    </w:p>
    <w:p>
      <w:pPr>
        <w:spacing w:after="0" w:line="339" w:lineRule="exact"/>
        <w:rPr>
          <w:sz w:val="20"/>
          <w:szCs w:val="20"/>
          <w:color w:val="auto"/>
        </w:rPr>
      </w:pPr>
    </w:p>
    <w:p>
      <w:pPr>
        <w:sectPr>
          <w:pgSz w:w="11900" w:h="16838" w:orient="portrait"/>
          <w:cols w:equalWidth="0" w:num="2">
            <w:col w:w="8080" w:space="720"/>
            <w:col w:w="2620"/>
          </w:cols>
          <w:pgMar w:left="240" w:top="598" w:right="23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Subsea</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Onshore/Offshore</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Surface Technologies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Intercompany eliminations</w:t>
      </w:r>
    </w:p>
    <w:p>
      <w:pPr>
        <w:spacing w:after="0" w:line="9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Total segment assets</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17"/>
          <w:szCs w:val="17"/>
          <w:color w:val="auto"/>
          <w:vertAlign w:val="superscript"/>
        </w:rPr>
        <w:t>(a)</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800" w:hanging="799"/>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12,237.1</w:t>
      </w:r>
    </w:p>
    <w:p>
      <w:pPr>
        <w:spacing w:after="0" w:line="109"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4,311.8</w:t>
      </w:r>
    </w:p>
    <w:p>
      <w:pPr>
        <w:spacing w:after="0" w:line="109"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2,988.2</w:t>
      </w:r>
    </w:p>
    <w:p>
      <w:pPr>
        <w:spacing w:after="0" w:line="109"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-5281295</wp:posOffset>
            </wp:positionH>
            <wp:positionV relativeFrom="paragraph">
              <wp:posOffset>-499110</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-156210</wp:posOffset>
            </wp:positionV>
            <wp:extent cx="721233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19,507.4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-5281295</wp:posOffset>
            </wp:positionH>
            <wp:positionV relativeFrom="paragraph">
              <wp:posOffset>14605</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6,005.3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951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76" w:lineRule="exact"/>
        <w:rPr>
          <w:sz w:val="20"/>
          <w:szCs w:val="20"/>
          <w:color w:val="auto"/>
        </w:rPr>
      </w:pPr>
    </w:p>
    <w:p>
      <w:pPr>
        <w:ind w:left="800" w:hanging="799"/>
        <w:spacing w:after="0"/>
        <w:tabs>
          <w:tab w:leader="none" w:pos="8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25,512.7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951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31750</wp:posOffset>
            </wp:positionV>
            <wp:extent cx="951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780" w:hanging="772"/>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11,037.8</w:t>
      </w:r>
    </w:p>
    <w:p>
      <w:pPr>
        <w:spacing w:after="0" w:line="109"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4,355.2</w:t>
      </w:r>
    </w:p>
    <w:p>
      <w:pPr>
        <w:spacing w:after="0" w:line="109"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2,825.6</w:t>
      </w:r>
    </w:p>
    <w:p>
      <w:pPr>
        <w:spacing w:after="0" w:line="109"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926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8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18,192.2</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6,592.3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926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76" w:lineRule="exact"/>
        <w:rPr>
          <w:sz w:val="20"/>
          <w:szCs w:val="20"/>
          <w:color w:val="auto"/>
        </w:rPr>
      </w:pPr>
    </w:p>
    <w:p>
      <w:pPr>
        <w:ind w:left="780" w:hanging="772"/>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24,784.5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926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31750</wp:posOffset>
            </wp:positionV>
            <wp:extent cx="926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660" w:space="720"/>
            <w:col w:w="1400" w:space="200"/>
            <w:col w:w="1440"/>
          </w:cols>
          <w:pgMar w:left="240" w:top="598" w:right="239" w:bottom="1440" w:gutter="0" w:footer="0" w:header="0"/>
          <w:type w:val="continuous"/>
        </w:sectPr>
      </w:pPr>
    </w:p>
    <w:p>
      <w:pPr>
        <w:spacing w:after="0" w:line="31" w:lineRule="exact"/>
        <w:rPr>
          <w:sz w:val="20"/>
          <w:szCs w:val="20"/>
          <w:color w:val="auto"/>
        </w:rPr>
      </w:pPr>
    </w:p>
    <w:p>
      <w:pPr>
        <w:ind w:left="340" w:right="80" w:hanging="332"/>
        <w:spacing w:after="0" w:line="25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Corporate includes cash, deferred income tax balances, legal provisions, property, plant and equipment not associated with a specific segment, pension assets, the fair value of derivative financial instruments, and LIFO adjustments.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8"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7.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Net income attributable to TechnipFMC plc</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97.0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105.7</w:t>
            </w:r>
          </w:p>
        </w:tc>
        <w:tc>
          <w:tcPr>
            <w:tcW w:w="3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117.9</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200.8</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shares outstanding</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447.5</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462.8</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Dilutive effect of restricted stock units</w:t>
            </w:r>
          </w:p>
        </w:tc>
        <w:tc>
          <w:tcPr>
            <w:tcW w:w="44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effect of stock options</w:t>
            </w:r>
          </w:p>
        </w:tc>
        <w:tc>
          <w:tcPr>
            <w:tcW w:w="4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Dilutive effect of performance shares</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shares and dilutive securities</w:t>
            </w: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451.2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451.9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464.2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per share attributable to TechnipFMC plc</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gridSpan w:val="3"/>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0.43</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earnings per share attributable to TechnipFMC plc</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8"/>
                <w:szCs w:val="18"/>
                <w:color w:val="auto"/>
              </w:rPr>
            </w:pP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0.23</w:t>
            </w:r>
          </w:p>
        </w:tc>
        <w:tc>
          <w:tcPr>
            <w:tcW w:w="32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0.26</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8. INVENTORIES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gridSpan w:val="4"/>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359.3</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366.4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Work in process</w:t>
            </w: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Finished goods</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800.4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738.4</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Inventories, net</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gridSpan w:val="4"/>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1,387.0</w:t>
            </w: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1,251.2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OTHER CURRENT ASSETS &amp; OTHER CURRENT LIABILITIES</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60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rPr>
              <w:t>Other current assets consisted of the following:</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Value-added tax receivables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420.0</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Prepaid expenses</w:t>
            </w: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 taxes receivables</w:t>
            </w: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86.7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Sundry receivables</w:t>
            </w: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85.2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4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assets</w:t>
            </w: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809.0</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23</w:t>
            </w: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62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Legal provisions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418.2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Warranty accruals and project contingencies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418.2</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Redeemable financial liability</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173.0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Value added tax and other taxes payable</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214.3</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Social security liability</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112.3</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Provisions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135.5</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accrual</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Liabilities held for sale</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accrued liabilities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182.6</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1,771.6</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METHOD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8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w:t>
            </w: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from equity affiliates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9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consisted of receivables due from following related parties: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4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7"/>
                <w:szCs w:val="17"/>
                <w:color w:val="auto"/>
              </w:rPr>
            </w:pPr>
          </w:p>
        </w:tc>
        <w:tc>
          <w:tcPr>
            <w:tcW w:w="11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56"/>
        </w:trPr>
        <w:tc>
          <w:tcPr>
            <w:tcW w:w="8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TP JGC Coral France SNC</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r>
      <w:tr>
        <w:trPr>
          <w:trHeight w:val="264"/>
        </w:trPr>
        <w:tc>
          <w:tcPr>
            <w:tcW w:w="8420" w:type="dxa"/>
            <w:vAlign w:val="bottom"/>
          </w:tcPr>
          <w:p>
            <w:pPr>
              <w:ind w:left="40"/>
              <w:spacing w:after="0"/>
              <w:rPr>
                <w:sz w:val="20"/>
                <w:szCs w:val="20"/>
                <w:color w:val="auto"/>
              </w:rPr>
            </w:pPr>
            <w:r>
              <w:rPr>
                <w:rFonts w:ascii="Arial" w:cs="Arial" w:eastAsia="Arial" w:hAnsi="Arial"/>
                <w:sz w:val="14"/>
                <w:szCs w:val="14"/>
                <w:color w:val="auto"/>
              </w:rPr>
              <w:t>TTSJV W.L.L.</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8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Technip Odebrecht PLSV CV</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r>
      <w:tr>
        <w:trPr>
          <w:trHeight w:val="264"/>
        </w:trPr>
        <w:tc>
          <w:tcPr>
            <w:tcW w:w="8420" w:type="dxa"/>
            <w:vAlign w:val="bottom"/>
          </w:tcPr>
          <w:p>
            <w:pPr>
              <w:ind w:left="40"/>
              <w:spacing w:after="0"/>
              <w:rPr>
                <w:sz w:val="20"/>
                <w:szCs w:val="20"/>
                <w:color w:val="auto"/>
              </w:rPr>
            </w:pPr>
            <w:r>
              <w:rPr>
                <w:rFonts w:ascii="Arial" w:cs="Arial" w:eastAsia="Arial" w:hAnsi="Arial"/>
                <w:sz w:val="14"/>
                <w:szCs w:val="14"/>
                <w:color w:val="auto"/>
              </w:rPr>
              <w:t>Anadarko Petroleum Company</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4.9</w:t>
            </w:r>
          </w:p>
        </w:tc>
      </w:tr>
      <w:tr>
        <w:trPr>
          <w:trHeight w:val="276"/>
        </w:trPr>
        <w:tc>
          <w:tcPr>
            <w:tcW w:w="8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r>
      <w:tr>
        <w:trPr>
          <w:trHeight w:val="237"/>
        </w:trPr>
        <w:tc>
          <w:tcPr>
            <w:tcW w:w="8420" w:type="dxa"/>
            <w:vAlign w:val="bottom"/>
          </w:tcPr>
          <w:p>
            <w:pPr>
              <w:ind w:left="40"/>
              <w:spacing w:after="0"/>
              <w:rPr>
                <w:sz w:val="20"/>
                <w:szCs w:val="20"/>
                <w:color w:val="auto"/>
              </w:rPr>
            </w:pPr>
            <w:r>
              <w:rPr>
                <w:rFonts w:ascii="Arial" w:cs="Arial" w:eastAsia="Arial" w:hAnsi="Arial"/>
                <w:sz w:val="14"/>
                <w:szCs w:val="14"/>
                <w:b w:val="1"/>
                <w:bCs w:val="1"/>
                <w:color w:val="auto"/>
              </w:rPr>
              <w:t>Total trade receivables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61.7</w:t>
            </w: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TP JGC Coral France SNC, TTSJV W.L.L. and Technip Odebrecht PLSV CV are equity method affiliates. A member of our Board of Directors serves on the Board of Directors of Anadarko Petroleum Company.</w:t>
      </w:r>
    </w:p>
    <w:p>
      <w:pPr>
        <w:sectPr>
          <w:pgSz w:w="11900" w:h="16838" w:orient="portrait"/>
          <w:cols w:equalWidth="0" w:num="1">
            <w:col w:w="11420"/>
          </w:cols>
          <w:pgMar w:left="240" w:top="976"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976"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Trade payables consisted of payables due to following related parties: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7"/>
                <w:szCs w:val="17"/>
                <w:color w:val="auto"/>
              </w:rPr>
            </w:pPr>
          </w:p>
        </w:tc>
        <w:tc>
          <w:tcPr>
            <w:tcW w:w="11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36"/>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Chiyoda</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JGC Corporation</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69.5</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IFP Energies nouvelles</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Magma Global Limited</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0.6</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Dofcon Navegacao</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Anadarko Petroleum Company</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0.7</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trade payables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148.6</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Dofcon Navegacao and Magma Global Limited are equity affiliates. JGC Corporation and Chiyoda are joint venture partners on our Yamal project. A member of our Board of Directors is an executive officer of IFP Energies nouvelles.</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our note receivables balance was $100.2 million and $130.0 million at June 30, 2019 and December 31, 2018, respectively. The balance includes $100.2 million and $119.9 million with Dofcon Brasil AS at June 30, 2019 and December 31, 2018, respectively. Dofcon Brasil AS is a variable interest entity and accounted for as an equity method affiliate. These are included in other noncurrent assets on our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consisted of amount from following related parties: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TP JGC Coral France SNC</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77.7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61.4</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TTSJV W.L.L.</w:t>
            </w:r>
          </w:p>
        </w:tc>
        <w:tc>
          <w:tcPr>
            <w:tcW w:w="9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Anadarko Petroleum Company</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Dofcon Navegacao</w:t>
            </w:r>
          </w:p>
        </w:tc>
        <w:tc>
          <w:tcPr>
            <w:tcW w:w="9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9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226.2</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152.7</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Expenses consisted of amount to following related parties: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JGC Corporation</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Serimax Holdings SAS</w:t>
            </w:r>
          </w:p>
        </w:tc>
        <w:tc>
          <w:tcPr>
            <w:tcW w:w="100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Chiyoda</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Arkema S.A.</w:t>
            </w:r>
          </w:p>
        </w:tc>
        <w:tc>
          <w:tcPr>
            <w:tcW w:w="100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Magma Global Limited</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IFP Energy nouvelles</w:t>
            </w:r>
          </w:p>
        </w:tc>
        <w:tc>
          <w:tcPr>
            <w:tcW w:w="10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10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expenses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Serimax Holdings SAS is an equity affiliate. A member of our Board of Directors serves on the Board of Directors for Arkema S.A.</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98"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12.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28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1,916.1</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493.8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490.9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788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229.0</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171.8</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788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148.9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7880" w:type="dxa"/>
            <w:vAlign w:val="bottom"/>
          </w:tcPr>
          <w:p>
            <w:pPr>
              <w:ind w:left="20"/>
              <w:spacing w:after="0"/>
              <w:rPr>
                <w:sz w:val="20"/>
                <w:szCs w:val="20"/>
                <w:color w:val="auto"/>
              </w:rPr>
            </w:pPr>
            <w:r>
              <w:rPr>
                <w:rFonts w:ascii="Arial" w:cs="Arial" w:eastAsia="Arial" w:hAnsi="Arial"/>
                <w:sz w:val="14"/>
                <w:szCs w:val="14"/>
                <w:color w:val="auto"/>
              </w:rPr>
              <w:t>2012 Private placement notes due 2027</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2032</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7880" w:type="dxa"/>
            <w:vAlign w:val="bottom"/>
          </w:tcPr>
          <w:p>
            <w:pPr>
              <w:ind w:left="20"/>
              <w:spacing w:after="0"/>
              <w:rPr>
                <w:sz w:val="20"/>
                <w:szCs w:val="20"/>
                <w:color w:val="auto"/>
              </w:rPr>
            </w:pPr>
            <w:r>
              <w:rPr>
                <w:rFonts w:ascii="Arial" w:cs="Arial" w:eastAsia="Arial" w:hAnsi="Arial"/>
                <w:sz w:val="14"/>
                <w:szCs w:val="14"/>
                <w:color w:val="auto"/>
              </w:rPr>
              <w:t>2013 Private placement notes due 2033</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114.5</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265.2</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7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23.2</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issuing fees</w:t>
            </w: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44"/>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debt</w:t>
            </w:r>
          </w:p>
        </w:tc>
        <w:tc>
          <w:tcPr>
            <w:tcW w:w="28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3,781.8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4,191.7</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borrowings</w:t>
            </w: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 debt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3,701.1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4,124.3</w:t>
            </w: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 xml:space="preserve">Bilateral credit facilities - </w:t>
      </w:r>
      <w:r>
        <w:rPr>
          <w:rFonts w:ascii="Arial" w:cs="Arial" w:eastAsia="Arial" w:hAnsi="Arial"/>
          <w:sz w:val="18"/>
          <w:szCs w:val="18"/>
          <w:color w:val="auto"/>
        </w:rPr>
        <w:t>We have access to a €100.0 million bilateral credit facility expiring in May 2021. Two bilateral credit facilities of €80.0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each and a bilateral credit facility of €60.0 million expired in May and June 2019, respectively.</w:t>
      </w:r>
    </w:p>
    <w:p>
      <w:pPr>
        <w:spacing w:after="0" w:line="12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bilateral credit facility contains usual and customary covenants, representations and warranties and events of default for credit facilities of this type.</w:t>
      </w:r>
    </w:p>
    <w:p>
      <w:pPr>
        <w:spacing w:after="0" w:line="1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revolving facility agreement. As we have both the ability and intent to refinance these obligations on a long-term basis, our commercial paper borrowings were classified as long -term debt in the consolidated balance sheets as of June 30, 2019 and December 31, 2018. Commercial paper borrowings are issued at market interest rates. As of June 30, 2019, our commercial paper borrowings had a weighted average interest rate of 2.78% on the U.S. dollar denominated borrowings and (0.22)% on the Euro denominated borrowings.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Bank borrowings </w:t>
      </w:r>
      <w:r>
        <w:rPr>
          <w:rFonts w:ascii="Arial" w:cs="Arial" w:eastAsia="Arial" w:hAnsi="Arial"/>
          <w:sz w:val="18"/>
          <w:szCs w:val="18"/>
          <w:color w:val="auto"/>
        </w:rPr>
        <w:t>- In January 2019, we executed a sale-leaseback transaction to finance the purchase of a deepwater dive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Deep Discoverer (the “Vessel”) for the full transaction price of $116.8 million. The sale-leaseback agreement (“Charter”) was entered into with a French joint-stock company, owned by Credit Industrial et Commercial (“CIC”) which was formed for the sole purpose to purchase and act as the lessor of the Vessel. It is a variable interest entity, which is fully consolidated in our condensed consolidated financial statements. The transaction was funded through debt of $96.2 million which is primarily long-term, expiring on January 8, 2031.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Cash dividends paid during the six months ended June 30, 2019 for dividends declared on February 19, 2019 and April 24, 2019 were $116.6 million. Cash dividends paid during the six months ended June 30, 2018 was $120.2 million.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54" w:right="239" w:bottom="1440" w:gutter="0" w:footer="0" w:header="0"/>
        </w:sectPr>
      </w:pPr>
    </w:p>
    <w:bookmarkStart w:id="26" w:name="page27"/>
    <w:bookmarkEnd w:id="26"/>
    <w:p>
      <w:pPr>
        <w:ind w:right="140"/>
        <w:spacing w:after="0" w:line="253"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GAAP reported amount (e.g., retained earnings). The declaration and payment of dividends require the authorization of our Board of Directors, provided that such dividends on issued share capital may be paid only out of our “distributable reserves” on our statutory balance sheet. Therefore, we are not permitted to pay dividends out of share capital, which includes share premium.</w:t>
      </w:r>
    </w:p>
    <w:p>
      <w:pPr>
        <w:spacing w:after="0" w:line="15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December 2018, our Board of Directors authorized an extension of our share repurchase program for $300.0 million for the purchase of ordinary shares. We repurchased 4.0 million of ordinary shares for a total consideration of $90.1 million during the six months ended June 30, 2019 under our authorized share repurchase program. We intend to cancel repurchased shares and not hold them in treasury. Canceled treasury shares are accounted for using the constructive retirement method.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Defined Pension</w:t>
            </w:r>
          </w:p>
        </w:tc>
        <w:tc>
          <w:tcPr>
            <w:tcW w:w="180" w:type="dxa"/>
            <w:vAlign w:val="bottom"/>
          </w:tcPr>
          <w:p>
            <w:pPr>
              <w:spacing w:after="0"/>
              <w:rPr>
                <w:sz w:val="11"/>
                <w:szCs w:val="11"/>
                <w:color w:val="auto"/>
              </w:rPr>
            </w:pPr>
          </w:p>
        </w:tc>
        <w:tc>
          <w:tcPr>
            <w:tcW w:w="1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1"/>
                <w:szCs w:val="11"/>
                <w:color w:val="auto"/>
              </w:rPr>
            </w:pPr>
          </w:p>
        </w:tc>
        <w:tc>
          <w:tcPr>
            <w:tcW w:w="14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and Other</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Loss attributable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Currency</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Post-Retirement</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to Noncontrolling</w:t>
            </w:r>
          </w:p>
        </w:tc>
      </w:tr>
      <w:tr>
        <w:trPr>
          <w:trHeight w:val="178"/>
        </w:trPr>
        <w:tc>
          <w:tcPr>
            <w:tcW w:w="400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(1,234.4)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(92.4)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(1,359.7)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56"/>
        </w:trPr>
        <w:tc>
          <w:tcPr>
            <w:tcW w:w="4000" w:type="dxa"/>
            <w:vAlign w:val="bottom"/>
          </w:tcPr>
          <w:p>
            <w:pPr>
              <w:ind w:left="180"/>
              <w:spacing w:after="0"/>
              <w:rPr>
                <w:sz w:val="20"/>
                <w:szCs w:val="20"/>
                <w:color w:val="auto"/>
              </w:rPr>
            </w:pPr>
            <w:r>
              <w:rPr>
                <w:rFonts w:ascii="Arial" w:cs="Arial" w:eastAsia="Arial" w:hAnsi="Arial"/>
                <w:sz w:val="13"/>
                <w:szCs w:val="13"/>
                <w:color w:val="auto"/>
                <w:w w:val="99"/>
              </w:rPr>
              <w:t>Other comprehensive income (loss) before reclassifications, net of</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0"/>
        </w:trPr>
        <w:tc>
          <w:tcPr>
            <w:tcW w:w="4000" w:type="dxa"/>
            <w:vAlign w:val="bottom"/>
          </w:tcPr>
          <w:p>
            <w:pPr>
              <w:ind w:left="18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1.3</w:t>
            </w:r>
          </w:p>
        </w:tc>
      </w:tr>
      <w:tr>
        <w:trPr>
          <w:trHeight w:val="164"/>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adjustment for net losses (gains) included in net</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2"/>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net of tax</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w:t>
            </w:r>
          </w:p>
        </w:tc>
      </w:tr>
      <w:tr>
        <w:trPr>
          <w:trHeight w:val="242"/>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 (loss)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76"/>
        </w:trPr>
        <w:tc>
          <w:tcPr>
            <w:tcW w:w="2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6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162"/>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Details about Accumulated Other</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62"/>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340" w:type="dxa"/>
            <w:vAlign w:val="bottom"/>
          </w:tcPr>
          <w:p>
            <w:pPr>
              <w:spacing w:after="0"/>
              <w:rPr>
                <w:sz w:val="14"/>
                <w:szCs w:val="14"/>
                <w:color w:val="auto"/>
              </w:rPr>
            </w:pPr>
          </w:p>
        </w:tc>
        <w:tc>
          <w:tcPr>
            <w:tcW w:w="4540" w:type="dxa"/>
            <w:vAlign w:val="bottom"/>
            <w:gridSpan w:val="9"/>
          </w:tcPr>
          <w:p>
            <w:pPr>
              <w:jc w:val="center"/>
              <w:ind w:left="588"/>
              <w:spacing w:after="0"/>
              <w:rPr>
                <w:sz w:val="20"/>
                <w:szCs w:val="20"/>
                <w:color w:val="auto"/>
              </w:rPr>
            </w:pPr>
            <w:r>
              <w:rPr>
                <w:rFonts w:ascii="Arial" w:cs="Arial" w:eastAsia="Arial" w:hAnsi="Arial"/>
                <w:sz w:val="14"/>
                <w:szCs w:val="14"/>
                <w:b w:val="1"/>
                <w:bCs w:val="1"/>
                <w:color w:val="auto"/>
              </w:rPr>
              <w:t>Amount Reclassified out of Accumulated Other</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19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Components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Comprehensive Loss</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Statements of Income</w:t>
            </w: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shd w:val="clear" w:color="auto" w:fill="CCEEFF"/>
              </w:rPr>
              <w:t>Gains (losses) on hedging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r>
      <w:tr>
        <w:trPr>
          <w:trHeight w:val="264"/>
        </w:trPr>
        <w:tc>
          <w:tcPr>
            <w:tcW w:w="2740" w:type="dxa"/>
            <w:vAlign w:val="bottom"/>
          </w:tcPr>
          <w:p>
            <w:pPr>
              <w:ind w:left="280"/>
              <w:spacing w:after="0"/>
              <w:rPr>
                <w:sz w:val="20"/>
                <w:szCs w:val="20"/>
                <w:color w:val="auto"/>
              </w:rPr>
            </w:pPr>
            <w:r>
              <w:rPr>
                <w:rFonts w:ascii="Arial" w:cs="Arial" w:eastAsia="Arial" w:hAnsi="Arial"/>
                <w:sz w:val="14"/>
                <w:szCs w:val="14"/>
                <w:color w:val="auto"/>
              </w:rPr>
              <w:t>Foreign exchange contracts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276"/>
        </w:trPr>
        <w:tc>
          <w:tcPr>
            <w:tcW w:w="2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r>
      <w:tr>
        <w:trPr>
          <w:trHeight w:val="194"/>
        </w:trPr>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178"/>
        </w:trPr>
        <w:tc>
          <w:tcPr>
            <w:tcW w:w="2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rPr>
              <w:t>expense</w:t>
            </w:r>
          </w:p>
        </w:tc>
      </w:tr>
      <w:tr>
        <w:trPr>
          <w:trHeight w:val="270"/>
        </w:trPr>
        <w:tc>
          <w:tcPr>
            <w:tcW w:w="27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r>
      <w:tr>
        <w:trPr>
          <w:trHeight w:val="250"/>
        </w:trPr>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r>
      <w:tr>
        <w:trPr>
          <w:trHeight w:val="270"/>
        </w:trPr>
        <w:tc>
          <w:tcPr>
            <w:tcW w:w="27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 (Note 17)</w:t>
            </w:r>
          </w:p>
        </w:tc>
      </w:tr>
      <w:tr>
        <w:trPr>
          <w:trHeight w:val="283"/>
        </w:trPr>
        <w:tc>
          <w:tcPr>
            <w:tcW w:w="27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r>
      <w:tr>
        <w:trPr>
          <w:trHeight w:val="133"/>
        </w:trPr>
        <w:tc>
          <w:tcPr>
            <w:tcW w:w="274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i w:val="1"/>
                <w:iCs w:val="1"/>
                <w:color w:val="auto"/>
              </w:rPr>
              <w:t>Pension and other post-retirement</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benefits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r>
      <w:tr>
        <w:trPr>
          <w:trHeight w:val="194"/>
        </w:trPr>
        <w:tc>
          <w:tcPr>
            <w:tcW w:w="2740" w:type="dxa"/>
            <w:vAlign w:val="bottom"/>
          </w:tcPr>
          <w:p>
            <w:pPr>
              <w:ind w:left="280"/>
              <w:spacing w:after="0"/>
              <w:rPr>
                <w:sz w:val="20"/>
                <w:szCs w:val="20"/>
                <w:color w:val="auto"/>
              </w:rPr>
            </w:pPr>
            <w:r>
              <w:rPr>
                <w:rFonts w:ascii="Arial" w:cs="Arial" w:eastAsia="Arial" w:hAnsi="Arial"/>
                <w:sz w:val="14"/>
                <w:szCs w:val="14"/>
                <w:color w:val="auto"/>
              </w:rPr>
              <w:t>Amortization of prior service credit</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78"/>
        </w:trPr>
        <w:tc>
          <w:tcPr>
            <w:tcW w:w="2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(cost)</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w:t>
            </w:r>
          </w:p>
        </w:tc>
      </w:tr>
      <w:tr>
        <w:trPr>
          <w:trHeight w:val="256"/>
        </w:trPr>
        <w:tc>
          <w:tcPr>
            <w:tcW w:w="2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r>
      <w:tr>
        <w:trPr>
          <w:trHeight w:val="264"/>
        </w:trPr>
        <w:tc>
          <w:tcPr>
            <w:tcW w:w="2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rPr>
              <w:t>Provision for income taxes (Note 17)</w:t>
            </w:r>
          </w:p>
        </w:tc>
      </w:tr>
      <w:tr>
        <w:trPr>
          <w:trHeight w:val="243"/>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r>
      <w:tr>
        <w:trPr>
          <w:trHeight w:val="20"/>
        </w:trPr>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38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Under the TechnipFMC plc Incentive Award Plan (the “Plan”), we grant certain incentives and awards to officers, employees, non-employee directors and consultants of TechnipFMC and its subsidiaries. Awards may include share options, share appreciation rights, performance stock units, restricted stock units, restricted shares or other awards authorized under the Plan. Under the Plan, 24.1 million ordinary shares were authorized for awards.</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$21.1 million and $ 12.9 million for the three months ended June 30, 2019 and 2018, respectively, and $41.5 million and $25.8 million for the six months ended June 30, 2019 and 2018, respectively.</w:t>
      </w:r>
    </w:p>
    <w:p>
      <w:pPr>
        <w:spacing w:after="0" w:line="200" w:lineRule="exact"/>
        <w:rPr>
          <w:sz w:val="20"/>
          <w:szCs w:val="20"/>
          <w:color w:val="auto"/>
        </w:rPr>
      </w:pPr>
    </w:p>
    <w:p>
      <w:pPr>
        <w:spacing w:after="0" w:line="306" w:lineRule="exact"/>
        <w:rPr>
          <w:sz w:val="20"/>
          <w:szCs w:val="20"/>
          <w:color w:val="auto"/>
        </w:rPr>
      </w:pPr>
    </w:p>
    <w:p>
      <w:pPr>
        <w:ind w:right="5660"/>
        <w:spacing w:after="0" w:line="517" w:lineRule="auto"/>
        <w:rPr>
          <w:sz w:val="20"/>
          <w:szCs w:val="20"/>
          <w:color w:val="auto"/>
        </w:rPr>
      </w:pPr>
      <w:r>
        <w:rPr>
          <w:rFonts w:ascii="Arial" w:cs="Arial" w:eastAsia="Arial" w:hAnsi="Arial"/>
          <w:sz w:val="17"/>
          <w:szCs w:val="17"/>
          <w:b w:val="1"/>
          <w:bCs w:val="1"/>
          <w:color w:val="auto"/>
        </w:rPr>
        <w:t xml:space="preserve">NOTE 15. IMPAIRMENT, RESTRUCTURING AND OTHER EXPENSES </w:t>
      </w:r>
      <w:r>
        <w:rPr>
          <w:rFonts w:ascii="Arial" w:cs="Arial" w:eastAsia="Arial" w:hAnsi="Arial"/>
          <w:sz w:val="17"/>
          <w:szCs w:val="17"/>
          <w:color w:val="auto"/>
        </w:rPr>
        <w:t>Impairment, restructuring and other expenses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10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and other</w:t>
            </w: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Restructuring charges during the three and six months ended June 30, 2019 and 2018 primarily consisted of severance and other employee related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CONTINGENT LIABILITIES</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Financial guarantees</w:t>
            </w:r>
            <w:r>
              <w:rPr>
                <w:rFonts w:ascii="Arial" w:cs="Arial" w:eastAsia="Arial" w:hAnsi="Arial"/>
                <w:sz w:val="17"/>
                <w:szCs w:val="17"/>
                <w:color w:val="auto"/>
                <w:vertAlign w:val="superscript"/>
              </w:rPr>
              <w:t>(a)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750.4</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Performance guarantees</w:t>
            </w:r>
            <w:r>
              <w:rPr>
                <w:rFonts w:ascii="Arial" w:cs="Arial" w:eastAsia="Arial" w:hAnsi="Arial"/>
                <w:sz w:val="17"/>
                <w:szCs w:val="17"/>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4,093.9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4,047.6</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Maximum potential undiscounted payments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5,043.7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4,798.0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340" w:right="80" w:hanging="332"/>
        <w:spacing w:after="0" w:line="258"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40"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54" w:right="239" w:bottom="1440" w:gutter="0" w:footer="0" w:header="0"/>
        </w:sectPr>
      </w:pPr>
    </w:p>
    <w:bookmarkStart w:id="28" w:name="page29"/>
    <w:bookmarkEnd w:id="28"/>
    <w:p>
      <w:pPr>
        <w:ind w:right="4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legal matters - </w:t>
      </w:r>
      <w:r>
        <w:rPr>
          <w:rFonts w:ascii="Arial" w:cs="Arial" w:eastAsia="Arial" w:hAnsi="Arial"/>
          <w:sz w:val="18"/>
          <w:szCs w:val="18"/>
          <w:color w:val="auto"/>
        </w:rPr>
        <w:t>We are involved in various pending or potential legal actions or disputes in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4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U.S. Securities and Exchange Commission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have reached an agreement in principle with the SEC Staff, subject to final SEC approval.</w:t>
      </w:r>
    </w:p>
    <w:p>
      <w:pPr>
        <w:spacing w:after="0" w:line="171" w:lineRule="exact"/>
        <w:rPr>
          <w:sz w:val="20"/>
          <w:szCs w:val="20"/>
          <w:color w:val="auto"/>
        </w:rPr>
      </w:pPr>
    </w:p>
    <w:p>
      <w:pPr>
        <w:jc w:val="both"/>
        <w:ind w:right="66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liquidated damages </w:t>
      </w:r>
      <w:r>
        <w:rPr>
          <w:rFonts w:ascii="Arial" w:cs="Arial" w:eastAsia="Arial" w:hAnsi="Arial"/>
          <w:sz w:val="18"/>
          <w:szCs w:val="18"/>
          <w:color w:val="auto"/>
        </w:rPr>
        <w:t>- Some of our contracts contain provisions that require us to pay liquidated damages if</w:t>
      </w:r>
      <w:r>
        <w:rPr>
          <w:rFonts w:ascii="Arial" w:cs="Arial" w:eastAsia="Arial" w:hAnsi="Arial"/>
          <w:sz w:val="18"/>
          <w:szCs w:val="18"/>
          <w:i w:val="1"/>
          <w:iCs w:val="1"/>
          <w:color w:val="auto"/>
        </w:rPr>
        <w:t xml:space="preserve"> </w:t>
      </w:r>
      <w:r>
        <w:rPr>
          <w:rFonts w:ascii="Arial" w:cs="Arial" w:eastAsia="Arial" w:hAnsi="Arial"/>
          <w:sz w:val="18"/>
          <w:szCs w:val="18"/>
          <w:color w:val="auto"/>
        </w:rPr>
        <w:t>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0" w:right="259" w:bottom="1440" w:gutter="0" w:footer="0" w:header="0"/>
        </w:sectPr>
      </w:pPr>
    </w:p>
    <w:bookmarkStart w:id="29" w:name="page30"/>
    <w:bookmarkEnd w:id="29"/>
    <w:p>
      <w:pPr>
        <w:ind w:right="440"/>
        <w:spacing w:after="0" w:line="262" w:lineRule="auto"/>
        <w:rPr>
          <w:sz w:val="20"/>
          <w:szCs w:val="20"/>
          <w:color w:val="auto"/>
        </w:rPr>
      </w:pPr>
      <w:r>
        <w:rPr>
          <w:rFonts w:ascii="Arial" w:cs="Arial" w:eastAsia="Arial" w:hAnsi="Arial"/>
          <w:sz w:val="18"/>
          <w:szCs w:val="18"/>
          <w:color w:val="auto"/>
        </w:rPr>
        <w:t>probable liquidated damages at June 30, 2019 and December 31, 2018, and that the ultimate resolution of such matters will not materially affect our consolidated financial position, results of operations, or cash flows.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provision for income taxes for the three months ended June 30, 2019 and 2018 reflected effective tax rates of 0.8% and 37.0%, respectively. Our provision for income tax for the six months ended June 30, 2019 and 2018 reflect effective tax rates of 10.3% and 36.1%, respectively. The year-over-year decrease in the effective tax rate for the six months ended June 30, 2019 and 2018 was primarily due to recognized tax benefits related to the finalization of previously estimated tax liabilities based on the filing of tax returns in certain jurisdictions and the release of a valuation allowance previously recorded against certain deferred tax assets in Brazil, offset in part by the reduced benefit of losses in jurisdictions with a full valuation allowance, the impact of a nondeductible legal provision, and an unfavorable change in earnings mix. In addition, individual tax items, combined with higher profitability in the prior period, had a greater impact on the effective tax rate in the six months ended June 30, 2019 as compared to the same period in 2018.</w:t>
      </w:r>
    </w:p>
    <w:p>
      <w:pPr>
        <w:spacing w:after="0" w:line="15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DERIVATIVE FINANCIAL INSTRUMENTS</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98"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or sale commitments denominated in foreign currencies and recorded assets and liabilities in our consolidated balance sheets. At June 30, 2019, we held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52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rPr>
              <w:t>Net Notional Amount</w:t>
            </w:r>
          </w:p>
        </w:tc>
        <w:tc>
          <w:tcPr>
            <w:tcW w:w="780" w:type="dxa"/>
            <w:vAlign w:val="bottom"/>
          </w:tcPr>
          <w:p>
            <w:pPr>
              <w:spacing w:after="0"/>
              <w:rPr>
                <w:sz w:val="14"/>
                <w:szCs w:val="14"/>
                <w:color w:val="auto"/>
              </w:rPr>
            </w:pPr>
          </w:p>
        </w:tc>
      </w:tr>
      <w:tr>
        <w:trPr>
          <w:trHeight w:val="196"/>
        </w:trPr>
        <w:tc>
          <w:tcPr>
            <w:tcW w:w="8120" w:type="dxa"/>
            <w:vAlign w:val="bottom"/>
          </w:tcPr>
          <w:p>
            <w:pPr>
              <w:spacing w:after="0"/>
              <w:rPr>
                <w:sz w:val="17"/>
                <w:szCs w:val="17"/>
                <w:color w:val="auto"/>
              </w:rPr>
            </w:pPr>
          </w:p>
        </w:tc>
        <w:tc>
          <w:tcPr>
            <w:tcW w:w="2520" w:type="dxa"/>
            <w:vAlign w:val="bottom"/>
            <w:tcBorders>
              <w:bottom w:val="single" w:sz="8" w:color="auto"/>
            </w:tcBorders>
            <w:gridSpan w:val="2"/>
          </w:tcPr>
          <w:p>
            <w:pPr>
              <w:jc w:val="center"/>
              <w:ind w:left="728"/>
              <w:spacing w:after="0"/>
              <w:rPr>
                <w:sz w:val="20"/>
                <w:szCs w:val="20"/>
                <w:color w:val="auto"/>
              </w:rPr>
            </w:pPr>
            <w:r>
              <w:rPr>
                <w:rFonts w:ascii="Arial" w:cs="Arial" w:eastAsia="Arial" w:hAnsi="Arial"/>
                <w:sz w:val="14"/>
                <w:szCs w:val="14"/>
                <w:b w:val="1"/>
                <w:bCs w:val="1"/>
                <w:color w:val="auto"/>
              </w:rPr>
              <w:t>Bought (Sold)</w:t>
            </w:r>
          </w:p>
        </w:tc>
        <w:tc>
          <w:tcPr>
            <w:tcW w:w="78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631.5</w:t>
            </w:r>
          </w:p>
        </w:tc>
        <w:tc>
          <w:tcPr>
            <w:tcW w:w="8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963.8</w:t>
            </w:r>
          </w:p>
        </w:tc>
        <w:tc>
          <w:tcPr>
            <w:tcW w:w="8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251.5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British pound</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163.0</w:t>
            </w: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1,183.5</w:t>
            </w:r>
          </w:p>
        </w:tc>
        <w:tc>
          <w:tcPr>
            <w:tcW w:w="8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138.9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Malaysian ringgit</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393.0</w:t>
            </w: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Singapore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120.1</w:t>
            </w:r>
          </w:p>
        </w:tc>
        <w:tc>
          <w:tcPr>
            <w:tcW w:w="8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88.7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Japanese yen</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8,447.0</w:t>
            </w: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Australian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108.4</w:t>
            </w:r>
          </w:p>
        </w:tc>
        <w:tc>
          <w:tcPr>
            <w:tcW w:w="8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Mexican peso</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(287.0)</w:t>
            </w: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Canadian dollar</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(90.8)</w:t>
            </w:r>
          </w:p>
        </w:tc>
        <w:tc>
          <w:tcPr>
            <w:tcW w:w="8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(1,270.0)</w:t>
            </w: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(1,270.0)</w:t>
            </w:r>
          </w:p>
        </w:tc>
      </w:tr>
    </w:tbl>
    <w:p>
      <w:pPr>
        <w:spacing w:after="0" w:line="359"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June 30, 2019, our portfolio of these instruments included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66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rPr>
              <w:t>Net Notional Amount</w:t>
            </w:r>
          </w:p>
        </w:tc>
        <w:tc>
          <w:tcPr>
            <w:tcW w:w="640" w:type="dxa"/>
            <w:vAlign w:val="bottom"/>
          </w:tcPr>
          <w:p>
            <w:pPr>
              <w:spacing w:after="0"/>
              <w:rPr>
                <w:sz w:val="14"/>
                <w:szCs w:val="14"/>
                <w:color w:val="auto"/>
              </w:rPr>
            </w:pPr>
          </w:p>
        </w:tc>
      </w:tr>
      <w:tr>
        <w:trPr>
          <w:trHeight w:val="196"/>
        </w:trPr>
        <w:tc>
          <w:tcPr>
            <w:tcW w:w="8120" w:type="dxa"/>
            <w:vAlign w:val="bottom"/>
          </w:tcPr>
          <w:p>
            <w:pPr>
              <w:spacing w:after="0"/>
              <w:rPr>
                <w:sz w:val="17"/>
                <w:szCs w:val="17"/>
                <w:color w:val="auto"/>
              </w:rPr>
            </w:pPr>
          </w:p>
        </w:tc>
        <w:tc>
          <w:tcPr>
            <w:tcW w:w="266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rPr>
              <w:t>Bought (Sold)</w:t>
            </w:r>
          </w:p>
        </w:tc>
        <w:tc>
          <w:tcPr>
            <w:tcW w:w="64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w:t>
            </w: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Euro</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(0.7)</w:t>
            </w: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(5.1)</w:t>
            </w:r>
          </w:p>
        </w:tc>
        <w:tc>
          <w:tcPr>
            <w:tcW w:w="9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4.8</w:t>
            </w:r>
          </w:p>
        </w:tc>
        <w:tc>
          <w:tcPr>
            <w:tcW w:w="9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w:t>
            </w:r>
          </w:p>
        </w:tc>
      </w:tr>
    </w:tbl>
    <w:p>
      <w:pPr>
        <w:spacing w:after="0" w:line="38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19 to our condensed consolidated financial statements of this Quarterly Report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r>
      <w:tr>
        <w:trPr>
          <w:trHeight w:val="270"/>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w:t>
            </w:r>
          </w:p>
        </w:tc>
      </w:tr>
      <w:tr>
        <w:trPr>
          <w:trHeight w:val="26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163.3</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10.8</w:t>
            </w:r>
          </w:p>
        </w:tc>
      </w:tr>
      <w:tr>
        <w:trPr>
          <w:trHeight w:val="200"/>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 - Synthetic Bonds - Call Option</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Premium</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5620" w:type="dxa"/>
            <w:vAlign w:val="bottom"/>
          </w:tcPr>
          <w:p>
            <w:pPr>
              <w:ind w:left="500"/>
              <w:spacing w:after="0"/>
              <w:rPr>
                <w:sz w:val="20"/>
                <w:szCs w:val="20"/>
                <w:color w:val="auto"/>
              </w:rPr>
            </w:pPr>
            <w:r>
              <w:rPr>
                <w:rFonts w:ascii="Arial" w:cs="Arial" w:eastAsia="Arial" w:hAnsi="Arial"/>
                <w:sz w:val="14"/>
                <w:szCs w:val="14"/>
                <w:color w:val="auto"/>
              </w:rPr>
              <w:t>Long-term - Derivative financial instruments - Synthetic Bonds - Embedded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8"/>
        </w:trPr>
        <w:tc>
          <w:tcPr>
            <w:tcW w:w="5620" w:type="dxa"/>
            <w:vAlign w:val="bottom"/>
          </w:tcPr>
          <w:p>
            <w:pPr>
              <w:ind w:left="500"/>
              <w:spacing w:after="0"/>
              <w:rPr>
                <w:sz w:val="20"/>
                <w:szCs w:val="20"/>
                <w:color w:val="auto"/>
              </w:rPr>
            </w:pPr>
            <w:r>
              <w:rPr>
                <w:rFonts w:ascii="Arial" w:cs="Arial" w:eastAsia="Arial" w:hAnsi="Arial"/>
                <w:sz w:val="14"/>
                <w:szCs w:val="14"/>
                <w:color w:val="auto"/>
              </w:rPr>
              <w:t>Derivatives</w:t>
            </w: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9.2</w:t>
            </w:r>
          </w:p>
        </w:tc>
      </w:tr>
      <w:tr>
        <w:trPr>
          <w:trHeight w:val="24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183.3</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Cash flow derivative hedges of forecasted transactions, net of tax, which qualify for hedge accounting, resulted in accumulated other comprehensive losses of $ 21.4 million and $33.0 million at June 30, 2019 and December 31, 2018, respectively. We expect to transfer an approximately $2.8 million loss from accumulated OCI to earnings during the next 12 months when the anticipated transactions actually occur. All anticipated transactions currently being hedged are expected to occur by the second half of 2023.</w:t>
      </w:r>
    </w:p>
    <w:p>
      <w:pPr>
        <w:spacing w:after="0" w:line="150"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Gain (Loss) Recognized in OCI</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58"/>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2"/>
                <w:szCs w:val="22"/>
                <w:color w:val="auto"/>
              </w:rPr>
            </w:pPr>
          </w:p>
        </w:tc>
        <w:tc>
          <w:tcPr>
            <w:tcW w:w="268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748"/>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exchange contracts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8" w:right="239" w:bottom="1440" w:gutter="0" w:footer="0" w:header="0"/>
        </w:sectPr>
      </w:pPr>
    </w:p>
    <w:bookmarkStart w:id="32" w:name="page33"/>
    <w:bookmarkEnd w:id="32"/>
    <w:p>
      <w:pPr>
        <w:ind w:right="540"/>
        <w:spacing w:after="0" w:line="262" w:lineRule="auto"/>
        <w:rPr>
          <w:sz w:val="20"/>
          <w:szCs w:val="20"/>
          <w:color w:val="auto"/>
        </w:rPr>
      </w:pPr>
      <w:r>
        <w:rPr>
          <w:rFonts w:ascii="Arial" w:cs="Arial" w:eastAsia="Arial" w:hAnsi="Arial"/>
          <w:sz w:val="18"/>
          <w:szCs w:val="18"/>
          <w:color w:val="auto"/>
        </w:rPr>
        <w:t>The following represents the effect of cash flow hedge accounting on the consolidated statements of income for the three and six months ended June 30, 2019 and 2018:</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6"/>
              </w:rPr>
              <w:t>Three Months Ended June 30, 2019</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6"/>
              </w:rPr>
              <w:t>Three Months Ended June 30, 2018</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0"/>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5"/>
              </w:rPr>
              <w:t>Selling,</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Selling,</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Total amount of income (expense)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general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general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presented in the consolidated statements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and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of income associated with hedges and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Cost of</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0" w:type="dxa"/>
            <w:vAlign w:val="bottom"/>
          </w:tcPr>
          <w:p>
            <w:pPr>
              <w:spacing w:after="0"/>
              <w:rPr>
                <w:sz w:val="11"/>
                <w:szCs w:val="11"/>
                <w:color w:val="auto"/>
              </w:rPr>
            </w:pPr>
          </w:p>
        </w:tc>
        <w:tc>
          <w:tcPr>
            <w:tcW w:w="10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0" w:type="dxa"/>
            <w:vAlign w:val="bottom"/>
          </w:tcPr>
          <w:p>
            <w:pPr>
              <w:spacing w:after="0"/>
              <w:rPr>
                <w:sz w:val="11"/>
                <w:szCs w:val="11"/>
                <w:color w:val="auto"/>
              </w:rPr>
            </w:pPr>
          </w:p>
        </w:tc>
        <w:tc>
          <w:tcPr>
            <w:tcW w:w="920" w:type="dxa"/>
            <w:vAlign w:val="bottom"/>
          </w:tcPr>
          <w:p>
            <w:pPr>
              <w:spacing w:after="0" w:line="135" w:lineRule="exact"/>
              <w:rPr>
                <w:sz w:val="20"/>
                <w:szCs w:val="20"/>
                <w:color w:val="auto"/>
              </w:rPr>
            </w:pPr>
            <w:r>
              <w:rPr>
                <w:rFonts w:ascii="Arial" w:cs="Arial" w:eastAsia="Arial" w:hAnsi="Arial"/>
                <w:sz w:val="13"/>
                <w:szCs w:val="13"/>
                <w:b w:val="1"/>
                <w:bCs w:val="1"/>
                <w:color w:val="auto"/>
              </w:rPr>
              <w:t>Other income</w:t>
            </w:r>
          </w:p>
        </w:tc>
      </w:tr>
      <w:tr>
        <w:trPr>
          <w:trHeight w:val="178"/>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derivatives</w:t>
            </w: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sales</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expense</w:t>
            </w:r>
          </w:p>
        </w:tc>
        <w:tc>
          <w:tcPr>
            <w:tcW w:w="1120" w:type="dxa"/>
            <w:vAlign w:val="bottom"/>
            <w:gridSpan w:val="3"/>
          </w:tcPr>
          <w:p>
            <w:pPr>
              <w:ind w:left="8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(expense), net</w:t>
            </w:r>
          </w:p>
        </w:tc>
      </w:tr>
      <w:tr>
        <w:trPr>
          <w:trHeight w:val="131"/>
        </w:trPr>
        <w:tc>
          <w:tcPr>
            <w:tcW w:w="264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i w:val="1"/>
                <w:iCs w:val="1"/>
                <w:color w:val="auto"/>
              </w:rPr>
              <w:t>Cash Flow hedge gain (loss) recognized in</w:t>
            </w: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8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income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62"/>
        </w:trPr>
        <w:tc>
          <w:tcPr>
            <w:tcW w:w="2640" w:type="dxa"/>
            <w:vAlign w:val="bottom"/>
          </w:tcPr>
          <w:p>
            <w:pPr>
              <w:ind w:left="120"/>
              <w:spacing w:after="0"/>
              <w:rPr>
                <w:sz w:val="20"/>
                <w:szCs w:val="20"/>
                <w:color w:val="auto"/>
              </w:rPr>
            </w:pPr>
            <w:r>
              <w:rPr>
                <w:rFonts w:ascii="Arial" w:cs="Arial" w:eastAsia="Arial" w:hAnsi="Arial"/>
                <w:sz w:val="13"/>
                <w:szCs w:val="13"/>
                <w:i w:val="1"/>
                <w:iCs w:val="1"/>
                <w:color w:val="auto"/>
              </w:rPr>
              <w:t>Foreign Exchange Contracts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4"/>
        </w:trPr>
        <w:tc>
          <w:tcPr>
            <w:tcW w:w="2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Amounts reclassified from accumulated</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OCI to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56"/>
        </w:trPr>
        <w:tc>
          <w:tcPr>
            <w:tcW w:w="2640" w:type="dxa"/>
            <w:vAlign w:val="bottom"/>
          </w:tcPr>
          <w:p>
            <w:pPr>
              <w:ind w:left="200"/>
              <w:spacing w:after="0"/>
              <w:rPr>
                <w:sz w:val="20"/>
                <w:szCs w:val="20"/>
                <w:color w:val="auto"/>
              </w:rPr>
            </w:pPr>
            <w:r>
              <w:rPr>
                <w:rFonts w:ascii="Arial" w:cs="Arial" w:eastAsia="Arial" w:hAnsi="Arial"/>
                <w:sz w:val="13"/>
                <w:szCs w:val="13"/>
                <w:color w:val="auto"/>
              </w:rPr>
              <w:t>Amounts excluded from effectiveness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2640" w:type="dxa"/>
            <w:vAlign w:val="bottom"/>
          </w:tcPr>
          <w:p>
            <w:pPr>
              <w:ind w:left="200"/>
              <w:spacing w:after="0"/>
              <w:rPr>
                <w:sz w:val="20"/>
                <w:szCs w:val="20"/>
                <w:color w:val="auto"/>
              </w:rPr>
            </w:pPr>
            <w:r>
              <w:rPr>
                <w:rFonts w:ascii="Arial" w:cs="Arial" w:eastAsia="Arial" w:hAnsi="Arial"/>
                <w:sz w:val="13"/>
                <w:szCs w:val="13"/>
                <w:color w:val="auto"/>
              </w:rPr>
              <w:t>testing</w:t>
            </w:r>
          </w:p>
        </w:tc>
        <w:tc>
          <w:tcPr>
            <w:tcW w:w="16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0.7</w:t>
            </w:r>
          </w:p>
        </w:tc>
      </w:tr>
      <w:tr>
        <w:trPr>
          <w:trHeight w:val="127"/>
        </w:trPr>
        <w:tc>
          <w:tcPr>
            <w:tcW w:w="264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Total cash flow hedge gain (loss)</w:t>
            </w: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recognized in income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0.6</w:t>
            </w:r>
          </w:p>
        </w:tc>
      </w:tr>
      <w:tr>
        <w:trPr>
          <w:trHeight w:val="284"/>
        </w:trPr>
        <w:tc>
          <w:tcPr>
            <w:tcW w:w="2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156"/>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Gain (loss) recognized in income on</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35"/>
        </w:trPr>
        <w:tc>
          <w:tcPr>
            <w:tcW w:w="26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derivatives not designated as hedging</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instruments</w:t>
            </w: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11.8</w:t>
            </w:r>
          </w:p>
        </w:tc>
      </w:tr>
      <w:tr>
        <w:trPr>
          <w:trHeight w:val="242"/>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(14.1)</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0.2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(0.1)</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12.4</w:t>
            </w: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59"/>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6"/>
              </w:rPr>
              <w:t>Six Months Ended June 30, 2019</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6"/>
              </w:rPr>
              <w:t>Six Months Ended June 30, 2018</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40"/>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5"/>
              </w:rPr>
              <w:t>Selling,</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Selling,</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Total amount of income (expense)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general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general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presented in the consolidated statements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and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of income associated with hedges and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Cost of</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0" w:type="dxa"/>
            <w:vAlign w:val="bottom"/>
          </w:tcPr>
          <w:p>
            <w:pPr>
              <w:spacing w:after="0"/>
              <w:rPr>
                <w:sz w:val="11"/>
                <w:szCs w:val="11"/>
                <w:color w:val="auto"/>
              </w:rPr>
            </w:pPr>
          </w:p>
        </w:tc>
        <w:tc>
          <w:tcPr>
            <w:tcW w:w="10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0" w:type="dxa"/>
            <w:vAlign w:val="bottom"/>
          </w:tcPr>
          <w:p>
            <w:pPr>
              <w:spacing w:after="0"/>
              <w:rPr>
                <w:sz w:val="11"/>
                <w:szCs w:val="11"/>
                <w:color w:val="auto"/>
              </w:rPr>
            </w:pPr>
          </w:p>
        </w:tc>
        <w:tc>
          <w:tcPr>
            <w:tcW w:w="920" w:type="dxa"/>
            <w:vAlign w:val="bottom"/>
          </w:tcPr>
          <w:p>
            <w:pPr>
              <w:spacing w:after="0" w:line="135" w:lineRule="exact"/>
              <w:rPr>
                <w:sz w:val="20"/>
                <w:szCs w:val="20"/>
                <w:color w:val="auto"/>
              </w:rPr>
            </w:pPr>
            <w:r>
              <w:rPr>
                <w:rFonts w:ascii="Arial" w:cs="Arial" w:eastAsia="Arial" w:hAnsi="Arial"/>
                <w:sz w:val="13"/>
                <w:szCs w:val="13"/>
                <w:b w:val="1"/>
                <w:bCs w:val="1"/>
                <w:color w:val="auto"/>
              </w:rPr>
              <w:t>Other income</w:t>
            </w:r>
          </w:p>
        </w:tc>
      </w:tr>
      <w:tr>
        <w:trPr>
          <w:trHeight w:val="178"/>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derivatives</w:t>
            </w: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sales</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expense</w:t>
            </w:r>
          </w:p>
        </w:tc>
        <w:tc>
          <w:tcPr>
            <w:tcW w:w="1120" w:type="dxa"/>
            <w:vAlign w:val="bottom"/>
            <w:gridSpan w:val="3"/>
          </w:tcPr>
          <w:p>
            <w:pPr>
              <w:ind w:left="8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(expense), net</w:t>
            </w:r>
          </w:p>
        </w:tc>
      </w:tr>
      <w:tr>
        <w:trPr>
          <w:trHeight w:val="131"/>
        </w:trPr>
        <w:tc>
          <w:tcPr>
            <w:tcW w:w="264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i w:val="1"/>
                <w:iCs w:val="1"/>
                <w:color w:val="auto"/>
              </w:rPr>
              <w:t>Cash Flow hedge gain (loss) recognized in</w:t>
            </w: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8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income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62"/>
        </w:trPr>
        <w:tc>
          <w:tcPr>
            <w:tcW w:w="2640" w:type="dxa"/>
            <w:vAlign w:val="bottom"/>
          </w:tcPr>
          <w:p>
            <w:pPr>
              <w:ind w:left="120"/>
              <w:spacing w:after="0"/>
              <w:rPr>
                <w:sz w:val="20"/>
                <w:szCs w:val="20"/>
                <w:color w:val="auto"/>
              </w:rPr>
            </w:pPr>
            <w:r>
              <w:rPr>
                <w:rFonts w:ascii="Arial" w:cs="Arial" w:eastAsia="Arial" w:hAnsi="Arial"/>
                <w:sz w:val="13"/>
                <w:szCs w:val="13"/>
                <w:i w:val="1"/>
                <w:iCs w:val="1"/>
                <w:color w:val="auto"/>
              </w:rPr>
              <w:t>Foreign Exchange Contracts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4"/>
        </w:trPr>
        <w:tc>
          <w:tcPr>
            <w:tcW w:w="2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Amounts reclassified from accumulated</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OCI to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56"/>
        </w:trPr>
        <w:tc>
          <w:tcPr>
            <w:tcW w:w="2640" w:type="dxa"/>
            <w:vAlign w:val="bottom"/>
          </w:tcPr>
          <w:p>
            <w:pPr>
              <w:ind w:left="200"/>
              <w:spacing w:after="0"/>
              <w:rPr>
                <w:sz w:val="20"/>
                <w:szCs w:val="20"/>
                <w:color w:val="auto"/>
              </w:rPr>
            </w:pPr>
            <w:r>
              <w:rPr>
                <w:rFonts w:ascii="Arial" w:cs="Arial" w:eastAsia="Arial" w:hAnsi="Arial"/>
                <w:sz w:val="13"/>
                <w:szCs w:val="13"/>
                <w:color w:val="auto"/>
              </w:rPr>
              <w:t>Amounts excluded from effectiveness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2640" w:type="dxa"/>
            <w:vAlign w:val="bottom"/>
          </w:tcPr>
          <w:p>
            <w:pPr>
              <w:ind w:left="200"/>
              <w:spacing w:after="0"/>
              <w:rPr>
                <w:sz w:val="20"/>
                <w:szCs w:val="20"/>
                <w:color w:val="auto"/>
              </w:rPr>
            </w:pPr>
            <w:r>
              <w:rPr>
                <w:rFonts w:ascii="Arial" w:cs="Arial" w:eastAsia="Arial" w:hAnsi="Arial"/>
                <w:sz w:val="13"/>
                <w:szCs w:val="13"/>
                <w:color w:val="auto"/>
              </w:rPr>
              <w:t>testing</w:t>
            </w:r>
          </w:p>
        </w:tc>
        <w:tc>
          <w:tcPr>
            <w:tcW w:w="16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3.2</w:t>
            </w:r>
          </w:p>
        </w:tc>
      </w:tr>
      <w:tr>
        <w:trPr>
          <w:trHeight w:val="127"/>
        </w:trPr>
        <w:tc>
          <w:tcPr>
            <w:tcW w:w="264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Total cash flow hedge gain (loss)</w:t>
            </w: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recognized in income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w:t>
            </w:r>
          </w:p>
        </w:tc>
      </w:tr>
      <w:tr>
        <w:trPr>
          <w:trHeight w:val="284"/>
        </w:trPr>
        <w:tc>
          <w:tcPr>
            <w:tcW w:w="2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156"/>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Gain (loss) recognized in income on</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35"/>
        </w:trPr>
        <w:tc>
          <w:tcPr>
            <w:tcW w:w="26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derivatives not designated as hedging</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instruments</w:t>
            </w: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242"/>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b w:val="1"/>
                <w:bCs w:val="1"/>
                <w:color w:val="auto"/>
              </w:rPr>
              <w:t>(14.7)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b w:val="1"/>
                <w:bCs w:val="1"/>
                <w:color w:val="auto"/>
              </w:rPr>
              <w:t>0.1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(3.1)</w:t>
            </w:r>
          </w:p>
        </w:tc>
      </w:tr>
      <w:tr>
        <w:trPr>
          <w:trHeight w:val="20"/>
        </w:trPr>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only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June 30, 2019 and December 31, 2018, we had no collateralized derivative contracts. The following tables present both gross information and net information of recognized derivative instruments: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Net Amount</w:t>
            </w: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77.4</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17"/>
                <w:szCs w:val="17"/>
                <w:color w:val="auto"/>
                <w:vertAlign w:val="superscript"/>
              </w:rPr>
              <w:t>(a)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Money market fund</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7"/>
                <w:szCs w:val="17"/>
                <w:color w:val="auto"/>
                <w:vertAlign w:val="superscript"/>
              </w:rPr>
              <w:t>(b)</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Held-to-maturity debt securities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Synthetic bonds - call option premium</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Asset held for sale</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Redeemable financial liability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408.5</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Synthetic bonds - embedded derivatives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183.0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held for sale</w:t>
            </w: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635.0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202.1</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432.9</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424.7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4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Equity securities and Available-for-sale debt securities - </w:t>
      </w:r>
      <w:r>
        <w:rPr>
          <w:rFonts w:ascii="Arial" w:cs="Arial" w:eastAsia="Arial" w:hAnsi="Arial"/>
          <w:sz w:val="18"/>
          <w:szCs w:val="18"/>
          <w:color w:val="auto"/>
        </w:rPr>
        <w:t>The fair value measurement of our traded securities and Available-for-sale securities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that we have the ability to access in public markets.</w:t>
      </w:r>
    </w:p>
    <w:p>
      <w:pPr>
        <w:spacing w:after="0" w:line="108"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 cost,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approximates fair value.</w:t>
      </w:r>
    </w:p>
    <w:p>
      <w:pPr>
        <w:spacing w:after="0" w:line="10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Onshore/Offshore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the selected discount rate and the overall timing of completion of the project.</w:t>
      </w:r>
    </w:p>
    <w:p>
      <w:pPr>
        <w:spacing w:after="0" w:line="14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 mandatorily redeemable financial liability of $408.5 million was recognized as of December 31, 2018 to account for the fair value of the non-controlling interests. See Note 9 to our condensed consolidated financial statements of this Quarterly Report for additional disclosure related to the short-term portion of the mandatorily redeemable financial liability.</w:t>
      </w:r>
    </w:p>
    <w:p>
      <w:pPr>
        <w:sectPr>
          <w:pgSz w:w="11900" w:h="16838" w:orient="portrait"/>
          <w:cols w:equalWidth="0" w:num="1">
            <w:col w:w="11420"/>
          </w:cols>
          <w:pgMar w:left="240" w:top="954" w:right="2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954" w:right="239" w:bottom="1440" w:gutter="0" w:footer="0" w:header="0"/>
          <w:type w:val="continuous"/>
        </w:sectPr>
      </w:pPr>
    </w:p>
    <w:bookmarkStart w:id="34" w:name="page35"/>
    <w:bookmarkEnd w:id="34"/>
    <w:p>
      <w:pPr>
        <w:ind w:right="60"/>
        <w:spacing w:after="0" w:line="256" w:lineRule="auto"/>
        <w:rPr>
          <w:sz w:val="20"/>
          <w:szCs w:val="20"/>
          <w:color w:val="auto"/>
        </w:rPr>
      </w:pPr>
      <w:r>
        <w:rPr>
          <w:rFonts w:ascii="Arial" w:cs="Arial" w:eastAsia="Arial" w:hAnsi="Arial"/>
          <w:sz w:val="18"/>
          <w:szCs w:val="18"/>
          <w:color w:val="auto"/>
        </w:rPr>
        <w:t>A decrease of one percentage point in the discount rate would have increased the liability by $ 3.3 million as of June 30, 2019. The fair value measurement is based upon significant unobservable inputs not observable in the market and is consequently classified as a Level 3 fair value measurement.</w:t>
      </w:r>
    </w:p>
    <w:p>
      <w:pPr>
        <w:spacing w:after="0" w:line="148"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256"/>
        </w:trPr>
        <w:tc>
          <w:tcPr>
            <w:tcW w:w="6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312.0</w:t>
            </w:r>
          </w:p>
        </w:tc>
      </w:tr>
      <w:tr>
        <w:trPr>
          <w:trHeight w:val="264"/>
        </w:trPr>
        <w:tc>
          <w:tcPr>
            <w:tcW w:w="6260" w:type="dxa"/>
            <w:vAlign w:val="bottom"/>
          </w:tcPr>
          <w:p>
            <w:pPr>
              <w:ind w:left="40"/>
              <w:spacing w:after="0"/>
              <w:rPr>
                <w:sz w:val="20"/>
                <w:szCs w:val="20"/>
                <w:color w:val="auto"/>
              </w:rPr>
            </w:pPr>
            <w:r>
              <w:rPr>
                <w:rFonts w:ascii="Arial" w:cs="Arial" w:eastAsia="Arial" w:hAnsi="Arial"/>
                <w:sz w:val="14"/>
                <w:szCs w:val="14"/>
                <w:color w:val="auto"/>
              </w:rPr>
              <w:t>Less: Gains (losses) recognized in net interest expense</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(120.3)</w:t>
            </w:r>
          </w:p>
        </w:tc>
      </w:tr>
      <w:tr>
        <w:trPr>
          <w:trHeight w:val="276"/>
        </w:trPr>
        <w:tc>
          <w:tcPr>
            <w:tcW w:w="6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Settlements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124.2</w:t>
            </w:r>
          </w:p>
        </w:tc>
      </w:tr>
      <w:tr>
        <w:trPr>
          <w:trHeight w:val="237"/>
        </w:trPr>
        <w:tc>
          <w:tcPr>
            <w:tcW w:w="6260" w:type="dxa"/>
            <w:vAlign w:val="bottom"/>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412.8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308.1</w:t>
            </w: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In the first quarter of 2018, we acquired a 51% share in Island Offshore. The noncontrolling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mezzanine equity at fair value. The fair value measurement is based upon significant unobservable inputs not observable in the market and is consequently classified as a Level 3 fair value measurement. As of June 30, 2019 and December 31, 2018, the fair value of our redeemable noncontrolling interest was $38.5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to our condensed consolidated financial statements of this Quarterly Report for additional disclosure related to the acquisition.</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4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See Note 18 to our condensed consolidated financial statements of this Quarterly Report for additional disclosure related to derivative financial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respective carrying value and fair value of our Synthetic bonds and our Senior Notes and private placement notes on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basis as of June 30, 2019 was $ 1,983.8 million and $2,155.7 million, respectively. The respective carrying value and fair value of our Synthetic bonds and our Senior Notes and private placement notes on a combined basis as of December 31, 2018 were $1,998.6 million and $2,109.7 million.</w:t>
      </w:r>
    </w:p>
    <w:p>
      <w:pPr>
        <w:spacing w:after="0" w:line="12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as well as amounts included in other current assets and other current liabilities that meet the definition of financial instruments, approximate fair value.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98" w:right="25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collectibility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w:t>
      </w:r>
    </w:p>
    <w:p>
      <w:pPr>
        <w:spacing w:after="0" w:line="193"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 July 2019, we paid approximately $160 million as part of our previously announced global resolution to pay a total of $301.3 million to resolve certain anti-corruption investigations. See Note 16 for further details regarding the global resolution.</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80"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Overall Outlook - The price of crude oil has been on a gradual upward trend since the cyclical trough experienced in early 2016, although with continued price volatility. The sustainability of the price recovery and business activity levels is dependent on several variables, including geopolitical stability, OPEC’s actions to regulate its production capacity, changes in demand patterns, and international sanctions and tariffs. However, as long-term demand is forecast to rise and base production continues to naturally decline, we believe the macroeconomic backdrop will provide our customers with greater confidence to increase their investments in new sources of oil and natural gas production.</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7"/>
          <w:szCs w:val="17"/>
          <w:i w:val="1"/>
          <w:iCs w:val="1"/>
          <w:color w:val="auto"/>
        </w:rPr>
        <w:t xml:space="preserve">Subsea - </w:t>
      </w:r>
      <w:r>
        <w:rPr>
          <w:rFonts w:ascii="Arial" w:cs="Arial" w:eastAsia="Arial" w:hAnsi="Arial"/>
          <w:sz w:val="17"/>
          <w:szCs w:val="17"/>
          <w:color w:val="auto"/>
        </w:rPr>
        <w:t>The impact of the crude oil price decline earlier this decade and the subsequent low price environment led many of our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their capital spending plans and defer new offshore projects. During this period, we lowered our cost base through reductions in both workforce and physical manufacturing capacity. These actions led to improved cost efficiency and helped mitigate some of the negative impacts to our operating profit caused by the lower activity and reduced pricing. However, we remain committed to further developing and investing in our people and assets to ensure we have the core competencies and capabilities necessary for continued success during the market recovery.</w:t>
      </w:r>
    </w:p>
    <w:p>
      <w:pPr>
        <w:spacing w:after="0" w:line="13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lowered cost base combined with the aggressive cost reductions taken by our customers has caused project economics to improve. Many current and future offshore projects are deemed to be economic at prices below those experienced in the first quarter. While customer investment decisions can be delayed for a variety of reasons, we continue to work closely with our customers through early engagement in front end engineering and design (FEED) studies and the use of our unique integrated approach to subsea development (iEPCI™) to allow more project final investment decisions through the cycle. iEPCI™ can support clients’ initiatives to improve subsea project economics by helping to reduce cost and accelerate time to first oil. In the long term, we continue to believe that offshore and deepwater developments will remain a significant part of our customers’ portfolios.</w:t>
      </w:r>
    </w:p>
    <w:p>
      <w:pPr>
        <w:spacing w:after="0" w:line="15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outlook for the subsea industry continues to improve. We remain encouraged by the increased level of client engagement and project tendering. We have experienced growth in both the volume and value of subsea projects that have the potential for sanctioning over the intermediate term. Increased activity will also benefit the industry’s underutilized manufacturing and vessel capacity that has contributed to the pricing pressure.</w:t>
      </w:r>
    </w:p>
    <w:p>
      <w:pPr>
        <w:spacing w:after="0" w:line="13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 market activity continues to provide a tangible set of opportunities, particularly for natural gas monetization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as natural gas continues to take a larger share of global energy demand. Market conditions for liquefied natural gas (“LNG”) have improved as rising demand continues to rebalance an oversupplied market. This is driving an improved outlook for our business, and we see potential for significant new liquefaction and regasification capacity to be sanctioned in the near and intermediate term. As an industry leader, we are well positioned for this growth and are actively pursuing several opportunities. The first project award to materialize in 2019 was the Arctic LNG 2 contract. This project will bring on-stream three LNG trains with total capacity of nearly 20 million metric tonnes per annum. This award further demonstrates our leadership in the delivery of large scale modularized fabrication for harsh environment mega projects.</w:t>
      </w:r>
    </w:p>
    <w:p>
      <w:pPr>
        <w:spacing w:after="0" w:line="15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engaged in LNG FEED studies across multiple geographies. These FEED studies provide a platform for early engagement with clients and can significantly de-risk project execution while also supporting our pursuit of the engineering, procurement and construction (“EPC”) contract. Additionally, we continue to selectively pursue refining, petrochemical, and fertilizer project opportunities in the Middle East, Africa, Asia, and North American markets.</w:t>
      </w:r>
    </w:p>
    <w:p>
      <w:pPr>
        <w:spacing w:after="0" w:line="13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After a period of rapid growth, the North America unconventional market is undergoing near-term volatility. Completions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was reduced in the second half of 2018, stemming from pipeline take-away capacity constraints and exhaustion of operator capital budgets for exploration and production. Hydraulic fracturing activity slowed, particularly in the Permian basin.</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North American activity continued to decline in the first half of 2019 in both drilling and completions-related activities. Reduced operator spending, mainly driven by increased capital discipline and by oil-price volatility, has also negatively impacted equipment and services pricing as the market adjusts to the excess capacity created by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lower activity. Despite the near-term volatility, we are continuing to introduce new, innovative commercial models in North America.</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Activity in our Surface Technologies business outside of North America has been more resilient. Activity has increased in the first half of 2019 compared with first half of 2018 and we expect activity to continue to be strong throughout 2019, although most markets continue to experience pressure from competitive pricing.</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98"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CONSOLIDATED RESULTS OF OPERATIONS OF TECHNIPFMC PLC THREE MONTHS ENDED JUNE 30, 2019 AND 2018</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2,960.9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Cost of sales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2,745.2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2,422.2</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323.0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15)</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43.3</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3,120.6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2,777.6</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n/a</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Income from equity affiliates (Note 10)</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(64.7)</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174.8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(34.4)</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income taxes (Note 17)</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w:t>
            </w: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Revenue increased $473.3 million or 16.0% in the second quarter of 2019 compared to the second quarter of 2018, primarily as a result of increased project activity. Subsea revenue increased year over year with higher project-related activity and increased demand in services. Onshore/Offshore activity also increased with recent awards in the downstream, petrochemical, and offshore sectors, partially offset by the progression of major projects towards completion. Surface Technologies’ revenue increased primarily as a result of improving order backlog from international markets, primarily in the Asia Pacific and Middle East regions.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Gross profit (revenue less cost of sales) as a percentage of sales increased to 20.1% in the second quarter of 2019, from 18.2% in the prior year period. The improvement in gross profit as a percentage of sales was primarily due to the realization of a lower operating cost structure and strong project execution.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$42.4 million year-over-year, primarily as a result of increased sales activity.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incurred $9.2 million of restructuring charges during the second quarter of 2019, primarily related to employee severance.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incurred integration costs of $12.9 million during the second quarter of 2019, primarily due to integration activities pertaining to combining the two legacy companies.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second quarter of 2019, we recognized $18.0 million of net foreign exchange losses, compared to $24.3 million of net foreign exchange losses in the second quarter of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three months ended June 30, 2019, we revalued the mandatorily redeemable financial liability to reflect current expectations about the obligation and recognized a charge of $140.2 million to reflect the incremental liability to our partners. Refer to Note 19 for further information regarding the fair value measurement assumptions of the mandatorily redeemable financial liability and related changes in its fair value. Net interest expense, excluding the fair value measurement of the mandatorily redeemable financial liability, also includes interest income and expenses, which were lower by $1.4 million on a net basis compared to three months ended June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effective tax rate was 0.8% and 37.0% for the three months ended June 30, 2019 and 2018, respectively. The year-over-year decrease in the effective tax rate was primarily due to recognized tax benefits related to the finalization of previously estimated tax liabilities based on the filing of tax returns in certain jurisdictions, offset in part by the reduced benefit of losses in jurisdictions with a full valuation allowance, the impact of a nondeductible legal provision and an unfavorable change in earnings mix. In addition, individual tax items, combined with higher profitability in the prior period, had a greater impact on the effective tax rate in the six months ended June 30, 2019 as compared to the same period in 2018.</w:t>
      </w:r>
    </w:p>
    <w:p>
      <w:pPr>
        <w:spacing w:after="0" w:line="15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576"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CONSOLIDATED RESULTS OF OPERATIONS OF TECHNIPFMC PLC SIX MONTHS ENDED JUNE 30, 2019 AND 2018</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Costs and expenses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Cost of sales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Selling, general and administrative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Impairment, restructuring and other expenses (Note 15)</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Merger transaction and integration costs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costs and expenses</w:t>
      </w:r>
    </w:p>
    <w:p>
      <w:pPr>
        <w:spacing w:after="0" w:line="39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from equity affiliates (Note 10)</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interest expense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before income taxes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Provision for income taxes (Note 17)</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income attributable to noncontrolling interests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attributable to TechnipFMC plc</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268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6"/>
        </w:trPr>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44"/>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6,347.2</w:t>
            </w:r>
          </w:p>
        </w:tc>
        <w:tc>
          <w:tcPr>
            <w:tcW w:w="120" w:type="dxa"/>
            <w:vAlign w:val="bottom"/>
          </w:tcPr>
          <w:p>
            <w:pPr>
              <w:spacing w:after="0"/>
              <w:rPr>
                <w:sz w:val="21"/>
                <w:szCs w:val="21"/>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6,086.1</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261.1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824"/>
        </w:trPr>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5,157.1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4,946.8</w:t>
            </w:r>
          </w:p>
        </w:tc>
        <w:tc>
          <w:tcPr>
            <w:tcW w:w="12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210.3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621.6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584.5</w:t>
            </w:r>
          </w:p>
        </w:tc>
        <w:tc>
          <w:tcPr>
            <w:tcW w:w="1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71.2</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5,898.8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5,663.5</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540"/>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(329.6)</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(48.2)</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(65.4)</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315.5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(52.8)</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(86.5)</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n/a</w:t>
            </w:r>
          </w:p>
        </w:tc>
      </w:tr>
      <w:tr>
        <w:trPr>
          <w:trHeight w:val="243"/>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-3112135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-2760980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-2417445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-2074545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-1731645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-1388745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-1045845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-702310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-359410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00" w:space="720"/>
            <w:col w:w="580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increased $261.1 million or 4.3% in the first six months of 2019 compared to the prior-year period, primarily as a result of improved project activity. Subsea revenue increased year-over-year with higher project-related activity and increased demand in services. Onshore/Offshore revenue declined as projects progressed towards completion, driven primarily by Yamal LNG, partially offset by an increase in project activity in the Middle East and Asia Pacific regions. Surface Technologies revenue increased primarily as a result of improving order backlog from international markets, primarily in the Asia Pacific and Middle East regions.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Gross profit (revenue less cost of sales) as a percentage of sales slightly increased to 18.8% in the first six months of 2019, from 18.7% in the prior-year period. The improvement in gross profit as a percentage of sales was primarily due to the realization of a lower operating cost structure and strong project execution.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$37.1 million year-over-year, primarily as a result of increased sales activity.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incurred $25.7 million of restructuring charges during the first six months of 2019, primarily related to employee severance.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incurred merger transaction and integration costs of $25.0 million during the first six months of 2019, primarily due to integration activities pertaining to combining the two legacy companies.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76"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six months of 2019, we recognized $29.6 million of net foreign exchange losses, compared with $43.3 million of net foreign exchange loss in the prior 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Net interest expense increased $ 90.5 million in the first six months of 2019 compared to 2018, primarily due to the change in the fair value of the redeemable financial liability. We revalued the mandatorily redeemable financial liability to reflect current expectations about the obligation and recognized a charge of $224.9 million. See Note 19 for further information regarding the fair value measurement assumptions of the mandatorily redeemable financial liability and related changes in its fair value. Net interest expense, excluding the fair value measurement of the mandatorily redeemable financial liability, also includes interest income and expenses, which were lower by $14.1 million on a net basis as compared to the same period in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effective tax rate was 10.3% and 36.1% for the six months ended June 30, 2019 and 2018, respectively. The year-over-year decrease in the effective tax rate was primarily due to recognized tax benefits related to the finalization of previously estimated tax liabilities based on the filing of tax returns in certain jurisdictions and the release of a valuation allowance previously recorded against certain deferred tax assets in Brazil, offset in part by the reduced benefit of losses in jurisdictions with a full valuation allowance, the impact of a nondeductible legal provision and an unfavorable change in earnings mix. In addition, individual tax items, combined with higher profitability in the prior period, had a greater impact on the effective tax rate in the six months ended June 30, 2019 as compared to the same period in 2018.</w:t>
      </w:r>
    </w:p>
    <w:p>
      <w:pPr>
        <w:spacing w:after="0" w:line="15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76"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SEGMENT RESULTS OF OPERATIONS OF TECHNIPFMC PLC THREE MONTHS ENDED JUNE 30, 2019 AND 2018</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6 to our condensed consolidated financial statements of this Quarterly Report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6"/>
        </w:trPr>
        <w:tc>
          <w:tcPr>
            <w:tcW w:w="5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1,508.7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1,217.4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291.3</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264"/>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90"/>
        </w:trPr>
        <w:tc>
          <w:tcPr>
            <w:tcW w:w="5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58"/>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0.1</w:t>
            </w:r>
          </w:p>
        </w:tc>
      </w:tr>
    </w:tbl>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Subsea revenue increased $291.3 million or 23.9% year-over-year, primarily due to higher project-related activity and growth in Subsea services. Integrated (iEPCI™) project activity continues to represent an increasing share of revenue.</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Operating profit increased versus the prior-year quarter primarily due to the achievement of key milestones on projects nearing completion and increased project activity. Additionally, the second quarter of 2019 included $4.5 million of impairment, restructuring and other severance charges which compared favorably to $11.0 million incurred in the second quarter of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6"/>
        </w:trPr>
        <w:tc>
          <w:tcPr>
            <w:tcW w:w="5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1,505.0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1,342.4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162.6</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264"/>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274.0</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171.3</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90"/>
        </w:trPr>
        <w:tc>
          <w:tcPr>
            <w:tcW w:w="5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58"/>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5.4</w:t>
            </w:r>
          </w:p>
        </w:tc>
      </w:tr>
    </w:tbl>
    <w:p>
      <w:pPr>
        <w:spacing w:after="0" w:line="17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Onshore/Offshore revenue increased $162.6 million or 12.1% year-over-year due to increased activity on recent awards in the downstream, petrochemical, and offshore sectors, more than offsetting a reduction in revenue from Yamal LNG as the project nears completion.</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Operating profit increased versus the prior-year quarter, due to incremental profit related to strong execution and a bonus for completion of key milestones on Yamal LNG. Additionally, the second quarter of 2019 included $2.1 million of impairment, restructuring and other severance charges which compared favorably to $9.1 million incurred in the second quarter of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76"/>
        </w:trPr>
        <w:tc>
          <w:tcPr>
            <w:tcW w:w="5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r>
      <w:tr>
        <w:trPr>
          <w:trHeight w:val="256"/>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420.5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401.1</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4.8</w:t>
            </w:r>
          </w:p>
        </w:tc>
      </w:tr>
      <w:tr>
        <w:trPr>
          <w:trHeight w:val="264"/>
        </w:trPr>
        <w:tc>
          <w:tcPr>
            <w:tcW w:w="544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2"/>
                <w:szCs w:val="22"/>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(50.5)</w:t>
            </w:r>
          </w:p>
        </w:tc>
      </w:tr>
      <w:tr>
        <w:trPr>
          <w:trHeight w:val="290"/>
        </w:trPr>
        <w:tc>
          <w:tcPr>
            <w:tcW w:w="5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194"/>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72"/>
        </w:trPr>
        <w:tc>
          <w:tcPr>
            <w:tcW w:w="544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(6.7pts.</w:t>
            </w:r>
          </w:p>
        </w:tc>
      </w:tr>
    </w:tbl>
    <w:p>
      <w:pPr>
        <w:spacing w:after="0" w:line="17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Surface Technologies revenue increased $19.4 million or 4.8% year-over-year, primarily driven by higher wellhead equipment sales globally and frac rental service revenue in North America, partially offset by reduced flowline product sales due to lower completions-related activity in North America.</w:t>
      </w:r>
    </w:p>
    <w:p>
      <w:pPr>
        <w:spacing w:after="0" w:line="14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Operating profit decreased year-over-year, primarily due to the continued decline in completions-related activity and unfavorable product line mix in North America.</w:t>
      </w:r>
    </w:p>
    <w:p>
      <w:pPr>
        <w:spacing w:after="0" w:line="14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Additionally, the second quarter of 2019 included $1.2 million of impairment, restructuring and other severance charges which compared favorably to $4.3 million incurred in the second quarter of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r>
    </w:tbl>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Corporate expense in the second quarter was $138.9 million. This included charges and credits totaling $69.5 million of expense resulting from net legal provisions of $ 55.2 million and $14.3 million of expense primarily related to merger integration. Excluding charges and credits, corporate expense was $69.4 million which included $18.0 million of foreign exchange losses.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7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SEGMENT RESULTS OF OPERATIONS OF TECHNIPFMC PLC SIX MONTHS ENDED JUNE 30, 2019 AND 2018</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6 to our condensed consolidated financial statements of this Quarterly Report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2,694.0</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2,397.6</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296.4</w:t>
            </w: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66"/>
        </w:trPr>
        <w:tc>
          <w:tcPr>
            <w:tcW w:w="558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7"/>
                <w:szCs w:val="17"/>
                <w:color w:val="auto"/>
              </w:rPr>
            </w:pPr>
          </w:p>
        </w:tc>
        <w:tc>
          <w:tcPr>
            <w:tcW w:w="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17"/>
                <w:szCs w:val="1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60"/>
        </w:trPr>
        <w:tc>
          <w:tcPr>
            <w:tcW w:w="55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Subsea revenue increased $296.4 million or 12.4% year-over-year, primarily due to higher project-related activity and growth in Subsea services. Integrated project activity continues to represent an increasing share of revenue.</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Operating profit increased year-over-year, primarily due to the achievement of key milestones on projects nearing completion and increased project activity, partially offset by more competitively priced backlog. Additionally, the first six months of 2019 included $6.8 million impairment, restructuring and other severance charges which compared favorably to $14.1 million incurred in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2,840.1</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2,915.8</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6"/>
        </w:trPr>
        <w:tc>
          <w:tcPr>
            <w:tcW w:w="546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429.7</w:t>
            </w:r>
          </w:p>
        </w:tc>
        <w:tc>
          <w:tcPr>
            <w:tcW w:w="100" w:type="dxa"/>
            <w:vAlign w:val="bottom"/>
          </w:tcPr>
          <w:p>
            <w:pPr>
              <w:spacing w:after="0"/>
              <w:rPr>
                <w:sz w:val="17"/>
                <w:szCs w:val="17"/>
                <w:color w:val="auto"/>
              </w:rPr>
            </w:pPr>
          </w:p>
        </w:tc>
        <w:tc>
          <w:tcPr>
            <w:tcW w:w="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374.2</w:t>
            </w:r>
          </w:p>
        </w:tc>
        <w:tc>
          <w:tcPr>
            <w:tcW w:w="100" w:type="dxa"/>
            <w:vAlign w:val="bottom"/>
          </w:tcPr>
          <w:p>
            <w:pPr>
              <w:spacing w:after="0"/>
              <w:rPr>
                <w:sz w:val="17"/>
                <w:szCs w:val="1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7"/>
                <w:szCs w:val="17"/>
                <w:color w:val="auto"/>
              </w:rPr>
            </w:pPr>
          </w:p>
        </w:tc>
        <w:tc>
          <w:tcPr>
            <w:tcW w:w="1520" w:type="dxa"/>
            <w:vAlign w:val="bottom"/>
            <w:vMerge w:val="restart"/>
          </w:tcPr>
          <w:p>
            <w:pPr>
              <w:jc w:val="right"/>
              <w:ind w:right="18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60"/>
        </w:trPr>
        <w:tc>
          <w:tcPr>
            <w:tcW w:w="54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2.3pts.</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Onshore/Offshore revenue decreased $75.7 million or 2.6% year-over-year as we moved closer to completion on Yamal LNG, partially offset by increased activity on recent awards in the downstream, petrochemical and offshore sectors. Projects awarded in recent quarters are in early stages of completion and will contribute more significantly in subsequent quarters as the projects progress.</w:t>
      </w:r>
    </w:p>
    <w:p>
      <w:pPr>
        <w:spacing w:after="0" w:line="14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profit increased year-over-year, primarily due to strong project execution across many portfolio projects, primarily Yamal LNG. Additionally, the first six months of 2019 included $5.9 million of impairment, restructuring and other severance charges compared to the first six months ended June 30, 2018 favorably impacted by $5.6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Refer to ‘Non-GAAP Measures’ for further information regarding our segment operating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813.1</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772.7</w:t>
            </w: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66"/>
        </w:trPr>
        <w:tc>
          <w:tcPr>
            <w:tcW w:w="546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7"/>
                <w:szCs w:val="17"/>
                <w:color w:val="auto"/>
              </w:rPr>
            </w:pPr>
          </w:p>
        </w:tc>
        <w:tc>
          <w:tcPr>
            <w:tcW w:w="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7"/>
                <w:szCs w:val="17"/>
                <w:color w:val="auto"/>
              </w:rPr>
            </w:pP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60"/>
        </w:trPr>
        <w:tc>
          <w:tcPr>
            <w:tcW w:w="54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(6.2pts.</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Surface Technologies revenue increased $40.4 million or 5.2% year-over-year, primarily driven by higher demand for pressure control equipment outside the Americas. North American revenue declined in the period as a result of lower activity.</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Operating profit decreased year-over-year, primarily due to the continued decline in completions-related activity, one-time charges related to new product introduction and unfavorable product line mix in North America. Operating profit outside the Americas was negatively impacted by delays in shipments of backlog orders now expected to be delivered throughout the remainder of 2019.</w:t>
      </w:r>
    </w:p>
    <w:p>
      <w:pPr>
        <w:spacing w:after="0" w:line="148"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Additionally, the first six months of 2019 included $2.7 million of impairment, restructuring and other severance charges which compared favorably to $6.7 million incurred in the prior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Refer to ‘Non-GAAP Measures’ for further information regarding our segment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Corporate expense in the six months ended June 30, 2019 was $232.5 million. This includes charges and credits totaling $90.5 million of expense resulting from net legal provisions of $55.2 million and $35.3 million of expense primarily related to merger integration. Excluding charges and credits, corporate expense was $142.0 million which included $29.6 million of foreign exchange losses.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14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income, excluding charges and credits, as well as measures derived from it (excluding charges and credits; Income before net interest expense and taxes, excluding charges and credits ("Adjusted Operating profit"); Depreciation and amortization, excluding charges and credits (“Adjusted Depreciation and amortization”); Earnings before net interest expense, income taxes, depreciation and amortization, excluding charges and credits ("Adjusted EBITDA"); and net (debt) cash) are non-GAAP financial measures.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76" w:right="259" w:bottom="1440" w:gutter="0" w:footer="0" w:header="0"/>
        </w:sectPr>
      </w:pPr>
    </w:p>
    <w:bookmarkStart w:id="47" w:name="page48"/>
    <w:bookmarkEnd w:id="47"/>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194945</wp:posOffset>
            </wp:positionV>
            <wp:extent cx="5574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5"/>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80"/>
        </w:trPr>
        <w:tc>
          <w:tcPr>
            <w:tcW w:w="2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June 30, 2019</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40"/>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Income before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expense, income</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expense and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Net interest</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income taxes</w:t>
            </w:r>
          </w:p>
        </w:tc>
        <w:tc>
          <w:tcPr>
            <w:tcW w:w="12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amortization</w:t>
            </w:r>
          </w:p>
        </w:tc>
      </w:tr>
      <w:tr>
        <w:trPr>
          <w:trHeight w:val="178"/>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income taxes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3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372.7</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2"/>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0.5</w:t>
            </w:r>
          </w:p>
        </w:tc>
      </w:tr>
      <w:tr>
        <w:trPr>
          <w:trHeight w:val="16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w:t>
            </w:r>
          </w:p>
        </w:tc>
      </w:tr>
      <w:tr>
        <w:trPr>
          <w:trHeight w:val="156"/>
        </w:trPr>
        <w:tc>
          <w:tcPr>
            <w:tcW w:w="2640" w:type="dxa"/>
            <w:vAlign w:val="bottom"/>
          </w:tcPr>
          <w:p>
            <w:pPr>
              <w:ind w:left="280"/>
              <w:spacing w:after="0"/>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12.9</w:t>
            </w:r>
          </w:p>
        </w:tc>
      </w:tr>
      <w:tr>
        <w:trPr>
          <w:trHeight w:val="278"/>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Legal provision, net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55.2</w:t>
            </w:r>
          </w:p>
        </w:tc>
      </w:tr>
      <w:tr>
        <w:trPr>
          <w:trHeight w:val="264"/>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3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56"/>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Diluted earnings per share attributable to</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56"/>
        </w:trPr>
        <w:tc>
          <w:tcPr>
            <w:tcW w:w="2640" w:type="dxa"/>
            <w:vAlign w:val="bottom"/>
          </w:tcPr>
          <w:p>
            <w:pPr>
              <w:ind w:left="40"/>
              <w:spacing w:after="0"/>
              <w:rPr>
                <w:sz w:val="20"/>
                <w:szCs w:val="20"/>
                <w:color w:val="auto"/>
              </w:rPr>
            </w:pPr>
            <w:r>
              <w:rPr>
                <w:rFonts w:ascii="Arial" w:cs="Arial" w:eastAsia="Arial" w:hAnsi="Arial"/>
                <w:sz w:val="13"/>
                <w:szCs w:val="13"/>
                <w:color w:val="auto"/>
              </w:rPr>
              <w:t>Adjusted diluted earnings per share</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640" w:type="dxa"/>
            <w:vAlign w:val="bottom"/>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0.39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438785</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5"/>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80"/>
        </w:trPr>
        <w:tc>
          <w:tcPr>
            <w:tcW w:w="2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June 30, 2018</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40"/>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Income before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expense, income</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expense and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Net interest</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income taxes</w:t>
            </w:r>
          </w:p>
        </w:tc>
        <w:tc>
          <w:tcPr>
            <w:tcW w:w="12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amortization</w:t>
            </w:r>
          </w:p>
        </w:tc>
      </w:tr>
      <w:tr>
        <w:trPr>
          <w:trHeight w:val="178"/>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income taxes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3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364.4</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2"/>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9.5</w:t>
            </w:r>
          </w:p>
        </w:tc>
      </w:tr>
      <w:tr>
        <w:trPr>
          <w:trHeight w:val="16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r>
      <w:tr>
        <w:trPr>
          <w:trHeight w:val="156"/>
        </w:trPr>
        <w:tc>
          <w:tcPr>
            <w:tcW w:w="2640" w:type="dxa"/>
            <w:vAlign w:val="bottom"/>
          </w:tcPr>
          <w:p>
            <w:pPr>
              <w:ind w:left="280"/>
              <w:spacing w:after="0"/>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9.0</w:t>
            </w:r>
          </w:p>
        </w:tc>
      </w:tr>
      <w:tr>
        <w:trPr>
          <w:trHeight w:val="272"/>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282"/>
        </w:trPr>
        <w:tc>
          <w:tcPr>
            <w:tcW w:w="2640" w:type="dxa"/>
            <w:vAlign w:val="bottom"/>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131.8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73.7</w:t>
            </w:r>
          </w:p>
        </w:tc>
        <w:tc>
          <w:tcPr>
            <w:tcW w:w="360" w:type="dxa"/>
            <w:vAlign w:val="bottom"/>
            <w:gridSpan w:val="3"/>
          </w:tcPr>
          <w:p>
            <w:pPr>
              <w:ind w:left="24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260.8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377.2</w:t>
            </w:r>
          </w:p>
        </w:tc>
      </w:tr>
      <w:tr>
        <w:trPr>
          <w:trHeight w:val="252"/>
        </w:trPr>
        <w:tc>
          <w:tcPr>
            <w:tcW w:w="26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r>
      <w:tr>
        <w:trPr>
          <w:trHeight w:val="156"/>
        </w:trPr>
        <w:tc>
          <w:tcPr>
            <w:tcW w:w="2640" w:type="dxa"/>
            <w:vAlign w:val="bottom"/>
          </w:tcPr>
          <w:p>
            <w:pPr>
              <w:ind w:left="40"/>
              <w:spacing w:after="0"/>
              <w:rPr>
                <w:sz w:val="20"/>
                <w:szCs w:val="20"/>
                <w:color w:val="auto"/>
              </w:rPr>
            </w:pPr>
            <w:r>
              <w:rPr>
                <w:rFonts w:ascii="Arial" w:cs="Arial" w:eastAsia="Arial" w:hAnsi="Arial"/>
                <w:sz w:val="13"/>
                <w:szCs w:val="13"/>
                <w:color w:val="auto"/>
              </w:rPr>
              <w:t>Diluted earnings per share attributable to</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40" w:type="dxa"/>
            <w:vAlign w:val="bottom"/>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diluted earnings per share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6" w:right="239" w:bottom="1440" w:gutter="0" w:footer="0" w:header="0"/>
        </w:sectPr>
      </w:pPr>
    </w:p>
    <w:bookmarkStart w:id="48" w:name="page49"/>
    <w:bookmarkEnd w:id="48"/>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194945</wp:posOffset>
            </wp:positionV>
            <wp:extent cx="5574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80"/>
        </w:trPr>
        <w:tc>
          <w:tcPr>
            <w:tcW w:w="2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June 30, 2019</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40"/>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Income before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expense, income</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expense and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Net interest</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income taxes</w:t>
            </w:r>
          </w:p>
        </w:tc>
        <w:tc>
          <w:tcPr>
            <w:tcW w:w="12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amortization</w:t>
            </w:r>
          </w:p>
        </w:tc>
      </w:tr>
      <w:tr>
        <w:trPr>
          <w:trHeight w:val="178"/>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9"/>
              </w:rPr>
              <w:t>income taxes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614.6</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2"/>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w:t>
            </w:r>
          </w:p>
        </w:tc>
      </w:tr>
      <w:tr>
        <w:trPr>
          <w:trHeight w:val="16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24.5</w:t>
            </w:r>
          </w:p>
        </w:tc>
      </w:tr>
      <w:tr>
        <w:trPr>
          <w:trHeight w:val="156"/>
        </w:trPr>
        <w:tc>
          <w:tcPr>
            <w:tcW w:w="2640" w:type="dxa"/>
            <w:vAlign w:val="bottom"/>
          </w:tcPr>
          <w:p>
            <w:pPr>
              <w:ind w:left="280"/>
              <w:spacing w:after="0"/>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25.0</w:t>
            </w:r>
          </w:p>
        </w:tc>
      </w:tr>
      <w:tr>
        <w:trPr>
          <w:trHeight w:val="278"/>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Reorganization</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r>
      <w:tr>
        <w:trPr>
          <w:trHeight w:val="262"/>
        </w:trPr>
        <w:tc>
          <w:tcPr>
            <w:tcW w:w="2640" w:type="dxa"/>
            <w:vAlign w:val="bottom"/>
          </w:tcPr>
          <w:p>
            <w:pPr>
              <w:ind w:left="280"/>
              <w:spacing w:after="0"/>
              <w:rPr>
                <w:sz w:val="20"/>
                <w:szCs w:val="20"/>
                <w:color w:val="auto"/>
              </w:rPr>
            </w:pPr>
            <w:r>
              <w:rPr>
                <w:rFonts w:ascii="Arial" w:cs="Arial" w:eastAsia="Arial" w:hAnsi="Arial"/>
                <w:sz w:val="13"/>
                <w:szCs w:val="13"/>
                <w:color w:val="auto"/>
              </w:rPr>
              <w:t>Legal provision, net</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55.2</w:t>
            </w:r>
          </w:p>
        </w:tc>
      </w:tr>
      <w:tr>
        <w:trPr>
          <w:trHeight w:val="278"/>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745.8</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56"/>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Diluted earnings per share attributable to</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56"/>
        </w:trPr>
        <w:tc>
          <w:tcPr>
            <w:tcW w:w="2640" w:type="dxa"/>
            <w:vAlign w:val="bottom"/>
          </w:tcPr>
          <w:p>
            <w:pPr>
              <w:ind w:left="40"/>
              <w:spacing w:after="0"/>
              <w:rPr>
                <w:sz w:val="20"/>
                <w:szCs w:val="20"/>
                <w:color w:val="auto"/>
              </w:rPr>
            </w:pPr>
            <w:r>
              <w:rPr>
                <w:rFonts w:ascii="Arial" w:cs="Arial" w:eastAsia="Arial" w:hAnsi="Arial"/>
                <w:sz w:val="13"/>
                <w:szCs w:val="13"/>
                <w:color w:val="auto"/>
              </w:rPr>
              <w:t>Adjusted diluted earnings per share</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640" w:type="dxa"/>
            <w:vAlign w:val="bottom"/>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0.45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438785</wp:posOffset>
            </wp:positionV>
            <wp:extent cx="5574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80"/>
        </w:trPr>
        <w:tc>
          <w:tcPr>
            <w:tcW w:w="2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June 30, 2018</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40"/>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Income before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expense, income</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Net income</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expense and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Net interest</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income taxes</w:t>
            </w:r>
          </w:p>
        </w:tc>
        <w:tc>
          <w:tcPr>
            <w:tcW w:w="12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amortization</w:t>
            </w:r>
          </w:p>
        </w:tc>
      </w:tr>
      <w:tr>
        <w:trPr>
          <w:trHeight w:val="178"/>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9"/>
              </w:rPr>
              <w:t>income taxes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114.0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724.3</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2"/>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12.5</w:t>
            </w:r>
          </w:p>
        </w:tc>
      </w:tr>
      <w:tr>
        <w:trPr>
          <w:trHeight w:val="16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w:t>
            </w:r>
          </w:p>
        </w:tc>
      </w:tr>
      <w:tr>
        <w:trPr>
          <w:trHeight w:val="156"/>
        </w:trPr>
        <w:tc>
          <w:tcPr>
            <w:tcW w:w="2640" w:type="dxa"/>
            <w:vAlign w:val="bottom"/>
          </w:tcPr>
          <w:p>
            <w:pPr>
              <w:ind w:left="280"/>
              <w:spacing w:after="0"/>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14.6</w:t>
            </w:r>
          </w:p>
        </w:tc>
      </w:tr>
      <w:tr>
        <w:trPr>
          <w:trHeight w:val="272"/>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35.2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46.0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(44.0)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r>
      <w:tr>
        <w:trPr>
          <w:trHeight w:val="282"/>
        </w:trPr>
        <w:tc>
          <w:tcPr>
            <w:tcW w:w="2640" w:type="dxa"/>
            <w:vAlign w:val="bottom"/>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263.3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135.0</w:t>
            </w:r>
          </w:p>
        </w:tc>
        <w:tc>
          <w:tcPr>
            <w:tcW w:w="2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138.3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537.3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226.5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763.8</w:t>
            </w:r>
          </w:p>
        </w:tc>
      </w:tr>
      <w:tr>
        <w:trPr>
          <w:trHeight w:val="211"/>
        </w:trPr>
        <w:tc>
          <w:tcPr>
            <w:tcW w:w="2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156"/>
        </w:trPr>
        <w:tc>
          <w:tcPr>
            <w:tcW w:w="2640" w:type="dxa"/>
            <w:vAlign w:val="bottom"/>
          </w:tcPr>
          <w:p>
            <w:pPr>
              <w:ind w:left="40"/>
              <w:spacing w:after="0"/>
              <w:rPr>
                <w:sz w:val="20"/>
                <w:szCs w:val="20"/>
                <w:color w:val="auto"/>
              </w:rPr>
            </w:pPr>
            <w:r>
              <w:rPr>
                <w:rFonts w:ascii="Arial" w:cs="Arial" w:eastAsia="Arial" w:hAnsi="Arial"/>
                <w:sz w:val="13"/>
                <w:szCs w:val="13"/>
                <w:color w:val="auto"/>
              </w:rPr>
              <w:t>Diluted earnings per share attributable to</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40" w:type="dxa"/>
            <w:vAlign w:val="bottom"/>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0.43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diluted earnings per share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0.57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76" w:right="239" w:bottom="1440" w:gutter="0" w:footer="0" w:header="0"/>
        </w:sectPr>
      </w:pPr>
    </w:p>
    <w:bookmarkStart w:id="49" w:name="page50"/>
    <w:bookmarkEnd w:id="49"/>
    <w:p>
      <w:pPr>
        <w:ind w:left="280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194945</wp:posOffset>
            </wp:positionV>
            <wp:extent cx="3970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6"/>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40"/>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09"/>
              <w:spacing w:after="0" w:line="140" w:lineRule="exact"/>
              <w:rPr>
                <w:sz w:val="20"/>
                <w:szCs w:val="20"/>
                <w:color w:val="auto"/>
              </w:rPr>
            </w:pPr>
            <w:r>
              <w:rPr>
                <w:rFonts w:ascii="Arial" w:cs="Arial" w:eastAsia="Arial" w:hAnsi="Arial"/>
                <w:sz w:val="13"/>
                <w:szCs w:val="13"/>
                <w:b w:val="1"/>
                <w:bCs w:val="1"/>
                <w:color w:val="auto"/>
              </w:rPr>
              <w:t>Onshore/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20"/>
              <w:spacing w:after="0" w:line="140" w:lineRule="exact"/>
              <w:rPr>
                <w:sz w:val="20"/>
                <w:szCs w:val="20"/>
                <w:color w:val="auto"/>
              </w:rPr>
            </w:pPr>
            <w:r>
              <w:rPr>
                <w:rFonts w:ascii="Arial" w:cs="Arial" w:eastAsia="Arial" w:hAnsi="Arial"/>
                <w:sz w:val="13"/>
                <w:szCs w:val="13"/>
                <w:b w:val="1"/>
                <w:bCs w:val="1"/>
                <w:color w:val="auto"/>
                <w:w w:val="96"/>
              </w:rPr>
              <w:t>Surface</w:t>
            </w:r>
          </w:p>
        </w:tc>
        <w:tc>
          <w:tcPr>
            <w:tcW w:w="100" w:type="dxa"/>
            <w:vAlign w:val="bottom"/>
          </w:tcPr>
          <w:p>
            <w:pPr>
              <w:spacing w:after="0"/>
              <w:rPr>
                <w:sz w:val="12"/>
                <w:szCs w:val="12"/>
                <w:color w:val="auto"/>
              </w:rPr>
            </w:pPr>
          </w:p>
        </w:tc>
        <w:tc>
          <w:tcPr>
            <w:tcW w:w="11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Corporate and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8"/>
        </w:trPr>
        <w:tc>
          <w:tcPr>
            <w:tcW w:w="5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Offshore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Total</w:t>
            </w: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1,508.7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1,505.0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420.5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3,434.2</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274.0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255.2</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0.5</w:t>
            </w: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8.7</w:t>
            </w: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2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12.9</w:t>
            </w: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Legal provision, net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55.2</w:t>
            </w: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20" w:type="dxa"/>
            <w:vAlign w:val="bottom"/>
          </w:tcPr>
          <w:p>
            <w:pPr>
              <w:spacing w:after="0"/>
              <w:rPr>
                <w:sz w:val="22"/>
                <w:szCs w:val="22"/>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8.5</w:t>
            </w:r>
          </w:p>
        </w:tc>
      </w:tr>
      <w:tr>
        <w:trPr>
          <w:trHeight w:val="256"/>
        </w:trPr>
        <w:tc>
          <w:tcPr>
            <w:tcW w:w="51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2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13.0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2.1</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69.5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85.8</w:t>
            </w:r>
          </w:p>
        </w:tc>
      </w:tr>
      <w:tr>
        <w:trPr>
          <w:trHeight w:val="284"/>
        </w:trPr>
        <w:tc>
          <w:tcPr>
            <w:tcW w:w="5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44"/>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276.1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341.0</w:t>
            </w:r>
          </w:p>
        </w:tc>
      </w:tr>
      <w:tr>
        <w:trPr>
          <w:trHeight w:val="283"/>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109.0</w:t>
            </w:r>
          </w:p>
        </w:tc>
      </w:tr>
      <w:tr>
        <w:trPr>
          <w:trHeight w:val="284"/>
        </w:trPr>
        <w:tc>
          <w:tcPr>
            <w:tcW w:w="5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3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281.9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450.0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reported</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60" w:top="576" w:right="259" w:bottom="1440" w:gutter="0" w:footer="0" w:header="0"/>
        </w:sectPr>
      </w:pPr>
    </w:p>
    <w:bookmarkStart w:id="50" w:name="page51"/>
    <w:bookmarkEnd w:id="50"/>
    <w:p>
      <w:pPr>
        <w:ind w:left="280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194945</wp:posOffset>
            </wp:positionV>
            <wp:extent cx="3970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6"/>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40"/>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09"/>
              <w:spacing w:after="0" w:line="140" w:lineRule="exact"/>
              <w:rPr>
                <w:sz w:val="20"/>
                <w:szCs w:val="20"/>
                <w:color w:val="auto"/>
              </w:rPr>
            </w:pPr>
            <w:r>
              <w:rPr>
                <w:rFonts w:ascii="Arial" w:cs="Arial" w:eastAsia="Arial" w:hAnsi="Arial"/>
                <w:sz w:val="13"/>
                <w:szCs w:val="13"/>
                <w:b w:val="1"/>
                <w:bCs w:val="1"/>
                <w:color w:val="auto"/>
              </w:rPr>
              <w:t>Onshore/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20"/>
              <w:spacing w:after="0" w:line="140" w:lineRule="exact"/>
              <w:rPr>
                <w:sz w:val="20"/>
                <w:szCs w:val="20"/>
                <w:color w:val="auto"/>
              </w:rPr>
            </w:pPr>
            <w:r>
              <w:rPr>
                <w:rFonts w:ascii="Arial" w:cs="Arial" w:eastAsia="Arial" w:hAnsi="Arial"/>
                <w:sz w:val="13"/>
                <w:szCs w:val="13"/>
                <w:b w:val="1"/>
                <w:bCs w:val="1"/>
                <w:color w:val="auto"/>
                <w:w w:val="96"/>
              </w:rPr>
              <w:t>Surface</w:t>
            </w:r>
          </w:p>
        </w:tc>
        <w:tc>
          <w:tcPr>
            <w:tcW w:w="100" w:type="dxa"/>
            <w:vAlign w:val="bottom"/>
          </w:tcPr>
          <w:p>
            <w:pPr>
              <w:spacing w:after="0"/>
              <w:rPr>
                <w:sz w:val="12"/>
                <w:szCs w:val="12"/>
                <w:color w:val="auto"/>
              </w:rPr>
            </w:pPr>
          </w:p>
        </w:tc>
        <w:tc>
          <w:tcPr>
            <w:tcW w:w="11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Corporate and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8"/>
        </w:trPr>
        <w:tc>
          <w:tcPr>
            <w:tcW w:w="5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Offshore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Total</w:t>
            </w: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1,217.4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1,342.4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401.1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2,960.9</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171.3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225.7</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22"/>
                <w:szCs w:val="22"/>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9.5</w:t>
            </w: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w:t>
            </w: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2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9.0</w:t>
            </w: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non-amortization related</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w:t>
            </w:r>
          </w:p>
        </w:tc>
      </w:tr>
      <w:tr>
        <w:trPr>
          <w:trHeight w:val="264"/>
        </w:trPr>
        <w:tc>
          <w:tcPr>
            <w:tcW w:w="51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22.4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22.3</w:t>
            </w:r>
          </w:p>
        </w:tc>
      </w:tr>
      <w:tr>
        <w:trPr>
          <w:trHeight w:val="256"/>
        </w:trPr>
        <w:tc>
          <w:tcPr>
            <w:tcW w:w="51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35.1</w:t>
            </w:r>
          </w:p>
        </w:tc>
      </w:tr>
      <w:tr>
        <w:trPr>
          <w:trHeight w:val="284"/>
        </w:trPr>
        <w:tc>
          <w:tcPr>
            <w:tcW w:w="5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44"/>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162.2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260.8</w:t>
            </w:r>
          </w:p>
        </w:tc>
      </w:tr>
      <w:tr>
        <w:trPr>
          <w:trHeight w:val="283"/>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116.4</w:t>
            </w:r>
          </w:p>
        </w:tc>
      </w:tr>
      <w:tr>
        <w:trPr>
          <w:trHeight w:val="284"/>
        </w:trPr>
        <w:tc>
          <w:tcPr>
            <w:tcW w:w="5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3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170.9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377.2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reported</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60" w:top="576" w:right="259" w:bottom="1440" w:gutter="0" w:footer="0" w:header="0"/>
        </w:sectPr>
      </w:pPr>
    </w:p>
    <w:bookmarkStart w:id="51" w:name="page52"/>
    <w:bookmarkEnd w:id="51"/>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194945</wp:posOffset>
            </wp:positionV>
            <wp:extent cx="3970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6"/>
        </w:trPr>
        <w:tc>
          <w:tcPr>
            <w:tcW w:w="5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40"/>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49"/>
              <w:spacing w:after="0" w:line="140" w:lineRule="exact"/>
              <w:rPr>
                <w:sz w:val="20"/>
                <w:szCs w:val="20"/>
                <w:color w:val="auto"/>
              </w:rPr>
            </w:pPr>
            <w:r>
              <w:rPr>
                <w:rFonts w:ascii="Arial" w:cs="Arial" w:eastAsia="Arial" w:hAnsi="Arial"/>
                <w:sz w:val="13"/>
                <w:szCs w:val="13"/>
                <w:b w:val="1"/>
                <w:bCs w:val="1"/>
                <w:color w:val="auto"/>
              </w:rPr>
              <w:t>Onshore/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6"/>
              </w:rPr>
              <w:t>Surface</w:t>
            </w:r>
          </w:p>
        </w:tc>
        <w:tc>
          <w:tcPr>
            <w:tcW w:w="120" w:type="dxa"/>
            <w:vAlign w:val="bottom"/>
          </w:tcPr>
          <w:p>
            <w:pPr>
              <w:spacing w:after="0"/>
              <w:rPr>
                <w:sz w:val="12"/>
                <w:szCs w:val="12"/>
                <w:color w:val="auto"/>
              </w:rPr>
            </w:pPr>
          </w:p>
        </w:tc>
        <w:tc>
          <w:tcPr>
            <w:tcW w:w="11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Corporate and</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8"/>
        </w:trPr>
        <w:tc>
          <w:tcPr>
            <w:tcW w:w="5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Offshore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Total</w:t>
            </w: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2,694.0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2,840.1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813.1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6,347.2</w:t>
            </w: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429.7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377.7</w:t>
            </w: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22"/>
                <w:szCs w:val="22"/>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w:t>
            </w: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24.5</w:t>
            </w: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25.0</w:t>
            </w: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Reorganization</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25.3</w:t>
            </w: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Legal provision, net</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55.2</w:t>
            </w:r>
          </w:p>
        </w:tc>
      </w:tr>
      <w:tr>
        <w:trPr>
          <w:trHeight w:val="270"/>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17.0</w:t>
            </w:r>
          </w:p>
        </w:tc>
      </w:tr>
      <w:tr>
        <w:trPr>
          <w:trHeight w:val="250"/>
        </w:trPr>
        <w:tc>
          <w:tcPr>
            <w:tcW w:w="5140" w:type="dxa"/>
            <w:vAlign w:val="bottom"/>
          </w:tcPr>
          <w:p>
            <w:pPr>
              <w:ind w:left="50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148.2</w:t>
            </w:r>
          </w:p>
        </w:tc>
      </w:tr>
      <w:tr>
        <w:trPr>
          <w:trHeight w:val="290"/>
        </w:trPr>
        <w:tc>
          <w:tcPr>
            <w:tcW w:w="51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4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168.3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460.9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525.9</w:t>
            </w:r>
          </w:p>
        </w:tc>
      </w:tr>
      <w:tr>
        <w:trPr>
          <w:trHeight w:val="283"/>
        </w:trPr>
        <w:tc>
          <w:tcPr>
            <w:tcW w:w="5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22"/>
                <w:szCs w:val="22"/>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157.6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219.9</w:t>
            </w:r>
          </w:p>
        </w:tc>
      </w:tr>
      <w:tr>
        <w:trPr>
          <w:trHeight w:val="290"/>
        </w:trPr>
        <w:tc>
          <w:tcPr>
            <w:tcW w:w="51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77"/>
        </w:trPr>
        <w:tc>
          <w:tcPr>
            <w:tcW w:w="514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325.9</w:t>
            </w:r>
          </w:p>
        </w:tc>
        <w:tc>
          <w:tcPr>
            <w:tcW w:w="10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476.7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(133.6)</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745.8</w:t>
            </w:r>
          </w:p>
        </w:tc>
      </w:tr>
      <w:tr>
        <w:trPr>
          <w:trHeight w:val="264"/>
        </w:trPr>
        <w:tc>
          <w:tcPr>
            <w:tcW w:w="5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Operating profit margin</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90"/>
        </w:trPr>
        <w:tc>
          <w:tcPr>
            <w:tcW w:w="5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90"/>
        </w:trPr>
        <w:tc>
          <w:tcPr>
            <w:tcW w:w="5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8"/>
        </w:trPr>
        <w:tc>
          <w:tcPr>
            <w:tcW w:w="5140" w:type="dxa"/>
            <w:vAlign w:val="bottom"/>
          </w:tcPr>
          <w:p>
            <w:pPr>
              <w:ind w:left="40"/>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w:t>
            </w: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76" w:right="259" w:bottom="1440" w:gutter="0" w:footer="0" w:header="0"/>
        </w:sectPr>
      </w:pPr>
    </w:p>
    <w:bookmarkStart w:id="52" w:name="page53"/>
    <w:bookmarkEnd w:id="52"/>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194945</wp:posOffset>
            </wp:positionV>
            <wp:extent cx="3970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6"/>
        </w:trPr>
        <w:tc>
          <w:tcPr>
            <w:tcW w:w="5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40"/>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49"/>
              <w:spacing w:after="0" w:line="140" w:lineRule="exact"/>
              <w:rPr>
                <w:sz w:val="20"/>
                <w:szCs w:val="20"/>
                <w:color w:val="auto"/>
              </w:rPr>
            </w:pPr>
            <w:r>
              <w:rPr>
                <w:rFonts w:ascii="Arial" w:cs="Arial" w:eastAsia="Arial" w:hAnsi="Arial"/>
                <w:sz w:val="13"/>
                <w:szCs w:val="13"/>
                <w:b w:val="1"/>
                <w:bCs w:val="1"/>
                <w:color w:val="auto"/>
              </w:rPr>
              <w:t>Onshore/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6"/>
              </w:rPr>
              <w:t>Surface</w:t>
            </w:r>
          </w:p>
        </w:tc>
        <w:tc>
          <w:tcPr>
            <w:tcW w:w="120" w:type="dxa"/>
            <w:vAlign w:val="bottom"/>
          </w:tcPr>
          <w:p>
            <w:pPr>
              <w:spacing w:after="0"/>
              <w:rPr>
                <w:sz w:val="12"/>
                <w:szCs w:val="12"/>
                <w:color w:val="auto"/>
              </w:rPr>
            </w:pPr>
          </w:p>
        </w:tc>
        <w:tc>
          <w:tcPr>
            <w:tcW w:w="11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Corporate and</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8"/>
        </w:trPr>
        <w:tc>
          <w:tcPr>
            <w:tcW w:w="5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Offshore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Total</w:t>
            </w: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2,397.6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2,915.8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772.7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6,086.1</w:t>
            </w: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374.2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453.8</w:t>
            </w: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22"/>
                <w:szCs w:val="22"/>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12.5</w:t>
            </w: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10.4</w:t>
            </w: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14.6</w:t>
            </w: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non-amortization related</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2.0</w:t>
            </w: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40" w:type="dxa"/>
            <w:vAlign w:val="bottom"/>
          </w:tcPr>
          <w:p>
            <w:pPr>
              <w:spacing w:after="0"/>
              <w:rPr>
                <w:sz w:val="22"/>
                <w:szCs w:val="22"/>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44.0</w:t>
            </w:r>
          </w:p>
        </w:tc>
      </w:tr>
      <w:tr>
        <w:trPr>
          <w:trHeight w:val="256"/>
        </w:trPr>
        <w:tc>
          <w:tcPr>
            <w:tcW w:w="51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55.8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11.2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22.1</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83.5</w:t>
            </w:r>
          </w:p>
        </w:tc>
      </w:tr>
      <w:tr>
        <w:trPr>
          <w:trHeight w:val="284"/>
        </w:trPr>
        <w:tc>
          <w:tcPr>
            <w:tcW w:w="5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44"/>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368.6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537.3</w:t>
            </w:r>
          </w:p>
        </w:tc>
      </w:tr>
      <w:tr>
        <w:trPr>
          <w:trHeight w:val="283"/>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226.5</w:t>
            </w:r>
          </w:p>
        </w:tc>
      </w:tr>
      <w:tr>
        <w:trPr>
          <w:trHeight w:val="284"/>
        </w:trPr>
        <w:tc>
          <w:tcPr>
            <w:tcW w:w="5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37"/>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363.2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385.9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763.8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76"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58"/>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22"/>
                <w:szCs w:val="22"/>
                <w:color w:val="auto"/>
              </w:rPr>
            </w:pPr>
          </w:p>
        </w:tc>
        <w:tc>
          <w:tcPr>
            <w:tcW w:w="2520" w:type="dxa"/>
            <w:vAlign w:val="bottom"/>
            <w:gridSpan w:val="4"/>
          </w:tcPr>
          <w:p>
            <w:pPr>
              <w:jc w:val="center"/>
              <w:ind w:right="4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2,632.7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1,516.2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5,310.4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2,744.0</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8,131.2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2,300.8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11,270.0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4,150.4</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415.7</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414.7</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783.6</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824.3</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inbound orders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11,179.6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4,231.7</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17,364.0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7,718.7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 See</w:t>
      </w:r>
      <w:r>
        <w:rPr>
          <w:rFonts w:ascii="Arial" w:cs="Arial" w:eastAsia="Arial" w:hAnsi="Arial"/>
          <w:sz w:val="18"/>
          <w:szCs w:val="18"/>
          <w:i w:val="1"/>
          <w:iCs w:val="1"/>
          <w:color w:val="auto"/>
        </w:rPr>
        <w:t xml:space="preserve"> “Transaction Price Allocated to the Remaining Unsatisfied Performance Obligations” </w:t>
      </w:r>
      <w:r>
        <w:rPr>
          <w:rFonts w:ascii="Arial" w:cs="Arial" w:eastAsia="Arial" w:hAnsi="Arial"/>
          <w:sz w:val="18"/>
          <w:szCs w:val="18"/>
          <w:color w:val="auto"/>
        </w:rPr>
        <w:t>Note 5 to our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Quarterly Report for more information on order backlog.</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Order Backlog</w:t>
            </w:r>
          </w:p>
        </w:tc>
      </w:tr>
      <w:tr>
        <w:trPr>
          <w:trHeight w:val="175"/>
        </w:trPr>
        <w:tc>
          <w:tcPr>
            <w:tcW w:w="8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5,999.6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16,608.3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8,090.5</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426.6</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469.9</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25,781.9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14,560.0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June 30, 2019 increased by $2.7 billion compared to December 31, 2018. Subsea backlog of $8.7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at June 30, 2019 was composed of various subsea projects, including Anadarko Golfinho; Petrobras pipelay support vessels and Mero I; Eni Coral and Merakes; Lundin Solveig and Rolvsnes; Equinor Johan Sverdrup Phase 2; Neptune Cara &amp; Gioa; Energean Karish; Reliance MJ1; ConocoPhillips Tor II; BP Thunderhorse South Extension 2; and ExxonMobil Liza.</w:t>
      </w:r>
    </w:p>
    <w:p>
      <w:pPr>
        <w:spacing w:after="0" w:line="12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Onshore/Offshore order backlog at June 30, 2019 increased by $8.5 billion compared to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Onshore/Offshore backlog of $16.6 billion was composed of various projects, including Arctic LNG 2, Yamal LNG; Midor refinery expansion; BP Tortue FPSO; ExxonMobil Beaumont refinery expansion; Long Son Petrochemicals; Energean Karish; HURL fertilizer plants; Neste bio-diesel expansion; and HPCL Visakh refinery.</w:t>
      </w:r>
    </w:p>
    <w:p>
      <w:pPr>
        <w:spacing w:after="0" w:line="12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June 30, 2019 decreased by $43.3 million compared to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Given the short-cycle nature of the business, most orders are quickly converted into sales revenue; longer contracts are typically converted within twelve months.</w:t>
      </w:r>
    </w:p>
    <w:p>
      <w:pPr>
        <w:spacing w:after="0" w:line="122"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Non-consolidated</w:t>
            </w:r>
          </w:p>
        </w:tc>
      </w:tr>
      <w:tr>
        <w:trPr>
          <w:trHeight w:val="196"/>
        </w:trPr>
        <w:tc>
          <w:tcPr>
            <w:tcW w:w="9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backlog</w:t>
            </w:r>
          </w:p>
        </w:tc>
      </w:tr>
      <w:tr>
        <w:trPr>
          <w:trHeight w:val="175"/>
        </w:trPr>
        <w:tc>
          <w:tcPr>
            <w:tcW w:w="9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rPr>
              <w:t>June 30,</w:t>
            </w:r>
          </w:p>
        </w:tc>
      </w:t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2019</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873.8</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2,825.4</w:t>
            </w: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3,699.2</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globally and in many operating jurisdictions to best meet the liquidity needs of our global operations. Under current U.S. law, as amended by the Tax Cuts and Jobs Act, signed into law on December 22, 2017, any repatriation to the United States in the form of a dividend would generally be eligible for a 100% dividend received deduction and therefore would not be subject to U.S. federal income tax.</w:t>
      </w:r>
    </w:p>
    <w:p>
      <w:pPr>
        <w:spacing w:after="0" w:line="15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4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5,540.0</w:t>
            </w: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portion</w:t>
            </w: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(3,701.1)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(4,124.3)</w:t>
            </w:r>
          </w:p>
        </w:tc>
      </w:tr>
      <w:tr>
        <w:trPr>
          <w:trHeight w:val="237"/>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Net cash</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1,348.3</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generated $195.5 million of cash from operating activities during the six months ended June 30, 2019 as compared to $485.2 million cash used by operating activities during the same period in 2018. The change was primarily due to a significant decrease in trade payables during the six months ended June 30, 2018.</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Investing activities consumed $287.5 million and $235.7 million of cash during the six months ended June 30, 2019 and 2018, respectively. The increase in cash consumed by investing activities was primarily due to increase in capital expenditures.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Financing activities used $828.5 million and $405.9 million of cash during the six months ended June 30, 2019 and 2018, respectively. The increase in cash used by financing activities was primarily due to repayments of commercial papers and settlements of mandatorily redeemable financial liability in the first half of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Facility - </w:t>
      </w:r>
      <w:r>
        <w:rPr>
          <w:rFonts w:ascii="Arial" w:cs="Arial" w:eastAsia="Arial" w:hAnsi="Arial"/>
          <w:sz w:val="18"/>
          <w:szCs w:val="18"/>
          <w:color w:val="auto"/>
        </w:rPr>
        <w:t>The following is a summary of our revolving credit facility at June 30, 2019:</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Commercial</w:t>
            </w:r>
          </w:p>
        </w:tc>
        <w:tc>
          <w:tcPr>
            <w:tcW w:w="28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Letters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Paper</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of</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Unused</w:t>
            </w: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center"/>
              <w:ind w:left="18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(a)</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Credit</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Capacity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Five-year 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1,068.8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r>
    </w:tbl>
    <w:p>
      <w:pPr>
        <w:spacing w:after="0" w:line="167" w:lineRule="exact"/>
        <w:rPr>
          <w:sz w:val="20"/>
          <w:szCs w:val="20"/>
          <w:color w:val="auto"/>
        </w:rPr>
      </w:pPr>
    </w:p>
    <w:p>
      <w:pPr>
        <w:ind w:left="340" w:right="500" w:hanging="332"/>
        <w:spacing w:after="0" w:line="258"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$1,431.2 million of commercial paper issued under our facility at June 30, 2019. As we had both the ability and intent to refinance these obligations on a long-term basis, our commercial paper borrowings were classified as long-term debt in the accompanying condensed consolidated balance sheets at June 30, 2019.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7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As of June 30, 2019, we were in compliance with all restrictive covenants under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our condensed consolidated financial statements of this Quarterly Report for more information related to our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50"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Additional information about credit risk is incorporated herein by reference to Note 19 to our condensed consolidated financial statements of this Quarterly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9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Historically, we have generated our liquidity and capital resources primarily through operations and, when needed, through our credit facility. We have $1,068.8 million of capacity available under our revolving credit facility that we expect to utilize if working capital needs temporarily increase. The volatility in credit, equity and commodity markets creates some uncertainty for our businesses.</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project spending approximately $350.0 million in 2019 for capital expenditures. Projected capital expenditures for 2019 do not include any contingent capital that may be needed to respond to a contract award and exclude $80.0 million in spending in the first quarter related to the purchase of a deepwater dive support vessel, Deep Discoverer, that was subsequently funded through a sale-leaseback transaction.</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December 2018, our Board of Directors authorized an extension of our share repurchase program for $300.0 million for the purchase of ordinary shares. Additionally, on July 23, 2019, our Board of Directors authorized and declared a quarterly cash dividend of $0.13 per ordinary share payable on or shortly after September 4, 2019.</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Refer to our Annual Report on Form 10-K for the year ended December 31, 2018 for a discussion of our critical accounting estimates. During the six months ended June 30, 2019, there were no changes to our identified critical accounting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impact on our operating profit a result of changes in contract estimates related to projects that were in progress at the prior year end is presented below.</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operating profit was positively impacted by approximately $275.1 million and $432.3 million for the three and six months ended June 30, 2019, respectively, comprised of $147.0 million and $128.1 million for the three months ended and $256.9 million and $175.4 million for the six months ended in our Onshore/Offshore and Subsea segments, respectively.</w:t>
      </w:r>
    </w:p>
    <w:p>
      <w:pPr>
        <w:spacing w:after="0" w:line="14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operating profit was positively impacted by approximately $ 107.4 million and $291.2 million for the three and six months ended June 30, 2018, respectively, comprised of $96.8 million and $10.6 million for the three months ended and $223.3 million and $67.9 million for the six months ended in our Onshore/Offshore and Subsea segments,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contract estimates are attributed to better than expected performance throughout our execution of our projects.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59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U.S. Securities and Exchange Commission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have reached an agreement in principle with the SEC Staff, subject to final SEC approval.</w:t>
      </w:r>
    </w:p>
    <w:p>
      <w:pPr>
        <w:spacing w:after="0" w:line="171" w:lineRule="exact"/>
        <w:rPr>
          <w:sz w:val="20"/>
          <w:szCs w:val="20"/>
          <w:color w:val="auto"/>
        </w:rPr>
      </w:pPr>
    </w:p>
    <w:p>
      <w:pPr>
        <w:jc w:val="both"/>
        <w:ind w:right="66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TechnipFMC, see Part II, Item 7A, “Quantitative and Qualitative Disclosures About Market Risk,” in our Annual Report on Form 10-K for the year ended December 31, 2018. Our exposure to market risk has not changed materially since December 31, 2018.</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76"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June 30, 2019, and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as of June 30, 2019, that our disclosure controls and procedures were not effective because of the material weaknesses in our internal control over financial reporting that were disclosed in our Annual Report on Form 10-K for the year ended December 31, 2018 (“Form 10-K”).</w:t>
      </w:r>
    </w:p>
    <w:p>
      <w:pPr>
        <w:spacing w:after="0" w:line="152"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As disclosed in Part II, Item 9A, “Controls and Procedures” in our Form 10-K, we identified material weaknesses in internal control over financial reporting in the following areas: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Period-End Financial Reporting</w:t>
      </w:r>
    </w:p>
    <w:p>
      <w:pPr>
        <w:spacing w:after="0" w:line="171" w:lineRule="exact"/>
        <w:rPr>
          <w:sz w:val="20"/>
          <w:szCs w:val="20"/>
          <w:color w:val="auto"/>
        </w:rPr>
      </w:pPr>
    </w:p>
    <w:p>
      <w:pPr>
        <w:ind w:left="620" w:right="360"/>
        <w:spacing w:after="0" w:line="262" w:lineRule="auto"/>
        <w:rPr>
          <w:sz w:val="20"/>
          <w:szCs w:val="20"/>
          <w:color w:val="auto"/>
        </w:rPr>
      </w:pPr>
      <w:r>
        <w:rPr>
          <w:rFonts w:ascii="Arial" w:cs="Arial" w:eastAsia="Arial" w:hAnsi="Arial"/>
          <w:sz w:val="18"/>
          <w:szCs w:val="18"/>
          <w:color w:val="auto"/>
        </w:rPr>
        <w:t>In certain locations, we did not design and maintain effective controls over the period-end financial reporting process. We have ineffective controls over the documentation, authorization, and review of adjustments to and reconciliations of financial information.</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(ii) Accounting for Income Taxes</w:t>
      </w:r>
    </w:p>
    <w:p>
      <w:pPr>
        <w:spacing w:after="0" w:line="171" w:lineRule="exact"/>
        <w:rPr>
          <w:sz w:val="20"/>
          <w:szCs w:val="20"/>
          <w:color w:val="auto"/>
        </w:rPr>
      </w:pPr>
    </w:p>
    <w:p>
      <w:pPr>
        <w:ind w:left="620" w:right="400"/>
        <w:spacing w:after="0" w:line="262" w:lineRule="auto"/>
        <w:rPr>
          <w:sz w:val="20"/>
          <w:szCs w:val="20"/>
          <w:color w:val="auto"/>
        </w:rPr>
      </w:pPr>
      <w:r>
        <w:rPr>
          <w:rFonts w:ascii="Arial" w:cs="Arial" w:eastAsia="Arial" w:hAnsi="Arial"/>
          <w:sz w:val="18"/>
          <w:szCs w:val="18"/>
          <w:color w:val="auto"/>
        </w:rPr>
        <w:t>We did not design and maintain effective controls over the completeness, accuracy, and presentation of our accounting for income taxes, including the income tax provision and related income tax assets and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Remediation Efforts</w:t>
      </w:r>
    </w:p>
    <w:p>
      <w:pPr>
        <w:spacing w:after="0" w:line="19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 response to the material weaknesses identified and described above, our management, with the oversight of the Audit Committee of our Board of Directors, will continue through 2019 to dedicate significant efforts and resources to further improve our control environment and to take steps to remediate these material weaknesses.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9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Except for changes in connection with our implementation of the remediation measures or as described above, there were no changes in our internal control over financial reporting during the three months ended June 30, 2019 that have materially affected, or are reasonably likely to materially affect, our internal control over financial reporting.</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576"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A remaining claim for alleged violation of Section 11 of the Securities Act in connection with the reporting of certain financial results in the Company’s Form S-4 Registration Statement filed in 2016 is pending and seeks unspecified damages. The Company is vigorously contesting the litigation and cannot predict its duration or outcome.</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of the date of this filing, there have been no material changes or updates to our risk factors that were previously disclosed in Part I, Item 1A of our Annual Report on Form 10-K for the year ended December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June 30,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June 30,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Paid per</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4"/>
                <w:szCs w:val="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Purchased</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Share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4"/>
                <w:szCs w:val="4"/>
                <w:color w:val="auto"/>
              </w:rPr>
            </w:pPr>
          </w:p>
        </w:tc>
        <w:tc>
          <w:tcPr>
            <w:tcW w:w="2040" w:type="dxa"/>
            <w:vAlign w:val="bottom"/>
            <w:vMerge w:val="restart"/>
          </w:tcPr>
          <w:p>
            <w:pPr>
              <w:jc w:val="center"/>
              <w:spacing w:after="0" w:line="162" w:lineRule="exact"/>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7"/>
                <w:szCs w:val="17"/>
                <w:b w:val="1"/>
                <w:bCs w:val="1"/>
                <w:color w:val="auto"/>
                <w:vertAlign w:val="superscript"/>
              </w:rPr>
              <w:t>(b)</w:t>
            </w:r>
          </w:p>
        </w:tc>
        <w:tc>
          <w:tcPr>
            <w:tcW w:w="0" w:type="dxa"/>
            <w:vAlign w:val="bottom"/>
          </w:tcPr>
          <w:p>
            <w:pPr>
              <w:spacing w:after="0"/>
              <w:rPr>
                <w:sz w:val="1"/>
                <w:szCs w:val="1"/>
                <w:color w:val="auto"/>
              </w:rPr>
            </w:pPr>
          </w:p>
        </w:tc>
      </w:tr>
      <w:tr>
        <w:trPr>
          <w:trHeight w:val="105"/>
        </w:trPr>
        <w:tc>
          <w:tcPr>
            <w:tcW w:w="4020" w:type="dxa"/>
            <w:vAlign w:val="bottom"/>
            <w:gridSpan w:val="3"/>
            <w:vMerge w:val="continue"/>
          </w:tcPr>
          <w:p>
            <w:pPr>
              <w:spacing w:after="0"/>
              <w:rPr>
                <w:sz w:val="9"/>
                <w:szCs w:val="9"/>
                <w:color w:val="auto"/>
              </w:rPr>
            </w:pPr>
          </w:p>
        </w:tc>
        <w:tc>
          <w:tcPr>
            <w:tcW w:w="1500" w:type="dxa"/>
            <w:vAlign w:val="bottom"/>
          </w:tcPr>
          <w:p>
            <w:pPr>
              <w:jc w:val="center"/>
              <w:spacing w:after="0"/>
              <w:rPr>
                <w:sz w:val="20"/>
                <w:szCs w:val="20"/>
                <w:color w:val="auto"/>
              </w:rPr>
            </w:pPr>
            <w:r>
              <w:rPr>
                <w:rFonts w:ascii="Arial" w:cs="Arial" w:eastAsia="Arial" w:hAnsi="Arial"/>
                <w:sz w:val="9"/>
                <w:szCs w:val="9"/>
                <w:b w:val="1"/>
                <w:bCs w:val="1"/>
                <w:color w:val="auto"/>
                <w:w w:val="90"/>
              </w:rPr>
              <w:t>(a)</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April 1, 2019 - April 30, 2019</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573,808</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24.70</w:t>
            </w:r>
          </w:p>
        </w:tc>
        <w:tc>
          <w:tcPr>
            <w:tcW w:w="120" w:type="dxa"/>
            <w:vAlign w:val="bottom"/>
            <w:shd w:val="clear" w:color="auto" w:fill="CCEEFF"/>
          </w:tcPr>
          <w:p>
            <w:pPr>
              <w:spacing w:after="0"/>
              <w:rPr>
                <w:sz w:val="16"/>
                <w:szCs w:val="16"/>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573,808</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15,517,300</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20" w:type="dxa"/>
            <w:vAlign w:val="bottom"/>
            <w:gridSpan w:val="3"/>
          </w:tcPr>
          <w:p>
            <w:pPr>
              <w:ind w:left="40"/>
              <w:spacing w:after="0"/>
              <w:rPr>
                <w:sz w:val="20"/>
                <w:szCs w:val="20"/>
                <w:color w:val="auto"/>
              </w:rPr>
            </w:pPr>
            <w:r>
              <w:rPr>
                <w:rFonts w:ascii="Arial" w:cs="Arial" w:eastAsia="Arial" w:hAnsi="Arial"/>
                <w:sz w:val="14"/>
                <w:szCs w:val="14"/>
                <w:color w:val="auto"/>
              </w:rPr>
              <w:t>May 1, 2019 - May 31, 2019</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681,931</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22.63</w:t>
            </w:r>
          </w:p>
        </w:tc>
        <w:tc>
          <w:tcPr>
            <w:tcW w:w="120" w:type="dxa"/>
            <w:vAlign w:val="bottom"/>
          </w:tcPr>
          <w:p>
            <w:pPr>
              <w:spacing w:after="0"/>
              <w:rPr>
                <w:sz w:val="17"/>
                <w:szCs w:val="17"/>
                <w:color w:val="auto"/>
              </w:rPr>
            </w:pP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681,931</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14,835,369</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June 1, 2019 - June 30, 2019</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512,942</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22.85</w:t>
            </w:r>
          </w:p>
        </w:tc>
        <w:tc>
          <w:tcPr>
            <w:tcW w:w="120" w:type="dxa"/>
            <w:vAlign w:val="bottom"/>
            <w:shd w:val="clear" w:color="auto" w:fill="CCEEFF"/>
          </w:tcPr>
          <w:p>
            <w:pPr>
              <w:spacing w:after="0"/>
              <w:rPr>
                <w:sz w:val="18"/>
                <w:szCs w:val="18"/>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512,942</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14,322,427</w:t>
            </w:r>
          </w:p>
        </w:tc>
        <w:tc>
          <w:tcPr>
            <w:tcW w:w="0" w:type="dxa"/>
            <w:vAlign w:val="bottom"/>
          </w:tcPr>
          <w:p>
            <w:pPr>
              <w:spacing w:after="0"/>
              <w:rPr>
                <w:sz w:val="1"/>
                <w:szCs w:val="1"/>
                <w:color w:val="auto"/>
              </w:rPr>
            </w:pPr>
          </w:p>
        </w:tc>
      </w:tr>
      <w:tr>
        <w:trPr>
          <w:trHeight w:val="71"/>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tcBorders>
              <w:bottom w:val="single" w:sz="8" w:color="auto"/>
            </w:tcBorders>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1,768,681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1,768,681</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14,322,427</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Borders>
              <w:bottom w:val="single" w:sz="8" w:color="auto"/>
            </w:tcBorders>
            <w:vMerge w:val="continue"/>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1,768,681 ordinary shares repurchased and canceled.</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December 2018, our Board of Directors authorized an extension of our share repurchase program for $300.0 million for the purchase of ordinary shares.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Within the second quarter 2018, management decided to wind down all business in Iran, with the exception of seeking to collect outstanding receivables for work previously completed in Iran. Since the second quarter 2018, the Company has not and will not accept any new work in Iran.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76" w:right="239" w:bottom="1440" w:gutter="0" w:footer="0" w:header="0"/>
        </w:sectPr>
      </w:pPr>
    </w:p>
    <w:bookmarkStart w:id="59" w:name="page60"/>
    <w:bookmarkEnd w:id="59"/>
    <w:p>
      <w:pPr>
        <w:ind w:right="60"/>
        <w:spacing w:after="0" w:line="252" w:lineRule="auto"/>
        <w:rPr>
          <w:sz w:val="20"/>
          <w:szCs w:val="20"/>
          <w:color w:val="auto"/>
        </w:rPr>
      </w:pPr>
      <w:r>
        <w:rPr>
          <w:rFonts w:ascii="Arial" w:cs="Arial" w:eastAsia="Arial" w:hAnsi="Arial"/>
          <w:sz w:val="18"/>
          <w:szCs w:val="18"/>
          <w:color w:val="auto"/>
        </w:rPr>
        <w:t>Pursuant to section 13(r) of the Exchange Act, two of our non-U.S. subsidiaries had contracts with entities in Iran. Pursuant to these contracts, which were terminated in the first and second quarter 2018, we prepared a feasibility study related to improvements to an olefins plant in Iran and also provided engineering and design services for the construction of an ethylene plant in Iran. We have not received any revenue under either of these contracts for the quarter ended June 30, 2019. The expected revenue related to services performed prior to contract termination for the olefins plant and the ethylene plant is 260,000 Euros and 4,000,000 Euros, respectively, which is less than 0.1% of our revenues for the fiscal year ended December 31, 2018. We also had a non-binding arrangement with an engineering, procurement, and construction company in Iran for the purpose of jointly bidding and negotiating for work on two projects in Iran, which we terminated in third quarter 2018. No projects were pursued under the non-binding agreement and no revenue was generated.</w:t>
      </w:r>
    </w:p>
    <w:p>
      <w:pPr>
        <w:spacing w:after="0" w:line="15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had submitted bids to or had discussions with companies in Iran, including some that may be owned or controlled by the Government of Iran, regarding potential future projects in Iran. In third quarter 2018, we withdrew all pending bids in Iran and will not accept a contract award related to such a project.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7"/>
                <w:szCs w:val="17"/>
                <w:color w:val="auto"/>
              </w:rPr>
            </w:pPr>
          </w:p>
        </w:tc>
        <w:tc>
          <w:tcPr>
            <w:tcW w:w="9780" w:type="dxa"/>
            <w:vAlign w:val="bottom"/>
            <w:gridSpan w:val="5"/>
          </w:tcPr>
          <w:p>
            <w:pPr>
              <w:spacing w:after="0"/>
              <w:rPr>
                <w:sz w:val="20"/>
                <w:szCs w:val="20"/>
                <w:color w:val="auto"/>
              </w:rPr>
            </w:pPr>
            <w:r>
              <w:rPr>
                <w:rFonts w:ascii="Arial" w:cs="Arial" w:eastAsia="Arial" w:hAnsi="Arial"/>
                <w:sz w:val="14"/>
                <w:szCs w:val="14"/>
                <w:b w:val="1"/>
                <w:bCs w:val="1"/>
                <w:color w:val="auto"/>
              </w:rPr>
              <w:t>Exhibit Description</w:t>
            </w:r>
          </w:p>
        </w:tc>
      </w:tr>
      <w:tr>
        <w:trPr>
          <w:trHeight w:val="175"/>
        </w:trPr>
        <w:tc>
          <w:tcPr>
            <w:tcW w:w="1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31.1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780" w:type="dxa"/>
            <w:vAlign w:val="bottom"/>
            <w:tcBorders>
              <w:top w:val="single" w:sz="8" w:color="auto"/>
            </w:tcBorders>
            <w:gridSpan w:val="5"/>
            <w:shd w:val="clear" w:color="auto" w:fill="CCEEFF"/>
          </w:tcPr>
          <w:p>
            <w:pPr>
              <w:spacing w:after="0"/>
              <w:rPr>
                <w:rFonts w:ascii="Arial" w:cs="Arial" w:eastAsia="Arial" w:hAnsi="Arial"/>
                <w:sz w:val="14"/>
                <w:szCs w:val="14"/>
                <w:color w:val="0000FF"/>
              </w:rPr>
            </w:pPr>
            <w:hyperlink w:anchor="page62">
              <w:r>
                <w:rPr>
                  <w:rFonts w:ascii="Arial" w:cs="Arial" w:eastAsia="Arial" w:hAnsi="Arial"/>
                  <w:sz w:val="14"/>
                  <w:szCs w:val="14"/>
                  <w:color w:val="0000FF"/>
                </w:rPr>
                <w:t>Certification of Chief Executive Officer Pursuant to Rule 13a-14(a) and Rule 15d-14(a).</w:t>
              </w:r>
            </w:hyperlink>
          </w:p>
        </w:tc>
      </w:tr>
      <w:tr>
        <w:trPr>
          <w:trHeight w:val="61"/>
        </w:trPr>
        <w:tc>
          <w:tcPr>
            <w:tcW w:w="1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8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r>
      <w:tr>
        <w:trPr>
          <w:trHeight w:val="176"/>
        </w:trPr>
        <w:tc>
          <w:tcPr>
            <w:tcW w:w="150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5"/>
          </w:tcPr>
          <w:p>
            <w:pPr>
              <w:spacing w:after="0"/>
              <w:rPr>
                <w:rFonts w:ascii="Arial" w:cs="Arial" w:eastAsia="Arial" w:hAnsi="Arial"/>
                <w:sz w:val="14"/>
                <w:szCs w:val="14"/>
                <w:color w:val="0000FF"/>
              </w:rPr>
            </w:pPr>
            <w:hyperlink w:anchor="page63">
              <w:r>
                <w:rPr>
                  <w:rFonts w:ascii="Arial" w:cs="Arial" w:eastAsia="Arial" w:hAnsi="Arial"/>
                  <w:sz w:val="14"/>
                  <w:szCs w:val="14"/>
                  <w:color w:val="0000FF"/>
                </w:rPr>
                <w:t>Certification of Chief Financial Officer Pursuant to Rule 13a-14(a) and Rule 15d-14(a).</w:t>
              </w:r>
            </w:hyperlink>
          </w:p>
        </w:tc>
      </w:tr>
      <w:tr>
        <w:trPr>
          <w:trHeight w:val="75"/>
        </w:trPr>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8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r>
      <w:tr>
        <w:trPr>
          <w:trHeight w:val="1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80" w:type="dxa"/>
            <w:vAlign w:val="bottom"/>
            <w:gridSpan w:val="5"/>
            <w:shd w:val="clear" w:color="auto" w:fill="CCEEFF"/>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Certification of Chief Executive Officer Under Section 906 of the Sarbanes-Oxley Act of 2002, 18 U.S.C. 1350.</w:t>
              </w:r>
            </w:hyperlink>
          </w:p>
        </w:tc>
      </w:tr>
      <w:tr>
        <w:trPr>
          <w:trHeight w:val="75"/>
        </w:trPr>
        <w:tc>
          <w:tcPr>
            <w:tcW w:w="15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48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144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2780" w:type="dxa"/>
            <w:vAlign w:val="bottom"/>
            <w:tcBorders>
              <w:top w:val="single" w:sz="8" w:color="CCEEFF"/>
            </w:tcBorders>
            <w:shd w:val="clear" w:color="auto" w:fill="CCEEFF"/>
          </w:tcPr>
          <w:p>
            <w:pPr>
              <w:spacing w:after="0"/>
              <w:rPr>
                <w:sz w:val="6"/>
                <w:szCs w:val="6"/>
                <w:color w:val="auto"/>
              </w:rPr>
            </w:pPr>
          </w:p>
        </w:tc>
      </w:tr>
      <w:tr>
        <w:trPr>
          <w:trHeight w:val="176"/>
        </w:trPr>
        <w:tc>
          <w:tcPr>
            <w:tcW w:w="150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5"/>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Certification of Chief Financial Officer Under Section 906 of the Sarbanes-Oxley Act of 2002, 18 U.S.C. 1350.</w:t>
              </w:r>
            </w:hyperlink>
          </w:p>
        </w:tc>
      </w:tr>
      <w:tr>
        <w:trPr>
          <w:trHeight w:val="75"/>
        </w:trPr>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8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44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r>
      <w:tr>
        <w:trPr>
          <w:trHeight w:val="194"/>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101.INS</w:t>
            </w:r>
          </w:p>
        </w:tc>
        <w:tc>
          <w:tcPr>
            <w:tcW w:w="20" w:type="dxa"/>
            <w:vAlign w:val="bottom"/>
            <w:shd w:val="clear" w:color="auto" w:fill="CCEEFF"/>
          </w:tcPr>
          <w:p>
            <w:pPr>
              <w:spacing w:after="0"/>
              <w:rPr>
                <w:sz w:val="16"/>
                <w:szCs w:val="16"/>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w:t>
            </w:r>
          </w:p>
        </w:tc>
      </w:tr>
      <w:tr>
        <w:trPr>
          <w:trHeight w:val="184"/>
        </w:trPr>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document.</w:t>
            </w:r>
          </w:p>
        </w:tc>
      </w:tr>
      <w:tr>
        <w:trPr>
          <w:trHeight w:val="204"/>
        </w:trPr>
        <w:tc>
          <w:tcPr>
            <w:tcW w:w="162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7"/>
                <w:szCs w:val="17"/>
                <w:color w:val="auto"/>
              </w:rPr>
            </w:pPr>
          </w:p>
        </w:tc>
        <w:tc>
          <w:tcPr>
            <w:tcW w:w="9780" w:type="dxa"/>
            <w:vAlign w:val="bottom"/>
            <w:gridSpan w:val="5"/>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66"/>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780" w:type="dxa"/>
            <w:vAlign w:val="bottom"/>
          </w:tcPr>
          <w:p>
            <w:pPr>
              <w:spacing w:after="0"/>
              <w:rPr>
                <w:sz w:val="5"/>
                <w:szCs w:val="5"/>
                <w:color w:val="auto"/>
              </w:rPr>
            </w:pPr>
          </w:p>
        </w:tc>
      </w:tr>
      <w:tr>
        <w:trPr>
          <w:trHeight w:val="204"/>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101.CAL</w:t>
            </w:r>
          </w:p>
        </w:tc>
        <w:tc>
          <w:tcPr>
            <w:tcW w:w="20" w:type="dxa"/>
            <w:vAlign w:val="bottom"/>
            <w:shd w:val="clear" w:color="auto" w:fill="CCEEFF"/>
          </w:tcPr>
          <w:p>
            <w:pPr>
              <w:spacing w:after="0"/>
              <w:rPr>
                <w:sz w:val="17"/>
                <w:szCs w:val="17"/>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66"/>
        </w:trPr>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780" w:type="dxa"/>
            <w:vAlign w:val="bottom"/>
            <w:shd w:val="clear" w:color="auto" w:fill="CCEEFF"/>
          </w:tcPr>
          <w:p>
            <w:pPr>
              <w:spacing w:after="0"/>
              <w:rPr>
                <w:sz w:val="5"/>
                <w:szCs w:val="5"/>
                <w:color w:val="auto"/>
              </w:rPr>
            </w:pPr>
          </w:p>
        </w:tc>
      </w:tr>
      <w:tr>
        <w:trPr>
          <w:trHeight w:val="204"/>
        </w:trPr>
        <w:tc>
          <w:tcPr>
            <w:tcW w:w="162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7"/>
                <w:szCs w:val="17"/>
                <w:color w:val="auto"/>
              </w:rPr>
            </w:pPr>
          </w:p>
        </w:tc>
        <w:tc>
          <w:tcPr>
            <w:tcW w:w="9780" w:type="dxa"/>
            <w:vAlign w:val="bottom"/>
            <w:gridSpan w:val="5"/>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66"/>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780" w:type="dxa"/>
            <w:vAlign w:val="bottom"/>
          </w:tcPr>
          <w:p>
            <w:pPr>
              <w:spacing w:after="0"/>
              <w:rPr>
                <w:sz w:val="5"/>
                <w:szCs w:val="5"/>
                <w:color w:val="auto"/>
              </w:rPr>
            </w:pPr>
          </w:p>
        </w:tc>
      </w:tr>
      <w:tr>
        <w:trPr>
          <w:trHeight w:val="204"/>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101.LAB</w:t>
            </w:r>
          </w:p>
        </w:tc>
        <w:tc>
          <w:tcPr>
            <w:tcW w:w="20" w:type="dxa"/>
            <w:vAlign w:val="bottom"/>
            <w:shd w:val="clear" w:color="auto" w:fill="CCEEFF"/>
          </w:tcPr>
          <w:p>
            <w:pPr>
              <w:spacing w:after="0"/>
              <w:rPr>
                <w:sz w:val="17"/>
                <w:szCs w:val="17"/>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66"/>
        </w:trPr>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780" w:type="dxa"/>
            <w:vAlign w:val="bottom"/>
            <w:shd w:val="clear" w:color="auto" w:fill="CCEEFF"/>
          </w:tcPr>
          <w:p>
            <w:pPr>
              <w:spacing w:after="0"/>
              <w:rPr>
                <w:sz w:val="5"/>
                <w:szCs w:val="5"/>
                <w:color w:val="auto"/>
              </w:rPr>
            </w:pPr>
          </w:p>
        </w:tc>
      </w:tr>
      <w:tr>
        <w:trPr>
          <w:trHeight w:val="204"/>
        </w:trPr>
        <w:tc>
          <w:tcPr>
            <w:tcW w:w="162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7"/>
                <w:szCs w:val="17"/>
                <w:color w:val="auto"/>
              </w:rPr>
            </w:pPr>
          </w:p>
        </w:tc>
        <w:tc>
          <w:tcPr>
            <w:tcW w:w="9780" w:type="dxa"/>
            <w:vAlign w:val="bottom"/>
            <w:gridSpan w:val="5"/>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23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Furnished with this Quarterly Report on Form 10-Q.</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98" w:right="239" w:bottom="1440" w:gutter="0" w:footer="0" w:header="0"/>
        </w:sectPr>
      </w:pPr>
    </w:p>
    <w:bookmarkStart w:id="60" w:name="page61"/>
    <w:bookmarkEnd w:id="60"/>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736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Krisztina Doroghazi</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Controller and Chief Accounting Officer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 and a Duly Authorized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240" w:top="576" w:right="5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2019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2019</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2019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2019</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I, Douglas J. Pferdehirt, Chief Executive Officer of TechnipFMC plc (the “Company”), do hereby certify, pursuant to 18 U.S.C. Section 1350, as adopted pursuant to Section 906 of the Sarbanes-Oxley Act of 2002, that, to my knowledge:</w:t>
      </w:r>
    </w:p>
    <w:p>
      <w:pPr>
        <w:spacing w:after="0" w:line="169" w:lineRule="exact"/>
        <w:rPr>
          <w:sz w:val="20"/>
          <w:szCs w:val="20"/>
          <w:color w:val="auto"/>
        </w:rPr>
      </w:pPr>
    </w:p>
    <w:p>
      <w:pPr>
        <w:ind w:right="540" w:firstLine="8"/>
        <w:spacing w:after="0" w:line="260"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2019,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2019</w:t>
      </w:r>
    </w:p>
    <w:p>
      <w:pPr>
        <w:spacing w:after="0" w:line="200" w:lineRule="exact"/>
        <w:rPr>
          <w:sz w:val="20"/>
          <w:szCs w:val="20"/>
          <w:color w:val="auto"/>
        </w:rPr>
      </w:pPr>
    </w:p>
    <w:p>
      <w:pPr>
        <w:spacing w:after="0" w:line="210"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194" w:lineRule="exact"/>
        <w:rPr>
          <w:sz w:val="20"/>
          <w:szCs w:val="20"/>
          <w:color w:val="auto"/>
        </w:rPr>
      </w:pPr>
    </w:p>
    <w:p>
      <w:pPr>
        <w:ind w:right="540" w:firstLine="8"/>
        <w:spacing w:after="0" w:line="260" w:lineRule="auto"/>
        <w:tabs>
          <w:tab w:leader="none" w:pos="2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2019,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2019</w:t>
      </w:r>
    </w:p>
    <w:p>
      <w:pPr>
        <w:spacing w:after="0" w:line="200" w:lineRule="exact"/>
        <w:rPr>
          <w:sz w:val="20"/>
          <w:szCs w:val="20"/>
          <w:color w:val="auto"/>
        </w:rPr>
      </w:pPr>
    </w:p>
    <w:p>
      <w:pPr>
        <w:spacing w:after="0" w:line="210"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3445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2"/>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2019-12-28T07:39:17Z</dcterms:created>
  <dcterms:modified xsi:type="dcterms:W3CDTF">2019-12-28T07:39:17Z</dcterms:modified>
</cp:coreProperties>
</file>