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311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311404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Mukherjee Samik</w:t>
        </w:r>
      </w:hyperlink>
    </w:p>
    <w:p>
      <w:pPr>
        <w:spacing w:after="0" w:line="219" w:lineRule="exact"/>
        <w:rPr>
          <w:sz w:val="24"/>
          <w:szCs w:val="24"/>
          <w:color w:val="auto"/>
        </w:r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00" w:type="dxa"/>
            <w:vAlign w:val="bottom"/>
          </w:tcPr>
          <w:p>
            <w:pPr>
              <w:spacing w:after="0"/>
              <w:rPr>
                <w:sz w:val="20"/>
                <w:szCs w:val="20"/>
                <w:color w:val="auto"/>
              </w:rPr>
            </w:pPr>
            <w:r>
              <w:rPr>
                <w:rFonts w:ascii="Arial" w:cs="Arial" w:eastAsia="Arial" w:hAnsi="Arial"/>
                <w:sz w:val="9"/>
                <w:szCs w:val="9"/>
                <w:color w:val="auto"/>
              </w:rPr>
              <w:t>(Last)</w:t>
            </w:r>
          </w:p>
        </w:tc>
        <w:tc>
          <w:tcPr>
            <w:tcW w:w="1140" w:type="dxa"/>
            <w:vAlign w:val="bottom"/>
          </w:tcPr>
          <w:p>
            <w:pPr>
              <w:ind w:left="300"/>
              <w:spacing w:after="0"/>
              <w:rPr>
                <w:sz w:val="20"/>
                <w:szCs w:val="20"/>
                <w:color w:val="auto"/>
              </w:rPr>
            </w:pPr>
            <w:r>
              <w:rPr>
                <w:rFonts w:ascii="Arial" w:cs="Arial" w:eastAsia="Arial" w:hAnsi="Arial"/>
                <w:sz w:val="9"/>
                <w:szCs w:val="9"/>
                <w:color w:val="auto"/>
              </w:rPr>
              <w:t>(First)</w:t>
            </w:r>
          </w:p>
        </w:tc>
        <w:tc>
          <w:tcPr>
            <w:tcW w:w="1340" w:type="dxa"/>
            <w:vAlign w:val="bottom"/>
          </w:tcPr>
          <w:p>
            <w:pPr>
              <w:ind w:left="26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Arial" w:cs="Arial" w:eastAsia="Arial" w:hAnsi="Arial"/>
                <w:sz w:val="12"/>
                <w:szCs w:val="12"/>
                <w:color w:val="0000FF"/>
              </w:rPr>
              <w:t>ONE ST. PAUL'S CHURCHYARD</w:t>
            </w:r>
          </w:p>
        </w:tc>
        <w:tc>
          <w:tcPr>
            <w:tcW w:w="134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r>
      <w:tr>
        <w:trPr>
          <w:trHeight w:val="177"/>
        </w:trPr>
        <w:tc>
          <w:tcPr>
            <w:tcW w:w="840" w:type="dxa"/>
            <w:vAlign w:val="bottom"/>
            <w:gridSpan w:val="2"/>
          </w:tcPr>
          <w:p>
            <w:pPr>
              <w:spacing w:after="0"/>
              <w:rPr>
                <w:sz w:val="20"/>
                <w:szCs w:val="20"/>
                <w:color w:val="auto"/>
              </w:rPr>
            </w:pPr>
            <w:r>
              <w:rPr>
                <w:rFonts w:ascii="Arial" w:cs="Arial" w:eastAsia="Arial" w:hAnsi="Arial"/>
                <w:sz w:val="9"/>
                <w:szCs w:val="9"/>
                <w:color w:val="auto"/>
              </w:rPr>
              <w:t>(Street)</w:t>
            </w:r>
          </w:p>
        </w:tc>
        <w:tc>
          <w:tcPr>
            <w:tcW w:w="1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Arial" w:cs="Arial" w:eastAsia="Arial" w:hAnsi="Arial"/>
                <w:sz w:val="12"/>
                <w:szCs w:val="12"/>
                <w:color w:val="0000FF"/>
              </w:rPr>
              <w:t>LONDON</w:t>
            </w:r>
          </w:p>
        </w:tc>
        <w:tc>
          <w:tcPr>
            <w:tcW w:w="1140" w:type="dxa"/>
            <w:vAlign w:val="bottom"/>
          </w:tcPr>
          <w:p>
            <w:pPr>
              <w:ind w:left="300"/>
              <w:spacing w:after="0"/>
              <w:rPr>
                <w:sz w:val="20"/>
                <w:szCs w:val="20"/>
                <w:color w:val="auto"/>
              </w:rPr>
            </w:pPr>
            <w:r>
              <w:rPr>
                <w:rFonts w:ascii="Arial" w:cs="Arial" w:eastAsia="Arial" w:hAnsi="Arial"/>
                <w:sz w:val="12"/>
                <w:szCs w:val="12"/>
                <w:color w:val="0000FF"/>
              </w:rPr>
              <w:t>X0</w:t>
            </w:r>
          </w:p>
        </w:tc>
        <w:tc>
          <w:tcPr>
            <w:tcW w:w="1340" w:type="dxa"/>
            <w:vAlign w:val="bottom"/>
          </w:tcPr>
          <w:p>
            <w:pPr>
              <w:ind w:left="260"/>
              <w:spacing w:after="0"/>
              <w:rPr>
                <w:sz w:val="20"/>
                <w:szCs w:val="20"/>
                <w:color w:val="auto"/>
              </w:rPr>
            </w:pPr>
            <w:r>
              <w:rPr>
                <w:rFonts w:ascii="Arial" w:cs="Arial" w:eastAsia="Arial" w:hAnsi="Arial"/>
                <w:sz w:val="12"/>
                <w:szCs w:val="12"/>
                <w:color w:val="0000FF"/>
              </w:rPr>
              <w:t>EC4M 8AP</w:t>
            </w:r>
          </w:p>
        </w:tc>
      </w:tr>
    </w:tbl>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11/06/2017</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TechnipFMC plc</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FTI</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2060" w:type="dxa"/>
            <w:vAlign w:val="bottom"/>
            <w:gridSpan w:val="2"/>
          </w:tcPr>
          <w:p>
            <w:pPr>
              <w:jc w:val="right"/>
              <w:ind w:right="110"/>
              <w:spacing w:after="0"/>
              <w:rPr>
                <w:sz w:val="20"/>
                <w:szCs w:val="20"/>
                <w:color w:val="auto"/>
              </w:rPr>
            </w:pPr>
            <w:r>
              <w:rPr>
                <w:rFonts w:ascii="Arial" w:cs="Arial" w:eastAsia="Arial" w:hAnsi="Arial"/>
                <w:sz w:val="9"/>
                <w:szCs w:val="9"/>
                <w:color w:val="auto"/>
                <w:w w:val="99"/>
              </w:rPr>
              <w:t>4. Relationship of Reporting Person(s) to Issuer</w:t>
            </w:r>
          </w:p>
        </w:tc>
        <w:tc>
          <w:tcPr>
            <w:tcW w:w="1340" w:type="dxa"/>
            <w:vAlign w:val="bottom"/>
          </w:tcPr>
          <w:p>
            <w:pPr>
              <w:spacing w:after="0"/>
              <w:rPr>
                <w:sz w:val="8"/>
                <w:szCs w:val="8"/>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5.</w:t>
            </w:r>
          </w:p>
        </w:tc>
        <w:tc>
          <w:tcPr>
            <w:tcW w:w="2760" w:type="dxa"/>
            <w:vAlign w:val="bottom"/>
            <w:gridSpan w:val="2"/>
          </w:tcPr>
          <w:p>
            <w:pPr>
              <w:jc w:val="center"/>
              <w:ind w:right="495"/>
              <w:spacing w:after="0"/>
              <w:rPr>
                <w:sz w:val="20"/>
                <w:szCs w:val="20"/>
                <w:color w:val="auto"/>
              </w:rPr>
            </w:pPr>
            <w:r>
              <w:rPr>
                <w:rFonts w:ascii="Arial" w:cs="Arial" w:eastAsia="Arial" w:hAnsi="Arial"/>
                <w:sz w:val="9"/>
                <w:szCs w:val="9"/>
                <w:color w:val="auto"/>
                <w:w w:val="99"/>
              </w:rPr>
              <w:t>If Amendment, Date of Original Filed (Month/Day/Year)</w:t>
            </w:r>
          </w:p>
        </w:tc>
        <w:tc>
          <w:tcPr>
            <w:tcW w:w="0" w:type="dxa"/>
            <w:vAlign w:val="bottom"/>
          </w:tcPr>
          <w:p>
            <w:pPr>
              <w:spacing w:after="0"/>
              <w:rPr>
                <w:sz w:val="1"/>
                <w:szCs w:val="1"/>
                <w:color w:val="auto"/>
              </w:rPr>
            </w:pPr>
          </w:p>
        </w:tc>
      </w:tr>
      <w:tr>
        <w:trPr>
          <w:trHeight w:val="108"/>
        </w:trPr>
        <w:tc>
          <w:tcPr>
            <w:tcW w:w="2060" w:type="dxa"/>
            <w:vAlign w:val="bottom"/>
            <w:gridSpan w:val="2"/>
          </w:tcPr>
          <w:p>
            <w:pPr>
              <w:jc w:val="right"/>
              <w:ind w:right="1130"/>
              <w:spacing w:after="0"/>
              <w:rPr>
                <w:sz w:val="20"/>
                <w:szCs w:val="20"/>
                <w:color w:val="auto"/>
              </w:rPr>
            </w:pPr>
            <w:r>
              <w:rPr>
                <w:rFonts w:ascii="Arial" w:cs="Arial" w:eastAsia="Arial" w:hAnsi="Arial"/>
                <w:sz w:val="9"/>
                <w:szCs w:val="9"/>
                <w:color w:val="auto"/>
                <w:w w:val="99"/>
              </w:rPr>
              <w:t>(Check all applicable)</w:t>
            </w:r>
          </w:p>
        </w:tc>
        <w:tc>
          <w:tcPr>
            <w:tcW w:w="1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440" w:type="dxa"/>
            <w:vAlign w:val="bottom"/>
          </w:tcPr>
          <w:p>
            <w:pPr>
              <w:spacing w:after="0"/>
              <w:rPr>
                <w:sz w:val="4"/>
                <w:szCs w:val="4"/>
                <w:color w:val="auto"/>
              </w:rPr>
            </w:pPr>
          </w:p>
        </w:tc>
        <w:tc>
          <w:tcPr>
            <w:tcW w:w="1620" w:type="dxa"/>
            <w:vAlign w:val="bottom"/>
            <w:vMerge w:val="restart"/>
          </w:tcPr>
          <w:p>
            <w:pPr>
              <w:jc w:val="right"/>
              <w:ind w:right="1150"/>
              <w:spacing w:after="0"/>
              <w:rPr>
                <w:sz w:val="20"/>
                <w:szCs w:val="20"/>
                <w:color w:val="auto"/>
              </w:rPr>
            </w:pPr>
            <w:r>
              <w:rPr>
                <w:rFonts w:ascii="Arial" w:cs="Arial" w:eastAsia="Arial" w:hAnsi="Arial"/>
                <w:sz w:val="9"/>
                <w:szCs w:val="9"/>
                <w:color w:val="auto"/>
              </w:rPr>
              <w:t>Director</w:t>
            </w:r>
          </w:p>
        </w:tc>
        <w:tc>
          <w:tcPr>
            <w:tcW w:w="1340" w:type="dxa"/>
            <w:vAlign w:val="bottom"/>
            <w:vMerge w:val="restart"/>
          </w:tcPr>
          <w:p>
            <w:pPr>
              <w:ind w:left="140"/>
              <w:spacing w:after="0"/>
              <w:rPr>
                <w:sz w:val="20"/>
                <w:szCs w:val="20"/>
                <w:color w:val="auto"/>
              </w:rPr>
            </w:pPr>
            <w:r>
              <w:rPr>
                <w:rFonts w:ascii="Arial" w:cs="Arial" w:eastAsia="Arial" w:hAnsi="Arial"/>
                <w:sz w:val="9"/>
                <w:szCs w:val="9"/>
                <w:color w:val="auto"/>
              </w:rPr>
              <w:t>10% Owner</w:t>
            </w: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440" w:type="dxa"/>
            <w:vAlign w:val="bottom"/>
            <w:vMerge w:val="restart"/>
          </w:tcPr>
          <w:p>
            <w:pPr>
              <w:ind w:left="240"/>
              <w:spacing w:after="0"/>
              <w:rPr>
                <w:sz w:val="20"/>
                <w:szCs w:val="20"/>
                <w:color w:val="auto"/>
              </w:rPr>
            </w:pPr>
            <w:r>
              <w:rPr>
                <w:rFonts w:ascii="Arial" w:cs="Arial" w:eastAsia="Arial" w:hAnsi="Arial"/>
                <w:sz w:val="12"/>
                <w:szCs w:val="12"/>
                <w:color w:val="0000FF"/>
              </w:rPr>
              <w:t>X</w:t>
            </w:r>
          </w:p>
        </w:tc>
        <w:tc>
          <w:tcPr>
            <w:tcW w:w="16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20" w:type="dxa"/>
            <w:vAlign w:val="bottom"/>
            <w:vMerge w:val="restart"/>
          </w:tcPr>
          <w:p>
            <w:pPr>
              <w:jc w:val="right"/>
              <w:spacing w:after="0"/>
              <w:rPr>
                <w:sz w:val="20"/>
                <w:szCs w:val="20"/>
                <w:color w:val="auto"/>
              </w:rPr>
            </w:pPr>
            <w:r>
              <w:rPr>
                <w:rFonts w:ascii="Arial" w:cs="Arial" w:eastAsia="Arial" w:hAnsi="Arial"/>
                <w:sz w:val="9"/>
                <w:szCs w:val="9"/>
                <w:color w:val="auto"/>
              </w:rPr>
              <w:t>6.</w:t>
            </w:r>
          </w:p>
        </w:tc>
        <w:tc>
          <w:tcPr>
            <w:tcW w:w="2760" w:type="dxa"/>
            <w:vAlign w:val="bottom"/>
            <w:gridSpan w:val="2"/>
            <w:vMerge w:val="restart"/>
          </w:tcPr>
          <w:p>
            <w:pPr>
              <w:jc w:val="center"/>
              <w:ind w:right="475"/>
              <w:spacing w:after="0"/>
              <w:rPr>
                <w:sz w:val="20"/>
                <w:szCs w:val="20"/>
                <w:color w:val="auto"/>
              </w:rPr>
            </w:pPr>
            <w:r>
              <w:rPr>
                <w:rFonts w:ascii="Arial" w:cs="Arial" w:eastAsia="Arial" w:hAnsi="Arial"/>
                <w:sz w:val="9"/>
                <w:szCs w:val="9"/>
                <w:color w:val="auto"/>
              </w:rPr>
              <w:t>Individual or Joint/Group Filing (Check Applicable Line)</w:t>
            </w:r>
          </w:p>
        </w:tc>
        <w:tc>
          <w:tcPr>
            <w:tcW w:w="0" w:type="dxa"/>
            <w:vAlign w:val="bottom"/>
          </w:tcPr>
          <w:p>
            <w:pPr>
              <w:spacing w:after="0"/>
              <w:rPr>
                <w:sz w:val="1"/>
                <w:szCs w:val="1"/>
                <w:color w:val="auto"/>
              </w:rPr>
            </w:pPr>
          </w:p>
        </w:tc>
      </w:tr>
      <w:tr>
        <w:trPr>
          <w:trHeight w:val="90"/>
        </w:trPr>
        <w:tc>
          <w:tcPr>
            <w:tcW w:w="440" w:type="dxa"/>
            <w:vAlign w:val="bottom"/>
            <w:vMerge w:val="continue"/>
          </w:tcPr>
          <w:p>
            <w:pPr>
              <w:spacing w:after="0"/>
              <w:rPr>
                <w:sz w:val="7"/>
                <w:szCs w:val="7"/>
                <w:color w:val="auto"/>
              </w:rPr>
            </w:pPr>
          </w:p>
        </w:tc>
        <w:tc>
          <w:tcPr>
            <w:tcW w:w="1620" w:type="dxa"/>
            <w:vAlign w:val="bottom"/>
            <w:vMerge w:val="restart"/>
          </w:tcPr>
          <w:p>
            <w:pPr>
              <w:jc w:val="right"/>
              <w:ind w:right="530"/>
              <w:spacing w:after="0"/>
              <w:rPr>
                <w:sz w:val="20"/>
                <w:szCs w:val="20"/>
                <w:color w:val="auto"/>
              </w:rPr>
            </w:pPr>
            <w:r>
              <w:rPr>
                <w:rFonts w:ascii="Arial" w:cs="Arial" w:eastAsia="Arial" w:hAnsi="Arial"/>
                <w:sz w:val="9"/>
                <w:szCs w:val="9"/>
                <w:color w:val="auto"/>
              </w:rPr>
              <w:t>Officer (give title below)</w:t>
            </w:r>
          </w:p>
        </w:tc>
        <w:tc>
          <w:tcPr>
            <w:tcW w:w="1340" w:type="dxa"/>
            <w:vAlign w:val="bottom"/>
            <w:vMerge w:val="restart"/>
          </w:tcPr>
          <w:p>
            <w:pPr>
              <w:ind w:left="140"/>
              <w:spacing w:after="0"/>
              <w:rPr>
                <w:sz w:val="20"/>
                <w:szCs w:val="20"/>
                <w:color w:val="auto"/>
              </w:rPr>
            </w:pPr>
            <w:r>
              <w:rPr>
                <w:rFonts w:ascii="Arial" w:cs="Arial" w:eastAsia="Arial" w:hAnsi="Arial"/>
                <w:sz w:val="9"/>
                <w:szCs w:val="9"/>
                <w:color w:val="auto"/>
              </w:rPr>
              <w:t>Other (specify below)</w:t>
            </w:r>
          </w:p>
        </w:tc>
        <w:tc>
          <w:tcPr>
            <w:tcW w:w="120" w:type="dxa"/>
            <w:vAlign w:val="bottom"/>
            <w:vMerge w:val="continue"/>
          </w:tcPr>
          <w:p>
            <w:pPr>
              <w:spacing w:after="0"/>
              <w:rPr>
                <w:sz w:val="7"/>
                <w:szCs w:val="7"/>
                <w:color w:val="auto"/>
              </w:rPr>
            </w:pPr>
          </w:p>
        </w:tc>
        <w:tc>
          <w:tcPr>
            <w:tcW w:w="27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4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vMerge w:val="restart"/>
          </w:tcPr>
          <w:p>
            <w:pPr>
              <w:ind w:left="100"/>
              <w:spacing w:after="0"/>
              <w:rPr>
                <w:sz w:val="20"/>
                <w:szCs w:val="20"/>
                <w:color w:val="auto"/>
              </w:rPr>
            </w:pPr>
            <w:r>
              <w:rPr>
                <w:rFonts w:ascii="Arial" w:cs="Arial" w:eastAsia="Arial" w:hAnsi="Arial"/>
                <w:sz w:val="12"/>
                <w:szCs w:val="12"/>
                <w:color w:val="0000FF"/>
              </w:rPr>
              <w:t>X</w:t>
            </w:r>
          </w:p>
        </w:tc>
        <w:tc>
          <w:tcPr>
            <w:tcW w:w="2480" w:type="dxa"/>
            <w:vAlign w:val="bottom"/>
            <w:vMerge w:val="restart"/>
          </w:tcPr>
          <w:p>
            <w:pPr>
              <w:jc w:val="center"/>
              <w:ind w:right="795"/>
              <w:spacing w:after="0"/>
              <w:rPr>
                <w:sz w:val="20"/>
                <w:szCs w:val="20"/>
                <w:color w:val="auto"/>
              </w:rPr>
            </w:pPr>
            <w:r>
              <w:rPr>
                <w:rFonts w:ascii="Arial" w:cs="Arial" w:eastAsia="Arial" w:hAnsi="Arial"/>
                <w:sz w:val="9"/>
                <w:szCs w:val="9"/>
                <w:color w:val="auto"/>
                <w:w w:val="99"/>
              </w:rPr>
              <w:t>Form filed by One Reporting Person</w:t>
            </w: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2960" w:type="dxa"/>
            <w:vAlign w:val="bottom"/>
            <w:gridSpan w:val="2"/>
            <w:vMerge w:val="restart"/>
          </w:tcPr>
          <w:p>
            <w:pPr>
              <w:ind w:left="520"/>
              <w:spacing w:after="0"/>
              <w:rPr>
                <w:sz w:val="20"/>
                <w:szCs w:val="20"/>
                <w:color w:val="auto"/>
              </w:rPr>
            </w:pPr>
            <w:r>
              <w:rPr>
                <w:rFonts w:ascii="Arial" w:cs="Arial" w:eastAsia="Arial" w:hAnsi="Arial"/>
                <w:sz w:val="12"/>
                <w:szCs w:val="12"/>
                <w:color w:val="0000FF"/>
              </w:rPr>
              <w:t>EVP Corp Dev Strat Digital IT</w:t>
            </w:r>
          </w:p>
        </w:tc>
        <w:tc>
          <w:tcPr>
            <w:tcW w:w="1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40" w:type="dxa"/>
            <w:vAlign w:val="bottom"/>
          </w:tcPr>
          <w:p>
            <w:pPr>
              <w:spacing w:after="0"/>
              <w:rPr>
                <w:sz w:val="8"/>
                <w:szCs w:val="8"/>
                <w:color w:val="auto"/>
              </w:rPr>
            </w:pPr>
          </w:p>
        </w:tc>
        <w:tc>
          <w:tcPr>
            <w:tcW w:w="29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vMerge w:val="restart"/>
          </w:tcPr>
          <w:p>
            <w:pPr>
              <w:ind w:left="100"/>
              <w:spacing w:after="0"/>
              <w:rPr>
                <w:sz w:val="20"/>
                <w:szCs w:val="20"/>
                <w:color w:val="auto"/>
              </w:rPr>
            </w:pPr>
            <w:r>
              <w:rPr>
                <w:rFonts w:ascii="Arial" w:cs="Arial" w:eastAsia="Arial" w:hAnsi="Arial"/>
                <w:sz w:val="9"/>
                <w:szCs w:val="9"/>
                <w:color w:val="auto"/>
              </w:rPr>
              <w:t>Form filed by More than One Reporting Person</w:t>
            </w:r>
          </w:p>
        </w:tc>
        <w:tc>
          <w:tcPr>
            <w:tcW w:w="0" w:type="dxa"/>
            <w:vAlign w:val="bottom"/>
          </w:tcPr>
          <w:p>
            <w:pPr>
              <w:spacing w:after="0"/>
              <w:rPr>
                <w:sz w:val="1"/>
                <w:szCs w:val="1"/>
                <w:color w:val="auto"/>
              </w:rPr>
            </w:pPr>
          </w:p>
        </w:tc>
      </w:tr>
      <w:tr>
        <w:trPr>
          <w:trHeight w:val="46"/>
        </w:trPr>
        <w:tc>
          <w:tcPr>
            <w:tcW w:w="4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62" w:lineRule="exact"/>
        <w:rPr>
          <w:sz w:val="24"/>
          <w:szCs w:val="24"/>
          <w:color w:val="auto"/>
        </w:rPr>
      </w:pPr>
    </w:p>
    <w:p>
      <w:pPr>
        <w:sectPr>
          <w:pgSz w:w="11900" w:h="16838" w:orient="portrait"/>
          <w:cols w:equalWidth="0" w:num="3">
            <w:col w:w="3360" w:space="118"/>
            <w:col w:w="1482" w:space="220"/>
            <w:col w:w="6300"/>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Ordinary Shares</w:t>
            </w:r>
          </w:p>
        </w:tc>
        <w:tc>
          <w:tcPr>
            <w:tcW w:w="60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ind w:left="900"/>
              <w:spacing w:after="0"/>
              <w:rPr>
                <w:sz w:val="20"/>
                <w:szCs w:val="20"/>
                <w:color w:val="auto"/>
              </w:rPr>
            </w:pPr>
            <w:r>
              <w:rPr>
                <w:rFonts w:ascii="Arial" w:cs="Arial" w:eastAsia="Arial" w:hAnsi="Arial"/>
                <w:sz w:val="12"/>
                <w:szCs w:val="12"/>
                <w:color w:val="0000FF"/>
              </w:rPr>
              <w:t>2,664</w:t>
            </w:r>
            <w:r>
              <w:rPr>
                <w:rFonts w:ascii="Arial" w:cs="Arial" w:eastAsia="Arial" w:hAnsi="Arial"/>
                <w:sz w:val="15"/>
                <w:szCs w:val="15"/>
                <w:color w:val="008000"/>
                <w:vertAlign w:val="superscript"/>
              </w:rPr>
              <w:t>(1)</w:t>
            </w:r>
          </w:p>
        </w:tc>
        <w:tc>
          <w:tcPr>
            <w:tcW w:w="860" w:type="dxa"/>
            <w:vAlign w:val="bottom"/>
            <w:tcBorders>
              <w:bottom w:val="single" w:sz="8" w:color="2C2C2C"/>
            </w:tcBorders>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1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35"/>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Stock Option (Right to Buy)</w:t>
            </w:r>
          </w:p>
        </w:tc>
        <w:tc>
          <w:tcPr>
            <w:tcW w:w="600" w:type="dxa"/>
            <w:vAlign w:val="bottom"/>
          </w:tcPr>
          <w:p>
            <w:pPr>
              <w:jc w:val="right"/>
              <w:ind w:right="53"/>
              <w:spacing w:after="0"/>
              <w:rPr>
                <w:sz w:val="20"/>
                <w:szCs w:val="20"/>
                <w:color w:val="auto"/>
              </w:rPr>
            </w:pPr>
            <w:r>
              <w:rPr>
                <w:rFonts w:ascii="Arial" w:cs="Arial" w:eastAsia="Arial" w:hAnsi="Arial"/>
                <w:sz w:val="9"/>
                <w:szCs w:val="9"/>
                <w:color w:val="0000FF"/>
              </w:rPr>
              <w:t>06/17/2015</w:t>
            </w:r>
          </w:p>
        </w:tc>
        <w:tc>
          <w:tcPr>
            <w:tcW w:w="520" w:type="dxa"/>
            <w:vAlign w:val="bottom"/>
          </w:tcPr>
          <w:p>
            <w:pPr>
              <w:jc w:val="right"/>
              <w:spacing w:after="0"/>
              <w:rPr>
                <w:sz w:val="20"/>
                <w:szCs w:val="20"/>
                <w:color w:val="auto"/>
              </w:rPr>
            </w:pPr>
            <w:r>
              <w:rPr>
                <w:rFonts w:ascii="Arial" w:cs="Arial" w:eastAsia="Arial" w:hAnsi="Arial"/>
                <w:sz w:val="9"/>
                <w:szCs w:val="9"/>
                <w:color w:val="0000FF"/>
              </w:rPr>
              <w:t>06/17/2018</w:t>
            </w:r>
          </w:p>
        </w:tc>
        <w:tc>
          <w:tcPr>
            <w:tcW w:w="2140" w:type="dxa"/>
            <w:vAlign w:val="bottom"/>
          </w:tcPr>
          <w:p>
            <w:pPr>
              <w:ind w:left="800"/>
              <w:spacing w:after="0"/>
              <w:rPr>
                <w:sz w:val="20"/>
                <w:szCs w:val="20"/>
                <w:color w:val="auto"/>
              </w:rPr>
            </w:pPr>
            <w:r>
              <w:rPr>
                <w:rFonts w:ascii="Arial" w:cs="Arial" w:eastAsia="Arial" w:hAnsi="Arial"/>
                <w:sz w:val="12"/>
                <w:szCs w:val="12"/>
                <w:color w:val="0000FF"/>
              </w:rPr>
              <w:t>Ordinary Shares</w:t>
            </w:r>
          </w:p>
        </w:tc>
        <w:tc>
          <w:tcPr>
            <w:tcW w:w="860" w:type="dxa"/>
            <w:vAlign w:val="bottom"/>
          </w:tcPr>
          <w:p>
            <w:pPr>
              <w:jc w:val="center"/>
              <w:ind w:left="108"/>
              <w:spacing w:after="0"/>
              <w:rPr>
                <w:sz w:val="20"/>
                <w:szCs w:val="20"/>
                <w:color w:val="auto"/>
              </w:rPr>
            </w:pPr>
            <w:r>
              <w:rPr>
                <w:rFonts w:ascii="Arial" w:cs="Arial" w:eastAsia="Arial" w:hAnsi="Arial"/>
                <w:sz w:val="12"/>
                <w:szCs w:val="12"/>
                <w:color w:val="0000FF"/>
                <w:w w:val="86"/>
              </w:rPr>
              <w:t>3,888</w:t>
            </w:r>
          </w:p>
        </w:tc>
        <w:tc>
          <w:tcPr>
            <w:tcW w:w="800" w:type="dxa"/>
            <w:vAlign w:val="bottom"/>
          </w:tcPr>
          <w:p>
            <w:pPr>
              <w:jc w:val="right"/>
              <w:ind w:right="319"/>
              <w:spacing w:after="0"/>
              <w:rPr>
                <w:sz w:val="20"/>
                <w:szCs w:val="20"/>
                <w:color w:val="auto"/>
              </w:rPr>
            </w:pPr>
            <w:r>
              <w:rPr>
                <w:rFonts w:ascii="Arial" w:cs="Arial" w:eastAsia="Arial" w:hAnsi="Arial"/>
                <w:sz w:val="8"/>
                <w:szCs w:val="8"/>
                <w:color w:val="008000"/>
              </w:rPr>
              <w:t>(2)</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Stock Option (Right to Buy)</w:t>
            </w:r>
          </w:p>
        </w:tc>
        <w:tc>
          <w:tcPr>
            <w:tcW w:w="600" w:type="dxa"/>
            <w:vAlign w:val="bottom"/>
          </w:tcPr>
          <w:p>
            <w:pPr>
              <w:jc w:val="right"/>
              <w:ind w:right="53"/>
              <w:spacing w:after="0"/>
              <w:rPr>
                <w:sz w:val="20"/>
                <w:szCs w:val="20"/>
                <w:color w:val="auto"/>
              </w:rPr>
            </w:pPr>
            <w:r>
              <w:rPr>
                <w:rFonts w:ascii="Arial" w:cs="Arial" w:eastAsia="Arial" w:hAnsi="Arial"/>
                <w:sz w:val="9"/>
                <w:szCs w:val="9"/>
                <w:color w:val="0000FF"/>
              </w:rPr>
              <w:t>06/15/2016</w:t>
            </w:r>
          </w:p>
        </w:tc>
        <w:tc>
          <w:tcPr>
            <w:tcW w:w="520" w:type="dxa"/>
            <w:vAlign w:val="bottom"/>
          </w:tcPr>
          <w:p>
            <w:pPr>
              <w:jc w:val="right"/>
              <w:spacing w:after="0"/>
              <w:rPr>
                <w:sz w:val="20"/>
                <w:szCs w:val="20"/>
                <w:color w:val="auto"/>
              </w:rPr>
            </w:pPr>
            <w:r>
              <w:rPr>
                <w:rFonts w:ascii="Arial" w:cs="Arial" w:eastAsia="Arial" w:hAnsi="Arial"/>
                <w:sz w:val="9"/>
                <w:szCs w:val="9"/>
                <w:color w:val="0000FF"/>
              </w:rPr>
              <w:t>06/15/2019</w:t>
            </w:r>
          </w:p>
        </w:tc>
        <w:tc>
          <w:tcPr>
            <w:tcW w:w="2140" w:type="dxa"/>
            <w:vAlign w:val="bottom"/>
          </w:tcPr>
          <w:p>
            <w:pPr>
              <w:ind w:left="800"/>
              <w:spacing w:after="0"/>
              <w:rPr>
                <w:sz w:val="20"/>
                <w:szCs w:val="20"/>
                <w:color w:val="auto"/>
              </w:rPr>
            </w:pPr>
            <w:r>
              <w:rPr>
                <w:rFonts w:ascii="Arial" w:cs="Arial" w:eastAsia="Arial" w:hAnsi="Arial"/>
                <w:sz w:val="12"/>
                <w:szCs w:val="12"/>
                <w:color w:val="0000FF"/>
              </w:rPr>
              <w:t>Ordinary Shares</w:t>
            </w:r>
          </w:p>
        </w:tc>
        <w:tc>
          <w:tcPr>
            <w:tcW w:w="860" w:type="dxa"/>
            <w:vAlign w:val="bottom"/>
          </w:tcPr>
          <w:p>
            <w:pPr>
              <w:jc w:val="center"/>
              <w:ind w:left="108"/>
              <w:spacing w:after="0"/>
              <w:rPr>
                <w:sz w:val="20"/>
                <w:szCs w:val="20"/>
                <w:color w:val="auto"/>
              </w:rPr>
            </w:pPr>
            <w:r>
              <w:rPr>
                <w:rFonts w:ascii="Arial" w:cs="Arial" w:eastAsia="Arial" w:hAnsi="Arial"/>
                <w:sz w:val="12"/>
                <w:szCs w:val="12"/>
                <w:color w:val="0000FF"/>
                <w:w w:val="86"/>
              </w:rPr>
              <w:t>2,830</w:t>
            </w:r>
          </w:p>
        </w:tc>
        <w:tc>
          <w:tcPr>
            <w:tcW w:w="800" w:type="dxa"/>
            <w:vAlign w:val="bottom"/>
          </w:tcPr>
          <w:p>
            <w:pPr>
              <w:jc w:val="right"/>
              <w:ind w:right="319"/>
              <w:spacing w:after="0"/>
              <w:rPr>
                <w:sz w:val="20"/>
                <w:szCs w:val="20"/>
                <w:color w:val="auto"/>
              </w:rPr>
            </w:pPr>
            <w:r>
              <w:rPr>
                <w:rFonts w:ascii="Arial" w:cs="Arial" w:eastAsia="Arial" w:hAnsi="Arial"/>
                <w:sz w:val="8"/>
                <w:szCs w:val="8"/>
                <w:color w:val="008000"/>
              </w:rPr>
              <w:t>(3)</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Stock Option (Right to Buy)</w:t>
            </w:r>
          </w:p>
        </w:tc>
        <w:tc>
          <w:tcPr>
            <w:tcW w:w="600" w:type="dxa"/>
            <w:vAlign w:val="bottom"/>
          </w:tcPr>
          <w:p>
            <w:pPr>
              <w:jc w:val="right"/>
              <w:ind w:right="53"/>
              <w:spacing w:after="0"/>
              <w:rPr>
                <w:sz w:val="20"/>
                <w:szCs w:val="20"/>
                <w:color w:val="auto"/>
              </w:rPr>
            </w:pPr>
            <w:r>
              <w:rPr>
                <w:rFonts w:ascii="Arial" w:cs="Arial" w:eastAsia="Arial" w:hAnsi="Arial"/>
                <w:sz w:val="9"/>
                <w:szCs w:val="9"/>
                <w:color w:val="0000FF"/>
              </w:rPr>
              <w:t>06/14/2017</w:t>
            </w:r>
          </w:p>
        </w:tc>
        <w:tc>
          <w:tcPr>
            <w:tcW w:w="520" w:type="dxa"/>
            <w:vAlign w:val="bottom"/>
          </w:tcPr>
          <w:p>
            <w:pPr>
              <w:jc w:val="right"/>
              <w:spacing w:after="0"/>
              <w:rPr>
                <w:sz w:val="20"/>
                <w:szCs w:val="20"/>
                <w:color w:val="auto"/>
              </w:rPr>
            </w:pPr>
            <w:r>
              <w:rPr>
                <w:rFonts w:ascii="Arial" w:cs="Arial" w:eastAsia="Arial" w:hAnsi="Arial"/>
                <w:sz w:val="9"/>
                <w:szCs w:val="9"/>
                <w:color w:val="0000FF"/>
              </w:rPr>
              <w:t>06/14/2021</w:t>
            </w:r>
          </w:p>
        </w:tc>
        <w:tc>
          <w:tcPr>
            <w:tcW w:w="2140" w:type="dxa"/>
            <w:vAlign w:val="bottom"/>
          </w:tcPr>
          <w:p>
            <w:pPr>
              <w:ind w:left="800"/>
              <w:spacing w:after="0"/>
              <w:rPr>
                <w:sz w:val="20"/>
                <w:szCs w:val="20"/>
                <w:color w:val="auto"/>
              </w:rPr>
            </w:pPr>
            <w:r>
              <w:rPr>
                <w:rFonts w:ascii="Arial" w:cs="Arial" w:eastAsia="Arial" w:hAnsi="Arial"/>
                <w:sz w:val="12"/>
                <w:szCs w:val="12"/>
                <w:color w:val="0000FF"/>
              </w:rPr>
              <w:t>Ordinary Shares</w:t>
            </w:r>
          </w:p>
        </w:tc>
        <w:tc>
          <w:tcPr>
            <w:tcW w:w="860" w:type="dxa"/>
            <w:vAlign w:val="bottom"/>
          </w:tcPr>
          <w:p>
            <w:pPr>
              <w:jc w:val="center"/>
              <w:ind w:left="108"/>
              <w:spacing w:after="0"/>
              <w:rPr>
                <w:sz w:val="20"/>
                <w:szCs w:val="20"/>
                <w:color w:val="auto"/>
              </w:rPr>
            </w:pPr>
            <w:r>
              <w:rPr>
                <w:rFonts w:ascii="Arial" w:cs="Arial" w:eastAsia="Arial" w:hAnsi="Arial"/>
                <w:sz w:val="12"/>
                <w:szCs w:val="12"/>
                <w:color w:val="0000FF"/>
                <w:w w:val="86"/>
              </w:rPr>
              <w:t>1,774</w:t>
            </w:r>
          </w:p>
        </w:tc>
        <w:tc>
          <w:tcPr>
            <w:tcW w:w="800" w:type="dxa"/>
            <w:vAlign w:val="bottom"/>
          </w:tcPr>
          <w:p>
            <w:pPr>
              <w:jc w:val="right"/>
              <w:ind w:right="319"/>
              <w:spacing w:after="0"/>
              <w:rPr>
                <w:sz w:val="20"/>
                <w:szCs w:val="20"/>
                <w:color w:val="auto"/>
              </w:rPr>
            </w:pPr>
            <w:r>
              <w:rPr>
                <w:rFonts w:ascii="Arial" w:cs="Arial" w:eastAsia="Arial" w:hAnsi="Arial"/>
                <w:sz w:val="8"/>
                <w:szCs w:val="8"/>
                <w:color w:val="008000"/>
              </w:rPr>
              <w:t>(4)</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Stock Option (Right to Buy)</w:t>
            </w:r>
          </w:p>
        </w:tc>
        <w:tc>
          <w:tcPr>
            <w:tcW w:w="600" w:type="dxa"/>
            <w:vAlign w:val="bottom"/>
          </w:tcPr>
          <w:p>
            <w:pPr>
              <w:jc w:val="right"/>
              <w:ind w:right="53"/>
              <w:spacing w:after="0"/>
              <w:rPr>
                <w:sz w:val="20"/>
                <w:szCs w:val="20"/>
                <w:color w:val="auto"/>
              </w:rPr>
            </w:pPr>
            <w:r>
              <w:rPr>
                <w:rFonts w:ascii="Arial" w:cs="Arial" w:eastAsia="Arial" w:hAnsi="Arial"/>
                <w:sz w:val="9"/>
                <w:szCs w:val="9"/>
                <w:color w:val="0000FF"/>
              </w:rPr>
              <w:t>09/07/2019</w:t>
            </w:r>
          </w:p>
        </w:tc>
        <w:tc>
          <w:tcPr>
            <w:tcW w:w="520" w:type="dxa"/>
            <w:vAlign w:val="bottom"/>
          </w:tcPr>
          <w:p>
            <w:pPr>
              <w:jc w:val="right"/>
              <w:spacing w:after="0"/>
              <w:rPr>
                <w:sz w:val="20"/>
                <w:szCs w:val="20"/>
                <w:color w:val="auto"/>
              </w:rPr>
            </w:pPr>
            <w:r>
              <w:rPr>
                <w:rFonts w:ascii="Arial" w:cs="Arial" w:eastAsia="Arial" w:hAnsi="Arial"/>
                <w:sz w:val="9"/>
                <w:szCs w:val="9"/>
                <w:color w:val="0000FF"/>
              </w:rPr>
              <w:t>09/07/2023</w:t>
            </w:r>
          </w:p>
        </w:tc>
        <w:tc>
          <w:tcPr>
            <w:tcW w:w="2140" w:type="dxa"/>
            <w:vAlign w:val="bottom"/>
          </w:tcPr>
          <w:p>
            <w:pPr>
              <w:ind w:left="800"/>
              <w:spacing w:after="0"/>
              <w:rPr>
                <w:sz w:val="20"/>
                <w:szCs w:val="20"/>
                <w:color w:val="auto"/>
              </w:rPr>
            </w:pPr>
            <w:r>
              <w:rPr>
                <w:rFonts w:ascii="Arial" w:cs="Arial" w:eastAsia="Arial" w:hAnsi="Arial"/>
                <w:sz w:val="12"/>
                <w:szCs w:val="12"/>
                <w:color w:val="0000FF"/>
              </w:rPr>
              <w:t>Ordinary Shares</w:t>
            </w:r>
          </w:p>
        </w:tc>
        <w:tc>
          <w:tcPr>
            <w:tcW w:w="860" w:type="dxa"/>
            <w:vAlign w:val="bottom"/>
          </w:tcPr>
          <w:p>
            <w:pPr>
              <w:jc w:val="center"/>
              <w:ind w:left="108"/>
              <w:spacing w:after="0"/>
              <w:rPr>
                <w:sz w:val="20"/>
                <w:szCs w:val="20"/>
                <w:color w:val="auto"/>
              </w:rPr>
            </w:pPr>
            <w:r>
              <w:rPr>
                <w:rFonts w:ascii="Arial" w:cs="Arial" w:eastAsia="Arial" w:hAnsi="Arial"/>
                <w:sz w:val="12"/>
                <w:szCs w:val="12"/>
                <w:color w:val="0000FF"/>
                <w:w w:val="86"/>
              </w:rPr>
              <w:t>8,000</w:t>
            </w:r>
          </w:p>
        </w:tc>
        <w:tc>
          <w:tcPr>
            <w:tcW w:w="800" w:type="dxa"/>
            <w:vAlign w:val="bottom"/>
          </w:tcPr>
          <w:p>
            <w:pPr>
              <w:jc w:val="right"/>
              <w:ind w:right="319"/>
              <w:spacing w:after="0"/>
              <w:rPr>
                <w:sz w:val="20"/>
                <w:szCs w:val="20"/>
                <w:color w:val="auto"/>
              </w:rPr>
            </w:pPr>
            <w:r>
              <w:rPr>
                <w:rFonts w:ascii="Arial" w:cs="Arial" w:eastAsia="Arial" w:hAnsi="Arial"/>
                <w:sz w:val="8"/>
                <w:szCs w:val="8"/>
                <w:color w:val="008000"/>
              </w:rPr>
              <w:t>(5)</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Stock Option (Right to Buy)</w:t>
            </w:r>
          </w:p>
        </w:tc>
        <w:tc>
          <w:tcPr>
            <w:tcW w:w="600" w:type="dxa"/>
            <w:vAlign w:val="bottom"/>
          </w:tcPr>
          <w:p>
            <w:pPr>
              <w:jc w:val="right"/>
              <w:ind w:right="53"/>
              <w:spacing w:after="0"/>
              <w:rPr>
                <w:sz w:val="20"/>
                <w:szCs w:val="20"/>
                <w:color w:val="auto"/>
              </w:rPr>
            </w:pPr>
            <w:r>
              <w:rPr>
                <w:rFonts w:ascii="Arial" w:cs="Arial" w:eastAsia="Arial" w:hAnsi="Arial"/>
                <w:sz w:val="9"/>
                <w:szCs w:val="9"/>
                <w:color w:val="0000FF"/>
              </w:rPr>
              <w:t>07/01/2020</w:t>
            </w:r>
          </w:p>
        </w:tc>
        <w:tc>
          <w:tcPr>
            <w:tcW w:w="520" w:type="dxa"/>
            <w:vAlign w:val="bottom"/>
          </w:tcPr>
          <w:p>
            <w:pPr>
              <w:jc w:val="right"/>
              <w:spacing w:after="0"/>
              <w:rPr>
                <w:sz w:val="20"/>
                <w:szCs w:val="20"/>
                <w:color w:val="auto"/>
              </w:rPr>
            </w:pPr>
            <w:r>
              <w:rPr>
                <w:rFonts w:ascii="Arial" w:cs="Arial" w:eastAsia="Arial" w:hAnsi="Arial"/>
                <w:sz w:val="9"/>
                <w:szCs w:val="9"/>
                <w:color w:val="0000FF"/>
              </w:rPr>
              <w:t>07/01/2024</w:t>
            </w:r>
          </w:p>
        </w:tc>
        <w:tc>
          <w:tcPr>
            <w:tcW w:w="2140" w:type="dxa"/>
            <w:vAlign w:val="bottom"/>
          </w:tcPr>
          <w:p>
            <w:pPr>
              <w:ind w:left="800"/>
              <w:spacing w:after="0"/>
              <w:rPr>
                <w:sz w:val="20"/>
                <w:szCs w:val="20"/>
                <w:color w:val="auto"/>
              </w:rPr>
            </w:pPr>
            <w:r>
              <w:rPr>
                <w:rFonts w:ascii="Arial" w:cs="Arial" w:eastAsia="Arial" w:hAnsi="Arial"/>
                <w:sz w:val="12"/>
                <w:szCs w:val="12"/>
                <w:color w:val="0000FF"/>
              </w:rPr>
              <w:t>Ordinary Shares</w:t>
            </w:r>
          </w:p>
        </w:tc>
        <w:tc>
          <w:tcPr>
            <w:tcW w:w="860" w:type="dxa"/>
            <w:vAlign w:val="bottom"/>
          </w:tcPr>
          <w:p>
            <w:pPr>
              <w:jc w:val="center"/>
              <w:ind w:left="128"/>
              <w:spacing w:after="0"/>
              <w:rPr>
                <w:sz w:val="20"/>
                <w:szCs w:val="20"/>
                <w:color w:val="auto"/>
              </w:rPr>
            </w:pPr>
            <w:r>
              <w:rPr>
                <w:rFonts w:ascii="Arial" w:cs="Arial" w:eastAsia="Arial" w:hAnsi="Arial"/>
                <w:sz w:val="12"/>
                <w:szCs w:val="12"/>
                <w:color w:val="0000FF"/>
                <w:w w:val="87"/>
              </w:rPr>
              <w:t>14,000</w:t>
            </w:r>
          </w:p>
        </w:tc>
        <w:tc>
          <w:tcPr>
            <w:tcW w:w="800" w:type="dxa"/>
            <w:vAlign w:val="bottom"/>
          </w:tcPr>
          <w:p>
            <w:pPr>
              <w:jc w:val="right"/>
              <w:ind w:right="319"/>
              <w:spacing w:after="0"/>
              <w:rPr>
                <w:sz w:val="20"/>
                <w:szCs w:val="20"/>
                <w:color w:val="auto"/>
              </w:rPr>
            </w:pPr>
            <w:r>
              <w:rPr>
                <w:rFonts w:ascii="Arial" w:cs="Arial" w:eastAsia="Arial" w:hAnsi="Arial"/>
                <w:sz w:val="8"/>
                <w:szCs w:val="8"/>
                <w:color w:val="008000"/>
              </w:rPr>
              <w:t>(6)</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9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Represents restricted stock units, each of which represents a contingent right to receive one Ordinary Share, that will vest on February 28, 2020.</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option is fully vested and immediately exercisable at an exercise price of 36.35EUR per ordinary share.</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option is fully vested and immediately exercisable at an exercise price of 37.27EUR per ordinary share.</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option is fully vested and immediately exercisable at an exercise price of 42.87EUR per ordinary share.</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option will vest on September 7, 2019 and will be exercisable at an exercise price of 23.92EUR per ordinary share.</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option will vest on July 1, 2020 and will be exercisable at an exercise price of 24.17EUR per ordinary share.</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146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7"/>
              </w:rPr>
              <w:t>Lisa P. Wang, Attorney-In-Fact</w:t>
            </w:r>
          </w:p>
        </w:tc>
        <w:tc>
          <w:tcPr>
            <w:tcW w:w="82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11/13/2017</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TechnipFMC Limited</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LIMITED POWER OF ATTORNEY</w:t>
      </w:r>
    </w:p>
    <w:p>
      <w:pPr>
        <w:ind w:left="8"/>
        <w:spacing w:after="0"/>
        <w:rPr>
          <w:sz w:val="20"/>
          <w:szCs w:val="20"/>
          <w:color w:val="auto"/>
        </w:rPr>
      </w:pPr>
      <w:r>
        <w:rPr>
          <w:rFonts w:ascii="Courier New" w:cs="Courier New" w:eastAsia="Courier New" w:hAnsi="Courier New"/>
          <w:sz w:val="12"/>
          <w:szCs w:val="12"/>
          <w:color w:val="auto"/>
        </w:rPr>
        <w:t>(For Executing Forms 3, 4 and 5)</w:t>
      </w:r>
    </w:p>
    <w:p>
      <w:pPr>
        <w:spacing w:after="0" w:line="138" w:lineRule="exact"/>
        <w:rPr>
          <w:sz w:val="20"/>
          <w:szCs w:val="20"/>
          <w:color w:val="auto"/>
        </w:rPr>
      </w:pPr>
    </w:p>
    <w:p>
      <w:pPr>
        <w:ind w:left="8" w:right="80"/>
        <w:spacing w:after="0" w:line="235" w:lineRule="auto"/>
        <w:rPr>
          <w:sz w:val="20"/>
          <w:szCs w:val="20"/>
          <w:color w:val="auto"/>
        </w:rPr>
      </w:pPr>
      <w:r>
        <w:rPr>
          <w:rFonts w:ascii="Courier New" w:cs="Courier New" w:eastAsia="Courier New" w:hAnsi="Courier New"/>
          <w:sz w:val="12"/>
          <w:szCs w:val="12"/>
          <w:color w:val="auto"/>
        </w:rPr>
        <w:t>Know all by these presents, that the undersigned hereby constitutes and appoints each of Jay A. Nutt, Charles Henri Prou and Lisa P. Wang, signing singly, and with true and lawful attorney-in-fact to:</w:t>
      </w:r>
    </w:p>
    <w:p>
      <w:pPr>
        <w:spacing w:after="0" w:line="139" w:lineRule="exact"/>
        <w:rPr>
          <w:sz w:val="20"/>
          <w:szCs w:val="20"/>
          <w:color w:val="auto"/>
        </w:rPr>
      </w:pPr>
    </w:p>
    <w:p>
      <w:pPr>
        <w:ind w:left="8" w:hanging="8"/>
        <w:spacing w:after="0" w:line="235" w:lineRule="auto"/>
        <w:tabs>
          <w:tab w:leader="none" w:pos="219"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or director, or both, of TechnipFMC Limited (to be renamed TechnipFMC p in accordance with Section 16(a) of the U.S. Securities Exchange Act of 1934 (the "Exchange Act"), as amended, and the rules thereunder;</w:t>
      </w:r>
    </w:p>
    <w:p>
      <w:pPr>
        <w:spacing w:after="0" w:line="139" w:lineRule="exact"/>
        <w:rPr>
          <w:rFonts w:ascii="Courier New" w:cs="Courier New" w:eastAsia="Courier New" w:hAnsi="Courier New"/>
          <w:sz w:val="12"/>
          <w:szCs w:val="12"/>
          <w:color w:val="auto"/>
        </w:rPr>
      </w:pPr>
    </w:p>
    <w:p>
      <w:pPr>
        <w:jc w:val="both"/>
        <w:ind w:left="8" w:hanging="8"/>
        <w:spacing w:after="0" w:line="236" w:lineRule="auto"/>
        <w:tabs>
          <w:tab w:leader="none" w:pos="219"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such Form 3, 4 or 5, complete thereto, and timely file such form with the U.S. Securities and Exchange Commission and any other similar authority, including without limitation the filing of a Fo appropriate to enable the undersigned to file the Forms 3, 4 and 5 electronically with the SEC; and</w:t>
      </w:r>
    </w:p>
    <w:p>
      <w:pPr>
        <w:spacing w:after="0" w:line="139" w:lineRule="exact"/>
        <w:rPr>
          <w:rFonts w:ascii="Courier New" w:cs="Courier New" w:eastAsia="Courier New" w:hAnsi="Courier New"/>
          <w:sz w:val="12"/>
          <w:szCs w:val="12"/>
          <w:color w:val="auto"/>
        </w:rPr>
      </w:pPr>
    </w:p>
    <w:p>
      <w:pPr>
        <w:jc w:val="both"/>
        <w:ind w:left="8" w:hanging="8"/>
        <w:spacing w:after="0" w:line="236" w:lineRule="auto"/>
        <w:tabs>
          <w:tab w:leader="none" w:pos="219"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i the undersigned, it being understood that the documents executed by such attorney-in-fact on behalf of the undersigned pursuant to this Limited Power of Attorney sh terms and conditions as such attorney-in-fact may approve in his or her discretion.</w:t>
      </w:r>
    </w:p>
    <w:p>
      <w:pPr>
        <w:spacing w:after="0" w:line="139" w:lineRule="exact"/>
        <w:rPr>
          <w:sz w:val="20"/>
          <w:szCs w:val="20"/>
          <w:color w:val="auto"/>
        </w:rPr>
      </w:pPr>
    </w:p>
    <w:p>
      <w:pPr>
        <w:jc w:val="both"/>
        <w:ind w:left="8"/>
        <w:spacing w:after="0" w:line="266" w:lineRule="auto"/>
        <w:rPr>
          <w:sz w:val="20"/>
          <w:szCs w:val="20"/>
          <w:color w:val="auto"/>
        </w:rPr>
      </w:pPr>
      <w:r>
        <w:rPr>
          <w:rFonts w:ascii="Courier New" w:cs="Courier New" w:eastAsia="Courier New" w:hAnsi="Courier New"/>
          <w:sz w:val="11"/>
          <w:szCs w:val="11"/>
          <w:color w:val="auto"/>
        </w:rPr>
        <w:t>The undersigned hereby grants to each such attorney-in-fact full power and authority to do and perform any and every act and thing whatsoever requisite, necessary a of the rights and powers herein granted, as fully to all intents and purposes as the undersigned might or could do if personally present, with full power of substit confirming all that such attorney-in fact, or his or her substitute or substitutes, shall lawfully do or cause to be done by virtue of this power of attorney and th</w:t>
      </w:r>
    </w:p>
    <w:p>
      <w:pPr>
        <w:spacing w:after="0" w:line="126" w:lineRule="exact"/>
        <w:rPr>
          <w:sz w:val="20"/>
          <w:szCs w:val="20"/>
          <w:color w:val="auto"/>
        </w:rPr>
      </w:pPr>
    </w:p>
    <w:p>
      <w:pPr>
        <w:jc w:val="both"/>
        <w:ind w:left="8"/>
        <w:spacing w:after="0" w:line="235" w:lineRule="auto"/>
        <w:rPr>
          <w:sz w:val="20"/>
          <w:szCs w:val="20"/>
          <w:color w:val="auto"/>
        </w:rPr>
      </w:pPr>
      <w:r>
        <w:rPr>
          <w:rFonts w:ascii="Courier New" w:cs="Courier New" w:eastAsia="Courier New" w:hAnsi="Courier New"/>
          <w:sz w:val="12"/>
          <w:szCs w:val="12"/>
          <w:color w:val="auto"/>
        </w:rPr>
        <w:t>The undersigned acknowledges that the foregoing attorneys-in-fact, in serving in such capacity at the request of the undersigned, are not assuming, nor is the Compa responsibilities to comply with Section 16 of the Exchange Act.</w:t>
      </w:r>
    </w:p>
    <w:p>
      <w:pPr>
        <w:spacing w:after="0" w:line="139" w:lineRule="exact"/>
        <w:rPr>
          <w:sz w:val="20"/>
          <w:szCs w:val="20"/>
          <w:color w:val="auto"/>
        </w:rPr>
      </w:pPr>
    </w:p>
    <w:p>
      <w:pPr>
        <w:jc w:val="both"/>
        <w:ind w:left="8"/>
        <w:spacing w:after="0" w:line="235" w:lineRule="auto"/>
        <w:rPr>
          <w:sz w:val="20"/>
          <w:szCs w:val="20"/>
          <w:color w:val="auto"/>
        </w:rPr>
      </w:pPr>
      <w:r>
        <w:rPr>
          <w:rFonts w:ascii="Courier New" w:cs="Courier New" w:eastAsia="Courier New" w:hAnsi="Courier New"/>
          <w:sz w:val="12"/>
          <w:szCs w:val="12"/>
          <w:color w:val="auto"/>
        </w:rPr>
        <w:t>This Limited Power of Attorney shall remain in full force and effect until the undersigned is no longer required to file Forms 3, 4 or 5 with respect to the undersi securities issued by the Company, unless earlier revoked by the undersigned in a signed writing delivered to each of the foregoing attorneys-in-fact.</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Limited Power of Attorney to be executed as of this day 30th of October 2017.</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/s/Samik Mukherjee</w:t>
      </w:r>
    </w:p>
    <w:p>
      <w:pPr>
        <w:ind w:left="8"/>
        <w:spacing w:after="0"/>
        <w:rPr>
          <w:sz w:val="20"/>
          <w:szCs w:val="20"/>
          <w:color w:val="auto"/>
        </w:rPr>
      </w:pPr>
      <w:r>
        <w:rPr>
          <w:rFonts w:ascii="Courier New" w:cs="Courier New" w:eastAsia="Courier New" w:hAnsi="Courier New"/>
          <w:sz w:val="12"/>
          <w:szCs w:val="12"/>
          <w:color w:val="auto"/>
        </w:rPr>
        <w:t>Name: Samik Mukherjee</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21904" TargetMode="External"/><Relationship Id="rId12"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2019-12-04T02:41:17Z</dcterms:created>
  <dcterms:modified xsi:type="dcterms:W3CDTF">2019-12-04T02:41:17Z</dcterms:modified>
</cp:coreProperties>
</file>