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Scott Mark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TECHNIPFMC PLC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TechnipFMC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FTI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EVP, Quality HSE/Sec &amp; Comm</w:t>
      </w:r>
    </w:p>
    <w:p>
      <w:pPr>
        <w:spacing w:after="0" w:line="42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LONDON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9"/>
              </w:rPr>
              <w:t>X0</w:t>
            </w:r>
          </w:p>
        </w:tc>
        <w:tc>
          <w:tcPr>
            <w:tcW w:w="102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color w:val="0000FF"/>
              </w:rPr>
              <w:t>EC4M 8AP</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6"/>
              </w:rPr>
              <w:t>Ordinary Shares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01/17/2017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w w:val="86"/>
                <w:vertAlign w:val="subscript"/>
              </w:rPr>
              <w:t>15</w:t>
            </w:r>
            <w:r>
              <w:rPr>
                <w:rFonts w:ascii="Arial" w:cs="Arial" w:eastAsia="Arial" w:hAnsi="Arial"/>
                <w:sz w:val="11"/>
                <w:szCs w:val="11"/>
                <w:color w:val="008000"/>
                <w:w w:val="86"/>
              </w:rPr>
              <w:t>(1)</w:t>
            </w:r>
          </w:p>
        </w:tc>
        <w:tc>
          <w:tcPr>
            <w:tcW w:w="7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104,124</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5"/>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85" w:lineRule="auto"/>
        <w:tabs>
          <w:tab w:leader="none" w:pos="17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Due to an administrative error, the Form 4 filed by the Reporting Person on January 18, 2017 underreported by 15 shares the number of Ordinary Shares received by the Reporting Person pursuant to the Business Combination Agreement, dated as of June 14, 2016, by and among the Issuer, FMC Technologies, Inc., and Technip S.A. (the "BCA"). The number of Ordinary Shares reported in Column 5 herein represents the number of Ordinary Shares directly held by the Reporting Person immediately following the completion of the transactions contemplated by the BCA.</w:t>
      </w: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 Lisa P. Wang - Attorney-In- </w:t>
      </w:r>
      <w:r>
        <w:rPr>
          <w:rFonts w:ascii="Arial" w:cs="Arial" w:eastAsia="Arial" w:hAnsi="Arial"/>
          <w:sz w:val="35"/>
          <w:szCs w:val="35"/>
          <w:color w:val="0000FF"/>
          <w:vertAlign w:val="subscript"/>
        </w:rPr>
        <w:t>02/21/2018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0024"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2019-12-24T09:06:16Z</dcterms:created>
  <dcterms:modified xsi:type="dcterms:W3CDTF">2019-12-24T09:06:16Z</dcterms:modified>
</cp:coreProperties>
</file>