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904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9044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Duffe Luana</w:t>
              </w:r>
            </w:hyperlink>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0000EE"/>
            </w:tcBorders>
            <w:vMerge w:val="continue"/>
          </w:tcPr>
          <w:p>
            <w:pPr>
              <w:spacing w:after="0"/>
              <w:rPr>
                <w:sz w:val="9"/>
                <w:szCs w:val="9"/>
                <w:color w:val="auto"/>
              </w:rPr>
            </w:pPr>
          </w:p>
        </w:tc>
        <w:tc>
          <w:tcPr>
            <w:tcW w:w="1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11/10/2021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0"/>
                <w:szCs w:val="10"/>
                <w:color w:val="auto"/>
              </w:rPr>
              <w:t>(Last)</w:t>
            </w:r>
          </w:p>
        </w:tc>
        <w:tc>
          <w:tcPr>
            <w:tcW w:w="1080" w:type="dxa"/>
            <w:vAlign w:val="bottom"/>
          </w:tcPr>
          <w:p>
            <w:pPr>
              <w:ind w:left="1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TechnipFMC plc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FTI</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TECHNIPFMC PLC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HADRIAN HOUSE, WINCOMBLEE ROAD</w:t>
      </w:r>
    </w:p>
    <w:p>
      <w:pPr>
        <w:spacing w:after="0" w:line="226"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940" w:type="dxa"/>
            <w:vAlign w:val="bottom"/>
          </w:tcPr>
          <w:p>
            <w:pPr>
              <w:spacing w:after="0"/>
              <w:rPr>
                <w:sz w:val="20"/>
                <w:szCs w:val="20"/>
                <w:color w:val="auto"/>
              </w:rPr>
            </w:pPr>
            <w:r>
              <w:rPr>
                <w:rFonts w:ascii="Arial" w:cs="Arial" w:eastAsia="Arial" w:hAnsi="Arial"/>
                <w:sz w:val="10"/>
                <w:szCs w:val="10"/>
                <w:color w:val="auto"/>
              </w:rPr>
              <w:t>(Street)</w:t>
            </w: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40" w:type="dxa"/>
            <w:vAlign w:val="bottom"/>
          </w:tcPr>
          <w:p>
            <w:pPr>
              <w:ind w:left="40"/>
              <w:spacing w:after="0"/>
              <w:rPr>
                <w:sz w:val="20"/>
                <w:szCs w:val="20"/>
                <w:color w:val="auto"/>
              </w:rPr>
            </w:pPr>
            <w:r>
              <w:rPr>
                <w:rFonts w:ascii="Arial" w:cs="Arial" w:eastAsia="Arial" w:hAnsi="Arial"/>
                <w:sz w:val="13"/>
                <w:szCs w:val="13"/>
                <w:color w:val="0000FF"/>
              </w:rPr>
              <w:t>NEWCASTLE</w:t>
            </w:r>
          </w:p>
        </w:tc>
        <w:tc>
          <w:tcPr>
            <w:tcW w:w="760" w:type="dxa"/>
            <w:vAlign w:val="bottom"/>
            <w:vMerge w:val="restart"/>
          </w:tcPr>
          <w:p>
            <w:pPr>
              <w:ind w:left="140"/>
              <w:spacing w:after="0"/>
              <w:rPr>
                <w:sz w:val="20"/>
                <w:szCs w:val="20"/>
                <w:color w:val="auto"/>
              </w:rPr>
            </w:pPr>
            <w:r>
              <w:rPr>
                <w:rFonts w:ascii="Arial" w:cs="Arial" w:eastAsia="Arial" w:hAnsi="Arial"/>
                <w:sz w:val="13"/>
                <w:szCs w:val="13"/>
                <w:color w:val="0000FF"/>
              </w:rPr>
              <w:t>X0</w:t>
            </w:r>
          </w:p>
        </w:tc>
        <w:tc>
          <w:tcPr>
            <w:tcW w:w="940" w:type="dxa"/>
            <w:vAlign w:val="bottom"/>
            <w:vMerge w:val="restart"/>
          </w:tcPr>
          <w:p>
            <w:pPr>
              <w:ind w:left="440"/>
              <w:spacing w:after="0"/>
              <w:rPr>
                <w:sz w:val="20"/>
                <w:szCs w:val="20"/>
                <w:color w:val="auto"/>
              </w:rPr>
            </w:pPr>
            <w:r>
              <w:rPr>
                <w:rFonts w:ascii="Arial" w:cs="Arial" w:eastAsia="Arial" w:hAnsi="Arial"/>
                <w:sz w:val="13"/>
                <w:szCs w:val="13"/>
                <w:color w:val="0000FF"/>
                <w:w w:val="92"/>
              </w:rPr>
              <w:t>NE6 3PL</w:t>
            </w:r>
          </w:p>
        </w:tc>
        <w:tc>
          <w:tcPr>
            <w:tcW w:w="0" w:type="dxa"/>
            <w:vAlign w:val="bottom"/>
          </w:tcPr>
          <w:p>
            <w:pPr>
              <w:spacing w:after="0"/>
              <w:rPr>
                <w:sz w:val="1"/>
                <w:szCs w:val="1"/>
                <w:color w:val="auto"/>
              </w:rPr>
            </w:pPr>
          </w:p>
        </w:tc>
      </w:tr>
      <w:tr>
        <w:trPr>
          <w:trHeight w:val="84"/>
        </w:trPr>
        <w:tc>
          <w:tcPr>
            <w:tcW w:w="940" w:type="dxa"/>
            <w:vAlign w:val="bottom"/>
            <w:vMerge w:val="restart"/>
          </w:tcPr>
          <w:p>
            <w:pPr>
              <w:ind w:left="40"/>
              <w:spacing w:after="0"/>
              <w:rPr>
                <w:sz w:val="20"/>
                <w:szCs w:val="20"/>
                <w:color w:val="auto"/>
              </w:rPr>
            </w:pPr>
            <w:r>
              <w:rPr>
                <w:rFonts w:ascii="Arial" w:cs="Arial" w:eastAsia="Arial" w:hAnsi="Arial"/>
                <w:sz w:val="13"/>
                <w:szCs w:val="13"/>
                <w:color w:val="0000FF"/>
              </w:rPr>
              <w:t>UPON TYNE</w:t>
            </w: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885"/>
        <w:spacing w:after="0"/>
        <w:rPr>
          <w:sz w:val="20"/>
          <w:szCs w:val="20"/>
          <w:color w:val="auto"/>
        </w:rPr>
      </w:pPr>
      <w:r>
        <w:rPr>
          <w:rFonts w:ascii="Arial" w:cs="Arial" w:eastAsia="Arial" w:hAnsi="Arial"/>
          <w:sz w:val="13"/>
          <w:szCs w:val="13"/>
          <w:color w:val="0000FF"/>
        </w:rPr>
        <w:t>EVP, New Energy Ventures</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44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 w:type="dxa"/>
            <w:vAlign w:val="bottom"/>
            <w:tcBorders>
              <w:bottom w:val="single" w:sz="8" w:color="2C2C2C"/>
            </w:tcBorders>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Ordinary Shares</w:t>
            </w:r>
          </w:p>
        </w:tc>
        <w:tc>
          <w:tcPr>
            <w:tcW w:w="9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120" w:type="dxa"/>
            <w:vAlign w:val="bottom"/>
            <w:tcBorders>
              <w:bottom w:val="single" w:sz="8" w:color="2C2C2C"/>
            </w:tcBorders>
          </w:tcPr>
          <w:p>
            <w:pPr>
              <w:jc w:val="right"/>
              <w:ind w:right="926"/>
              <w:spacing w:after="0"/>
              <w:rPr>
                <w:sz w:val="20"/>
                <w:szCs w:val="20"/>
                <w:color w:val="auto"/>
              </w:rPr>
            </w:pPr>
            <w:r>
              <w:rPr>
                <w:rFonts w:ascii="Arial" w:cs="Arial" w:eastAsia="Arial" w:hAnsi="Arial"/>
                <w:sz w:val="13"/>
                <w:szCs w:val="13"/>
                <w:color w:val="0000FF"/>
              </w:rPr>
              <w:t>47,361</w:t>
            </w:r>
            <w:r>
              <w:rPr>
                <w:rFonts w:ascii="Arial" w:cs="Arial" w:eastAsia="Arial" w:hAnsi="Arial"/>
                <w:sz w:val="16"/>
                <w:szCs w:val="16"/>
                <w:color w:val="008000"/>
                <w:vertAlign w:val="superscript"/>
              </w:rPr>
              <w:t>(1)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1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40" w:right="160" w:hanging="10"/>
        <w:spacing w:after="0" w:line="255" w:lineRule="auto"/>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Represents grants of restricted stock units, each of which represents a contingent right to receive one Ordinary Share upon vesting, 3,923 of which will vest on March 8, 2022, 12,197 of which will vest on March 9, 2023, 6,809 of which will vest on March 1, 2024, and 20,661 of which will vest on September 15, 2024.</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Guillaume Groisard, Attorney-in-Fact</w:t>
            </w:r>
          </w:p>
        </w:tc>
        <w:tc>
          <w:tcPr>
            <w:tcW w:w="2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11/10/2021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TechnipFMC plc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Executing Forms 3, 4 and 5)</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Victoria Lazar, Guillaume Groisard, and Aurelia Gorma</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or both, of TechnipFMC plc (the "</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such</w:t>
      </w:r>
    </w:p>
    <w:p>
      <w:pPr>
        <w:spacing w:after="0" w:line="153" w:lineRule="exact"/>
        <w:rPr>
          <w:rFonts w:ascii="Courier New" w:cs="Courier New" w:eastAsia="Courier New" w:hAnsi="Courier New"/>
          <w:sz w:val="13"/>
          <w:szCs w:val="13"/>
          <w:color w:val="auto"/>
        </w:rPr>
      </w:pPr>
    </w:p>
    <w:p>
      <w:pPr>
        <w:jc w:val="both"/>
        <w:ind w:right="80"/>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Limited Power of Attorney shall remain in full force and effect until the undersigned is no longer required to file Forms 3, 4 or 5 with IN WITNESS WHEREOF, the undersigned has caused this Limited Power of Attorney to be executed as of this 27th day of October 2021.</w:t>
      </w:r>
    </w:p>
    <w:p>
      <w:pPr>
        <w:spacing w:after="0" w:line="153"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/s/Luana Duffe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Name: Luana Duffe</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92809" TargetMode="External"/><Relationship Id="rId12"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2021-11-10T16:35:46Z</dcterms:created>
  <dcterms:modified xsi:type="dcterms:W3CDTF">2021-11-10T16:35:46Z</dcterms:modified>
</cp:coreProperties>
</file>