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2"/>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160" w:type="dxa"/>
            <w:vAlign w:val="bottom"/>
            <w:vMerge w:val="restart"/>
          </w:tcPr>
          <w:p>
            <w:pPr>
              <w:ind w:left="2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Lazar Victoria</w:t>
              </w:r>
            </w:hyperlink>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11/23/2020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9" w:lineRule="exact"/>
        <w:rPr>
          <w:sz w:val="24"/>
          <w:szCs w:val="24"/>
          <w:color w:val="auto"/>
        </w:rPr>
      </w:pPr>
    </w:p>
    <w:p>
      <w:pPr>
        <w:spacing w:after="0"/>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u w:val="single" w:color="auto"/>
            <w:color w:val="0000EE"/>
          </w:rPr>
          <w:t>TechnipFMC plc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FTI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286"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tbl>
      <w:tblPr>
        <w:tblLayout w:type="fixed"/>
        <w:tblInd w:w="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20" w:type="dxa"/>
            <w:vAlign w:val="bottom"/>
          </w:tcPr>
          <w:p>
            <w:pPr>
              <w:ind w:left="20"/>
              <w:spacing w:after="0"/>
              <w:rPr>
                <w:sz w:val="20"/>
                <w:szCs w:val="20"/>
                <w:color w:val="auto"/>
              </w:rPr>
            </w:pPr>
            <w:r>
              <w:rPr>
                <w:rFonts w:ascii="Arial" w:cs="Arial" w:eastAsia="Arial" w:hAnsi="Arial"/>
                <w:sz w:val="10"/>
                <w:szCs w:val="10"/>
                <w:color w:val="auto"/>
              </w:rPr>
              <w:t>(Last)</w:t>
            </w:r>
          </w:p>
        </w:tc>
        <w:tc>
          <w:tcPr>
            <w:tcW w:w="1180" w:type="dxa"/>
            <w:vAlign w:val="bottom"/>
          </w:tcPr>
          <w:p>
            <w:pPr>
              <w:ind w:left="240"/>
              <w:spacing w:after="0"/>
              <w:rPr>
                <w:sz w:val="20"/>
                <w:szCs w:val="20"/>
                <w:color w:val="auto"/>
              </w:rPr>
            </w:pPr>
            <w:r>
              <w:rPr>
                <w:rFonts w:ascii="Arial" w:cs="Arial" w:eastAsia="Arial" w:hAnsi="Arial"/>
                <w:sz w:val="10"/>
                <w:szCs w:val="10"/>
                <w:color w:val="auto"/>
              </w:rPr>
              <w:t>(First)</w:t>
            </w:r>
          </w:p>
        </w:tc>
        <w:tc>
          <w:tcPr>
            <w:tcW w:w="1160" w:type="dxa"/>
            <w:vAlign w:val="bottom"/>
          </w:tcPr>
          <w:p>
            <w:pPr>
              <w:ind w:left="120"/>
              <w:spacing w:after="0"/>
              <w:rPr>
                <w:sz w:val="20"/>
                <w:szCs w:val="20"/>
                <w:color w:val="auto"/>
              </w:rPr>
            </w:pPr>
            <w:r>
              <w:rPr>
                <w:rFonts w:ascii="Arial" w:cs="Arial" w:eastAsia="Arial" w:hAnsi="Arial"/>
                <w:sz w:val="10"/>
                <w:szCs w:val="10"/>
                <w:color w:val="auto"/>
              </w:rPr>
              <w:t>(Middle)</w:t>
            </w:r>
          </w:p>
        </w:tc>
      </w:tr>
      <w:tr>
        <w:trPr>
          <w:trHeight w:val="206"/>
        </w:trPr>
        <w:tc>
          <w:tcPr>
            <w:tcW w:w="20" w:type="dxa"/>
            <w:vAlign w:val="bottom"/>
          </w:tcPr>
          <w:p>
            <w:pPr>
              <w:spacing w:after="0"/>
              <w:rPr>
                <w:sz w:val="17"/>
                <w:szCs w:val="17"/>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ONE ST. PAUL'S CHURCHYARD</w:t>
            </w:r>
          </w:p>
        </w:tc>
        <w:tc>
          <w:tcPr>
            <w:tcW w:w="1160" w:type="dxa"/>
            <w:vAlign w:val="bottom"/>
          </w:tcPr>
          <w:p>
            <w:pPr>
              <w:spacing w:after="0"/>
              <w:rPr>
                <w:sz w:val="17"/>
                <w:szCs w:val="17"/>
                <w:color w:val="auto"/>
              </w:rPr>
            </w:pPr>
          </w:p>
        </w:tc>
      </w:tr>
      <w:tr>
        <w:trPr>
          <w:trHeight w:val="152"/>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r>
      <w:tr>
        <w:trPr>
          <w:trHeight w:val="202"/>
        </w:trPr>
        <w:tc>
          <w:tcPr>
            <w:tcW w:w="84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LONDON</w:t>
            </w:r>
          </w:p>
        </w:tc>
        <w:tc>
          <w:tcPr>
            <w:tcW w:w="11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X0</w:t>
            </w:r>
          </w:p>
        </w:tc>
        <w:tc>
          <w:tcPr>
            <w:tcW w:w="11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EC4M 8AP</w:t>
            </w:r>
          </w:p>
        </w:tc>
      </w:tr>
    </w:tbl>
    <w:p>
      <w:pPr>
        <w:spacing w:after="0" w:line="20" w:lineRule="exact"/>
        <w:rPr>
          <w:sz w:val="24"/>
          <w:szCs w:val="24"/>
          <w:color w:val="auto"/>
        </w:rPr>
      </w:pPr>
      <w:r>
        <w:rPr>
          <w:sz w:val="24"/>
          <w:szCs w:val="24"/>
          <w:color w:val="auto"/>
        </w:rPr>
        <w:br w:type="column"/>
      </w:r>
    </w:p>
    <w:p>
      <w:pPr>
        <w:ind w:left="5" w:right="940" w:hanging="5"/>
        <w:spacing w:after="0" w:line="26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23"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6"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3"/>
          <w:szCs w:val="13"/>
          <w:color w:val="0000FF"/>
        </w:rPr>
        <w:t>EVP, General Counsel &amp; Sec</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8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41"/>
        </w:trPr>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No Securities are Beneficially Owned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jc w:val="right"/>
              <w:ind w:right="1106"/>
              <w:spacing w:after="0"/>
              <w:rPr>
                <w:sz w:val="20"/>
                <w:szCs w:val="20"/>
                <w:color w:val="auto"/>
              </w:rPr>
            </w:pPr>
            <w:r>
              <w:rPr>
                <w:rFonts w:ascii="Times New Roman" w:cs="Times New Roman" w:eastAsia="Times New Roman" w:hAnsi="Times New Roman"/>
                <w:sz w:val="13"/>
                <w:szCs w:val="13"/>
                <w:color w:val="0000FF"/>
              </w:rPr>
              <w:t>0</w:t>
            </w:r>
          </w:p>
        </w:tc>
        <w:tc>
          <w:tcPr>
            <w:tcW w:w="6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286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880" w:type="dxa"/>
            <w:vAlign w:val="bottom"/>
            <w:gridSpan w:val="5"/>
          </w:tcPr>
          <w:p>
            <w:pPr>
              <w:ind w:left="8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2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-788035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Lisa P. Wang - Attorney-In-Fact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11/24/2020</w:t>
            </w:r>
          </w:p>
        </w:tc>
      </w:tr>
      <w:tr>
        <w:trPr>
          <w:trHeight w:val="172"/>
        </w:trPr>
        <w:tc>
          <w:tcPr>
            <w:tcW w:w="6580" w:type="dxa"/>
            <w:vAlign w:val="bottom"/>
          </w:tcPr>
          <w:p>
            <w:pPr>
              <w:spacing w:after="0"/>
              <w:rPr>
                <w:sz w:val="14"/>
                <w:szCs w:val="14"/>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54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bl>
    <w:p>
      <w:pPr>
        <w:spacing w:after="0" w:line="16"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TechnipFMC plc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Executing Forms 3, 4 and 5)</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Stephen Siegel, Lisa P. Wang, and Aurelia Gorman, sig</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or both, of TechnipFMC plc (the "</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such</w:t>
      </w:r>
    </w:p>
    <w:p>
      <w:pPr>
        <w:spacing w:after="0" w:line="152" w:lineRule="exact"/>
        <w:rPr>
          <w:rFonts w:ascii="Courier New" w:cs="Courier New" w:eastAsia="Courier New" w:hAnsi="Courier New"/>
          <w:sz w:val="13"/>
          <w:szCs w:val="13"/>
          <w:color w:val="auto"/>
        </w:rPr>
      </w:pPr>
    </w:p>
    <w:p>
      <w:pPr>
        <w:jc w:val="both"/>
        <w:ind w:right="80"/>
        <w:spacing w:after="0" w:line="489"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Limited Power of Attorney shall remain in full force and effect until the undersigned is no longer required to file Forms 3, 4 or 5 with IN WITNESS WHEREOF, the undersigned has caused this Limited Power of Attorney to be executed as of this 23rd day of November 2020.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Victoria Lazar</w:t>
      </w:r>
    </w:p>
    <w:p>
      <w:pPr>
        <w:spacing w:after="0" w:line="2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3"/>
          <w:szCs w:val="13"/>
          <w:color w:val="auto"/>
        </w:rPr>
        <w:t>Name:</w:t>
        <w:tab/>
        <w:t>Victoria Lazar</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81917"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2020-11-24T19:34:48Z</dcterms:created>
  <dcterms:modified xsi:type="dcterms:W3CDTF">2020-11-24T19:34:48Z</dcterms:modified>
</cp:coreProperties>
</file>