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160655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254635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TechnipFMC plc</w:t>
      </w:r>
    </w:p>
    <w:p>
      <w:pPr>
        <w:spacing w:after="0" w:line="53"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(Name of Issuer)</w:t>
      </w:r>
    </w:p>
    <w:p>
      <w:pPr>
        <w:ind w:left="4860"/>
        <w:spacing w:after="0"/>
        <w:rPr>
          <w:sz w:val="20"/>
          <w:szCs w:val="20"/>
          <w:color w:val="auto"/>
        </w:rPr>
      </w:pPr>
      <w:r>
        <w:rPr>
          <w:rFonts w:ascii="Arial" w:cs="Arial" w:eastAsia="Arial" w:hAnsi="Arial"/>
          <w:sz w:val="18"/>
          <w:szCs w:val="18"/>
          <w:b w:val="1"/>
          <w:bCs w:val="1"/>
          <w:color w:val="auto"/>
        </w:rPr>
        <w:t>COMMON STOCK</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G87110105</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229235</wp:posOffset>
            </wp:positionV>
            <wp:extent cx="1508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ind w:left="1220" w:hanging="21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20" w:hanging="21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2" w:lineRule="exact"/>
        <w:rPr>
          <w:sz w:val="24"/>
          <w:szCs w:val="24"/>
          <w:color w:val="auto"/>
        </w:rPr>
      </w:pPr>
    </w:p>
    <w:p>
      <w:pPr>
        <w:ind w:left="1220" w:hanging="216"/>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00" w:hanging="499"/>
        <w:spacing w:after="0" w:line="246"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2" w:lineRule="exact"/>
        <w:rPr>
          <w:rFonts w:ascii="MS PGothic" w:cs="MS PGothic" w:eastAsia="MS PGothic" w:hAnsi="MS PGothic"/>
          <w:sz w:val="18"/>
          <w:szCs w:val="18"/>
          <w:color w:val="auto"/>
        </w:rPr>
      </w:pPr>
    </w:p>
    <w:p>
      <w:pPr>
        <w:ind w:left="520"/>
        <w:spacing w:after="0"/>
        <w:rPr>
          <w:rFonts w:ascii="MS PGothic" w:cs="MS PGothic" w:eastAsia="MS PGothic" w:hAnsi="MS PGothic"/>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w:t>
      </w:r>
    </w:p>
    <w:p>
      <w:pPr>
        <w:ind w:right="600"/>
        <w:spacing w:after="0" w:line="246" w:lineRule="auto"/>
        <w:rPr>
          <w:sz w:val="20"/>
          <w:szCs w:val="20"/>
          <w:color w:val="auto"/>
        </w:rPr>
      </w:pPr>
      <w:r>
        <w:rPr>
          <w:rFonts w:ascii="Arial" w:cs="Arial" w:eastAsia="Arial" w:hAnsi="Arial"/>
          <w:sz w:val="18"/>
          <w:szCs w:val="18"/>
          <w:color w:val="auto"/>
        </w:rPr>
        <w:t>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657" w:right="4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40" w:type="dxa"/>
            <w:vAlign w:val="bottom"/>
          </w:tcPr>
          <w:p>
            <w:pPr>
              <w:ind w:left="2620"/>
              <w:spacing w:after="0"/>
              <w:rPr>
                <w:sz w:val="20"/>
                <w:szCs w:val="20"/>
                <w:color w:val="auto"/>
              </w:rPr>
            </w:pPr>
            <w:r>
              <w:rPr>
                <w:rFonts w:ascii="Arial" w:cs="Arial" w:eastAsia="Arial" w:hAnsi="Arial"/>
                <w:sz w:val="18"/>
                <w:szCs w:val="18"/>
                <w:color w:val="auto"/>
              </w:rPr>
              <w:t>SCHEDULE 13G</w:t>
            </w:r>
          </w:p>
        </w:tc>
        <w:tc>
          <w:tcPr>
            <w:tcW w:w="20" w:type="dxa"/>
            <w:vAlign w:val="bottom"/>
          </w:tcPr>
          <w:p>
            <w:pPr>
              <w:spacing w:after="0"/>
              <w:rPr>
                <w:sz w:val="18"/>
                <w:szCs w:val="18"/>
                <w:color w:val="auto"/>
              </w:rPr>
            </w:pPr>
          </w:p>
        </w:tc>
      </w:tr>
      <w:tr>
        <w:trPr>
          <w:trHeight w:val="243"/>
        </w:trPr>
        <w:tc>
          <w:tcPr>
            <w:tcW w:w="2500" w:type="dxa"/>
            <w:vAlign w:val="bottom"/>
            <w:gridSpan w:val="6"/>
          </w:tcPr>
          <w:p>
            <w:pPr>
              <w:spacing w:after="0"/>
              <w:rPr>
                <w:sz w:val="20"/>
                <w:szCs w:val="20"/>
                <w:color w:val="auto"/>
              </w:rPr>
            </w:pPr>
            <w:r>
              <w:rPr>
                <w:rFonts w:ascii="Arial" w:cs="Arial" w:eastAsia="Arial" w:hAnsi="Arial"/>
                <w:sz w:val="18"/>
                <w:szCs w:val="18"/>
                <w:color w:val="auto"/>
              </w:rPr>
              <w:t>CUSIP NO. G87110105</w:t>
            </w:r>
          </w:p>
        </w:tc>
        <w:tc>
          <w:tcPr>
            <w:tcW w:w="8740" w:type="dxa"/>
            <w:vAlign w:val="bottom"/>
          </w:tcPr>
          <w:p>
            <w:pPr>
              <w:ind w:left="7000"/>
              <w:spacing w:after="0"/>
              <w:rPr>
                <w:sz w:val="20"/>
                <w:szCs w:val="20"/>
                <w:color w:val="auto"/>
              </w:rPr>
            </w:pPr>
            <w:r>
              <w:rPr>
                <w:rFonts w:ascii="Arial" w:cs="Arial" w:eastAsia="Arial" w:hAnsi="Arial"/>
                <w:sz w:val="18"/>
                <w:szCs w:val="18"/>
                <w:color w:val="auto"/>
                <w:w w:val="95"/>
              </w:rPr>
              <w:t>PAGE 2 OF 6 PAGES</w:t>
            </w:r>
          </w:p>
        </w:tc>
        <w:tc>
          <w:tcPr>
            <w:tcW w:w="20" w:type="dxa"/>
            <w:vAlign w:val="bottom"/>
          </w:tcPr>
          <w:p>
            <w:pPr>
              <w:spacing w:after="0"/>
              <w:rPr>
                <w:sz w:val="21"/>
                <w:szCs w:val="21"/>
                <w:color w:val="auto"/>
              </w:rPr>
            </w:pPr>
          </w:p>
        </w:tc>
      </w:tr>
      <w:tr>
        <w:trPr>
          <w:trHeight w:val="45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1.</w:t>
            </w:r>
          </w:p>
        </w:tc>
        <w:tc>
          <w:tcPr>
            <w:tcW w:w="240" w:type="dxa"/>
            <w:vAlign w:val="bottom"/>
            <w:tcBorders>
              <w:right w:val="single" w:sz="8" w:color="auto"/>
            </w:tcBorders>
          </w:tcPr>
          <w:p>
            <w:pPr>
              <w:spacing w:after="0"/>
              <w:rPr>
                <w:sz w:val="18"/>
                <w:szCs w:val="18"/>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Name of reporting person/s.s. Or I.R.S. Identification</w:t>
            </w:r>
          </w:p>
        </w:tc>
        <w:tc>
          <w:tcPr>
            <w:tcW w:w="20" w:type="dxa"/>
            <w:vAlign w:val="bottom"/>
          </w:tcPr>
          <w:p>
            <w:pPr>
              <w:spacing w:after="0"/>
              <w:rPr>
                <w:sz w:val="18"/>
                <w:szCs w:val="18"/>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color w:val="auto"/>
              </w:rPr>
              <w:t>No. of above person</w:t>
            </w:r>
          </w:p>
        </w:tc>
        <w:tc>
          <w:tcPr>
            <w:tcW w:w="87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PZENA INVESTMENT MANAGEMENT, LLC</w:t>
            </w: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2.</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20" w:type="dxa"/>
            <w:vAlign w:val="bottom"/>
          </w:tcPr>
          <w:p>
            <w:pPr>
              <w:spacing w:after="0"/>
              <w:rPr>
                <w:sz w:val="19"/>
                <w:szCs w:val="19"/>
                <w:color w:val="auto"/>
              </w:rPr>
            </w:pPr>
          </w:p>
        </w:tc>
      </w:tr>
      <w:tr>
        <w:trPr>
          <w:trHeight w:val="405"/>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80" w:type="dxa"/>
            <w:vAlign w:val="bottom"/>
            <w:tcBorders>
              <w:bottom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3.</w:t>
            </w:r>
          </w:p>
        </w:tc>
        <w:tc>
          <w:tcPr>
            <w:tcW w:w="240" w:type="dxa"/>
            <w:vAlign w:val="bottom"/>
            <w:tcBorders>
              <w:right w:val="single" w:sz="8" w:color="auto"/>
            </w:tcBorders>
          </w:tcPr>
          <w:p>
            <w:pPr>
              <w:spacing w:after="0"/>
              <w:rPr>
                <w:sz w:val="19"/>
                <w:szCs w:val="19"/>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87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4.</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20" w:type="dxa"/>
            <w:vAlign w:val="bottom"/>
          </w:tcPr>
          <w:p>
            <w:pPr>
              <w:spacing w:after="0"/>
              <w:rPr>
                <w:sz w:val="19"/>
                <w:szCs w:val="19"/>
                <w:color w:val="auto"/>
              </w:rPr>
            </w:pPr>
          </w:p>
        </w:tc>
      </w:tr>
      <w:tr>
        <w:trPr>
          <w:trHeight w:val="39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DELAWARE</w:t>
            </w: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r>
      <w:tr>
        <w:trPr>
          <w:trHeight w:val="391"/>
        </w:trPr>
        <w:tc>
          <w:tcPr>
            <w:tcW w:w="142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9"/>
              </w:rPr>
              <w:t>Number of</w:t>
            </w:r>
          </w:p>
        </w:tc>
        <w:tc>
          <w:tcPr>
            <w:tcW w:w="32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18,923,986</w:t>
            </w:r>
          </w:p>
        </w:tc>
        <w:tc>
          <w:tcPr>
            <w:tcW w:w="20" w:type="dxa"/>
            <w:vAlign w:val="bottom"/>
          </w:tcPr>
          <w:p>
            <w:pPr>
              <w:spacing w:after="0"/>
              <w:rPr>
                <w:sz w:val="24"/>
                <w:szCs w:val="24"/>
                <w:color w:val="auto"/>
              </w:rPr>
            </w:pPr>
          </w:p>
        </w:tc>
      </w:tr>
      <w:tr>
        <w:trPr>
          <w:trHeight w:val="209"/>
        </w:trPr>
        <w:tc>
          <w:tcPr>
            <w:tcW w:w="480" w:type="dxa"/>
            <w:vAlign w:val="bottom"/>
            <w:tcBorders>
              <w:left w:val="single" w:sz="8" w:color="auto"/>
            </w:tcBorders>
          </w:tcPr>
          <w:p>
            <w:pPr>
              <w:spacing w:after="0"/>
              <w:rPr>
                <w:sz w:val="18"/>
                <w:szCs w:val="18"/>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shares</w:t>
            </w:r>
          </w:p>
        </w:tc>
        <w:tc>
          <w:tcPr>
            <w:tcW w:w="3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8"/>
                <w:szCs w:val="18"/>
                <w:color w:val="auto"/>
              </w:rPr>
            </w:pPr>
          </w:p>
        </w:tc>
      </w:tr>
      <w:tr>
        <w:trPr>
          <w:trHeight w:val="203"/>
        </w:trPr>
        <w:tc>
          <w:tcPr>
            <w:tcW w:w="1420" w:type="dxa"/>
            <w:vAlign w:val="bottom"/>
            <w:tcBorders>
              <w:left w:val="single" w:sz="8" w:color="auto"/>
            </w:tcBorders>
            <w:gridSpan w:val="3"/>
          </w:tcPr>
          <w:p>
            <w:pPr>
              <w:jc w:val="center"/>
              <w:ind w:left="230"/>
              <w:spacing w:after="0" w:line="202" w:lineRule="exact"/>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40" w:type="dxa"/>
            <w:vAlign w:val="bottom"/>
            <w:gridSpan w:val="2"/>
          </w:tcPr>
          <w:p>
            <w:pPr>
              <w:jc w:val="center"/>
              <w:ind w:right="70"/>
              <w:spacing w:after="0" w:line="203" w:lineRule="exact"/>
              <w:rPr>
                <w:sz w:val="20"/>
                <w:szCs w:val="20"/>
                <w:color w:val="auto"/>
              </w:rPr>
            </w:pPr>
            <w:r>
              <w:rPr>
                <w:rFonts w:ascii="Arial" w:cs="Arial" w:eastAsia="Arial" w:hAnsi="Arial"/>
                <w:sz w:val="18"/>
                <w:szCs w:val="18"/>
                <w:color w:val="auto"/>
              </w:rPr>
              <w:t>owned by</w:t>
            </w:r>
          </w:p>
        </w:tc>
        <w:tc>
          <w:tcPr>
            <w:tcW w:w="32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740" w:type="dxa"/>
            <w:vAlign w:val="bottom"/>
            <w:tcBorders>
              <w:bottom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09"/>
        </w:trPr>
        <w:tc>
          <w:tcPr>
            <w:tcW w:w="480" w:type="dxa"/>
            <w:vAlign w:val="bottom"/>
            <w:tcBorders>
              <w:left w:val="single" w:sz="8" w:color="auto"/>
            </w:tcBorders>
          </w:tcPr>
          <w:p>
            <w:pPr>
              <w:spacing w:after="0"/>
              <w:rPr>
                <w:sz w:val="18"/>
                <w:szCs w:val="18"/>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8"/>
                <w:szCs w:val="18"/>
                <w:color w:val="auto"/>
                <w:w w:val="97"/>
              </w:rPr>
              <w:t>each</w:t>
            </w:r>
          </w:p>
        </w:tc>
        <w:tc>
          <w:tcPr>
            <w:tcW w:w="3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8"/>
                <w:szCs w:val="18"/>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40" w:type="dxa"/>
            <w:vAlign w:val="bottom"/>
            <w:gridSpan w:val="2"/>
          </w:tcPr>
          <w:p>
            <w:pPr>
              <w:jc w:val="center"/>
              <w:ind w:right="70"/>
              <w:spacing w:after="0" w:line="202" w:lineRule="exact"/>
              <w:rPr>
                <w:sz w:val="20"/>
                <w:szCs w:val="20"/>
                <w:color w:val="auto"/>
              </w:rPr>
            </w:pPr>
            <w:r>
              <w:rPr>
                <w:rFonts w:ascii="Arial" w:cs="Arial" w:eastAsia="Arial" w:hAnsi="Arial"/>
                <w:sz w:val="18"/>
                <w:szCs w:val="18"/>
                <w:color w:val="auto"/>
                <w:w w:val="98"/>
              </w:rPr>
              <w:t>reporting</w:t>
            </w:r>
          </w:p>
        </w:tc>
        <w:tc>
          <w:tcPr>
            <w:tcW w:w="3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40" w:type="dxa"/>
            <w:vAlign w:val="bottom"/>
            <w:gridSpan w:val="2"/>
          </w:tcPr>
          <w:p>
            <w:pPr>
              <w:jc w:val="center"/>
              <w:ind w:right="70"/>
              <w:spacing w:after="0" w:line="203" w:lineRule="exact"/>
              <w:rPr>
                <w:sz w:val="20"/>
                <w:szCs w:val="20"/>
                <w:color w:val="auto"/>
              </w:rPr>
            </w:pPr>
            <w:r>
              <w:rPr>
                <w:rFonts w:ascii="Arial" w:cs="Arial" w:eastAsia="Arial" w:hAnsi="Arial"/>
                <w:sz w:val="18"/>
                <w:szCs w:val="18"/>
                <w:color w:val="auto"/>
                <w:w w:val="98"/>
              </w:rPr>
              <w:t>person</w:t>
            </w:r>
          </w:p>
        </w:tc>
        <w:tc>
          <w:tcPr>
            <w:tcW w:w="32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740" w:type="dxa"/>
            <w:vAlign w:val="bottom"/>
            <w:tcBorders>
              <w:bottom w:val="single" w:sz="8" w:color="auto"/>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24,671,025</w:t>
            </w:r>
          </w:p>
        </w:tc>
        <w:tc>
          <w:tcPr>
            <w:tcW w:w="20" w:type="dxa"/>
            <w:vAlign w:val="bottom"/>
          </w:tcPr>
          <w:p>
            <w:pPr>
              <w:spacing w:after="0"/>
              <w:rPr>
                <w:sz w:val="17"/>
                <w:szCs w:val="17"/>
                <w:color w:val="auto"/>
              </w:rPr>
            </w:pPr>
          </w:p>
        </w:tc>
      </w:tr>
      <w:tr>
        <w:trPr>
          <w:trHeight w:val="223"/>
        </w:trPr>
        <w:tc>
          <w:tcPr>
            <w:tcW w:w="480" w:type="dxa"/>
            <w:vAlign w:val="bottom"/>
            <w:tcBorders>
              <w:left w:val="single" w:sz="8" w:color="auto"/>
            </w:tcBorders>
          </w:tcPr>
          <w:p>
            <w:pPr>
              <w:spacing w:after="0"/>
              <w:rPr>
                <w:sz w:val="19"/>
                <w:szCs w:val="19"/>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8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r>
      <w:tr>
        <w:trPr>
          <w:trHeight w:val="39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92"/>
              </w:rPr>
              <w:t>9.</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20" w:type="dxa"/>
            <w:vAlign w:val="bottom"/>
          </w:tcPr>
          <w:p>
            <w:pPr>
              <w:spacing w:after="0"/>
              <w:rPr>
                <w:sz w:val="19"/>
                <w:szCs w:val="19"/>
                <w:color w:val="auto"/>
              </w:rPr>
            </w:pPr>
          </w:p>
        </w:tc>
      </w:tr>
      <w:tr>
        <w:trPr>
          <w:trHeight w:val="39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5"/>
              </w:rPr>
              <w:t>24,671,025</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 w:type="dxa"/>
            <w:vAlign w:val="bottom"/>
          </w:tcPr>
          <w:p>
            <w:pPr>
              <w:spacing w:after="0"/>
              <w:rPr>
                <w:sz w:val="19"/>
                <w:szCs w:val="19"/>
                <w:color w:val="auto"/>
              </w:rPr>
            </w:pPr>
          </w:p>
        </w:tc>
      </w:tr>
      <w:tr>
        <w:trPr>
          <w:trHeight w:val="405"/>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19"/>
                <w:szCs w:val="19"/>
                <w:color w:val="auto"/>
              </w:rPr>
            </w:pPr>
          </w:p>
        </w:tc>
      </w:tr>
      <w:tr>
        <w:trPr>
          <w:trHeight w:val="39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5.49%</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8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w:t>
            </w:r>
          </w:p>
        </w:tc>
        <w:tc>
          <w:tcPr>
            <w:tcW w:w="20" w:type="dxa"/>
            <w:vAlign w:val="bottom"/>
          </w:tcPr>
          <w:p>
            <w:pPr>
              <w:spacing w:after="0"/>
              <w:rPr>
                <w:sz w:val="19"/>
                <w:szCs w:val="19"/>
                <w:color w:val="auto"/>
              </w:rPr>
            </w:pPr>
          </w:p>
        </w:tc>
      </w:tr>
      <w:tr>
        <w:trPr>
          <w:trHeight w:val="39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IA</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color w:val="auto"/>
        </w:rPr>
        <w:t>SCHEDULE 13G</w:t>
      </w:r>
    </w:p>
    <w:p>
      <w:pPr>
        <w:spacing w:after="0" w:line="35"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 G87110105</w:t>
      </w:r>
      <w:r>
        <w:rPr>
          <w:sz w:val="20"/>
          <w:szCs w:val="20"/>
          <w:color w:val="auto"/>
        </w:rPr>
        <w:tab/>
      </w:r>
      <w:r>
        <w:rPr>
          <w:rFonts w:ascii="Arial" w:cs="Arial" w:eastAsia="Arial" w:hAnsi="Arial"/>
          <w:sz w:val="17"/>
          <w:szCs w:val="17"/>
          <w:color w:val="auto"/>
        </w:rPr>
        <w:t>PAGE 3 OF 6 PAGES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04" w:lineRule="exact"/>
        <w:rPr>
          <w:sz w:val="20"/>
          <w:szCs w:val="20"/>
          <w:color w:val="auto"/>
        </w:rPr>
      </w:pPr>
    </w:p>
    <w:p>
      <w:pPr>
        <w:ind w:left="840" w:hanging="27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TechnipFMC plc</w:t>
      </w:r>
    </w:p>
    <w:p>
      <w:pPr>
        <w:spacing w:after="0" w:line="171" w:lineRule="exact"/>
        <w:rPr>
          <w:rFonts w:ascii="Arial" w:cs="Arial" w:eastAsia="Arial" w:hAnsi="Arial"/>
          <w:sz w:val="18"/>
          <w:szCs w:val="18"/>
          <w:color w:val="auto"/>
        </w:rPr>
      </w:pPr>
    </w:p>
    <w:p>
      <w:pPr>
        <w:ind w:left="840" w:hanging="27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St. Paul’s Churchyard</w:t>
      </w:r>
    </w:p>
    <w:p>
      <w:pPr>
        <w:ind w:left="900"/>
        <w:spacing w:after="0"/>
        <w:rPr>
          <w:sz w:val="20"/>
          <w:szCs w:val="20"/>
          <w:color w:val="auto"/>
        </w:rPr>
      </w:pPr>
      <w:r>
        <w:rPr>
          <w:rFonts w:ascii="Arial" w:cs="Arial" w:eastAsia="Arial" w:hAnsi="Arial"/>
          <w:sz w:val="18"/>
          <w:szCs w:val="18"/>
          <w:color w:val="auto"/>
        </w:rPr>
        <w:t>London, United Kingdom EC4M 8AP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71" w:lineRule="exact"/>
        <w:rPr>
          <w:sz w:val="20"/>
          <w:szCs w:val="20"/>
          <w:color w:val="auto"/>
        </w:rPr>
      </w:pPr>
    </w:p>
    <w:p>
      <w:pPr>
        <w:ind w:left="840" w:hanging="27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 Pzena Investment Management, LLC</w:t>
      </w:r>
    </w:p>
    <w:p>
      <w:pPr>
        <w:spacing w:after="0" w:line="171" w:lineRule="exact"/>
        <w:rPr>
          <w:rFonts w:ascii="Arial" w:cs="Arial" w:eastAsia="Arial" w:hAnsi="Arial"/>
          <w:sz w:val="18"/>
          <w:szCs w:val="18"/>
          <w:color w:val="auto"/>
        </w:rPr>
      </w:pPr>
    </w:p>
    <w:p>
      <w:pPr>
        <w:ind w:left="1020" w:right="5660" w:hanging="457"/>
        <w:spacing w:after="0" w:line="446" w:lineRule="auto"/>
        <w:tabs>
          <w:tab w:leader="none" w:pos="827"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320 Park Avenue, 8th Floor, New York, NY 10022</w:t>
      </w:r>
    </w:p>
    <w:p>
      <w:pPr>
        <w:ind w:left="820" w:hanging="25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Delaware</w:t>
      </w:r>
    </w:p>
    <w:p>
      <w:pPr>
        <w:spacing w:after="0" w:line="171" w:lineRule="exact"/>
        <w:rPr>
          <w:rFonts w:ascii="Arial" w:cs="Arial" w:eastAsia="Arial" w:hAnsi="Arial"/>
          <w:sz w:val="18"/>
          <w:szCs w:val="18"/>
          <w:color w:val="auto"/>
        </w:rPr>
      </w:pPr>
    </w:p>
    <w:p>
      <w:pPr>
        <w:ind w:left="840" w:hanging="27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 Common Stock</w:t>
      </w:r>
    </w:p>
    <w:p>
      <w:pPr>
        <w:spacing w:after="0" w:line="184" w:lineRule="exact"/>
        <w:rPr>
          <w:rFonts w:ascii="Arial" w:cs="Arial" w:eastAsia="Arial" w:hAnsi="Arial"/>
          <w:sz w:val="18"/>
          <w:szCs w:val="18"/>
          <w:color w:val="auto"/>
        </w:rPr>
      </w:pPr>
    </w:p>
    <w:p>
      <w:pPr>
        <w:ind w:left="840" w:hanging="27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G87110105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RULE 13D-1(B), OR 13D-2(B), CHECK WHETHER THE PERSON FILING IS A:</w:t>
      </w:r>
    </w:p>
    <w:p>
      <w:pPr>
        <w:spacing w:after="0" w:line="239" w:lineRule="exact"/>
        <w:rPr>
          <w:sz w:val="20"/>
          <w:szCs w:val="20"/>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Bank as defined in section 3(a)(6) of the Act</w:t>
      </w:r>
    </w:p>
    <w:p>
      <w:pPr>
        <w:spacing w:after="0" w:line="36" w:lineRule="exact"/>
        <w:rPr>
          <w:rFonts w:ascii="Arial" w:cs="Arial" w:eastAsia="Arial" w:hAnsi="Arial"/>
          <w:sz w:val="18"/>
          <w:szCs w:val="18"/>
          <w:color w:val="auto"/>
        </w:rPr>
      </w:pPr>
    </w:p>
    <w:p>
      <w:pPr>
        <w:ind w:left="880" w:hanging="51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w:t>
      </w:r>
    </w:p>
    <w:p>
      <w:pPr>
        <w:spacing w:after="0" w:line="36" w:lineRule="exact"/>
        <w:rPr>
          <w:rFonts w:ascii="Arial" w:cs="Arial" w:eastAsia="Arial" w:hAnsi="Arial"/>
          <w:sz w:val="18"/>
          <w:szCs w:val="18"/>
          <w:color w:val="auto"/>
        </w:rPr>
      </w:pPr>
    </w:p>
    <w:p>
      <w:pPr>
        <w:ind w:left="820" w:hanging="465"/>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 ]   Investment Adviser registered under section 203 of the Investment Advisers Act or under the laws of any State</w:t>
      </w:r>
    </w:p>
    <w:p>
      <w:pPr>
        <w:spacing w:after="0" w:line="36" w:lineRule="exact"/>
        <w:rPr>
          <w:rFonts w:ascii="Arial" w:cs="Arial" w:eastAsia="Arial" w:hAnsi="Arial"/>
          <w:sz w:val="18"/>
          <w:szCs w:val="18"/>
          <w:color w:val="auto"/>
        </w:rPr>
      </w:pPr>
    </w:p>
    <w:p>
      <w:pPr>
        <w:ind w:left="880" w:hanging="47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Employee Benefit Plan, Pension fund which is subject to the Endowment Fund; see ss.240.13d-1(b)(1)(ii)(F)</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ss.240.13d-1(b)(ii)(G) (Note: See Item 7)</w:t>
      </w:r>
    </w:p>
    <w:p>
      <w:pPr>
        <w:spacing w:after="0" w:line="36" w:lineRule="exact"/>
        <w:rPr>
          <w:rFonts w:ascii="Arial" w:cs="Arial" w:eastAsia="Arial" w:hAnsi="Arial"/>
          <w:sz w:val="18"/>
          <w:szCs w:val="18"/>
          <w:color w:val="auto"/>
        </w:rPr>
      </w:pPr>
    </w:p>
    <w:p>
      <w:pPr>
        <w:ind w:left="880" w:hanging="52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36" w:lineRule="exact"/>
        <w:rPr>
          <w:rFonts w:ascii="Arial" w:cs="Arial" w:eastAsia="Arial" w:hAnsi="Arial"/>
          <w:sz w:val="18"/>
          <w:szCs w:val="18"/>
          <w:color w:val="auto"/>
        </w:rPr>
      </w:pPr>
    </w:p>
    <w:p>
      <w:pPr>
        <w:ind w:left="1360" w:right="520" w:hanging="945"/>
        <w:spacing w:after="0" w:line="234" w:lineRule="auto"/>
        <w:tabs>
          <w:tab w:leader="none" w:pos="8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w:t>
      </w:r>
    </w:p>
    <w:p>
      <w:pPr>
        <w:spacing w:after="0" w:line="1" w:lineRule="exact"/>
        <w:rPr>
          <w:rFonts w:ascii="Arial" w:cs="Arial" w:eastAsia="Arial" w:hAnsi="Arial"/>
          <w:sz w:val="18"/>
          <w:szCs w:val="18"/>
          <w:color w:val="auto"/>
        </w:rPr>
      </w:pPr>
    </w:p>
    <w:p>
      <w:pPr>
        <w:ind w:left="880" w:hanging="46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21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If this statement is filed pursuant to ss.240.13d-1(c), check this box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color w:val="auto"/>
        </w:rPr>
        <w:t>SCHEDULE 13G</w:t>
      </w:r>
    </w:p>
    <w:p>
      <w:pPr>
        <w:spacing w:after="0" w:line="36"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NO.G87110105</w:t>
      </w:r>
      <w:r>
        <w:rPr>
          <w:sz w:val="20"/>
          <w:szCs w:val="20"/>
          <w:color w:val="auto"/>
        </w:rPr>
        <w:tab/>
      </w:r>
      <w:r>
        <w:rPr>
          <w:rFonts w:ascii="Arial" w:cs="Arial" w:eastAsia="Arial" w:hAnsi="Arial"/>
          <w:sz w:val="17"/>
          <w:szCs w:val="17"/>
          <w:color w:val="auto"/>
        </w:rPr>
        <w:t>PAGE 4 OF 6 PAGES</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ITEM 4. OWNERSHIP</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the percent of the class owned, as of December 31 of the year covered by this statement, or as of the last day of any month described in Rule 13d-1(b)(2) if applicable exceeds five percent, provide the following information as of that date and identify those shares which there is a right to acquire.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5760" w:type="dxa"/>
            <w:vAlign w:val="bottom"/>
          </w:tcPr>
          <w:p>
            <w:pPr>
              <w:ind w:left="200"/>
              <w:spacing w:after="0"/>
              <w:rPr>
                <w:sz w:val="20"/>
                <w:szCs w:val="20"/>
                <w:color w:val="auto"/>
              </w:rPr>
            </w:pPr>
            <w:r>
              <w:rPr>
                <w:rFonts w:ascii="Arial" w:cs="Arial" w:eastAsia="Arial" w:hAnsi="Arial"/>
                <w:sz w:val="18"/>
                <w:szCs w:val="18"/>
                <w:color w:val="auto"/>
              </w:rPr>
              <w:t>Amount Beneficially Owned:</w:t>
            </w:r>
          </w:p>
        </w:tc>
        <w:tc>
          <w:tcPr>
            <w:tcW w:w="4220" w:type="dxa"/>
            <w:vAlign w:val="bottom"/>
          </w:tcPr>
          <w:p>
            <w:pPr>
              <w:ind w:left="3320"/>
              <w:spacing w:after="0"/>
              <w:rPr>
                <w:sz w:val="20"/>
                <w:szCs w:val="20"/>
                <w:color w:val="auto"/>
              </w:rPr>
            </w:pPr>
            <w:r>
              <w:rPr>
                <w:rFonts w:ascii="Arial" w:cs="Arial" w:eastAsia="Arial" w:hAnsi="Arial"/>
                <w:sz w:val="18"/>
                <w:szCs w:val="18"/>
                <w:color w:val="auto"/>
                <w:w w:val="97"/>
              </w:rPr>
              <w:t>24,671,025</w:t>
            </w:r>
          </w:p>
        </w:tc>
      </w:tr>
      <w:tr>
        <w:trPr>
          <w:trHeight w:val="486"/>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5760" w:type="dxa"/>
            <w:vAlign w:val="bottom"/>
          </w:tcPr>
          <w:p>
            <w:pPr>
              <w:ind w:left="200"/>
              <w:spacing w:after="0"/>
              <w:rPr>
                <w:sz w:val="20"/>
                <w:szCs w:val="20"/>
                <w:color w:val="auto"/>
              </w:rPr>
            </w:pPr>
            <w:r>
              <w:rPr>
                <w:rFonts w:ascii="Arial" w:cs="Arial" w:eastAsia="Arial" w:hAnsi="Arial"/>
                <w:sz w:val="18"/>
                <w:szCs w:val="18"/>
                <w:color w:val="auto"/>
              </w:rPr>
              <w:t>Percent of Class:</w:t>
            </w:r>
          </w:p>
        </w:tc>
        <w:tc>
          <w:tcPr>
            <w:tcW w:w="4220" w:type="dxa"/>
            <w:vAlign w:val="bottom"/>
          </w:tcPr>
          <w:p>
            <w:pPr>
              <w:ind w:left="3320"/>
              <w:spacing w:after="0"/>
              <w:rPr>
                <w:sz w:val="20"/>
                <w:szCs w:val="20"/>
                <w:color w:val="auto"/>
              </w:rPr>
            </w:pPr>
            <w:r>
              <w:rPr>
                <w:rFonts w:ascii="Arial" w:cs="Arial" w:eastAsia="Arial" w:hAnsi="Arial"/>
                <w:sz w:val="18"/>
                <w:szCs w:val="18"/>
                <w:color w:val="auto"/>
              </w:rPr>
              <w:t>5.49%</w:t>
            </w:r>
          </w:p>
        </w:tc>
      </w:tr>
    </w:tbl>
    <w:p>
      <w:pPr>
        <w:spacing w:after="0" w:line="269"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79"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380" w:type="dxa"/>
            <w:vAlign w:val="bottom"/>
          </w:tcPr>
          <w:p>
            <w:pPr>
              <w:spacing w:after="0"/>
              <w:rPr>
                <w:sz w:val="20"/>
                <w:szCs w:val="20"/>
                <w:color w:val="auto"/>
              </w:rPr>
            </w:pPr>
            <w:r>
              <w:rPr>
                <w:rFonts w:ascii="Arial" w:cs="Arial" w:eastAsia="Arial" w:hAnsi="Arial"/>
                <w:sz w:val="18"/>
                <w:szCs w:val="18"/>
                <w:color w:val="auto"/>
              </w:rPr>
              <w:t>(i)</w:t>
            </w:r>
          </w:p>
        </w:tc>
        <w:tc>
          <w:tcPr>
            <w:tcW w:w="646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18,923,986</w:t>
            </w:r>
          </w:p>
        </w:tc>
      </w:tr>
      <w:tr>
        <w:trPr>
          <w:trHeight w:val="486"/>
        </w:trPr>
        <w:tc>
          <w:tcPr>
            <w:tcW w:w="380" w:type="dxa"/>
            <w:vAlign w:val="bottom"/>
          </w:tcPr>
          <w:p>
            <w:pPr>
              <w:spacing w:after="0"/>
              <w:rPr>
                <w:sz w:val="20"/>
                <w:szCs w:val="20"/>
                <w:color w:val="auto"/>
              </w:rPr>
            </w:pPr>
            <w:r>
              <w:rPr>
                <w:rFonts w:ascii="Arial" w:cs="Arial" w:eastAsia="Arial" w:hAnsi="Arial"/>
                <w:sz w:val="18"/>
                <w:szCs w:val="18"/>
                <w:color w:val="auto"/>
              </w:rPr>
              <w:t>(ii)</w:t>
            </w:r>
          </w:p>
        </w:tc>
        <w:tc>
          <w:tcPr>
            <w:tcW w:w="646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486"/>
        </w:trPr>
        <w:tc>
          <w:tcPr>
            <w:tcW w:w="380" w:type="dxa"/>
            <w:vAlign w:val="bottom"/>
          </w:tcPr>
          <w:p>
            <w:pPr>
              <w:spacing w:after="0"/>
              <w:rPr>
                <w:sz w:val="20"/>
                <w:szCs w:val="20"/>
                <w:color w:val="auto"/>
              </w:rPr>
            </w:pPr>
            <w:r>
              <w:rPr>
                <w:rFonts w:ascii="Arial" w:cs="Arial" w:eastAsia="Arial" w:hAnsi="Arial"/>
                <w:sz w:val="18"/>
                <w:szCs w:val="18"/>
                <w:color w:val="auto"/>
              </w:rPr>
              <w:t>(iii)</w:t>
            </w:r>
          </w:p>
        </w:tc>
        <w:tc>
          <w:tcPr>
            <w:tcW w:w="646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w:t>
            </w:r>
          </w:p>
        </w:tc>
        <w:tc>
          <w:tcPr>
            <w:tcW w:w="3040" w:type="dxa"/>
            <w:vAlign w:val="bottom"/>
          </w:tcPr>
          <w:p>
            <w:pPr>
              <w:jc w:val="right"/>
              <w:spacing w:after="0"/>
              <w:rPr>
                <w:sz w:val="20"/>
                <w:szCs w:val="20"/>
                <w:color w:val="auto"/>
              </w:rPr>
            </w:pPr>
            <w:r>
              <w:rPr>
                <w:rFonts w:ascii="Arial" w:cs="Arial" w:eastAsia="Arial" w:hAnsi="Arial"/>
                <w:sz w:val="18"/>
                <w:szCs w:val="18"/>
                <w:color w:val="auto"/>
              </w:rPr>
              <w:t>24,671,025</w:t>
            </w:r>
          </w:p>
        </w:tc>
      </w:tr>
      <w:tr>
        <w:trPr>
          <w:trHeight w:val="486"/>
        </w:trPr>
        <w:tc>
          <w:tcPr>
            <w:tcW w:w="380" w:type="dxa"/>
            <w:vAlign w:val="bottom"/>
          </w:tcPr>
          <w:p>
            <w:pPr>
              <w:spacing w:after="0"/>
              <w:rPr>
                <w:sz w:val="20"/>
                <w:szCs w:val="20"/>
                <w:color w:val="auto"/>
              </w:rPr>
            </w:pPr>
            <w:r>
              <w:rPr>
                <w:rFonts w:ascii="Arial" w:cs="Arial" w:eastAsia="Arial" w:hAnsi="Arial"/>
                <w:sz w:val="18"/>
                <w:szCs w:val="18"/>
                <w:color w:val="auto"/>
              </w:rPr>
              <w:t>(iv)</w:t>
            </w:r>
          </w:p>
        </w:tc>
        <w:tc>
          <w:tcPr>
            <w:tcW w:w="646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5. OWNERSHIP OF FIVE PERCENT OR LESS OF A CLASS</w:t>
      </w:r>
    </w:p>
    <w:p>
      <w:pPr>
        <w:spacing w:after="0" w:line="18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employees benefit plan, pension fund or endowment fund is not required.</w:t>
      </w:r>
    </w:p>
    <w:p>
      <w:pPr>
        <w:spacing w:after="0" w:line="17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62" w:lineRule="exact"/>
        <w:rPr>
          <w:sz w:val="20"/>
          <w:szCs w:val="20"/>
          <w:color w:val="auto"/>
        </w:rPr>
      </w:pPr>
    </w:p>
    <w:p>
      <w:pPr>
        <w:ind w:left="980" w:right="260" w:hanging="888"/>
        <w:spacing w:after="0" w:line="246"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15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color w:val="auto"/>
        </w:rPr>
        <w:t>SCHEDULE 13G</w:t>
      </w:r>
    </w:p>
    <w:p>
      <w:pPr>
        <w:spacing w:after="0" w:line="35"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 G87110105</w:t>
      </w:r>
      <w:r>
        <w:rPr>
          <w:sz w:val="20"/>
          <w:szCs w:val="20"/>
          <w:color w:val="auto"/>
        </w:rPr>
        <w:tab/>
      </w:r>
      <w:r>
        <w:rPr>
          <w:rFonts w:ascii="Arial" w:cs="Arial" w:eastAsia="Arial" w:hAnsi="Arial"/>
          <w:sz w:val="17"/>
          <w:szCs w:val="17"/>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7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If a group has filed this schedule pursuant to Rule 13d-1(b)(ii)(J), so indicate under Item 3(h) and attach an exhibit stating the identity and Item 3 classification of each member of the group. If a group has filed this schedule pursuant to Rule 13d-1(d), attach an exhibit stating the identity of each member of the group. NOT APPLICABLE.</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9. NOTICE OF DISSOLUTION OF GROUP</w:t>
      </w:r>
    </w:p>
    <w:p>
      <w:pPr>
        <w:spacing w:after="0" w:line="17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 on will be filed, if required, by members of the group, in their individual capacity. NOT APPLICABLE.</w:t>
      </w:r>
    </w:p>
    <w:p>
      <w:pPr>
        <w:spacing w:after="0" w:line="1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7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jc w:val="center"/>
        <w:ind w:left="340"/>
        <w:spacing w:after="0"/>
        <w:rPr>
          <w:sz w:val="20"/>
          <w:szCs w:val="20"/>
          <w:color w:val="auto"/>
        </w:rPr>
      </w:pPr>
      <w:r>
        <w:rPr>
          <w:rFonts w:ascii="Arial" w:cs="Arial" w:eastAsia="Arial" w:hAnsi="Arial"/>
          <w:sz w:val="18"/>
          <w:szCs w:val="18"/>
          <w:color w:val="auto"/>
        </w:rPr>
        <w:t>SCHEDULE 13G</w:t>
      </w:r>
    </w:p>
    <w:p>
      <w:pPr>
        <w:spacing w:after="0" w:line="36"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CUSIP NO. G87110105</w:t>
      </w:r>
      <w:r>
        <w:rPr>
          <w:sz w:val="20"/>
          <w:szCs w:val="20"/>
          <w:color w:val="auto"/>
        </w:rPr>
        <w:tab/>
      </w:r>
      <w:r>
        <w:rPr>
          <w:rFonts w:ascii="Arial" w:cs="Arial" w:eastAsia="Arial" w:hAnsi="Arial"/>
          <w:sz w:val="17"/>
          <w:szCs w:val="17"/>
          <w:color w:val="auto"/>
        </w:rPr>
        <w:t>PAGE 6 OF 6 PAGES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2,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Joan Berger, General Counsel &amp;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2021-02-02T13:45:44Z</dcterms:created>
  <dcterms:modified xsi:type="dcterms:W3CDTF">2021-02-02T13:45:44Z</dcterms:modified>
</cp:coreProperties>
</file>